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eastAsia" w:ascii="仿宋" w:hAnsi="仿宋" w:eastAsia="仿宋" w:cs="仿宋"/>
          <w:color w:val="auto"/>
          <w:highlight w:val="none"/>
        </w:rPr>
      </w:pPr>
    </w:p>
    <w:p>
      <w:pPr>
        <w:pStyle w:val="18"/>
        <w:ind w:left="0" w:leftChars="0" w:firstLine="0" w:firstLineChars="0"/>
        <w:jc w:val="both"/>
        <w:rPr>
          <w:rFonts w:hint="eastAsia" w:ascii="仿宋" w:hAnsi="仿宋" w:eastAsia="仿宋" w:cs="仿宋"/>
          <w:b/>
          <w:bCs/>
          <w:color w:val="auto"/>
          <w:sz w:val="44"/>
          <w:szCs w:val="44"/>
          <w:highlight w:val="none"/>
          <w:lang w:val="en-US" w:eastAsia="zh-CN"/>
        </w:rPr>
      </w:pPr>
    </w:p>
    <w:p>
      <w:pPr>
        <w:rPr>
          <w:rFonts w:hint="eastAsia"/>
          <w:highlight w:val="none"/>
          <w:lang w:val="en-US" w:eastAsia="zh-CN"/>
        </w:rPr>
      </w:pPr>
    </w:p>
    <w:p>
      <w:pPr>
        <w:ind w:left="0" w:leftChars="0" w:firstLine="0" w:firstLineChars="0"/>
        <w:jc w:val="center"/>
        <w:rPr>
          <w:rFonts w:hint="eastAsia" w:cs="仿宋"/>
          <w:b/>
          <w:bCs/>
          <w:color w:val="auto"/>
          <w:sz w:val="44"/>
          <w:szCs w:val="44"/>
          <w:highlight w:val="none"/>
          <w:lang w:val="en-US" w:eastAsia="zh-CN"/>
        </w:rPr>
      </w:pPr>
      <w:r>
        <w:rPr>
          <w:rFonts w:hint="eastAsia" w:cs="仿宋"/>
          <w:b/>
          <w:bCs/>
          <w:color w:val="auto"/>
          <w:sz w:val="44"/>
          <w:szCs w:val="44"/>
          <w:highlight w:val="none"/>
          <w:lang w:val="en-US" w:eastAsia="zh-CN"/>
        </w:rPr>
        <w:t>吉林市第二人民医院洗涤租赁服务项目</w:t>
      </w:r>
    </w:p>
    <w:p>
      <w:pPr>
        <w:ind w:left="0" w:leftChars="0" w:firstLine="0" w:firstLineChars="0"/>
        <w:jc w:val="center"/>
        <w:rPr>
          <w:rFonts w:hint="eastAsia" w:ascii="仿宋" w:hAnsi="仿宋" w:eastAsia="仿宋" w:cs="仿宋"/>
          <w:color w:val="auto"/>
          <w:sz w:val="44"/>
          <w:szCs w:val="48"/>
          <w:highlight w:val="none"/>
        </w:rPr>
      </w:pPr>
      <w:r>
        <w:rPr>
          <w:rFonts w:hint="eastAsia" w:cs="仿宋"/>
          <w:color w:val="auto"/>
          <w:sz w:val="44"/>
          <w:szCs w:val="48"/>
          <w:highlight w:val="none"/>
          <w:lang w:val="en-US" w:eastAsia="zh-CN"/>
        </w:rPr>
        <w:t>招标文件</w:t>
      </w:r>
    </w:p>
    <w:p>
      <w:pPr>
        <w:pStyle w:val="15"/>
        <w:ind w:left="0" w:leftChars="0" w:firstLine="0" w:firstLineChars="0"/>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cs="仿宋"/>
          <w:color w:val="auto"/>
          <w:sz w:val="32"/>
          <w:szCs w:val="32"/>
          <w:highlight w:val="none"/>
          <w:lang w:eastAsia="zh-CN"/>
        </w:rPr>
        <w:t>采购计划-[2024]-00106号-ZYCXZB002</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18"/>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iCs/>
          <w:color w:val="auto"/>
          <w:sz w:val="52"/>
          <w:szCs w:val="52"/>
          <w:highlight w:val="none"/>
        </w:rPr>
        <w:drawing>
          <wp:inline distT="0" distB="0" distL="0" distR="0">
            <wp:extent cx="2964815" cy="2879725"/>
            <wp:effectExtent l="0" t="0" r="0" b="0"/>
            <wp:docPr id="4" name="图片 4" descr="IMG_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408"/>
                    <pic:cNvPicPr>
                      <a:picLocks noChangeAspect="1" noChangeArrowheads="1"/>
                    </pic:cNvPicPr>
                  </pic:nvPicPr>
                  <pic:blipFill>
                    <a:blip r:embed="rId10" cstate="print">
                      <a:extLst>
                        <a:ext uri="{28A0092B-C50C-407E-A947-70E740481C1C}">
                          <a14:useLocalDpi xmlns:a14="http://schemas.microsoft.com/office/drawing/2010/main" val="0"/>
                        </a:ext>
                      </a:extLst>
                    </a:blip>
                    <a:srcRect l="25980" t="26065" r="26273" b="22108"/>
                    <a:stretch>
                      <a:fillRect/>
                    </a:stretch>
                  </pic:blipFill>
                  <pic:spPr>
                    <a:xfrm>
                      <a:off x="0" y="0"/>
                      <a:ext cx="2964815" cy="2879725"/>
                    </a:xfrm>
                    <a:prstGeom prst="rect">
                      <a:avLst/>
                    </a:prstGeom>
                    <a:noFill/>
                    <a:ln>
                      <a:noFill/>
                    </a:ln>
                  </pic:spPr>
                </pic:pic>
              </a:graphicData>
            </a:graphic>
          </wp:inline>
        </w:drawing>
      </w:r>
    </w:p>
    <w:p>
      <w:pPr>
        <w:ind w:firstLine="480"/>
        <w:rPr>
          <w:rFonts w:hint="eastAsia" w:ascii="仿宋" w:hAnsi="仿宋" w:eastAsia="仿宋" w:cs="仿宋"/>
          <w:color w:val="auto"/>
          <w:highlight w:val="none"/>
        </w:rPr>
      </w:pPr>
    </w:p>
    <w:p>
      <w:pPr>
        <w:ind w:left="420" w:leftChars="0" w:firstLine="420" w:firstLineChars="0"/>
        <w:rPr>
          <w:rFonts w:hint="eastAsia" w:ascii="仿宋" w:hAnsi="仿宋" w:eastAsia="仿宋" w:cs="仿宋"/>
          <w:color w:val="auto"/>
          <w:sz w:val="28"/>
          <w:szCs w:val="32"/>
          <w:highlight w:val="none"/>
        </w:rPr>
      </w:pPr>
      <w:bookmarkStart w:id="0" w:name="_Toc246996898"/>
      <w:bookmarkStart w:id="1" w:name="_Toc247085669"/>
      <w:bookmarkStart w:id="2" w:name="_Toc296602400"/>
      <w:r>
        <w:rPr>
          <w:rFonts w:hint="eastAsia" w:ascii="仿宋" w:hAnsi="仿宋" w:eastAsia="仿宋" w:cs="仿宋"/>
          <w:color w:val="auto"/>
          <w:sz w:val="28"/>
          <w:szCs w:val="32"/>
          <w:highlight w:val="none"/>
        </w:rPr>
        <w:t>招 标 人：吉林市第二人民医院</w:t>
      </w:r>
    </w:p>
    <w:p>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招标代理机构：</w:t>
      </w:r>
      <w:r>
        <w:rPr>
          <w:rFonts w:hint="eastAsia" w:cs="仿宋"/>
          <w:color w:val="auto"/>
          <w:sz w:val="28"/>
          <w:szCs w:val="32"/>
          <w:highlight w:val="none"/>
          <w:lang w:val="zh-CN" w:eastAsia="zh-CN"/>
        </w:rPr>
        <w:t>中屹宬信建设集团有限公司</w:t>
      </w:r>
    </w:p>
    <w:p>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日    期：</w:t>
      </w:r>
      <w:bookmarkStart w:id="3" w:name="EB2b6acbf80ec34a13b99020645ace3bba"/>
      <w:r>
        <w:rPr>
          <w:rFonts w:hint="eastAsia" w:ascii="仿宋" w:hAnsi="仿宋" w:eastAsia="仿宋" w:cs="仿宋"/>
          <w:color w:val="auto"/>
          <w:sz w:val="28"/>
          <w:szCs w:val="32"/>
          <w:highlight w:val="none"/>
        </w:rPr>
        <w:t>202</w:t>
      </w:r>
      <w:r>
        <w:rPr>
          <w:rFonts w:hint="eastAsia" w:cs="仿宋"/>
          <w:color w:val="auto"/>
          <w:sz w:val="28"/>
          <w:szCs w:val="32"/>
          <w:highlight w:val="none"/>
          <w:lang w:val="en-US" w:eastAsia="zh-CN"/>
        </w:rPr>
        <w:t>4</w:t>
      </w:r>
      <w:r>
        <w:rPr>
          <w:rFonts w:hint="eastAsia" w:ascii="仿宋" w:hAnsi="仿宋" w:eastAsia="仿宋" w:cs="仿宋"/>
          <w:color w:val="auto"/>
          <w:sz w:val="28"/>
          <w:szCs w:val="32"/>
          <w:highlight w:val="none"/>
        </w:rPr>
        <w:t>年</w:t>
      </w:r>
      <w:r>
        <w:rPr>
          <w:rFonts w:hint="eastAsia" w:cs="仿宋"/>
          <w:color w:val="auto"/>
          <w:sz w:val="28"/>
          <w:szCs w:val="32"/>
          <w:highlight w:val="none"/>
          <w:lang w:val="en-US" w:eastAsia="zh-CN"/>
        </w:rPr>
        <w:t>03</w:t>
      </w:r>
      <w:r>
        <w:rPr>
          <w:rFonts w:hint="eastAsia" w:ascii="仿宋" w:hAnsi="仿宋" w:eastAsia="仿宋" w:cs="仿宋"/>
          <w:color w:val="auto"/>
          <w:sz w:val="28"/>
          <w:szCs w:val="32"/>
          <w:highlight w:val="none"/>
        </w:rPr>
        <w:t>月</w:t>
      </w:r>
      <w:bookmarkEnd w:id="3"/>
    </w:p>
    <w:p>
      <w:pPr>
        <w:ind w:firstLine="480"/>
        <w:jc w:val="center"/>
        <w:rPr>
          <w:rFonts w:hint="eastAsia" w:ascii="仿宋" w:hAnsi="仿宋" w:eastAsia="仿宋" w:cs="仿宋"/>
          <w:color w:val="auto"/>
          <w:sz w:val="36"/>
          <w:szCs w:val="40"/>
          <w:highlight w:val="none"/>
        </w:rPr>
      </w:pPr>
      <w:r>
        <w:rPr>
          <w:rFonts w:hint="eastAsia" w:ascii="仿宋" w:hAnsi="仿宋" w:eastAsia="仿宋" w:cs="仿宋"/>
          <w:color w:val="auto"/>
          <w:highlight w:val="none"/>
        </w:rPr>
        <w:br w:type="page"/>
      </w:r>
      <w:r>
        <w:rPr>
          <w:rFonts w:hint="eastAsia" w:ascii="仿宋" w:hAnsi="仿宋" w:eastAsia="仿宋" w:cs="仿宋"/>
          <w:color w:val="auto"/>
          <w:sz w:val="36"/>
          <w:szCs w:val="40"/>
          <w:highlight w:val="none"/>
        </w:rPr>
        <w:t>目   录</w:t>
      </w:r>
      <w:bookmarkEnd w:id="0"/>
      <w:bookmarkEnd w:id="1"/>
      <w:bookmarkEnd w:id="2"/>
    </w:p>
    <w:p>
      <w:pPr>
        <w:pStyle w:val="18"/>
        <w:rPr>
          <w:rFonts w:hint="eastAsia" w:ascii="仿宋" w:hAnsi="仿宋" w:eastAsia="仿宋" w:cs="仿宋"/>
          <w:color w:val="auto"/>
          <w:highlight w:val="none"/>
        </w:rPr>
      </w:pPr>
    </w:p>
    <w:p>
      <w:pPr>
        <w:pStyle w:val="14"/>
        <w:tabs>
          <w:tab w:val="right" w:leader="dot" w:pos="8307"/>
        </w:tabs>
        <w:rPr>
          <w:highlight w:val="none"/>
        </w:rPr>
      </w:pPr>
      <w:bookmarkStart w:id="4" w:name="_Toc179632527"/>
      <w:bookmarkStart w:id="5" w:name="_Toc144974479"/>
      <w:bookmarkStart w:id="6" w:name="_Toc152042287"/>
      <w:bookmarkStart w:id="7" w:name="_Toc152045511"/>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_Toc22328 </w:instrText>
      </w:r>
      <w:r>
        <w:rPr>
          <w:rFonts w:hint="eastAsia" w:ascii="仿宋" w:hAnsi="仿宋" w:eastAsia="仿宋" w:cs="仿宋"/>
          <w:szCs w:val="24"/>
          <w:highlight w:val="none"/>
        </w:rPr>
        <w:fldChar w:fldCharType="separate"/>
      </w:r>
      <w:r>
        <w:rPr>
          <w:rFonts w:hint="eastAsia"/>
          <w:highlight w:val="none"/>
          <w:lang w:val="en-US" w:eastAsia="zh-CN"/>
        </w:rPr>
        <w:t>第一章 招标公告</w:t>
      </w:r>
      <w:r>
        <w:rPr>
          <w:highlight w:val="none"/>
        </w:rPr>
        <w:tab/>
      </w:r>
      <w:r>
        <w:rPr>
          <w:highlight w:val="none"/>
        </w:rPr>
        <w:fldChar w:fldCharType="begin"/>
      </w:r>
      <w:r>
        <w:rPr>
          <w:highlight w:val="none"/>
        </w:rPr>
        <w:instrText xml:space="preserve"> PAGEREF _Toc22328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4"/>
          <w:highlight w:val="none"/>
        </w:rPr>
        <w:fldChar w:fldCharType="end"/>
      </w:r>
    </w:p>
    <w:p>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_Toc6471 </w:instrText>
      </w:r>
      <w:r>
        <w:rPr>
          <w:rFonts w:hint="eastAsia" w:ascii="仿宋" w:hAnsi="仿宋" w:eastAsia="仿宋" w:cs="仿宋"/>
          <w:szCs w:val="40"/>
          <w:highlight w:val="none"/>
        </w:rPr>
        <w:fldChar w:fldCharType="separate"/>
      </w:r>
      <w:r>
        <w:rPr>
          <w:rFonts w:hint="eastAsia"/>
          <w:bCs/>
          <w:highlight w:val="none"/>
          <w:lang w:val="en-US" w:eastAsia="zh-CN"/>
        </w:rPr>
        <w:t>第二章 投标人须知</w:t>
      </w:r>
      <w:r>
        <w:rPr>
          <w:highlight w:val="none"/>
        </w:rPr>
        <w:tab/>
      </w:r>
      <w:r>
        <w:rPr>
          <w:highlight w:val="none"/>
        </w:rPr>
        <w:fldChar w:fldCharType="begin"/>
      </w:r>
      <w:r>
        <w:rPr>
          <w:highlight w:val="none"/>
        </w:rPr>
        <w:instrText xml:space="preserve"> PAGEREF _Toc6471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szCs w:val="40"/>
          <w:highlight w:val="none"/>
        </w:rPr>
        <w:fldChar w:fldCharType="end"/>
      </w:r>
    </w:p>
    <w:p>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_Toc27874 </w:instrText>
      </w:r>
      <w:r>
        <w:rPr>
          <w:rFonts w:hint="eastAsia" w:ascii="仿宋" w:hAnsi="仿宋" w:eastAsia="仿宋" w:cs="仿宋"/>
          <w:szCs w:val="40"/>
          <w:highlight w:val="none"/>
        </w:rPr>
        <w:fldChar w:fldCharType="separate"/>
      </w:r>
      <w:r>
        <w:rPr>
          <w:rFonts w:hint="eastAsia"/>
          <w:highlight w:val="none"/>
          <w:lang w:val="en-US" w:eastAsia="zh-CN"/>
        </w:rPr>
        <w:t xml:space="preserve">第三章 </w:t>
      </w:r>
      <w:r>
        <w:rPr>
          <w:rFonts w:hint="eastAsia"/>
          <w:highlight w:val="none"/>
        </w:rPr>
        <w:t>合同条款</w:t>
      </w:r>
      <w:r>
        <w:rPr>
          <w:highlight w:val="none"/>
        </w:rPr>
        <w:tab/>
      </w:r>
      <w:r>
        <w:rPr>
          <w:highlight w:val="none"/>
        </w:rPr>
        <w:fldChar w:fldCharType="begin"/>
      </w:r>
      <w:r>
        <w:rPr>
          <w:highlight w:val="none"/>
        </w:rPr>
        <w:instrText xml:space="preserve"> PAGEREF _Toc27874 \h </w:instrText>
      </w:r>
      <w:r>
        <w:rPr>
          <w:highlight w:val="none"/>
        </w:rPr>
        <w:fldChar w:fldCharType="separate"/>
      </w:r>
      <w:r>
        <w:rPr>
          <w:highlight w:val="none"/>
        </w:rPr>
        <w:t>21</w:t>
      </w:r>
      <w:r>
        <w:rPr>
          <w:highlight w:val="none"/>
        </w:rPr>
        <w:fldChar w:fldCharType="end"/>
      </w:r>
      <w:r>
        <w:rPr>
          <w:rFonts w:hint="eastAsia" w:ascii="仿宋" w:hAnsi="仿宋" w:eastAsia="仿宋" w:cs="仿宋"/>
          <w:color w:val="auto"/>
          <w:szCs w:val="40"/>
          <w:highlight w:val="none"/>
        </w:rPr>
        <w:fldChar w:fldCharType="end"/>
      </w:r>
    </w:p>
    <w:p>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_Toc13549 </w:instrText>
      </w:r>
      <w:r>
        <w:rPr>
          <w:rFonts w:hint="eastAsia" w:ascii="仿宋" w:hAnsi="仿宋" w:eastAsia="仿宋" w:cs="仿宋"/>
          <w:szCs w:val="40"/>
          <w:highlight w:val="none"/>
        </w:rPr>
        <w:fldChar w:fldCharType="separate"/>
      </w:r>
      <w:r>
        <w:rPr>
          <w:rFonts w:hint="eastAsia"/>
          <w:highlight w:val="none"/>
          <w:lang w:val="en-US" w:eastAsia="zh-CN"/>
        </w:rPr>
        <w:t>第四章 合同格式</w:t>
      </w:r>
      <w:r>
        <w:rPr>
          <w:highlight w:val="none"/>
        </w:rPr>
        <w:tab/>
      </w:r>
      <w:r>
        <w:rPr>
          <w:highlight w:val="none"/>
        </w:rPr>
        <w:fldChar w:fldCharType="begin"/>
      </w:r>
      <w:r>
        <w:rPr>
          <w:highlight w:val="none"/>
        </w:rPr>
        <w:instrText xml:space="preserve"> PAGEREF _Toc13549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szCs w:val="40"/>
          <w:highlight w:val="none"/>
        </w:rPr>
        <w:fldChar w:fldCharType="end"/>
      </w:r>
    </w:p>
    <w:p>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_Toc9126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 xml:space="preserve">第五章 </w:t>
      </w:r>
      <w:r>
        <w:rPr>
          <w:rFonts w:hint="eastAsia" w:cs="仿宋"/>
          <w:szCs w:val="44"/>
          <w:highlight w:val="none"/>
          <w:lang w:eastAsia="zh-CN"/>
        </w:rPr>
        <w:t>服务标准和要求</w:t>
      </w:r>
      <w:r>
        <w:rPr>
          <w:highlight w:val="none"/>
        </w:rPr>
        <w:tab/>
      </w:r>
      <w:r>
        <w:rPr>
          <w:highlight w:val="none"/>
        </w:rPr>
        <w:fldChar w:fldCharType="begin"/>
      </w:r>
      <w:r>
        <w:rPr>
          <w:highlight w:val="none"/>
        </w:rPr>
        <w:instrText xml:space="preserve"> PAGEREF _Toc9126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szCs w:val="40"/>
          <w:highlight w:val="none"/>
        </w:rPr>
        <w:fldChar w:fldCharType="end"/>
      </w:r>
    </w:p>
    <w:p>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_Toc5281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第</w:t>
      </w:r>
      <w:r>
        <w:rPr>
          <w:rFonts w:hint="eastAsia" w:cs="仿宋"/>
          <w:szCs w:val="21"/>
          <w:highlight w:val="none"/>
          <w:lang w:val="en-US" w:eastAsia="zh-CN"/>
        </w:rPr>
        <w:t>六</w:t>
      </w:r>
      <w:r>
        <w:rPr>
          <w:rFonts w:hint="eastAsia" w:ascii="仿宋" w:hAnsi="仿宋" w:eastAsia="仿宋" w:cs="仿宋"/>
          <w:szCs w:val="21"/>
          <w:highlight w:val="none"/>
          <w:lang w:val="en-US" w:eastAsia="zh-CN"/>
        </w:rPr>
        <w:t xml:space="preserve">章 </w:t>
      </w:r>
      <w:r>
        <w:rPr>
          <w:rFonts w:hint="eastAsia" w:cs="仿宋"/>
          <w:szCs w:val="44"/>
          <w:highlight w:val="none"/>
          <w:lang w:eastAsia="zh-CN"/>
        </w:rPr>
        <w:t>投标文件格式</w:t>
      </w:r>
      <w:r>
        <w:rPr>
          <w:highlight w:val="none"/>
        </w:rPr>
        <w:tab/>
      </w:r>
      <w:r>
        <w:rPr>
          <w:highlight w:val="none"/>
        </w:rPr>
        <w:fldChar w:fldCharType="begin"/>
      </w:r>
      <w:r>
        <w:rPr>
          <w:highlight w:val="none"/>
        </w:rPr>
        <w:instrText xml:space="preserve"> PAGEREF _Toc5281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szCs w:val="40"/>
          <w:highlight w:val="none"/>
        </w:rPr>
        <w:fldChar w:fldCharType="end"/>
      </w:r>
    </w:p>
    <w:p>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_Toc5420 </w:instrText>
      </w:r>
      <w:r>
        <w:rPr>
          <w:rFonts w:hint="eastAsia" w:ascii="仿宋" w:hAnsi="仿宋" w:eastAsia="仿宋" w:cs="仿宋"/>
          <w:szCs w:val="40"/>
          <w:highlight w:val="none"/>
        </w:rPr>
        <w:fldChar w:fldCharType="separate"/>
      </w:r>
      <w:r>
        <w:rPr>
          <w:rFonts w:hint="eastAsia" w:ascii="仿宋" w:hAnsi="仿宋" w:eastAsia="仿宋" w:cs="仿宋"/>
          <w:bCs/>
          <w:highlight w:val="none"/>
          <w:lang w:val="en-US" w:eastAsia="zh-CN"/>
        </w:rPr>
        <w:t>第</w:t>
      </w:r>
      <w:r>
        <w:rPr>
          <w:rFonts w:hint="eastAsia" w:cs="仿宋"/>
          <w:bCs/>
          <w:highlight w:val="none"/>
          <w:lang w:val="en-US" w:eastAsia="zh-CN"/>
        </w:rPr>
        <w:t>七</w:t>
      </w:r>
      <w:r>
        <w:rPr>
          <w:rFonts w:hint="eastAsia" w:ascii="仿宋" w:hAnsi="仿宋" w:eastAsia="仿宋" w:cs="仿宋"/>
          <w:bCs/>
          <w:highlight w:val="none"/>
          <w:lang w:val="en-US" w:eastAsia="zh-CN"/>
        </w:rPr>
        <w:t>章</w:t>
      </w:r>
      <w:r>
        <w:rPr>
          <w:rFonts w:hint="eastAsia" w:ascii="仿宋" w:hAnsi="仿宋" w:eastAsia="仿宋" w:cs="仿宋"/>
          <w:highlight w:val="none"/>
          <w:lang w:val="en-US" w:eastAsia="zh-CN"/>
        </w:rPr>
        <w:t xml:space="preserve"> </w:t>
      </w:r>
      <w:r>
        <w:rPr>
          <w:rFonts w:hint="eastAsia" w:ascii="仿宋" w:hAnsi="仿宋" w:eastAsia="仿宋" w:cs="仿宋"/>
          <w:bCs/>
          <w:szCs w:val="44"/>
          <w:highlight w:val="none"/>
          <w:lang w:eastAsia="zh-CN"/>
        </w:rPr>
        <w:t>评标办法</w:t>
      </w:r>
      <w:r>
        <w:rPr>
          <w:highlight w:val="none"/>
        </w:rPr>
        <w:tab/>
      </w:r>
      <w:r>
        <w:rPr>
          <w:highlight w:val="none"/>
        </w:rPr>
        <w:fldChar w:fldCharType="begin"/>
      </w:r>
      <w:r>
        <w:rPr>
          <w:highlight w:val="none"/>
        </w:rPr>
        <w:instrText xml:space="preserve"> PAGEREF _Toc5420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szCs w:val="40"/>
          <w:highlight w:val="none"/>
        </w:rPr>
        <w:fldChar w:fldCharType="end"/>
      </w:r>
    </w:p>
    <w:p>
      <w:pPr>
        <w:rPr>
          <w:rFonts w:hint="eastAsia" w:ascii="仿宋" w:hAnsi="仿宋" w:eastAsia="仿宋" w:cs="仿宋"/>
          <w:color w:val="auto"/>
          <w:sz w:val="36"/>
          <w:szCs w:val="40"/>
          <w:highlight w:val="none"/>
        </w:rPr>
      </w:pPr>
      <w:r>
        <w:rPr>
          <w:rFonts w:hint="eastAsia" w:ascii="仿宋" w:hAnsi="仿宋" w:eastAsia="仿宋" w:cs="仿宋"/>
          <w:color w:val="auto"/>
          <w:szCs w:val="40"/>
          <w:highlight w:val="none"/>
        </w:rPr>
        <w:fldChar w:fldCharType="end"/>
      </w:r>
      <w:bookmarkEnd w:id="4"/>
      <w:bookmarkEnd w:id="5"/>
      <w:bookmarkEnd w:id="6"/>
      <w:bookmarkEnd w:id="7"/>
      <w:bookmarkStart w:id="8" w:name="_Toc18657"/>
      <w:bookmarkStart w:id="9" w:name="_Toc55285621"/>
      <w:bookmarkStart w:id="10" w:name="_Toc52181453"/>
    </w:p>
    <w:p>
      <w:pPr>
        <w:pStyle w:val="3"/>
        <w:numPr>
          <w:ilvl w:val="0"/>
          <w:numId w:val="3"/>
        </w:numPr>
        <w:bidi w:val="0"/>
        <w:rPr>
          <w:rFonts w:hint="eastAsia"/>
          <w:color w:val="auto"/>
          <w:highlight w:val="none"/>
          <w:lang w:val="en-US" w:eastAsia="zh-CN"/>
        </w:rPr>
        <w:sectPr>
          <w:footerReference r:id="rId5" w:type="default"/>
          <w:pgSz w:w="11907" w:h="16840"/>
          <w:pgMar w:top="1440" w:right="1800" w:bottom="1440" w:left="1800" w:header="680" w:footer="907" w:gutter="0"/>
          <w:pgNumType w:fmt="decimal" w:start="1"/>
          <w:cols w:space="0" w:num="1"/>
          <w:rtlGutter w:val="0"/>
          <w:docGrid w:linePitch="271" w:charSpace="0"/>
        </w:sectPr>
      </w:pPr>
    </w:p>
    <w:p>
      <w:pPr>
        <w:pStyle w:val="3"/>
        <w:numPr>
          <w:ilvl w:val="0"/>
          <w:numId w:val="3"/>
        </w:numPr>
        <w:bidi w:val="0"/>
        <w:rPr>
          <w:rFonts w:hint="eastAsia"/>
          <w:color w:val="auto"/>
          <w:highlight w:val="none"/>
          <w:lang w:val="en-US" w:eastAsia="zh-CN"/>
        </w:rPr>
      </w:pPr>
      <w:bookmarkStart w:id="11" w:name="_Toc22328"/>
      <w:r>
        <w:rPr>
          <w:rFonts w:hint="eastAsia"/>
          <w:color w:val="auto"/>
          <w:highlight w:val="none"/>
          <w:lang w:val="en-US" w:eastAsia="zh-CN"/>
        </w:rPr>
        <w:t>招标公告</w:t>
      </w:r>
      <w:bookmarkEnd w:id="8"/>
      <w:bookmarkEnd w:id="11"/>
    </w:p>
    <w:bookmarkEnd w:id="9"/>
    <w:bookmarkEnd w:id="10"/>
    <w:p>
      <w:pPr>
        <w:pStyle w:val="15"/>
        <w:keepNext w:val="0"/>
        <w:keepLines w:val="0"/>
        <w:widowControl/>
        <w:suppressLineNumbers w:val="0"/>
        <w:shd w:val="clear" w:fill="FFFFFF"/>
        <w:wordWrap w:val="0"/>
        <w:spacing w:before="240" w:beforeAutospacing="0" w:after="60" w:afterAutospacing="0" w:line="360" w:lineRule="auto"/>
        <w:ind w:right="0"/>
        <w:jc w:val="center"/>
        <w:rPr>
          <w:rFonts w:hint="eastAsia" w:ascii="仿宋" w:hAnsi="仿宋" w:cs="仿宋"/>
          <w:b/>
          <w:bCs/>
          <w:color w:val="auto"/>
          <w:sz w:val="28"/>
          <w:szCs w:val="28"/>
          <w:highlight w:val="none"/>
          <w:shd w:val="clear" w:fill="FFFFFF"/>
          <w:lang w:eastAsia="zh-CN"/>
        </w:rPr>
      </w:pPr>
      <w:bookmarkStart w:id="12" w:name="_Toc152042304"/>
      <w:bookmarkStart w:id="13" w:name="_Toc246996917"/>
      <w:bookmarkStart w:id="14" w:name="_Toc296602419"/>
      <w:bookmarkStart w:id="15" w:name="_Toc179632545"/>
      <w:bookmarkStart w:id="16" w:name="_Toc152045528"/>
      <w:bookmarkStart w:id="17" w:name="_Toc246996174"/>
      <w:bookmarkStart w:id="18" w:name="_Toc144974496"/>
      <w:bookmarkStart w:id="19" w:name="_Toc247085688"/>
      <w:r>
        <w:rPr>
          <w:rFonts w:hint="eastAsia" w:ascii="仿宋" w:hAnsi="仿宋" w:cs="仿宋"/>
          <w:b/>
          <w:bCs/>
          <w:color w:val="auto"/>
          <w:sz w:val="28"/>
          <w:szCs w:val="28"/>
          <w:highlight w:val="none"/>
          <w:shd w:val="clear" w:fill="FFFFFF"/>
          <w:lang w:eastAsia="zh-CN"/>
        </w:rPr>
        <w:t>吉林市第二人民医院洗涤租赁服务项目</w:t>
      </w:r>
    </w:p>
    <w:p>
      <w:pPr>
        <w:pStyle w:val="15"/>
        <w:keepNext w:val="0"/>
        <w:keepLines w:val="0"/>
        <w:widowControl/>
        <w:suppressLineNumbers w:val="0"/>
        <w:shd w:val="clear" w:fill="FFFFFF"/>
        <w:wordWrap w:val="0"/>
        <w:spacing w:before="240" w:beforeAutospacing="0" w:after="60" w:afterAutospacing="0" w:line="360" w:lineRule="auto"/>
        <w:ind w:right="0"/>
        <w:jc w:val="center"/>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shd w:val="clear" w:fill="FFFFFF"/>
          <w:lang w:val="en-US" w:eastAsia="zh-CN"/>
        </w:rPr>
        <w:t>公开招标公告</w:t>
      </w:r>
    </w:p>
    <w:tbl>
      <w:tblPr>
        <w:tblStyle w:val="19"/>
        <w:tblW w:w="0" w:type="auto"/>
        <w:tblInd w:w="1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3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bidi w:val="0"/>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项目概况</w:t>
            </w:r>
          </w:p>
          <w:p>
            <w:pPr>
              <w:bidi w:val="0"/>
              <w:ind w:firstLine="420" w:firstLineChars="200"/>
              <w:rPr>
                <w:rFonts w:hint="eastAsia" w:ascii="仿宋" w:hAnsi="仿宋" w:eastAsia="仿宋" w:cs="仿宋"/>
                <w:color w:val="auto"/>
                <w:szCs w:val="21"/>
                <w:highlight w:val="none"/>
              </w:rPr>
            </w:pPr>
            <w:r>
              <w:rPr>
                <w:rFonts w:hint="eastAsia" w:cs="仿宋"/>
                <w:sz w:val="21"/>
                <w:szCs w:val="21"/>
                <w:highlight w:val="none"/>
                <w:u w:val="single"/>
                <w:lang w:eastAsia="zh-CN"/>
              </w:rPr>
              <w:t>吉林市第二人民医院洗涤租赁服务项目</w:t>
            </w:r>
            <w:r>
              <w:rPr>
                <w:rFonts w:hint="eastAsia" w:ascii="仿宋" w:hAnsi="仿宋" w:eastAsia="仿宋" w:cs="仿宋"/>
                <w:sz w:val="21"/>
                <w:szCs w:val="21"/>
                <w:highlight w:val="none"/>
              </w:rPr>
              <w:t>的潜在投标人应</w:t>
            </w:r>
            <w:r>
              <w:rPr>
                <w:rFonts w:hint="eastAsia" w:ascii="仿宋" w:hAnsi="仿宋" w:eastAsia="仿宋" w:cs="仿宋"/>
                <w:sz w:val="21"/>
                <w:szCs w:val="21"/>
                <w:highlight w:val="none"/>
                <w:lang w:val="en-US" w:eastAsia="zh-CN"/>
              </w:rPr>
              <w:t>在</w:t>
            </w:r>
            <w:r>
              <w:rPr>
                <w:rFonts w:hint="eastAsia" w:ascii="仿宋" w:hAnsi="仿宋" w:eastAsia="仿宋" w:cs="仿宋"/>
                <w:sz w:val="21"/>
                <w:szCs w:val="21"/>
                <w:highlight w:val="none"/>
              </w:rPr>
              <w:t>政采云平台（http：//www.zcygov.cn）</w:t>
            </w:r>
            <w:r>
              <w:rPr>
                <w:rFonts w:hint="eastAsia" w:ascii="仿宋" w:hAnsi="仿宋" w:eastAsia="仿宋" w:cs="仿宋"/>
                <w:sz w:val="21"/>
                <w:szCs w:val="21"/>
                <w:highlight w:val="none"/>
                <w:lang w:val="en-US" w:eastAsia="zh-CN"/>
              </w:rPr>
              <w:t>线上</w:t>
            </w:r>
            <w:r>
              <w:rPr>
                <w:rFonts w:hint="eastAsia" w:ascii="仿宋" w:hAnsi="仿宋" w:eastAsia="仿宋" w:cs="仿宋"/>
                <w:sz w:val="21"/>
                <w:szCs w:val="21"/>
                <w:highlight w:val="none"/>
              </w:rPr>
              <w:t>获取</w:t>
            </w:r>
            <w:r>
              <w:rPr>
                <w:rFonts w:hint="eastAsia" w:ascii="仿宋" w:hAnsi="仿宋" w:eastAsia="仿宋" w:cs="仿宋"/>
                <w:sz w:val="21"/>
                <w:szCs w:val="21"/>
                <w:highlight w:val="none"/>
                <w:lang w:val="en-US" w:eastAsia="zh-CN"/>
              </w:rPr>
              <w:t>招标文件</w:t>
            </w:r>
            <w:r>
              <w:rPr>
                <w:rFonts w:hint="eastAsia" w:ascii="仿宋" w:hAnsi="仿宋" w:eastAsia="仿宋" w:cs="仿宋"/>
                <w:sz w:val="21"/>
                <w:szCs w:val="21"/>
                <w:highlight w:val="none"/>
              </w:rPr>
              <w:t>，并于</w:t>
            </w:r>
            <w:r>
              <w:rPr>
                <w:rFonts w:hint="eastAsia" w:cs="仿宋"/>
                <w:sz w:val="21"/>
                <w:szCs w:val="21"/>
                <w:highlight w:val="none"/>
                <w:lang w:eastAsia="zh-CN"/>
              </w:rPr>
              <w:t>2024年04月22日</w:t>
            </w:r>
            <w:r>
              <w:rPr>
                <w:rFonts w:hint="eastAsia" w:ascii="仿宋" w:hAnsi="仿宋" w:eastAsia="仿宋" w:cs="仿宋"/>
                <w:sz w:val="21"/>
                <w:szCs w:val="21"/>
                <w:highlight w:val="none"/>
                <w:lang w:val="en-US" w:eastAsia="zh-CN"/>
              </w:rPr>
              <w:t>13</w:t>
            </w:r>
            <w:r>
              <w:rPr>
                <w:rFonts w:hint="eastAsia" w:ascii="仿宋" w:hAnsi="仿宋" w:eastAsia="仿宋" w:cs="仿宋"/>
                <w:sz w:val="21"/>
                <w:szCs w:val="21"/>
                <w:highlight w:val="none"/>
                <w:lang w:eastAsia="zh-CN"/>
              </w:rPr>
              <w:t>时</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分</w:t>
            </w:r>
            <w:r>
              <w:rPr>
                <w:rFonts w:hint="eastAsia" w:ascii="仿宋" w:hAnsi="仿宋" w:eastAsia="仿宋" w:cs="仿宋"/>
                <w:sz w:val="21"/>
                <w:szCs w:val="21"/>
                <w:highlight w:val="none"/>
              </w:rPr>
              <w:t>（北京时间）前提交响应文件。</w:t>
            </w:r>
          </w:p>
        </w:tc>
      </w:tr>
    </w:tbl>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一、项目基本情况</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项目编号：</w:t>
      </w:r>
      <w:r>
        <w:rPr>
          <w:rFonts w:hint="eastAsia" w:cs="仿宋"/>
          <w:sz w:val="21"/>
          <w:szCs w:val="21"/>
          <w:highlight w:val="none"/>
          <w:lang w:eastAsia="zh-CN"/>
        </w:rPr>
        <w:t>采购计划-[2024]-00106号-ZYCXZB002</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r>
        <w:rPr>
          <w:rFonts w:hint="eastAsia" w:cs="仿宋"/>
          <w:sz w:val="21"/>
          <w:szCs w:val="21"/>
          <w:highlight w:val="none"/>
          <w:lang w:eastAsia="zh-CN"/>
        </w:rPr>
        <w:t>吉林市第二人民医院洗涤租赁服务项目</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预算金额：</w:t>
      </w:r>
      <w:r>
        <w:rPr>
          <w:rFonts w:hint="eastAsia" w:ascii="仿宋" w:hAnsi="仿宋" w:eastAsia="仿宋" w:cs="仿宋"/>
          <w:sz w:val="21"/>
          <w:szCs w:val="21"/>
          <w:highlight w:val="none"/>
          <w:lang w:val="en-US" w:eastAsia="zh-CN"/>
        </w:rPr>
        <w:t>1</w:t>
      </w:r>
      <w:r>
        <w:rPr>
          <w:rFonts w:hint="eastAsia" w:cs="仿宋"/>
          <w:sz w:val="21"/>
          <w:szCs w:val="21"/>
          <w:highlight w:val="none"/>
          <w:lang w:val="en-US" w:eastAsia="zh-CN"/>
        </w:rPr>
        <w:t>2</w:t>
      </w:r>
      <w:r>
        <w:rPr>
          <w:rFonts w:hint="eastAsia" w:ascii="仿宋" w:hAnsi="仿宋" w:eastAsia="仿宋" w:cs="仿宋"/>
          <w:sz w:val="21"/>
          <w:szCs w:val="21"/>
          <w:highlight w:val="none"/>
          <w:lang w:val="en-US" w:eastAsia="zh-CN"/>
        </w:rPr>
        <w:t>0.00万</w:t>
      </w:r>
      <w:r>
        <w:rPr>
          <w:rFonts w:hint="eastAsia" w:ascii="仿宋" w:hAnsi="仿宋" w:eastAsia="仿宋" w:cs="仿宋"/>
          <w:sz w:val="21"/>
          <w:szCs w:val="21"/>
          <w:highlight w:val="none"/>
        </w:rPr>
        <w:t>元（人民币）</w:t>
      </w:r>
    </w:p>
    <w:p>
      <w:pPr>
        <w:numPr>
          <w:ilvl w:val="0"/>
          <w:numId w:val="4"/>
        </w:numPr>
        <w:bidi w:val="0"/>
        <w:ind w:left="845" w:leftChars="0" w:hanging="425"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采购</w:t>
      </w:r>
      <w:r>
        <w:rPr>
          <w:rFonts w:hint="eastAsia" w:ascii="仿宋" w:hAnsi="仿宋" w:eastAsia="仿宋" w:cs="仿宋"/>
          <w:sz w:val="21"/>
          <w:szCs w:val="21"/>
          <w:highlight w:val="none"/>
          <w:lang w:val="en-US" w:eastAsia="zh-CN"/>
        </w:rPr>
        <w:t>内容</w:t>
      </w:r>
      <w:r>
        <w:rPr>
          <w:rFonts w:hint="eastAsia" w:ascii="仿宋" w:hAnsi="仿宋" w:eastAsia="仿宋" w:cs="仿宋"/>
          <w:sz w:val="21"/>
          <w:szCs w:val="21"/>
          <w:highlight w:val="none"/>
        </w:rPr>
        <w:t>：</w:t>
      </w:r>
      <w:r>
        <w:rPr>
          <w:rFonts w:hint="eastAsia" w:cs="仿宋"/>
          <w:sz w:val="21"/>
          <w:szCs w:val="21"/>
          <w:highlight w:val="none"/>
          <w:lang w:eastAsia="zh-CN"/>
        </w:rPr>
        <w:t>病区的床单、被罩、枕套租赁洗涤。 附加：医院院内窗帘、患者服、工作装、手术衣、敷料的洗涤</w:t>
      </w:r>
      <w:r>
        <w:rPr>
          <w:rFonts w:hint="eastAsia" w:ascii="仿宋" w:hAnsi="仿宋" w:eastAsia="仿宋" w:cs="仿宋"/>
          <w:sz w:val="21"/>
          <w:szCs w:val="21"/>
          <w:highlight w:val="none"/>
        </w:rPr>
        <w:t>（具体详见</w:t>
      </w:r>
      <w:r>
        <w:rPr>
          <w:rFonts w:hint="eastAsia" w:ascii="仿宋" w:hAnsi="仿宋" w:eastAsia="仿宋" w:cs="仿宋"/>
          <w:sz w:val="21"/>
          <w:szCs w:val="21"/>
          <w:highlight w:val="none"/>
          <w:lang w:val="en-US" w:eastAsia="zh-CN"/>
        </w:rPr>
        <w:t>招标文件</w:t>
      </w:r>
      <w:r>
        <w:rPr>
          <w:rFonts w:hint="eastAsia" w:ascii="仿宋" w:hAnsi="仿宋" w:eastAsia="仿宋" w:cs="仿宋"/>
          <w:sz w:val="21"/>
          <w:szCs w:val="21"/>
          <w:highlight w:val="none"/>
        </w:rPr>
        <w:t>）</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cs="仿宋"/>
          <w:sz w:val="21"/>
          <w:szCs w:val="21"/>
          <w:highlight w:val="none"/>
          <w:lang w:val="en-US" w:eastAsia="zh-CN"/>
        </w:rPr>
        <w:t>服务</w:t>
      </w: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eastAsia="zh-CN"/>
        </w:rPr>
        <w:t>采购人指定地点</w:t>
      </w:r>
    </w:p>
    <w:p>
      <w:pPr>
        <w:numPr>
          <w:ilvl w:val="0"/>
          <w:numId w:val="4"/>
        </w:numPr>
        <w:bidi w:val="0"/>
        <w:ind w:left="845" w:leftChars="0" w:hanging="425" w:firstLineChars="0"/>
        <w:rPr>
          <w:rFonts w:hint="eastAsia" w:ascii="仿宋" w:hAnsi="仿宋" w:eastAsia="仿宋" w:cs="仿宋"/>
          <w:sz w:val="21"/>
          <w:szCs w:val="21"/>
          <w:highlight w:val="none"/>
          <w:lang w:eastAsia="zh-CN"/>
        </w:rPr>
      </w:pPr>
      <w:r>
        <w:rPr>
          <w:rFonts w:hint="eastAsia" w:cs="仿宋"/>
          <w:sz w:val="21"/>
          <w:szCs w:val="21"/>
          <w:highlight w:val="none"/>
          <w:lang w:val="en-US" w:eastAsia="zh-CN"/>
        </w:rPr>
        <w:t>服务</w:t>
      </w:r>
      <w:r>
        <w:rPr>
          <w:rFonts w:hint="eastAsia" w:ascii="仿宋" w:hAnsi="仿宋" w:eastAsia="仿宋" w:cs="仿宋"/>
          <w:sz w:val="21"/>
          <w:szCs w:val="21"/>
          <w:highlight w:val="none"/>
          <w:lang w:val="en-US" w:eastAsia="zh-CN"/>
        </w:rPr>
        <w:t>期</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2年(具体时间以签订合同为准)</w:t>
      </w:r>
    </w:p>
    <w:p>
      <w:pPr>
        <w:numPr>
          <w:ilvl w:val="0"/>
          <w:numId w:val="4"/>
        </w:numPr>
        <w:bidi w:val="0"/>
        <w:ind w:left="845" w:leftChars="0" w:hanging="425"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质量标准要求：</w:t>
      </w:r>
      <w:r>
        <w:rPr>
          <w:rFonts w:hint="eastAsia" w:cs="仿宋"/>
          <w:sz w:val="21"/>
          <w:szCs w:val="21"/>
          <w:highlight w:val="none"/>
          <w:lang w:eastAsia="zh-CN"/>
        </w:rPr>
        <w:t>符合国家、行业现行相关标准及采购人合理要求的合格服务</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本项目不接受联合体</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二、申请人资格要求</w:t>
      </w:r>
    </w:p>
    <w:p>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1、满足《中华人民共和国政府采购法》第二十二条规定：</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(2)具有良好的商业信誉和健全的财务会计制度；</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(3)具有履行合同所必需的设备和专业技术能力；</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(4)有依法缴纳税收和社会保障资金的良好记录；</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(5)参加政府采购活动前三年内，在经营活动中没有重大违法记录；</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p>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r>
        <w:rPr>
          <w:rFonts w:hint="eastAsia" w:cs="仿宋"/>
          <w:sz w:val="21"/>
          <w:szCs w:val="21"/>
          <w:highlight w:val="none"/>
          <w:lang w:val="en-US" w:eastAsia="zh-CN"/>
        </w:rPr>
        <w:t>本项目专门面向中小企业采购</w:t>
      </w:r>
      <w:r>
        <w:rPr>
          <w:rFonts w:hint="eastAsia" w:ascii="仿宋" w:hAnsi="仿宋" w:eastAsia="仿宋" w:cs="仿宋"/>
          <w:sz w:val="21"/>
          <w:szCs w:val="21"/>
          <w:highlight w:val="none"/>
          <w:lang w:val="en-US" w:eastAsia="zh-CN"/>
        </w:rPr>
        <w:t>，采购标的对应的中小企业划分标准所属行业为“</w:t>
      </w:r>
      <w:r>
        <w:rPr>
          <w:rFonts w:hint="eastAsia" w:cs="仿宋"/>
          <w:sz w:val="21"/>
          <w:szCs w:val="21"/>
          <w:highlight w:val="none"/>
          <w:lang w:val="en-US" w:eastAsia="zh-CN"/>
        </w:rPr>
        <w:t>其他未列明行业</w:t>
      </w:r>
      <w:r>
        <w:rPr>
          <w:rFonts w:hint="eastAsia" w:ascii="仿宋" w:hAnsi="仿宋" w:eastAsia="仿宋" w:cs="仿宋"/>
          <w:sz w:val="21"/>
          <w:szCs w:val="21"/>
          <w:highlight w:val="none"/>
          <w:lang w:val="en-US" w:eastAsia="zh-CN"/>
        </w:rPr>
        <w:t>”。行业划分标准按《国民经济行业分类》执行。中小企业划分标准按《中小企业划型标准规定》（工信部联企业[2011]300号）文件规定执行；</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（2）《政府采购促进中小企业发展管理办法》（财库[2020]46号） ；</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（3）《关于政府采购支持监狱企业发展有关问题的通知》（财库〔2014〕68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（4）《关于促进残疾人就业政府采购政策的通知》（财库〔2017〕141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（5）《关于环境标志产品政府采购实施的意见》（财库〔2006〕90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（6）《节能产品政府采购实施意见》的通知（财库〔2004〕185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（7）《关于调整优化节能产品、环境标志产品政府采购执行机制的通知》（财库〔2019〕9号）等。</w:t>
      </w:r>
    </w:p>
    <w:p>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3、本项目的特定资格要求： </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投标人须是在中国境内注册具有独立承担民事责任能力的独立法人或其他组织形式，具备有效的营业执照；</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财务要求：应出具近三年（2020年至今）经会计师事务所审计的财务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（投标人的成立时间少于规定年份的，应提供成立以来至2022年的财务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；2023年以后新成立企业需提供近三个月内银行出具的公司资信证明）；</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拒绝被列入政府取消投标资格记录期间的企业或个人投标；</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投标人未被列入“失信被执行人、重大税收违法案件当事人”的记录名单，通过“信用中国”网站（www.creditchina.gov.cn)查询；</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投标人未被列入“政府采购严重违法失信行为记录名单”，通过“中国政府采购网”（www.ccgp.gov.cn）查询；</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投标单位和个人（指法定代表人）未在“中国裁判文书网”（wenshu.court.gov.cn）上有行贿犯罪行为；</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单位负责人为同一人或者存在直接控股、管理关系的不同投标人，不得参加同一合同项目下的政府采购活动，否则，相关投标均无效。</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三、获取</w:t>
      </w:r>
      <w:r>
        <w:rPr>
          <w:rFonts w:hint="eastAsia" w:ascii="仿宋" w:hAnsi="仿宋" w:eastAsia="仿宋" w:cs="仿宋"/>
          <w:b/>
          <w:bCs/>
          <w:sz w:val="21"/>
          <w:szCs w:val="21"/>
          <w:highlight w:val="none"/>
          <w:lang w:eastAsia="zh-CN"/>
        </w:rPr>
        <w:t>招标文件</w:t>
      </w:r>
    </w:p>
    <w:p>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1、时间：202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cs="仿宋"/>
          <w:sz w:val="21"/>
          <w:szCs w:val="21"/>
          <w:highlight w:val="none"/>
          <w:lang w:val="en-US" w:eastAsia="zh-CN"/>
        </w:rPr>
        <w:t>04月01日</w:t>
      </w:r>
      <w:r>
        <w:rPr>
          <w:rFonts w:hint="eastAsia" w:ascii="仿宋" w:hAnsi="仿宋" w:eastAsia="仿宋" w:cs="仿宋"/>
          <w:sz w:val="21"/>
          <w:szCs w:val="21"/>
          <w:highlight w:val="none"/>
        </w:rPr>
        <w:t>至202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cs="仿宋"/>
          <w:sz w:val="21"/>
          <w:szCs w:val="21"/>
          <w:highlight w:val="none"/>
          <w:lang w:val="en-US" w:eastAsia="zh-CN"/>
        </w:rPr>
        <w:t>04月09</w:t>
      </w:r>
      <w:bookmarkStart w:id="135" w:name="_GoBack"/>
      <w:bookmarkEnd w:id="135"/>
      <w:r>
        <w:rPr>
          <w:rFonts w:hint="eastAsia" w:cs="仿宋"/>
          <w:sz w:val="21"/>
          <w:szCs w:val="21"/>
          <w:highlight w:val="none"/>
          <w:lang w:val="en-US" w:eastAsia="zh-CN"/>
        </w:rPr>
        <w:t>日</w:t>
      </w:r>
      <w:r>
        <w:rPr>
          <w:rFonts w:hint="eastAsia" w:ascii="仿宋" w:hAnsi="仿宋" w:eastAsia="仿宋" w:cs="仿宋"/>
          <w:sz w:val="21"/>
          <w:szCs w:val="21"/>
          <w:highlight w:val="none"/>
        </w:rPr>
        <w:t>16:00（北京时间，法定节假日除外）</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2、地点：政府采购云平台https://www.zcygov.cn/</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3、方式：供应商登录政府采购云平台https://www.zcygov.cn/在线申请获取采购文件（进入“项目采购”应用，在获取采购文件菜单中选择项目，申请获取采购文件）</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4、售价：0元</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四、提交响应文件截止时间、开标时间和地点</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1、截止时间（即开标时间）：</w:t>
      </w:r>
      <w:r>
        <w:rPr>
          <w:rFonts w:hint="eastAsia" w:cs="仿宋"/>
          <w:sz w:val="21"/>
          <w:szCs w:val="21"/>
          <w:highlight w:val="none"/>
          <w:lang w:eastAsia="zh-CN"/>
        </w:rPr>
        <w:t>2024年04月22日</w:t>
      </w:r>
      <w:r>
        <w:rPr>
          <w:rFonts w:hint="eastAsia" w:ascii="仿宋" w:hAnsi="仿宋" w:eastAsia="仿宋" w:cs="仿宋"/>
          <w:sz w:val="21"/>
          <w:szCs w:val="21"/>
          <w:highlight w:val="none"/>
          <w:lang w:eastAsia="zh-CN"/>
        </w:rPr>
        <w:t>13时30分</w:t>
      </w:r>
      <w:r>
        <w:rPr>
          <w:rFonts w:hint="eastAsia" w:ascii="仿宋" w:hAnsi="仿宋" w:eastAsia="仿宋" w:cs="仿宋"/>
          <w:sz w:val="21"/>
          <w:szCs w:val="21"/>
          <w:highlight w:val="none"/>
        </w:rPr>
        <w:t>（北京时间）。</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2、地点：在线开标</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3、开标方式：本项目执行电子化招投标（供应商无需到达现场），供应商须通过政府采购云平台（网址：http:// www.zcygov.cn）递交电子版投标文件</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五、公告期限</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自本公告发布之日起5个工作日。</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六、其他补充事宜</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1、供应商在政采云平台注册入库成为正式供应商后，在平台上按《政府采购项目电子交易管理操作指南－供应商》进行投标操作。投标人须办理数字证书方可参加投标。</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2、收到CA锁以后在“政采云”登录界面，点击CA登录-CA驱动下载－下载并安装政采云投标客户端和CA驱动，账号绑定CA后才能进行投标文件制作。</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3、若对项目采购电子交易系统操作有疑问，可登录“政采云”平台，点击右侧咨询小采，获取采小蜜智能服务管家帮助，或拨打政采云服务热线95763获取帮助。</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4、有效投标人不足三家时，招标人另行组织招标。</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5、本次采购公告在“政采云”平台(http：//www.zcygov.cn)、中国政府采购网、中国采购与招标网上同时发布。</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lang w:val="en-US" w:eastAsia="zh-CN"/>
        </w:rPr>
      </w:pPr>
      <w:r>
        <w:rPr>
          <w:rFonts w:hint="eastAsia" w:cs="仿宋"/>
          <w:b/>
          <w:bCs/>
          <w:sz w:val="21"/>
          <w:szCs w:val="21"/>
          <w:highlight w:val="none"/>
          <w:lang w:val="en-US" w:eastAsia="zh-CN"/>
        </w:rPr>
        <w:t>七</w:t>
      </w:r>
      <w:r>
        <w:rPr>
          <w:rFonts w:hint="eastAsia" w:ascii="仿宋" w:hAnsi="仿宋" w:eastAsia="仿宋" w:cs="仿宋"/>
          <w:b/>
          <w:bCs/>
          <w:sz w:val="21"/>
          <w:szCs w:val="21"/>
          <w:highlight w:val="none"/>
          <w:lang w:val="en-US" w:eastAsia="zh-CN"/>
        </w:rPr>
        <w:t>、对本次招标提出询问，请按以下方式联系</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1、采购人信息</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名称：吉林市第二人民医院</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w:t>
      </w:r>
      <w:r>
        <w:rPr>
          <w:rFonts w:hint="eastAsia" w:cs="仿宋"/>
          <w:sz w:val="21"/>
          <w:szCs w:val="21"/>
          <w:highlight w:val="none"/>
          <w:lang w:val="en-US" w:eastAsia="zh-CN"/>
        </w:rPr>
        <w:t>吉林市昌邑区通江街765号</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联系方式：黄国明 0432-62752586</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2、采购代理机构信息</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  称：中屹宬信建设集团有限公司</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  址：吉林省吉林市船营区雾凇中路中凯家博汇37号楼15层</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联 系 人：杨光普 </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联系方式：0432-</w:t>
      </w:r>
      <w:r>
        <w:rPr>
          <w:rFonts w:hint="eastAsia" w:cs="仿宋"/>
          <w:sz w:val="21"/>
          <w:szCs w:val="21"/>
          <w:highlight w:val="none"/>
          <w:lang w:val="en-US" w:eastAsia="zh-CN"/>
        </w:rPr>
        <w:t>63360157</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3、项目联系方式</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项目联系人：杨光普</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电   话：0432-</w:t>
      </w:r>
      <w:r>
        <w:rPr>
          <w:rFonts w:hint="eastAsia" w:cs="仿宋"/>
          <w:sz w:val="21"/>
          <w:szCs w:val="21"/>
          <w:highlight w:val="none"/>
          <w:lang w:val="en-US" w:eastAsia="zh-CN"/>
        </w:rPr>
        <w:t>63360157</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4、监督部门：吉林市政府采购管理工作办公室</w:t>
      </w:r>
    </w:p>
    <w:p>
      <w:pPr>
        <w:pStyle w:val="3"/>
        <w:bidi w:val="0"/>
        <w:rPr>
          <w:rStyle w:val="44"/>
          <w:rFonts w:hint="eastAsia"/>
          <w:b/>
          <w:bCs/>
          <w:color w:val="auto"/>
          <w:highlight w:val="none"/>
          <w:lang w:val="en-US" w:eastAsia="zh-CN"/>
        </w:rPr>
      </w:pPr>
      <w:r>
        <w:rPr>
          <w:rFonts w:hint="eastAsia" w:ascii="仿宋" w:hAnsi="仿宋" w:eastAsia="仿宋" w:cs="仿宋"/>
          <w:color w:val="auto"/>
          <w:sz w:val="24"/>
          <w:szCs w:val="24"/>
          <w:highlight w:val="none"/>
          <w:shd w:val="clear" w:fill="FFFFFF"/>
          <w:lang w:val="zh-CN" w:eastAsia="zh-CN"/>
        </w:rPr>
        <w:br w:type="page"/>
      </w:r>
      <w:bookmarkStart w:id="20" w:name="_Toc6471"/>
      <w:r>
        <w:rPr>
          <w:rStyle w:val="44"/>
          <w:rFonts w:hint="eastAsia"/>
          <w:b/>
          <w:bCs/>
          <w:color w:val="auto"/>
          <w:highlight w:val="none"/>
          <w:lang w:val="en-US" w:eastAsia="zh-CN"/>
        </w:rPr>
        <w:t>第二章 投标人须知</w:t>
      </w:r>
      <w:bookmarkEnd w:id="20"/>
    </w:p>
    <w:p>
      <w:pPr>
        <w:pStyle w:val="4"/>
        <w:numPr>
          <w:ilvl w:val="0"/>
          <w:numId w:val="0"/>
        </w:numPr>
        <w:ind w:leftChars="0"/>
        <w:jc w:val="center"/>
        <w:rPr>
          <w:rFonts w:hint="eastAsia" w:ascii="仿宋" w:hAnsi="仿宋" w:eastAsia="仿宋" w:cs="仿宋"/>
          <w:b/>
          <w:bCs w:val="0"/>
          <w:color w:val="auto"/>
          <w:highlight w:val="none"/>
        </w:rPr>
      </w:pPr>
      <w:bookmarkStart w:id="21" w:name="_Toc52181462"/>
      <w:bookmarkStart w:id="22" w:name="_Toc2590"/>
      <w:r>
        <w:rPr>
          <w:rFonts w:hint="eastAsia" w:ascii="仿宋" w:hAnsi="仿宋" w:eastAsia="仿宋" w:cs="仿宋"/>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19"/>
        <w:tblW w:w="8325" w:type="dxa"/>
        <w:tblInd w:w="96" w:type="dxa"/>
        <w:tblLayout w:type="fixed"/>
        <w:tblCellMar>
          <w:top w:w="0" w:type="dxa"/>
          <w:left w:w="108" w:type="dxa"/>
          <w:bottom w:w="0" w:type="dxa"/>
          <w:right w:w="108" w:type="dxa"/>
        </w:tblCellMar>
      </w:tblPr>
      <w:tblGrid>
        <w:gridCol w:w="1154"/>
        <w:gridCol w:w="1835"/>
        <w:gridCol w:w="5336"/>
      </w:tblGrid>
      <w:tr>
        <w:trPr>
          <w:trHeight w:val="45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条款号</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条  款  名  称</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编  列  内  容</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招标人</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名称：吉林市第二人民医院</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w:t>
            </w:r>
            <w:r>
              <w:rPr>
                <w:rFonts w:hint="eastAsia" w:cs="仿宋"/>
                <w:sz w:val="21"/>
                <w:szCs w:val="21"/>
                <w:highlight w:val="none"/>
                <w:lang w:val="en-US" w:eastAsia="zh-CN"/>
              </w:rPr>
              <w:t>吉林市昌邑区通江街765号</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联系方式：黄国明 0432-62752586</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招标代理机构</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  称：中屹宬信建设集团有限公司</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  址：吉林省吉林市船营区雾凇中路中凯家博汇37号楼15层</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联 系 人：杨光普 </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联系方式：0432-63360157</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1.1.4</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cs="仿宋"/>
                <w:sz w:val="21"/>
                <w:szCs w:val="21"/>
                <w:highlight w:val="none"/>
                <w:lang w:eastAsia="zh-CN"/>
              </w:rPr>
              <w:t>吉林市第二人民医院洗涤租赁服务项目</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1.1.5</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地点</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采购人指定地点</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资金来源及比例</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财政资金   100%</w:t>
            </w:r>
          </w:p>
        </w:tc>
      </w:tr>
      <w:tr>
        <w:tblPrEx>
          <w:tblCellMar>
            <w:top w:w="0" w:type="dxa"/>
            <w:left w:w="108" w:type="dxa"/>
            <w:bottom w:w="0" w:type="dxa"/>
            <w:right w:w="108" w:type="dxa"/>
          </w:tblCellMar>
        </w:tblPrEx>
        <w:trPr>
          <w:trHeight w:val="429"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资金落实情况</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已落实</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招标范围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eastAsia="zh-CN"/>
              </w:rPr>
              <w:t>病区的床单、被罩、枕套租赁洗涤。 附加：医院院内窗帘、患者服、工作装、手术衣、敷料的洗涤</w:t>
            </w:r>
            <w:r>
              <w:rPr>
                <w:rFonts w:hint="eastAsia" w:ascii="仿宋" w:hAnsi="仿宋" w:eastAsia="仿宋" w:cs="仿宋"/>
                <w:sz w:val="21"/>
                <w:szCs w:val="21"/>
                <w:highlight w:val="none"/>
                <w:lang w:val="en-US" w:eastAsia="zh-CN"/>
              </w:rPr>
              <w:t>（具体详见招标文件）</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cs="仿宋"/>
                <w:sz w:val="21"/>
                <w:szCs w:val="21"/>
                <w:highlight w:val="none"/>
                <w:lang w:val="en-US" w:eastAsia="zh-CN"/>
              </w:rPr>
              <w:t>服务期</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2年(具体时间以签订合同为准)</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质量要求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eastAsia="zh-CN"/>
              </w:rPr>
              <w:t>符合国家、行业现行相关标准及采购人合理要求的合格服务</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投标人资质条件、能力</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(1)投标人须是在中国境内注册具有独立承担民事责任能力的独立法人或其他组织形式，具备有效的营业执照；</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(2)财务要求：应出具近三年（2020年至今）经会计师事务所审计的财务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lang w:eastAsia="zh-CN"/>
              </w:rPr>
              <w:t>（投标人的成立时间少于规定年份的，应提供成立以来至2022年的财务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lang w:eastAsia="zh-CN"/>
              </w:rPr>
              <w:t>；2023年以后新成立企业需提供近三个月内银行出具的公司资信证明）；</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(4)拒绝被列入政府取消投标资格记录期间的企业或个人投标；</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(5)投标人未被列入“失信被执行人、重大税收违法案件当事人”的记录名单，通过“信用中国”网站（www.creditchina.gov.cn)查询；</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(6)投标人未被列入“政府采购严重违法失信行为记录名单”，通过“中国政府采购网”（www.ccgp.gov.cn）查询；</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(7)投标单位和个人（指法定代表人）未在“中国裁判文书网”（wenshu.court.gov.cn）上有行贿犯罪行为；</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(8)单位负责人为同一人或者存在直接控股、管理关系的不同投标人，不得参加同一合同项目下的政府采购活动，否则，相关投标均无效。</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是否接受联合体投标</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不接受</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1.10.2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投标人提出问题的截止时间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fldChar w:fldCharType="begin"/>
            </w:r>
            <w:r>
              <w:rPr>
                <w:rFonts w:hint="eastAsia" w:ascii="仿宋" w:hAnsi="仿宋" w:eastAsia="仿宋" w:cs="仿宋"/>
                <w:sz w:val="21"/>
                <w:szCs w:val="21"/>
                <w:highlight w:val="none"/>
                <w:lang w:eastAsia="zh-CN"/>
              </w:rPr>
              <w:instrText xml:space="preserve"> HYPERLINK "mailto:投标人应在开标15日前将疑问电子版文件传至采购代理机构邮箱（125529446@qq.com）" </w:instrText>
            </w:r>
            <w:r>
              <w:rPr>
                <w:rFonts w:hint="eastAsia" w:ascii="仿宋" w:hAnsi="仿宋" w:eastAsia="仿宋" w:cs="仿宋"/>
                <w:sz w:val="21"/>
                <w:szCs w:val="21"/>
                <w:highlight w:val="none"/>
                <w:lang w:eastAsia="zh-CN"/>
              </w:rPr>
              <w:fldChar w:fldCharType="separate"/>
            </w:r>
            <w:r>
              <w:rPr>
                <w:rStyle w:val="30"/>
                <w:rFonts w:hint="eastAsia" w:ascii="仿宋" w:hAnsi="仿宋" w:eastAsia="仿宋" w:cs="仿宋"/>
                <w:color w:val="auto"/>
                <w:sz w:val="21"/>
                <w:szCs w:val="21"/>
                <w:highlight w:val="none"/>
                <w:lang w:eastAsia="zh-CN"/>
              </w:rPr>
              <w:t>投标人应在开标</w:t>
            </w:r>
            <w:r>
              <w:rPr>
                <w:rStyle w:val="30"/>
                <w:rFonts w:hint="eastAsia" w:ascii="仿宋" w:hAnsi="仿宋" w:eastAsia="仿宋" w:cs="仿宋"/>
                <w:color w:val="auto"/>
                <w:sz w:val="21"/>
                <w:szCs w:val="21"/>
                <w:highlight w:val="none"/>
                <w:lang w:val="en-US" w:eastAsia="zh-CN"/>
              </w:rPr>
              <w:t>5</w:t>
            </w:r>
            <w:r>
              <w:rPr>
                <w:rStyle w:val="30"/>
                <w:rFonts w:hint="eastAsia" w:ascii="仿宋" w:hAnsi="仿宋" w:eastAsia="仿宋" w:cs="仿宋"/>
                <w:color w:val="auto"/>
                <w:sz w:val="21"/>
                <w:szCs w:val="21"/>
                <w:highlight w:val="none"/>
                <w:lang w:eastAsia="zh-CN"/>
              </w:rPr>
              <w:t>日前将疑问电子版文件传至采购代理机构邮箱（</w:t>
            </w:r>
            <w:r>
              <w:rPr>
                <w:rStyle w:val="30"/>
                <w:rFonts w:hint="eastAsia" w:ascii="仿宋" w:hAnsi="仿宋" w:eastAsia="仿宋" w:cs="仿宋"/>
                <w:color w:val="auto"/>
                <w:sz w:val="21"/>
                <w:szCs w:val="21"/>
                <w:highlight w:val="none"/>
                <w:lang w:val="en-US" w:eastAsia="zh-CN"/>
              </w:rPr>
              <w:t>zhaobiaobu@jlzycx.com</w:t>
            </w:r>
            <w:r>
              <w:rPr>
                <w:rStyle w:val="30"/>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lang w:eastAsia="zh-CN"/>
              </w:rPr>
              <w:fldChar w:fldCharType="end"/>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注：相关疑问按上述要求递交外，还应按</w:t>
            </w:r>
            <w:r>
              <w:rPr>
                <w:rFonts w:hint="eastAsia" w:ascii="仿宋" w:hAnsi="仿宋" w:eastAsia="仿宋" w:cs="仿宋"/>
                <w:sz w:val="21"/>
                <w:szCs w:val="21"/>
                <w:highlight w:val="none"/>
                <w:lang w:val="zh-CN" w:eastAsia="zh-CN"/>
              </w:rPr>
              <w:t>政府采购云平台电子标要求在政府采购云平台提出</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1.10.3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招标人书面澄清的时间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在收到相应文件后24小时内</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偏离</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不允许</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□允许</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构成</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的其他材料</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2.2.1</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投标人要求澄清</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时间：递交投标文件截止之日前</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天</w:t>
            </w:r>
          </w:p>
        </w:tc>
      </w:tr>
      <w:tr>
        <w:tblPrEx>
          <w:tblCellMar>
            <w:top w:w="0" w:type="dxa"/>
            <w:left w:w="108" w:type="dxa"/>
            <w:bottom w:w="0" w:type="dxa"/>
            <w:right w:w="108" w:type="dxa"/>
          </w:tblCellMar>
        </w:tblPrEx>
        <w:trPr>
          <w:trHeight w:val="454" w:hRule="atLeast"/>
        </w:trPr>
        <w:tc>
          <w:tcPr>
            <w:tcW w:w="1154" w:type="dxa"/>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2.2.3</w:t>
            </w:r>
          </w:p>
        </w:tc>
        <w:tc>
          <w:tcPr>
            <w:tcW w:w="1835" w:type="dxa"/>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投标人确认收到</w:t>
            </w:r>
          </w:p>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招标文件澄清</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时间：收到澄清后24小时内（以发出时间为准）。</w:t>
            </w:r>
          </w:p>
        </w:tc>
      </w:tr>
      <w:tr>
        <w:tblPrEx>
          <w:tblCellMar>
            <w:top w:w="0" w:type="dxa"/>
            <w:left w:w="108" w:type="dxa"/>
            <w:bottom w:w="0" w:type="dxa"/>
            <w:right w:w="108" w:type="dxa"/>
          </w:tblCellMar>
        </w:tblPrEx>
        <w:trPr>
          <w:trHeight w:val="454" w:hRule="atLeast"/>
        </w:trPr>
        <w:tc>
          <w:tcPr>
            <w:tcW w:w="1154" w:type="dxa"/>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p>
        </w:tc>
        <w:tc>
          <w:tcPr>
            <w:tcW w:w="1835" w:type="dxa"/>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形式：将收到澄清的答疑文件以确认函形式发送至</w:t>
            </w:r>
            <w:r>
              <w:rPr>
                <w:rFonts w:hint="eastAsia" w:ascii="仿宋" w:hAnsi="仿宋" w:eastAsia="仿宋" w:cs="仿宋"/>
                <w:sz w:val="21"/>
                <w:szCs w:val="21"/>
                <w:highlight w:val="none"/>
                <w:lang w:val="en-US" w:eastAsia="zh-CN"/>
              </w:rPr>
              <w:t>zhaobiaobu@jlzycx.com</w:t>
            </w:r>
            <w:r>
              <w:rPr>
                <w:rFonts w:hint="eastAsia" w:ascii="仿宋" w:hAnsi="仿宋" w:eastAsia="仿宋" w:cs="仿宋"/>
                <w:sz w:val="21"/>
                <w:szCs w:val="21"/>
                <w:highlight w:val="none"/>
                <w:lang w:val="zh-CN"/>
              </w:rPr>
              <w:t>。</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2.3.2</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投标人确认收到</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修改的时间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在收到相应澄清文件后24小时内</w:t>
            </w:r>
          </w:p>
        </w:tc>
      </w:tr>
      <w:tr>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构成投标文件的其他材料</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ind w:firstLine="0"/>
              <w:rPr>
                <w:rFonts w:hint="eastAsia" w:ascii="仿宋" w:hAnsi="仿宋" w:eastAsia="仿宋" w:cs="仿宋"/>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sz w:val="21"/>
                <w:szCs w:val="21"/>
                <w:highlight w:val="none"/>
                <w:lang w:val="en-US" w:eastAsia="zh-CN"/>
              </w:rPr>
              <w:t>下列资质证明文件扫描件随投标文件同时上传</w:t>
            </w:r>
            <w:r>
              <w:rPr>
                <w:rFonts w:hint="eastAsia" w:ascii="仿宋" w:hAnsi="仿宋" w:eastAsia="仿宋" w:cs="仿宋"/>
                <w:sz w:val="21"/>
                <w:szCs w:val="21"/>
                <w:highlight w:val="none"/>
              </w:rPr>
              <w:t xml:space="preserve">： </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企业营业执照副本或事业单位法人证书；</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缴纳投标保证金凭证；</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近年（</w:t>
            </w:r>
            <w:r>
              <w:rPr>
                <w:rFonts w:hint="eastAsia" w:ascii="仿宋" w:hAnsi="仿宋" w:eastAsia="仿宋" w:cs="仿宋"/>
                <w:sz w:val="21"/>
                <w:szCs w:val="21"/>
                <w:highlight w:val="none"/>
                <w:lang w:val="en-US" w:eastAsia="zh-CN"/>
              </w:rPr>
              <w:t>202</w:t>
            </w:r>
            <w:r>
              <w:rPr>
                <w:rFonts w:hint="eastAsia" w:cs="仿宋"/>
                <w:sz w:val="21"/>
                <w:szCs w:val="21"/>
                <w:highlight w:val="none"/>
                <w:lang w:val="en-US" w:eastAsia="zh-CN"/>
              </w:rPr>
              <w:t>1</w:t>
            </w:r>
            <w:r>
              <w:rPr>
                <w:rFonts w:hint="eastAsia" w:ascii="仿宋" w:hAnsi="仿宋" w:eastAsia="仿宋" w:cs="仿宋"/>
                <w:sz w:val="21"/>
                <w:szCs w:val="21"/>
                <w:highlight w:val="none"/>
              </w:rPr>
              <w:t>年至</w:t>
            </w:r>
            <w:r>
              <w:rPr>
                <w:rFonts w:hint="eastAsia" w:ascii="仿宋" w:hAnsi="仿宋" w:eastAsia="仿宋" w:cs="仿宋"/>
                <w:sz w:val="21"/>
                <w:szCs w:val="21"/>
                <w:highlight w:val="none"/>
                <w:lang w:val="en-US" w:eastAsia="zh-CN"/>
              </w:rPr>
              <w:t>今</w:t>
            </w:r>
            <w:r>
              <w:rPr>
                <w:rFonts w:hint="eastAsia" w:ascii="仿宋" w:hAnsi="仿宋" w:eastAsia="仿宋" w:cs="仿宋"/>
                <w:sz w:val="21"/>
                <w:szCs w:val="21"/>
                <w:highlight w:val="none"/>
              </w:rPr>
              <w:t>）类似项目业绩证明材料（合同</w:t>
            </w:r>
            <w:r>
              <w:rPr>
                <w:rFonts w:hint="eastAsia" w:cs="仿宋"/>
                <w:sz w:val="21"/>
                <w:szCs w:val="21"/>
                <w:highlight w:val="none"/>
                <w:lang w:val="en-US" w:eastAsia="zh-CN"/>
              </w:rPr>
              <w:t>和</w:t>
            </w:r>
            <w:r>
              <w:rPr>
                <w:rFonts w:hint="eastAsia" w:ascii="仿宋" w:hAnsi="仿宋" w:eastAsia="仿宋" w:cs="仿宋"/>
                <w:sz w:val="21"/>
                <w:szCs w:val="21"/>
                <w:highlight w:val="none"/>
              </w:rPr>
              <w:t>中标通知书）；</w:t>
            </w:r>
          </w:p>
          <w:p>
            <w:pPr>
              <w:numPr>
                <w:ilvl w:val="0"/>
                <w:numId w:val="6"/>
              </w:numPr>
              <w:bidi w:val="0"/>
              <w:spacing w:line="240" w:lineRule="auto"/>
              <w:ind w:left="425" w:leftChars="0" w:hanging="425"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近三年（2020年至今）经会计师事务所审计的财务</w:t>
            </w:r>
            <w:r>
              <w:rPr>
                <w:rFonts w:hint="eastAsia" w:cs="仿宋"/>
                <w:sz w:val="21"/>
                <w:szCs w:val="21"/>
                <w:highlight w:val="none"/>
                <w:lang w:val="en-US" w:eastAsia="zh-CN"/>
              </w:rPr>
              <w:t>审计报告或财务报表</w:t>
            </w:r>
            <w:r>
              <w:rPr>
                <w:rFonts w:hint="eastAsia" w:ascii="仿宋" w:hAnsi="仿宋" w:eastAsia="仿宋" w:cs="仿宋"/>
                <w:sz w:val="21"/>
                <w:szCs w:val="21"/>
                <w:highlight w:val="none"/>
                <w:lang w:val="en-US" w:eastAsia="zh-CN"/>
              </w:rPr>
              <w:t>（投标人的成立时间少于规定年份的，应提供成立以来至2022年的财务</w:t>
            </w:r>
            <w:r>
              <w:rPr>
                <w:rFonts w:hint="eastAsia" w:cs="仿宋"/>
                <w:sz w:val="21"/>
                <w:szCs w:val="21"/>
                <w:highlight w:val="none"/>
                <w:lang w:val="en-US" w:eastAsia="zh-CN"/>
              </w:rPr>
              <w:t>审计报告或财务报表</w:t>
            </w:r>
            <w:r>
              <w:rPr>
                <w:rFonts w:hint="eastAsia" w:ascii="仿宋" w:hAnsi="仿宋" w:eastAsia="仿宋" w:cs="仿宋"/>
                <w:sz w:val="21"/>
                <w:szCs w:val="21"/>
                <w:highlight w:val="none"/>
                <w:lang w:val="en-US" w:eastAsia="zh-CN"/>
              </w:rPr>
              <w:t>；2023年以后新成立企业需提供近三个月内银行出具的公司资信证明）</w:t>
            </w:r>
            <w:r>
              <w:rPr>
                <w:rFonts w:hint="eastAsia" w:cs="仿宋"/>
                <w:sz w:val="21"/>
                <w:szCs w:val="21"/>
                <w:highlight w:val="none"/>
                <w:lang w:val="en-US" w:eastAsia="zh-CN"/>
              </w:rPr>
              <w:t>;</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r>
              <w:rPr>
                <w:rFonts w:hint="eastAsia" w:cs="仿宋"/>
                <w:sz w:val="21"/>
                <w:szCs w:val="21"/>
                <w:highlight w:val="none"/>
                <w:lang w:val="en-US" w:eastAsia="zh-CN"/>
              </w:rPr>
              <w:t>;</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投标人如为独立法人参加政府采购活动前三年内，在“信用中国”网站（www.creditchina.gov.cn）无任何不良信用记录，须提供查询截图证明；</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投标人须在中国裁判文书网（http://wenshu.court.gov.cn/）自行查询本公司行贿犯罪记录，且提供查询页面截图并加盖公章作为无行贿犯罪记录证明；</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要求的其他证明材料。</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上述证件应在投标文件其他材料中上传</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3.2.</w:t>
            </w:r>
            <w:r>
              <w:rPr>
                <w:rFonts w:hint="eastAsia" w:ascii="仿宋" w:hAnsi="仿宋" w:eastAsia="仿宋" w:cs="仿宋"/>
                <w:sz w:val="21"/>
                <w:szCs w:val="21"/>
                <w:highlight w:val="none"/>
                <w:lang w:val="en-US" w:eastAsia="zh-CN"/>
              </w:rPr>
              <w:t>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最高投标限价</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预算金额</w:t>
            </w:r>
            <w:r>
              <w:rPr>
                <w:rFonts w:hint="eastAsia" w:ascii="仿宋" w:hAnsi="仿宋" w:eastAsia="仿宋" w:cs="仿宋"/>
                <w:sz w:val="21"/>
                <w:szCs w:val="21"/>
                <w:highlight w:val="none"/>
              </w:rPr>
              <w:t>：</w:t>
            </w:r>
            <w:r>
              <w:rPr>
                <w:rFonts w:hint="eastAsia" w:cs="仿宋"/>
                <w:sz w:val="21"/>
                <w:szCs w:val="21"/>
                <w:highlight w:val="none"/>
                <w:lang w:eastAsia="zh-CN"/>
              </w:rPr>
              <w:t>120.00万元</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最高限价：120.00万元</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（投标总价不能超过项目预算金额，否则在评审中应当认定其投标无效，视为废标）</w:t>
            </w:r>
            <w:r>
              <w:rPr>
                <w:rFonts w:hint="eastAsia" w:ascii="仿宋" w:hAnsi="仿宋" w:eastAsia="仿宋" w:cs="仿宋"/>
                <w:sz w:val="21"/>
                <w:szCs w:val="21"/>
                <w:highlight w:val="none"/>
                <w:lang w:eastAsia="zh-CN"/>
              </w:rPr>
              <w:t>。</w:t>
            </w:r>
          </w:p>
        </w:tc>
      </w:tr>
      <w:tr>
        <w:tblPrEx>
          <w:tblCellMar>
            <w:top w:w="0" w:type="dxa"/>
            <w:left w:w="108" w:type="dxa"/>
            <w:bottom w:w="0" w:type="dxa"/>
            <w:right w:w="108" w:type="dxa"/>
          </w:tblCellMar>
        </w:tblPrEx>
        <w:trPr>
          <w:trHeight w:val="22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投标有效期</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90天</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3.4.1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□不要求递交投标保证金</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要求递交投标保证金</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投标保证金的金额：</w:t>
            </w:r>
            <w:r>
              <w:rPr>
                <w:rFonts w:hint="eastAsia" w:cs="仿宋"/>
                <w:sz w:val="21"/>
                <w:szCs w:val="21"/>
                <w:highlight w:val="none"/>
                <w:lang w:val="en-US" w:eastAsia="zh-CN"/>
              </w:rPr>
              <w:t>1.20</w:t>
            </w:r>
            <w:r>
              <w:rPr>
                <w:rFonts w:hint="eastAsia" w:ascii="仿宋" w:hAnsi="仿宋" w:eastAsia="仿宋" w:cs="仿宋"/>
                <w:sz w:val="21"/>
                <w:szCs w:val="21"/>
                <w:highlight w:val="none"/>
                <w:lang w:val="en-US" w:eastAsia="zh-CN"/>
              </w:rPr>
              <w:t>万元，</w:t>
            </w:r>
            <w:r>
              <w:rPr>
                <w:rFonts w:hint="eastAsia" w:ascii="仿宋" w:hAnsi="仿宋" w:eastAsia="仿宋" w:cs="仿宋"/>
                <w:sz w:val="21"/>
                <w:szCs w:val="21"/>
                <w:highlight w:val="none"/>
              </w:rPr>
              <w:t>投标文件保证金的形式：</w:t>
            </w:r>
            <w:bookmarkStart w:id="23" w:name="EB8f897a1931a64a5d88e4d10dd9b71d7c"/>
            <w:r>
              <w:rPr>
                <w:rFonts w:hint="eastAsia" w:ascii="仿宋" w:hAnsi="仿宋" w:eastAsia="仿宋" w:cs="仿宋"/>
                <w:sz w:val="21"/>
                <w:szCs w:val="21"/>
                <w:highlight w:val="none"/>
                <w:lang w:val="en-US" w:eastAsia="zh-CN"/>
              </w:rPr>
              <w:t>其形式包括</w:t>
            </w:r>
            <w:bookmarkEnd w:id="23"/>
            <w:r>
              <w:rPr>
                <w:rFonts w:hint="eastAsia" w:cs="仿宋"/>
                <w:sz w:val="21"/>
                <w:szCs w:val="21"/>
                <w:highlight w:val="none"/>
                <w:lang w:val="en-US" w:eastAsia="zh-CN"/>
              </w:rPr>
              <w:t>银行转账、</w:t>
            </w:r>
            <w:r>
              <w:rPr>
                <w:rFonts w:hint="eastAsia" w:ascii="仿宋" w:hAnsi="仿宋" w:eastAsia="仿宋" w:cs="仿宋"/>
                <w:sz w:val="21"/>
                <w:szCs w:val="21"/>
                <w:highlight w:val="none"/>
                <w:lang w:val="en-US" w:eastAsia="zh-CN"/>
              </w:rPr>
              <w:t>银行保函或者担保公司保函</w:t>
            </w:r>
            <w:r>
              <w:rPr>
                <w:rFonts w:hint="eastAsia" w:ascii="仿宋" w:hAnsi="仿宋" w:eastAsia="仿宋" w:cs="仿宋"/>
                <w:sz w:val="21"/>
                <w:szCs w:val="21"/>
                <w:highlight w:val="none"/>
                <w:lang w:val="zh-CN"/>
              </w:rPr>
              <w:t>；</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账户名称:中屹宬信建设集团有限公司</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账    号:1620 4711 1388</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开 户 行:中国银行吉林市分行</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 xml:space="preserve">联系人：林铭锐 </w:t>
            </w:r>
          </w:p>
          <w:p>
            <w:pPr>
              <w:bidi w:val="0"/>
              <w:spacing w:line="240" w:lineRule="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联系电话：0432-6336015</w:t>
            </w:r>
            <w:r>
              <w:rPr>
                <w:rFonts w:hint="eastAsia" w:ascii="仿宋" w:hAnsi="仿宋" w:eastAsia="仿宋" w:cs="仿宋"/>
                <w:sz w:val="21"/>
                <w:szCs w:val="21"/>
                <w:highlight w:val="none"/>
                <w:lang w:val="en-US" w:eastAsia="zh-CN"/>
              </w:rPr>
              <w:t>2</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投标保证金提交时间：投标保证金须在投标截止时间1日前完成交纳，如开标前一天遇有公休日或法定节假日,应在公休日、法定节假日前一天交付到账。</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1.投标单位应在汇款时认真核对收款单位、开户行名称、账号准确无误，确保保证金按时到账，否则后果自负。</w:t>
            </w:r>
          </w:p>
          <w:p>
            <w:pPr>
              <w:bidi w:val="0"/>
              <w:spacing w:line="240" w:lineRule="auto"/>
              <w:rPr>
                <w:rFonts w:hint="default" w:ascii="仿宋" w:hAnsi="仿宋" w:eastAsia="仿宋" w:cs="仿宋"/>
                <w:sz w:val="21"/>
                <w:szCs w:val="21"/>
                <w:highlight w:val="none"/>
                <w:lang w:val="en-US"/>
              </w:rPr>
            </w:pPr>
            <w:r>
              <w:rPr>
                <w:rFonts w:hint="eastAsia" w:cs="仿宋"/>
                <w:sz w:val="21"/>
                <w:szCs w:val="21"/>
                <w:highlight w:val="none"/>
                <w:lang w:val="en-US" w:eastAsia="zh-CN"/>
              </w:rPr>
              <w:t>2.</w:t>
            </w:r>
            <w:r>
              <w:rPr>
                <w:rFonts w:hint="eastAsia" w:ascii="仿宋" w:hAnsi="仿宋" w:eastAsia="仿宋" w:cs="仿宋"/>
                <w:sz w:val="21"/>
                <w:szCs w:val="21"/>
                <w:highlight w:val="none"/>
                <w:lang w:val="en-US" w:eastAsia="zh-CN"/>
              </w:rPr>
              <w:t>递交保函(所有形式的保函</w:t>
            </w:r>
            <w:r>
              <w:rPr>
                <w:rFonts w:hint="eastAsia" w:cs="仿宋"/>
                <w:sz w:val="21"/>
                <w:szCs w:val="21"/>
                <w:highlight w:val="none"/>
                <w:lang w:val="en-US" w:eastAsia="zh-CN"/>
              </w:rPr>
              <w:t>,需支持网查</w:t>
            </w:r>
            <w:r>
              <w:rPr>
                <w:rFonts w:hint="eastAsia" w:ascii="仿宋" w:hAnsi="仿宋" w:eastAsia="仿宋" w:cs="仿宋"/>
                <w:sz w:val="21"/>
                <w:szCs w:val="21"/>
                <w:highlight w:val="none"/>
                <w:lang w:val="en-US" w:eastAsia="zh-CN"/>
              </w:rPr>
              <w:t>)的投标单位，须在保证金递交截止日期前，将扫描件发送至zhaobiaobu@jlzycx.com）</w:t>
            </w:r>
            <w:r>
              <w:rPr>
                <w:rFonts w:hint="eastAsia" w:cs="仿宋"/>
                <w:sz w:val="21"/>
                <w:szCs w:val="21"/>
                <w:highlight w:val="none"/>
                <w:lang w:val="en-US" w:eastAsia="zh-CN"/>
              </w:rPr>
              <w:t>验证</w:t>
            </w:r>
          </w:p>
        </w:tc>
      </w:tr>
      <w:tr>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3.4.2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其他可以不予退还投标保证金的情形</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投标人在投标过程中借用他人资质，互相串通、结盟，伪造虚假业绩、人员、财务、履约情况等，或违反国家有关规定，损害招标的公正性和竞争性进行投标者。</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近年财务状况的年份要求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default" w:ascii="仿宋" w:hAnsi="仿宋" w:eastAsia="仿宋" w:cs="仿宋"/>
                <w:sz w:val="21"/>
                <w:szCs w:val="21"/>
                <w:highlight w:val="none"/>
                <w:lang w:val="en-US"/>
              </w:rPr>
            </w:pPr>
            <w:bookmarkStart w:id="24" w:name="EB718167d6cb014d2b8536538e5b2a907f"/>
            <w:r>
              <w:rPr>
                <w:rFonts w:hint="eastAsia" w:ascii="仿宋" w:hAnsi="仿宋" w:eastAsia="仿宋" w:cs="仿宋"/>
                <w:sz w:val="21"/>
                <w:szCs w:val="21"/>
                <w:highlight w:val="none"/>
              </w:rPr>
              <w:t>3</w:t>
            </w:r>
            <w:bookmarkEnd w:id="24"/>
            <w:r>
              <w:rPr>
                <w:rFonts w:hint="eastAsia" w:ascii="仿宋" w:hAnsi="仿宋" w:eastAsia="仿宋" w:cs="仿宋"/>
                <w:sz w:val="21"/>
                <w:szCs w:val="21"/>
                <w:highlight w:val="none"/>
              </w:rPr>
              <w:t>年，指</w:t>
            </w:r>
            <w:bookmarkStart w:id="25" w:name="EB0da7e08d261c440fbb71475207a7ef17"/>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20</w:t>
            </w:r>
            <w:bookmarkEnd w:id="25"/>
            <w:r>
              <w:rPr>
                <w:rFonts w:hint="eastAsia" w:cs="仿宋"/>
                <w:sz w:val="21"/>
                <w:szCs w:val="21"/>
                <w:highlight w:val="none"/>
                <w:lang w:val="en-US" w:eastAsia="zh-CN"/>
              </w:rPr>
              <w:t>年</w:t>
            </w:r>
            <w:r>
              <w:rPr>
                <w:rFonts w:hint="eastAsia" w:ascii="仿宋" w:hAnsi="仿宋" w:eastAsia="仿宋" w:cs="仿宋"/>
                <w:sz w:val="21"/>
                <w:szCs w:val="21"/>
                <w:highlight w:val="none"/>
              </w:rPr>
              <w:t>至</w:t>
            </w:r>
            <w:bookmarkStart w:id="26" w:name="EBabeda0d423d34e27a612b27f15499b09"/>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22</w:t>
            </w:r>
            <w:bookmarkEnd w:id="26"/>
            <w:r>
              <w:rPr>
                <w:rFonts w:hint="eastAsia" w:cs="仿宋"/>
                <w:sz w:val="21"/>
                <w:szCs w:val="21"/>
                <w:highlight w:val="none"/>
                <w:lang w:val="en-US" w:eastAsia="zh-CN"/>
              </w:rPr>
              <w:t>年</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年以后新成立公司：须提供由银行或其他金融机构出具的资信证明；</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近年完成的类似项目的年份要求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3年，指20</w:t>
            </w:r>
            <w:r>
              <w:rPr>
                <w:rFonts w:hint="eastAsia" w:ascii="仿宋" w:hAnsi="仿宋" w:eastAsia="仿宋" w:cs="仿宋"/>
                <w:sz w:val="21"/>
                <w:szCs w:val="21"/>
                <w:highlight w:val="none"/>
                <w:lang w:val="en-US" w:eastAsia="zh-CN"/>
              </w:rPr>
              <w:t>2</w:t>
            </w:r>
            <w:r>
              <w:rPr>
                <w:rFonts w:hint="eastAsia" w:cs="仿宋"/>
                <w:sz w:val="21"/>
                <w:szCs w:val="21"/>
                <w:highlight w:val="none"/>
                <w:lang w:val="en-US" w:eastAsia="zh-CN"/>
              </w:rPr>
              <w:t>1</w:t>
            </w:r>
            <w:r>
              <w:rPr>
                <w:rFonts w:hint="eastAsia" w:ascii="仿宋" w:hAnsi="仿宋" w:eastAsia="仿宋" w:cs="仿宋"/>
                <w:sz w:val="21"/>
                <w:szCs w:val="21"/>
                <w:highlight w:val="none"/>
              </w:rPr>
              <w:t>年1月1日起至</w:t>
            </w:r>
            <w:r>
              <w:rPr>
                <w:rFonts w:hint="eastAsia" w:ascii="仿宋" w:hAnsi="仿宋" w:eastAsia="仿宋" w:cs="仿宋"/>
                <w:sz w:val="21"/>
                <w:szCs w:val="21"/>
                <w:highlight w:val="none"/>
                <w:lang w:val="en-US" w:eastAsia="zh-CN"/>
              </w:rPr>
              <w:t>今</w:t>
            </w:r>
            <w:r>
              <w:rPr>
                <w:rFonts w:hint="eastAsia" w:ascii="仿宋" w:hAnsi="仿宋" w:eastAsia="仿宋" w:cs="仿宋"/>
                <w:sz w:val="21"/>
                <w:szCs w:val="21"/>
                <w:highlight w:val="none"/>
              </w:rPr>
              <w:t>。</w:t>
            </w:r>
          </w:p>
        </w:tc>
      </w:tr>
      <w:tr>
        <w:tblPrEx>
          <w:tblCellMar>
            <w:top w:w="0" w:type="dxa"/>
            <w:left w:w="108" w:type="dxa"/>
            <w:bottom w:w="0" w:type="dxa"/>
            <w:right w:w="108" w:type="dxa"/>
          </w:tblCellMar>
        </w:tblPrEx>
        <w:trPr>
          <w:trHeight w:val="639"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3.5.4</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近年发生的诉讼及仲裁情况的年份要求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w:t>
            </w:r>
            <w:r>
              <w:rPr>
                <w:rFonts w:hint="eastAsia" w:cs="仿宋"/>
                <w:sz w:val="21"/>
                <w:szCs w:val="21"/>
                <w:highlight w:val="none"/>
                <w:lang w:val="en-US" w:eastAsia="zh-CN"/>
              </w:rPr>
              <w:t>1</w:t>
            </w:r>
            <w:r>
              <w:rPr>
                <w:rFonts w:hint="eastAsia" w:ascii="仿宋" w:hAnsi="仿宋" w:eastAsia="仿宋" w:cs="仿宋"/>
                <w:sz w:val="21"/>
                <w:szCs w:val="21"/>
                <w:highlight w:val="none"/>
              </w:rPr>
              <w:t>年至今，指 20</w:t>
            </w:r>
            <w:r>
              <w:rPr>
                <w:rFonts w:hint="eastAsia" w:cs="仿宋"/>
                <w:sz w:val="21"/>
                <w:szCs w:val="21"/>
                <w:highlight w:val="none"/>
                <w:lang w:val="en-US" w:eastAsia="zh-CN"/>
              </w:rPr>
              <w:t>21</w:t>
            </w:r>
            <w:r>
              <w:rPr>
                <w:rFonts w:hint="eastAsia" w:ascii="仿宋" w:hAnsi="仿宋" w:eastAsia="仿宋" w:cs="仿宋"/>
                <w:sz w:val="21"/>
                <w:szCs w:val="21"/>
                <w:highlight w:val="none"/>
              </w:rPr>
              <w:t xml:space="preserve"> 年 1 月 1日起至今。</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3.5.5</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面向中小企业预留情况</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val="en-US" w:eastAsia="zh-CN"/>
              </w:rPr>
              <w:t>本项目专门面向中小企业采购</w:t>
            </w:r>
            <w:r>
              <w:rPr>
                <w:rFonts w:hint="eastAsia" w:ascii="仿宋" w:hAnsi="仿宋" w:eastAsia="仿宋" w:cs="仿宋"/>
                <w:sz w:val="21"/>
                <w:szCs w:val="21"/>
                <w:highlight w:val="none"/>
                <w:lang w:val="en-US" w:eastAsia="zh-CN"/>
              </w:rPr>
              <w:t>，采购标的对应的中小企业划分标准所属行业为“</w:t>
            </w:r>
            <w:r>
              <w:rPr>
                <w:rFonts w:hint="eastAsia" w:cs="仿宋"/>
                <w:sz w:val="21"/>
                <w:szCs w:val="21"/>
                <w:highlight w:val="none"/>
                <w:lang w:val="en-US" w:eastAsia="zh-CN"/>
              </w:rPr>
              <w:t>其他未列明行业</w:t>
            </w:r>
            <w:r>
              <w:rPr>
                <w:rFonts w:hint="eastAsia" w:ascii="仿宋" w:hAnsi="仿宋" w:eastAsia="仿宋" w:cs="仿宋"/>
                <w:sz w:val="21"/>
                <w:szCs w:val="21"/>
                <w:highlight w:val="none"/>
                <w:lang w:val="en-US" w:eastAsia="zh-CN"/>
              </w:rPr>
              <w:t>”</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3.6.1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是否允许递交备选投标方案</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不允许</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3.7.3（1）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电子签字和（或）盖电子章要求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按系统要求签字盖章，如被授权人无法网上签字或其他无法电子签章或网上签字的情形，需将此页打印签字后扫描上传至投标文件。</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3.7.3（2）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投标文件上传</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投标人需在开标时间截止前将电子投标文件政采云平台（网址：http://www.zcygov.cn）上直接上传；逾期未上传的投标文件，招标人不予受理</w:t>
            </w:r>
            <w:r>
              <w:rPr>
                <w:rFonts w:hint="eastAsia" w:ascii="仿宋" w:hAnsi="仿宋" w:eastAsia="仿宋" w:cs="仿宋"/>
                <w:sz w:val="21"/>
                <w:szCs w:val="21"/>
                <w:highlight w:val="none"/>
                <w:lang w:eastAsia="zh-CN"/>
              </w:rPr>
              <w:t>。</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电子</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文件：在相应签章处签章。</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3、纸质响应文件：</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文件应使用打印、复印或不能擦去的墨水书写，文字要清晰，语言要明确，并按招标文件的要求封面加盖单位公章和由法定代表人（或委托代理人）签名。</w:t>
            </w:r>
          </w:p>
          <w:p>
            <w:pPr>
              <w:bidi w:val="0"/>
              <w:spacing w:line="240" w:lineRule="auto"/>
              <w:rPr>
                <w:rFonts w:hint="eastAsia" w:ascii="仿宋" w:hAnsi="仿宋" w:eastAsia="仿宋" w:cs="仿宋"/>
                <w:sz w:val="21"/>
                <w:szCs w:val="21"/>
                <w:highlight w:val="none"/>
              </w:rPr>
            </w:pPr>
            <w:r>
              <w:rPr>
                <w:rFonts w:hint="eastAsia" w:cs="仿宋"/>
                <w:sz w:val="21"/>
                <w:szCs w:val="21"/>
                <w:highlight w:val="none"/>
                <w:lang w:val="en-US" w:eastAsia="zh-CN"/>
              </w:rPr>
              <w:t>4</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投标文件应尽量避免涂改和插字，若为了改正错误必须这样做时，除了按</w:t>
            </w:r>
            <w:r>
              <w:rPr>
                <w:rFonts w:hint="eastAsia" w:ascii="仿宋" w:hAnsi="仿宋" w:eastAsia="仿宋" w:cs="仿宋"/>
                <w:sz w:val="21"/>
                <w:szCs w:val="21"/>
                <w:highlight w:val="none"/>
                <w:lang w:eastAsia="zh-CN"/>
              </w:rPr>
              <w:t>采购人</w:t>
            </w:r>
            <w:r>
              <w:rPr>
                <w:rFonts w:hint="eastAsia" w:ascii="仿宋" w:hAnsi="仿宋" w:eastAsia="仿宋" w:cs="仿宋"/>
                <w:sz w:val="21"/>
                <w:szCs w:val="21"/>
                <w:highlight w:val="none"/>
              </w:rPr>
              <w:t>书面指示进行修改的以外，均应由法定代表人（或委托代理人）在修改处盖章或签名确认。</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4.1.1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投标截止时间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val="zh-CN" w:eastAsia="zh-CN"/>
              </w:rPr>
              <w:t>2024年04月22日</w:t>
            </w:r>
            <w:r>
              <w:rPr>
                <w:rFonts w:hint="eastAsia" w:ascii="仿宋" w:hAnsi="仿宋" w:eastAsia="仿宋" w:cs="仿宋"/>
                <w:sz w:val="21"/>
                <w:szCs w:val="21"/>
                <w:highlight w:val="none"/>
                <w:lang w:val="en-US" w:eastAsia="zh-CN"/>
              </w:rPr>
              <w:t>13时</w:t>
            </w:r>
            <w:r>
              <w:rPr>
                <w:rFonts w:hint="eastAsia" w:ascii="仿宋" w:hAnsi="仿宋" w:eastAsia="仿宋" w:cs="仿宋"/>
                <w:sz w:val="21"/>
                <w:szCs w:val="21"/>
                <w:highlight w:val="none"/>
                <w:lang w:val="zh-CN" w:eastAsia="zh-CN"/>
              </w:rPr>
              <w:t>30分</w:t>
            </w:r>
            <w:r>
              <w:rPr>
                <w:rFonts w:hint="eastAsia" w:ascii="仿宋" w:hAnsi="仿宋" w:eastAsia="仿宋" w:cs="仿宋"/>
                <w:sz w:val="21"/>
                <w:szCs w:val="21"/>
                <w:highlight w:val="none"/>
                <w:lang w:val="zh-CN"/>
              </w:rPr>
              <w:t>（北京时间）</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4.2.2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递交投标文件</w:t>
            </w:r>
            <w:r>
              <w:rPr>
                <w:rFonts w:hint="eastAsia" w:ascii="仿宋" w:hAnsi="仿宋" w:eastAsia="仿宋" w:cs="仿宋"/>
                <w:sz w:val="21"/>
                <w:szCs w:val="21"/>
                <w:highlight w:val="none"/>
                <w:lang w:val="en-US" w:eastAsia="zh-CN"/>
              </w:rPr>
              <w:t>时间及</w:t>
            </w:r>
            <w:r>
              <w:rPr>
                <w:rFonts w:hint="eastAsia" w:ascii="仿宋" w:hAnsi="仿宋" w:eastAsia="仿宋" w:cs="仿宋"/>
                <w:sz w:val="21"/>
                <w:szCs w:val="21"/>
                <w:highlight w:val="none"/>
                <w:lang w:val="zh-CN"/>
              </w:rPr>
              <w:t>地点</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1、投标文件递交的截止时间(投标截止时间，下同)</w:t>
            </w:r>
            <w:r>
              <w:rPr>
                <w:rFonts w:hint="eastAsia" w:cs="仿宋"/>
                <w:sz w:val="21"/>
                <w:szCs w:val="21"/>
                <w:highlight w:val="none"/>
                <w:lang w:val="en-US" w:eastAsia="zh-CN"/>
              </w:rPr>
              <w:t>2024年04月22日</w:t>
            </w:r>
            <w:r>
              <w:rPr>
                <w:rFonts w:hint="eastAsia" w:ascii="仿宋" w:hAnsi="仿宋" w:eastAsia="仿宋" w:cs="仿宋"/>
                <w:sz w:val="21"/>
                <w:szCs w:val="21"/>
                <w:highlight w:val="none"/>
                <w:lang w:val="en-US" w:eastAsia="zh-CN"/>
              </w:rPr>
              <w:t>13时30分,网上递交。电子投标文件在政采云平台上直接上传投标文件。逾期未上传的投标文件，招标人不予受理。</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tblPrEx>
          <w:tblCellMar>
            <w:top w:w="0" w:type="dxa"/>
            <w:left w:w="108" w:type="dxa"/>
            <w:bottom w:w="0" w:type="dxa"/>
            <w:right w:w="108" w:type="dxa"/>
          </w:tblCellMar>
        </w:tblPrEx>
        <w:trPr>
          <w:trHeight w:val="64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4.2.3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是否退还投标文件</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否</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□是</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5.1</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开标时间和地点</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开标时间：</w:t>
            </w:r>
            <w:r>
              <w:rPr>
                <w:rFonts w:hint="eastAsia" w:cs="仿宋"/>
                <w:sz w:val="21"/>
                <w:szCs w:val="21"/>
                <w:highlight w:val="none"/>
                <w:lang w:val="en-US" w:eastAsia="zh-CN"/>
              </w:rPr>
              <w:t>2024年04月22日13点30分</w:t>
            </w:r>
            <w:r>
              <w:rPr>
                <w:rFonts w:hint="eastAsia" w:ascii="仿宋" w:hAnsi="仿宋" w:eastAsia="仿宋" w:cs="仿宋"/>
                <w:sz w:val="21"/>
                <w:szCs w:val="21"/>
                <w:highlight w:val="none"/>
              </w:rPr>
              <w:t>（北京时间）</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开标地点：吉林市解放西路16号政务服务中心</w:t>
            </w:r>
            <w:r>
              <w:rPr>
                <w:rFonts w:hint="eastAsia" w:cs="仿宋"/>
                <w:sz w:val="21"/>
                <w:szCs w:val="21"/>
                <w:highlight w:val="none"/>
                <w:lang w:val="en-US" w:eastAsia="zh-CN"/>
              </w:rPr>
              <w:t>8</w:t>
            </w:r>
            <w:r>
              <w:rPr>
                <w:rFonts w:hint="eastAsia" w:ascii="仿宋" w:hAnsi="仿宋" w:eastAsia="仿宋" w:cs="仿宋"/>
                <w:sz w:val="21"/>
                <w:szCs w:val="21"/>
                <w:highlight w:val="none"/>
              </w:rPr>
              <w:t>楼开标室</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5.2</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开标程序</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开标顺序：按投标文件电子递交顺序进行</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6.1.1</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评标委员会的组建</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评标委员会构成：</w:t>
            </w:r>
            <w:r>
              <w:rPr>
                <w:rFonts w:hint="eastAsia" w:cs="仿宋"/>
                <w:sz w:val="21"/>
                <w:szCs w:val="21"/>
                <w:highlight w:val="none"/>
                <w:lang w:val="en-US" w:eastAsia="zh-CN"/>
              </w:rPr>
              <w:t>5</w:t>
            </w:r>
            <w:r>
              <w:rPr>
                <w:rFonts w:hint="eastAsia" w:ascii="仿宋" w:hAnsi="仿宋" w:eastAsia="仿宋" w:cs="仿宋"/>
                <w:sz w:val="21"/>
                <w:szCs w:val="21"/>
                <w:highlight w:val="none"/>
              </w:rPr>
              <w:t>人，其中招标人代表</w:t>
            </w:r>
            <w:bookmarkStart w:id="27" w:name="EBcc387c5aa187475cacda6c5356ff7425"/>
            <w:r>
              <w:rPr>
                <w:rFonts w:hint="eastAsia" w:ascii="仿宋" w:hAnsi="仿宋" w:eastAsia="仿宋" w:cs="仿宋"/>
                <w:sz w:val="21"/>
                <w:szCs w:val="21"/>
                <w:highlight w:val="none"/>
              </w:rPr>
              <w:t>0</w:t>
            </w:r>
            <w:bookmarkEnd w:id="27"/>
            <w:r>
              <w:rPr>
                <w:rFonts w:hint="eastAsia" w:ascii="仿宋" w:hAnsi="仿宋" w:eastAsia="仿宋" w:cs="仿宋"/>
                <w:sz w:val="21"/>
                <w:szCs w:val="21"/>
                <w:highlight w:val="none"/>
              </w:rPr>
              <w:t>-1人，专家</w:t>
            </w:r>
            <w:bookmarkStart w:id="28" w:name="EB11f222dec9764b00acd1f958c8c242bf"/>
            <w:r>
              <w:rPr>
                <w:rFonts w:hint="eastAsia" w:cs="仿宋"/>
                <w:sz w:val="21"/>
                <w:szCs w:val="21"/>
                <w:highlight w:val="none"/>
                <w:lang w:val="en-US" w:eastAsia="zh-CN"/>
              </w:rPr>
              <w:t>4</w:t>
            </w:r>
            <w:r>
              <w:rPr>
                <w:rFonts w:hint="eastAsia" w:ascii="仿宋" w:hAnsi="仿宋" w:eastAsia="仿宋" w:cs="仿宋"/>
                <w:sz w:val="21"/>
                <w:szCs w:val="21"/>
                <w:highlight w:val="none"/>
              </w:rPr>
              <w:t>-</w:t>
            </w:r>
            <w:bookmarkEnd w:id="28"/>
            <w:r>
              <w:rPr>
                <w:rFonts w:hint="eastAsia" w:cs="仿宋"/>
                <w:sz w:val="21"/>
                <w:szCs w:val="21"/>
                <w:highlight w:val="none"/>
                <w:lang w:val="en-US" w:eastAsia="zh-CN"/>
              </w:rPr>
              <w:t>5</w:t>
            </w:r>
            <w:r>
              <w:rPr>
                <w:rFonts w:hint="eastAsia" w:ascii="仿宋" w:hAnsi="仿宋" w:eastAsia="仿宋" w:cs="仿宋"/>
                <w:sz w:val="21"/>
                <w:szCs w:val="21"/>
                <w:highlight w:val="none"/>
              </w:rPr>
              <w:t>人；</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评标专家确定方式：在政府采购主管部门认定的评标专家库中随机抽取。</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6.3.2</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是否授权评标委员会确定中标人</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rPr>
              <w:t>是</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否，推荐的中标候选人数：3人。</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eastAsia="zh-CN"/>
              </w:rPr>
              <w:t>评标委员会推荐初步评审合格，综合评审得分由高到低排名第一、第二、第三的投标人为中标候选人。</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7.</w:t>
            </w:r>
            <w:r>
              <w:rPr>
                <w:rFonts w:hint="eastAsia" w:ascii="仿宋" w:hAnsi="仿宋" w:eastAsia="仿宋" w:cs="仿宋"/>
                <w:sz w:val="21"/>
                <w:szCs w:val="21"/>
                <w:highlight w:val="none"/>
                <w:lang w:val="en-US" w:eastAsia="zh-CN"/>
              </w:rPr>
              <w:t>1</w:t>
            </w:r>
          </w:p>
        </w:tc>
        <w:tc>
          <w:tcPr>
            <w:tcW w:w="1835"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中标人公示媒介及期限</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公示媒介：“政采云”平台(http：//www.zcygov.cn)、中国政府采购网、</w:t>
            </w:r>
            <w:r>
              <w:rPr>
                <w:rFonts w:hint="eastAsia" w:ascii="仿宋" w:hAnsi="仿宋" w:eastAsia="仿宋" w:cs="仿宋"/>
                <w:sz w:val="21"/>
                <w:szCs w:val="21"/>
                <w:highlight w:val="none"/>
                <w:lang w:eastAsia="zh-CN"/>
              </w:rPr>
              <w:t>中国采购与招标网</w:t>
            </w:r>
            <w:r>
              <w:rPr>
                <w:rFonts w:hint="eastAsia" w:ascii="仿宋" w:hAnsi="仿宋" w:eastAsia="仿宋" w:cs="仿宋"/>
                <w:sz w:val="21"/>
                <w:szCs w:val="21"/>
                <w:highlight w:val="none"/>
              </w:rPr>
              <w:t>；</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公示期限：1个工作日；</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公示的其他内容：无。</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电子招标投标</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□否</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是，具体要求：详见</w:t>
            </w:r>
            <w:r>
              <w:rPr>
                <w:rFonts w:hint="eastAsia" w:ascii="仿宋" w:hAnsi="仿宋" w:eastAsia="仿宋" w:cs="仿宋"/>
                <w:sz w:val="21"/>
                <w:szCs w:val="21"/>
                <w:highlight w:val="none"/>
                <w:lang w:eastAsia="zh-CN"/>
              </w:rPr>
              <w:t>招标文件</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需要补充的其他内容</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9.1</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考察中标候选人</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采购人在招投标管理机构的监督下，可以对中标候选人进行考察</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9.2</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资格审查方式</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资格后审</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9.3</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评审办法</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综合评标法</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9.4</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低于成本报价</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依据财政部第</w:t>
            </w:r>
            <w:r>
              <w:rPr>
                <w:rFonts w:hint="eastAsia" w:ascii="仿宋" w:hAnsi="仿宋" w:eastAsia="仿宋" w:cs="仿宋"/>
                <w:sz w:val="21"/>
                <w:szCs w:val="21"/>
                <w:highlight w:val="none"/>
              </w:rPr>
              <w:t>87号令第60条：</w:t>
            </w:r>
            <w:r>
              <w:rPr>
                <w:rFonts w:hint="eastAsia" w:ascii="仿宋" w:hAnsi="仿宋" w:eastAsia="仿宋" w:cs="仿宋"/>
                <w:sz w:val="21"/>
                <w:szCs w:val="21"/>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9.5</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招标代理费</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收费依据：按照国家发展计划委员会“发改价格【2015】299号”文要求。</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收取对象：中标人</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收费标准：</w:t>
            </w:r>
            <w:r>
              <w:rPr>
                <w:rFonts w:hint="eastAsia" w:cs="仿宋"/>
                <w:sz w:val="21"/>
                <w:szCs w:val="21"/>
                <w:highlight w:val="none"/>
                <w:lang w:val="en-US" w:eastAsia="zh-CN"/>
              </w:rPr>
              <w:t>按照中标金额2%收取</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采购代理机构项目负责人</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杨光普</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9.7</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以实际合同为准</w:t>
            </w:r>
          </w:p>
        </w:tc>
      </w:tr>
      <w:tr>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eastAsia="zh-CN"/>
              </w:rPr>
            </w:pPr>
            <w:bookmarkStart w:id="29" w:name="OLE_LINK27"/>
            <w:bookmarkStart w:id="30" w:name="OLE_LINK29"/>
            <w:bookmarkStart w:id="31" w:name="OLE_LINK28"/>
            <w:r>
              <w:rPr>
                <w:rFonts w:hint="eastAsia" w:ascii="仿宋" w:hAnsi="仿宋" w:eastAsia="仿宋" w:cs="仿宋"/>
                <w:sz w:val="21"/>
                <w:szCs w:val="21"/>
                <w:highlight w:val="none"/>
                <w:lang w:eastAsia="zh-CN"/>
              </w:rPr>
              <w:t>注：投标人须知前附表”用于修改、补充和完善正文中的相关事宜，前附表与正文如有冲突以正文为准</w:t>
            </w:r>
            <w:bookmarkEnd w:id="29"/>
            <w:bookmarkEnd w:id="30"/>
            <w:bookmarkEnd w:id="31"/>
            <w:r>
              <w:rPr>
                <w:rFonts w:hint="eastAsia" w:ascii="仿宋" w:hAnsi="仿宋" w:eastAsia="仿宋" w:cs="仿宋"/>
                <w:sz w:val="21"/>
                <w:szCs w:val="21"/>
                <w:highlight w:val="none"/>
                <w:lang w:eastAsia="zh-CN"/>
              </w:rPr>
              <w:t>，招标公告与招标文件不符之处以招标文件为准。</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特别提醒</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bidi w:val="0"/>
              <w:spacing w:line="24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电子标操作说明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本次招标实行不见面开标，具体要求如下：</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(4)开标地点：本次招标将于</w:t>
            </w:r>
            <w:r>
              <w:rPr>
                <w:rFonts w:hint="eastAsia" w:cs="仿宋"/>
                <w:sz w:val="21"/>
                <w:szCs w:val="21"/>
                <w:highlight w:val="none"/>
                <w:lang w:val="zh-CN" w:eastAsia="zh-CN"/>
              </w:rPr>
              <w:t>2024年04月22日</w:t>
            </w:r>
            <w:r>
              <w:rPr>
                <w:rFonts w:hint="eastAsia" w:ascii="仿宋" w:hAnsi="仿宋" w:eastAsia="仿宋" w:cs="仿宋"/>
                <w:sz w:val="21"/>
                <w:szCs w:val="21"/>
                <w:highlight w:val="none"/>
                <w:lang w:val="zh-CN" w:eastAsia="zh-CN"/>
              </w:rPr>
              <w:t>13时30分(北京时间)在“政采云”平台电子开标大厅开标。</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招标文件份数补充说明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中标单位需在中标通知书领取之前到招标代理公司提交与中标文件相同的纸版投标文件</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1正本2副本</w:t>
            </w:r>
            <w:r>
              <w:rPr>
                <w:rFonts w:hint="eastAsia" w:ascii="仿宋" w:hAnsi="仿宋" w:eastAsia="仿宋" w:cs="仿宋"/>
                <w:sz w:val="21"/>
                <w:szCs w:val="21"/>
                <w:highlight w:val="none"/>
              </w:rPr>
              <w:t>），软件制作生成的未加密及Word版电子投标文件1份，否则视为放弃中标。</w:t>
            </w:r>
          </w:p>
        </w:tc>
      </w:tr>
      <w:tr>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注：投标人须知前附表”用于修改、补充和完善正文中的相关事宜，前附表与正文如有冲突以正文为准。</w:t>
            </w:r>
          </w:p>
        </w:tc>
      </w:tr>
    </w:tbl>
    <w:p>
      <w:pPr>
        <w:autoSpaceDE w:val="0"/>
        <w:autoSpaceDN w:val="0"/>
        <w:adjustRightInd w:val="0"/>
        <w:spacing w:beforeLines="50" w:afterLines="50" w:line="360" w:lineRule="auto"/>
        <w:jc w:val="center"/>
        <w:outlineLvl w:val="1"/>
        <w:rPr>
          <w:rFonts w:hint="eastAsia" w:ascii="仿宋" w:hAnsi="仿宋" w:eastAsia="仿宋" w:cs="仿宋"/>
          <w:b/>
          <w:bCs/>
          <w:color w:val="auto"/>
          <w:kern w:val="2"/>
          <w:sz w:val="24"/>
          <w:szCs w:val="28"/>
          <w:highlight w:val="none"/>
          <w:lang w:val="zh-CN" w:eastAsia="zh-CN" w:bidi="ar-SA"/>
        </w:rPr>
      </w:pPr>
      <w:bookmarkStart w:id="32" w:name="_Toc144974497"/>
      <w:bookmarkStart w:id="33" w:name="_Toc179632546"/>
      <w:bookmarkStart w:id="34" w:name="_Toc296602420"/>
      <w:bookmarkStart w:id="35" w:name="_Toc247085689"/>
      <w:bookmarkStart w:id="36" w:name="_Toc152045529"/>
      <w:bookmarkStart w:id="37" w:name="_Toc152042305"/>
      <w:bookmarkStart w:id="38" w:name="_Toc246996175"/>
      <w:bookmarkStart w:id="39" w:name="_Toc246996918"/>
      <w:r>
        <w:rPr>
          <w:rFonts w:hint="eastAsia" w:ascii="仿宋" w:hAnsi="仿宋" w:eastAsia="仿宋" w:cs="仿宋"/>
          <w:color w:val="auto"/>
          <w:highlight w:val="none"/>
        </w:rPr>
        <w:br w:type="page"/>
      </w:r>
      <w:r>
        <w:rPr>
          <w:rFonts w:hint="eastAsia" w:ascii="仿宋" w:hAnsi="仿宋" w:eastAsia="仿宋" w:cs="仿宋"/>
          <w:b/>
          <w:bCs/>
          <w:color w:val="auto"/>
          <w:kern w:val="2"/>
          <w:sz w:val="24"/>
          <w:szCs w:val="28"/>
          <w:highlight w:val="none"/>
          <w:lang w:val="en-US" w:eastAsia="zh-CN" w:bidi="ar-SA"/>
        </w:rPr>
        <w:t>投标人须知正文</w:t>
      </w:r>
    </w:p>
    <w:bookmarkEnd w:id="32"/>
    <w:bookmarkEnd w:id="33"/>
    <w:bookmarkEnd w:id="34"/>
    <w:bookmarkEnd w:id="35"/>
    <w:bookmarkEnd w:id="36"/>
    <w:bookmarkEnd w:id="37"/>
    <w:bookmarkEnd w:id="38"/>
    <w:bookmarkEnd w:id="39"/>
    <w:p>
      <w:pPr>
        <w:numPr>
          <w:ilvl w:val="0"/>
          <w:numId w:val="7"/>
        </w:numPr>
        <w:bidi w:val="0"/>
        <w:rPr>
          <w:highlight w:val="none"/>
        </w:rPr>
      </w:pPr>
      <w:bookmarkStart w:id="40" w:name="_Toc179632627"/>
      <w:bookmarkStart w:id="41" w:name="_Toc152042387"/>
      <w:bookmarkStart w:id="42" w:name="_Toc246996252"/>
      <w:bookmarkStart w:id="43" w:name="_Toc55285624"/>
      <w:bookmarkStart w:id="44" w:name="_Toc52181483"/>
      <w:bookmarkStart w:id="45" w:name="_Toc246996995"/>
      <w:bookmarkStart w:id="46" w:name="_Toc247085767"/>
      <w:bookmarkStart w:id="47" w:name="_Toc144974577"/>
      <w:bookmarkStart w:id="48" w:name="_Toc152045609"/>
      <w:r>
        <w:rPr>
          <w:highlight w:val="none"/>
        </w:rPr>
        <w:t xml:space="preserve">适用法律：本次招标适用法律法规为《中华人民共和国政府采购法》、《政府采购货物和服务招标投 标管理办法》《中华人民共和国政府采购法实施条例》及政府采购其它相关法规。 </w:t>
      </w:r>
    </w:p>
    <w:p>
      <w:pPr>
        <w:numPr>
          <w:ilvl w:val="0"/>
          <w:numId w:val="7"/>
        </w:numPr>
        <w:bidi w:val="0"/>
        <w:rPr>
          <w:rFonts w:hint="eastAsia"/>
          <w:highlight w:val="none"/>
          <w:lang w:val="zh-CN"/>
        </w:rPr>
      </w:pPr>
      <w:r>
        <w:rPr>
          <w:highlight w:val="none"/>
        </w:rPr>
        <w:t xml:space="preserve">定义： </w:t>
      </w:r>
    </w:p>
    <w:p>
      <w:pPr>
        <w:numPr>
          <w:ilvl w:val="0"/>
          <w:numId w:val="0"/>
        </w:numPr>
        <w:bidi w:val="0"/>
        <w:ind w:firstLine="420" w:firstLineChars="0"/>
        <w:rPr>
          <w:highlight w:val="none"/>
        </w:rPr>
      </w:pPr>
      <w:r>
        <w:rPr>
          <w:highlight w:val="none"/>
        </w:rPr>
        <w:t xml:space="preserve">2.1“招标代理机构”指负责采购活动的组织工作。 </w:t>
      </w:r>
    </w:p>
    <w:p>
      <w:pPr>
        <w:numPr>
          <w:ilvl w:val="0"/>
          <w:numId w:val="0"/>
        </w:numPr>
        <w:bidi w:val="0"/>
        <w:ind w:firstLine="420" w:firstLineChars="0"/>
        <w:rPr>
          <w:highlight w:val="none"/>
        </w:rPr>
      </w:pPr>
      <w:r>
        <w:rPr>
          <w:highlight w:val="none"/>
        </w:rPr>
        <w:t xml:space="preserve">2.2“采购人”指详见招标文件前附表，负责采购项目的整体规划、采购需求设计和可行性论证，作为合同 的需方，承担质疑答复，合同履行、验收、评价等义务。 </w:t>
      </w:r>
    </w:p>
    <w:p>
      <w:pPr>
        <w:numPr>
          <w:ilvl w:val="0"/>
          <w:numId w:val="0"/>
        </w:numPr>
        <w:bidi w:val="0"/>
        <w:ind w:firstLine="420" w:firstLineChars="0"/>
        <w:rPr>
          <w:highlight w:val="none"/>
        </w:rPr>
      </w:pPr>
      <w:r>
        <w:rPr>
          <w:highlight w:val="none"/>
        </w:rPr>
        <w:t>2.3“招标内容”详见第五章《</w:t>
      </w:r>
      <w:r>
        <w:rPr>
          <w:rFonts w:hint="eastAsia"/>
          <w:highlight w:val="none"/>
          <w:lang w:eastAsia="zh-CN"/>
        </w:rPr>
        <w:t>服务标准和要求</w:t>
      </w:r>
      <w:r>
        <w:rPr>
          <w:highlight w:val="none"/>
        </w:rPr>
        <w:t xml:space="preserve">》。 </w:t>
      </w:r>
    </w:p>
    <w:p>
      <w:pPr>
        <w:numPr>
          <w:ilvl w:val="0"/>
          <w:numId w:val="0"/>
        </w:numPr>
        <w:bidi w:val="0"/>
        <w:ind w:firstLine="420" w:firstLineChars="0"/>
        <w:rPr>
          <w:highlight w:val="none"/>
        </w:rPr>
      </w:pPr>
      <w:r>
        <w:rPr>
          <w:highlight w:val="none"/>
        </w:rPr>
        <w:t xml:space="preserve">2.4“潜在供应商”指确认参加投标的供应商。 </w:t>
      </w:r>
    </w:p>
    <w:p>
      <w:pPr>
        <w:numPr>
          <w:ilvl w:val="0"/>
          <w:numId w:val="0"/>
        </w:numPr>
        <w:bidi w:val="0"/>
        <w:ind w:firstLine="420" w:firstLineChars="0"/>
        <w:rPr>
          <w:highlight w:val="none"/>
        </w:rPr>
      </w:pPr>
      <w:r>
        <w:rPr>
          <w:highlight w:val="none"/>
        </w:rPr>
        <w:t xml:space="preserve">2.5“供应商”指响应本招标文件参加投标的供应商。 </w:t>
      </w:r>
    </w:p>
    <w:p>
      <w:pPr>
        <w:numPr>
          <w:ilvl w:val="0"/>
          <w:numId w:val="7"/>
        </w:numPr>
        <w:bidi w:val="0"/>
        <w:ind w:left="0" w:leftChars="0" w:firstLine="0" w:firstLineChars="0"/>
        <w:rPr>
          <w:highlight w:val="none"/>
        </w:rPr>
      </w:pPr>
      <w:r>
        <w:rPr>
          <w:highlight w:val="none"/>
        </w:rPr>
        <w:t xml:space="preserve">合格供应商资格条件要求： 详见招标公告 </w:t>
      </w:r>
    </w:p>
    <w:p>
      <w:pPr>
        <w:numPr>
          <w:ilvl w:val="0"/>
          <w:numId w:val="7"/>
        </w:numPr>
        <w:bidi w:val="0"/>
        <w:ind w:left="0" w:leftChars="0" w:firstLine="0" w:firstLineChars="0"/>
        <w:rPr>
          <w:rFonts w:hint="eastAsia"/>
          <w:highlight w:val="none"/>
          <w:lang w:val="zh-CN"/>
        </w:rPr>
      </w:pPr>
      <w:r>
        <w:rPr>
          <w:highlight w:val="none"/>
        </w:rPr>
        <w:t xml:space="preserve">项目答疑会和踏勘现场： 本项目不举行项目答疑会但组织踏勘现场。 </w:t>
      </w:r>
    </w:p>
    <w:p>
      <w:pPr>
        <w:numPr>
          <w:ilvl w:val="0"/>
          <w:numId w:val="7"/>
        </w:numPr>
        <w:bidi w:val="0"/>
        <w:ind w:left="0" w:leftChars="0" w:firstLine="0" w:firstLineChars="0"/>
        <w:rPr>
          <w:rFonts w:hint="eastAsia"/>
          <w:highlight w:val="none"/>
          <w:lang w:val="zh-CN"/>
        </w:rPr>
      </w:pPr>
      <w:r>
        <w:rPr>
          <w:highlight w:val="none"/>
        </w:rPr>
        <w:t xml:space="preserve">投标费用：供应商应自行承担所有与编写和提交投标文件有关的费用，无论投标的结果如何，采购人 和采购人在任何情况下均无义务和责任承担这些费用。 </w:t>
      </w:r>
    </w:p>
    <w:p>
      <w:pPr>
        <w:numPr>
          <w:ilvl w:val="0"/>
          <w:numId w:val="7"/>
        </w:numPr>
        <w:bidi w:val="0"/>
        <w:ind w:left="0" w:leftChars="0" w:firstLine="0" w:firstLineChars="0"/>
        <w:rPr>
          <w:rFonts w:hint="eastAsia"/>
          <w:highlight w:val="none"/>
          <w:lang w:val="zh-CN"/>
        </w:rPr>
      </w:pPr>
      <w:r>
        <w:rPr>
          <w:highlight w:val="none"/>
        </w:rPr>
        <w:t xml:space="preserve"> 招标文件： </w:t>
      </w:r>
    </w:p>
    <w:p>
      <w:pPr>
        <w:numPr>
          <w:ilvl w:val="0"/>
          <w:numId w:val="0"/>
        </w:numPr>
        <w:bidi w:val="0"/>
        <w:ind w:leftChars="0" w:firstLine="420" w:firstLineChars="0"/>
        <w:rPr>
          <w:highlight w:val="none"/>
        </w:rPr>
      </w:pPr>
      <w:r>
        <w:rPr>
          <w:highlight w:val="none"/>
        </w:rPr>
        <w:t xml:space="preserve">6.1 招标文件的构成： </w:t>
      </w:r>
    </w:p>
    <w:p>
      <w:pPr>
        <w:numPr>
          <w:ilvl w:val="0"/>
          <w:numId w:val="0"/>
        </w:numPr>
        <w:bidi w:val="0"/>
        <w:ind w:left="420" w:leftChars="0" w:firstLine="420" w:firstLineChars="0"/>
        <w:rPr>
          <w:highlight w:val="none"/>
        </w:rPr>
      </w:pPr>
      <w:r>
        <w:rPr>
          <w:highlight w:val="none"/>
        </w:rPr>
        <w:t xml:space="preserve">第一章 招标公告 </w:t>
      </w:r>
    </w:p>
    <w:p>
      <w:pPr>
        <w:numPr>
          <w:ilvl w:val="0"/>
          <w:numId w:val="0"/>
        </w:numPr>
        <w:bidi w:val="0"/>
        <w:ind w:left="420" w:leftChars="0" w:firstLine="420" w:firstLineChars="0"/>
        <w:rPr>
          <w:highlight w:val="none"/>
        </w:rPr>
      </w:pPr>
      <w:r>
        <w:rPr>
          <w:highlight w:val="none"/>
        </w:rPr>
        <w:t xml:space="preserve">第二章 供应商须知 </w:t>
      </w:r>
    </w:p>
    <w:p>
      <w:pPr>
        <w:numPr>
          <w:ilvl w:val="0"/>
          <w:numId w:val="0"/>
        </w:numPr>
        <w:bidi w:val="0"/>
        <w:ind w:left="420" w:leftChars="0" w:firstLine="420" w:firstLineChars="0"/>
        <w:rPr>
          <w:highlight w:val="none"/>
        </w:rPr>
      </w:pPr>
      <w:r>
        <w:rPr>
          <w:highlight w:val="none"/>
        </w:rPr>
        <w:t xml:space="preserve">第三章 合同条款 </w:t>
      </w:r>
    </w:p>
    <w:p>
      <w:pPr>
        <w:numPr>
          <w:ilvl w:val="0"/>
          <w:numId w:val="0"/>
        </w:numPr>
        <w:bidi w:val="0"/>
        <w:ind w:left="420" w:leftChars="0" w:firstLine="420" w:firstLineChars="0"/>
        <w:rPr>
          <w:highlight w:val="none"/>
        </w:rPr>
      </w:pPr>
      <w:r>
        <w:rPr>
          <w:highlight w:val="none"/>
        </w:rPr>
        <w:t xml:space="preserve">第四章 合同格式 </w:t>
      </w:r>
    </w:p>
    <w:p>
      <w:pPr>
        <w:numPr>
          <w:ilvl w:val="0"/>
          <w:numId w:val="0"/>
        </w:numPr>
        <w:bidi w:val="0"/>
        <w:ind w:left="420" w:leftChars="0" w:firstLine="420" w:firstLineChars="0"/>
        <w:rPr>
          <w:highlight w:val="none"/>
        </w:rPr>
      </w:pPr>
      <w:r>
        <w:rPr>
          <w:highlight w:val="none"/>
        </w:rPr>
        <w:t xml:space="preserve">第五章 </w:t>
      </w:r>
      <w:r>
        <w:rPr>
          <w:rFonts w:hint="eastAsia"/>
          <w:highlight w:val="none"/>
          <w:lang w:eastAsia="zh-CN"/>
        </w:rPr>
        <w:t>服务标准和要求</w:t>
      </w:r>
      <w:r>
        <w:rPr>
          <w:highlight w:val="none"/>
        </w:rPr>
        <w:t xml:space="preserve"> </w:t>
      </w:r>
    </w:p>
    <w:p>
      <w:pPr>
        <w:numPr>
          <w:ilvl w:val="0"/>
          <w:numId w:val="0"/>
        </w:numPr>
        <w:bidi w:val="0"/>
        <w:ind w:left="420" w:leftChars="0" w:firstLine="420" w:firstLineChars="0"/>
        <w:rPr>
          <w:highlight w:val="none"/>
        </w:rPr>
      </w:pPr>
      <w:r>
        <w:rPr>
          <w:highlight w:val="none"/>
        </w:rPr>
        <w:t xml:space="preserve">第六章 </w:t>
      </w:r>
      <w:r>
        <w:rPr>
          <w:rFonts w:hint="eastAsia"/>
          <w:highlight w:val="none"/>
          <w:lang w:eastAsia="zh-CN"/>
        </w:rPr>
        <w:t>服务标准和要求</w:t>
      </w:r>
      <w:r>
        <w:rPr>
          <w:highlight w:val="none"/>
        </w:rPr>
        <w:t xml:space="preserve"> </w:t>
      </w:r>
    </w:p>
    <w:p>
      <w:pPr>
        <w:numPr>
          <w:ilvl w:val="0"/>
          <w:numId w:val="0"/>
        </w:numPr>
        <w:bidi w:val="0"/>
        <w:ind w:left="420" w:leftChars="0" w:firstLine="420" w:firstLineChars="0"/>
        <w:rPr>
          <w:highlight w:val="none"/>
        </w:rPr>
      </w:pPr>
      <w:r>
        <w:rPr>
          <w:highlight w:val="none"/>
        </w:rPr>
        <w:t xml:space="preserve">第七章 评标办法 </w:t>
      </w:r>
    </w:p>
    <w:p>
      <w:pPr>
        <w:numPr>
          <w:ilvl w:val="0"/>
          <w:numId w:val="0"/>
        </w:numPr>
        <w:bidi w:val="0"/>
        <w:ind w:left="420" w:leftChars="0" w:firstLine="420" w:firstLineChars="0"/>
        <w:rPr>
          <w:highlight w:val="none"/>
        </w:rPr>
      </w:pPr>
      <w:r>
        <w:rPr>
          <w:highlight w:val="none"/>
        </w:rPr>
        <w:t xml:space="preserve">附件 </w:t>
      </w:r>
    </w:p>
    <w:p>
      <w:pPr>
        <w:numPr>
          <w:ilvl w:val="0"/>
          <w:numId w:val="0"/>
        </w:numPr>
        <w:bidi w:val="0"/>
        <w:ind w:leftChars="0" w:firstLine="420" w:firstLineChars="0"/>
        <w:rPr>
          <w:highlight w:val="none"/>
        </w:rPr>
      </w:pPr>
      <w:r>
        <w:rPr>
          <w:highlight w:val="none"/>
        </w:rPr>
        <w:t xml:space="preserve">6.2 供应商应认真阅读招标文件中所有事项、格式、条款和规范等要求。如果供应商没有按照招标文件要 求提交全部文件资料或投标文件没有对招标文件在各方面都做出实质性响应，是供应商的风险。 </w:t>
      </w:r>
    </w:p>
    <w:p>
      <w:pPr>
        <w:numPr>
          <w:ilvl w:val="0"/>
          <w:numId w:val="7"/>
        </w:numPr>
        <w:bidi w:val="0"/>
        <w:ind w:firstLine="0"/>
        <w:rPr>
          <w:highlight w:val="none"/>
        </w:rPr>
      </w:pPr>
      <w:r>
        <w:rPr>
          <w:highlight w:val="none"/>
        </w:rPr>
        <w:t xml:space="preserve">招标文件的澄清和修改： </w:t>
      </w:r>
    </w:p>
    <w:p>
      <w:pPr>
        <w:numPr>
          <w:ilvl w:val="0"/>
          <w:numId w:val="0"/>
        </w:numPr>
        <w:bidi w:val="0"/>
        <w:ind w:leftChars="0" w:firstLine="420" w:firstLineChars="0"/>
        <w:rPr>
          <w:highlight w:val="none"/>
        </w:rPr>
      </w:pPr>
      <w:r>
        <w:rPr>
          <w:highlight w:val="none"/>
        </w:rPr>
        <w:t xml:space="preserve">7.1 任何要求对招标文件进行澄清的供应商，均应在投标截止期 15 天前在政采云平台（http： //www.zcygov.cn）发布，并按照招标公告中载明的招标代理机构的联系方式电话通知招标代理机构。代理 机构及采购人将视所提问题具体情况的答复澄清，在政采云平台（http：//www.zcygov.cn）答疑文件中发布。供应商自行在政采云平台（http：//www.zcygov.cn）答疑文件处下载。否则，后果自负。招标代理机 构及采购人不接受供应商的书面质疑。 </w:t>
      </w:r>
    </w:p>
    <w:p>
      <w:pPr>
        <w:numPr>
          <w:ilvl w:val="0"/>
          <w:numId w:val="0"/>
        </w:numPr>
        <w:bidi w:val="0"/>
        <w:ind w:leftChars="0" w:firstLine="420" w:firstLineChars="0"/>
        <w:rPr>
          <w:highlight w:val="none"/>
        </w:rPr>
      </w:pPr>
      <w:r>
        <w:rPr>
          <w:highlight w:val="none"/>
        </w:rPr>
        <w:t xml:space="preserve">7.2 采购人可在投标截止时间 15 日前（含）对招标文件进行修改、补充。招标文件的修改、补充文件将在 政采云平台（http：//www.zcygov.cn）发布向潜在供应商发出，供应商自行在政采云平台（http： //www.zcygov.cn）下载。并在发布招标公告的媒体上公告。 </w:t>
      </w:r>
    </w:p>
    <w:p>
      <w:pPr>
        <w:numPr>
          <w:ilvl w:val="0"/>
          <w:numId w:val="0"/>
        </w:numPr>
        <w:bidi w:val="0"/>
        <w:ind w:leftChars="0" w:firstLine="420" w:firstLineChars="0"/>
        <w:rPr>
          <w:highlight w:val="none"/>
        </w:rPr>
      </w:pPr>
      <w:r>
        <w:rPr>
          <w:highlight w:val="none"/>
        </w:rPr>
        <w:t xml:space="preserve">7.3 招标文件的澄清、修改、补充文件均构成招标文件的组成部分，对所有供应商具有约束力，供应商未 在政采云平台（http：//www.zcygov.cn）自行下载澄清、修改、补充文件，后果自负。 </w:t>
      </w:r>
    </w:p>
    <w:p>
      <w:pPr>
        <w:numPr>
          <w:ilvl w:val="0"/>
          <w:numId w:val="0"/>
        </w:numPr>
        <w:bidi w:val="0"/>
        <w:ind w:leftChars="0" w:firstLine="420" w:firstLineChars="0"/>
        <w:rPr>
          <w:highlight w:val="none"/>
        </w:rPr>
      </w:pPr>
      <w:r>
        <w:rPr>
          <w:highlight w:val="none"/>
        </w:rPr>
        <w:t xml:space="preserve">7.4 为使供应商有充分的时间对招标文件的澄清、修改、补充部分进行研究，采购人可在投标截止时间 3 日前（含）自行决定酌情延长投标截止时间，延长投标截止时间的公告将在发布招标公告的媒体上发告并 在政采云平台（http：//www.zcygov.cn）向所有潜在供应商发布。在这种情况下，采购人和供应商受投标 截止时间制约的所有权利和义务均相应延长至新的投标截止时间。 </w:t>
      </w:r>
    </w:p>
    <w:p>
      <w:pPr>
        <w:numPr>
          <w:ilvl w:val="0"/>
          <w:numId w:val="7"/>
        </w:numPr>
        <w:bidi w:val="0"/>
        <w:ind w:firstLine="0"/>
        <w:rPr>
          <w:highlight w:val="none"/>
        </w:rPr>
      </w:pPr>
      <w:r>
        <w:rPr>
          <w:highlight w:val="none"/>
        </w:rPr>
        <w:t xml:space="preserve">投标文件构成： </w:t>
      </w:r>
    </w:p>
    <w:p>
      <w:pPr>
        <w:numPr>
          <w:ilvl w:val="0"/>
          <w:numId w:val="0"/>
        </w:numPr>
        <w:bidi w:val="0"/>
        <w:ind w:leftChars="0" w:firstLine="420" w:firstLineChars="0"/>
        <w:rPr>
          <w:highlight w:val="none"/>
        </w:rPr>
      </w:pPr>
      <w:r>
        <w:rPr>
          <w:highlight w:val="none"/>
        </w:rPr>
        <w:t xml:space="preserve">8.1 投标文件分为商务部分和技术部分。商务部分是供应商提交的证明其具有合格的投标资格和中标后有 能力履行合同的文件。技术部分是能够证明供应商所提供货物和服务的合格性和符合招标文件规定的文件。 </w:t>
      </w:r>
    </w:p>
    <w:p>
      <w:pPr>
        <w:numPr>
          <w:ilvl w:val="0"/>
          <w:numId w:val="0"/>
        </w:numPr>
        <w:bidi w:val="0"/>
        <w:ind w:leftChars="0" w:firstLine="420" w:firstLineChars="0"/>
        <w:rPr>
          <w:highlight w:val="none"/>
        </w:rPr>
      </w:pPr>
      <w:r>
        <w:rPr>
          <w:highlight w:val="none"/>
        </w:rPr>
        <w:t xml:space="preserve">8.2 供应商应提交本招标文件第六章《投标文件构成、要求及格式》规定的全部商务文件和技术文件，若 有缺失、无效或者不符合招标文件要求，将导致其投标被拒绝。 </w:t>
      </w:r>
    </w:p>
    <w:p>
      <w:pPr>
        <w:numPr>
          <w:ilvl w:val="0"/>
          <w:numId w:val="0"/>
        </w:numPr>
        <w:bidi w:val="0"/>
        <w:ind w:leftChars="0" w:firstLine="420" w:firstLineChars="0"/>
        <w:rPr>
          <w:highlight w:val="none"/>
        </w:rPr>
      </w:pPr>
      <w:r>
        <w:rPr>
          <w:highlight w:val="none"/>
        </w:rPr>
        <w:t xml:space="preserve">8.3 第二章《供应商须知》第 11 条要求提交的投标保证金。 </w:t>
      </w:r>
    </w:p>
    <w:p>
      <w:pPr>
        <w:numPr>
          <w:ilvl w:val="0"/>
          <w:numId w:val="7"/>
        </w:numPr>
        <w:bidi w:val="0"/>
        <w:ind w:firstLine="0"/>
        <w:rPr>
          <w:highlight w:val="none"/>
        </w:rPr>
      </w:pPr>
      <w:r>
        <w:rPr>
          <w:highlight w:val="none"/>
        </w:rPr>
        <w:t xml:space="preserve">投标文件的编制： </w:t>
      </w:r>
    </w:p>
    <w:p>
      <w:pPr>
        <w:numPr>
          <w:ilvl w:val="0"/>
          <w:numId w:val="0"/>
        </w:numPr>
        <w:bidi w:val="0"/>
        <w:ind w:leftChars="0" w:firstLine="420" w:firstLineChars="0"/>
        <w:rPr>
          <w:highlight w:val="none"/>
        </w:rPr>
      </w:pPr>
      <w:r>
        <w:rPr>
          <w:highlight w:val="none"/>
        </w:rPr>
        <w:t>9.1 投标语言：投标文件以及供应商与采购人就有关投标的来往函电均使用中文。</w:t>
      </w:r>
    </w:p>
    <w:p>
      <w:pPr>
        <w:numPr>
          <w:ilvl w:val="0"/>
          <w:numId w:val="0"/>
        </w:numPr>
        <w:bidi w:val="0"/>
        <w:ind w:leftChars="0" w:firstLine="420" w:firstLineChars="0"/>
        <w:rPr>
          <w:highlight w:val="none"/>
        </w:rPr>
      </w:pPr>
      <w:r>
        <w:rPr>
          <w:highlight w:val="none"/>
        </w:rPr>
        <w:t xml:space="preserve">9.2 计量单位：中华人民共和国法定计量单位。 </w:t>
      </w:r>
    </w:p>
    <w:p>
      <w:pPr>
        <w:numPr>
          <w:ilvl w:val="0"/>
          <w:numId w:val="0"/>
        </w:numPr>
        <w:bidi w:val="0"/>
        <w:ind w:leftChars="0" w:firstLine="420" w:firstLineChars="0"/>
        <w:rPr>
          <w:highlight w:val="none"/>
        </w:rPr>
      </w:pPr>
      <w:r>
        <w:rPr>
          <w:highlight w:val="none"/>
        </w:rPr>
        <w:t xml:space="preserve">9.3 投标文件规格应采用 A4 幅面，打印，按照招标文件规定的顺序，统一编目编码装订。为便于评标，技 术文件中的各项表格应按照招标文件第六章规定的格式制作。 </w:t>
      </w:r>
    </w:p>
    <w:p>
      <w:pPr>
        <w:numPr>
          <w:ilvl w:val="0"/>
          <w:numId w:val="0"/>
        </w:numPr>
        <w:bidi w:val="0"/>
        <w:ind w:leftChars="0" w:firstLine="420" w:firstLineChars="0"/>
        <w:rPr>
          <w:highlight w:val="none"/>
        </w:rPr>
      </w:pPr>
      <w:r>
        <w:rPr>
          <w:highlight w:val="none"/>
        </w:rPr>
        <w:t xml:space="preserve">9.4 供应商在投标文件以及在投标、谈判、合同签订、履行过程中所签署的相关文件中所加盖的公章，均须按照招标文件的规定加盖与供应商名称全称相一致的标准公章，不得使用彩喷或者彩印的印章，否则将被视为无效。 </w:t>
      </w:r>
    </w:p>
    <w:p>
      <w:pPr>
        <w:numPr>
          <w:ilvl w:val="0"/>
          <w:numId w:val="0"/>
        </w:numPr>
        <w:bidi w:val="0"/>
        <w:ind w:leftChars="0" w:firstLine="420" w:firstLineChars="0"/>
        <w:rPr>
          <w:highlight w:val="none"/>
        </w:rPr>
      </w:pPr>
      <w:r>
        <w:rPr>
          <w:highlight w:val="none"/>
        </w:rPr>
        <w:t xml:space="preserve">9.5 采购人不接受采用传真方式提交的投标文件。 </w:t>
      </w:r>
    </w:p>
    <w:p>
      <w:pPr>
        <w:numPr>
          <w:ilvl w:val="0"/>
          <w:numId w:val="7"/>
        </w:numPr>
        <w:bidi w:val="0"/>
        <w:ind w:firstLine="0"/>
        <w:rPr>
          <w:highlight w:val="none"/>
        </w:rPr>
      </w:pPr>
      <w:r>
        <w:rPr>
          <w:highlight w:val="none"/>
        </w:rPr>
        <w:t xml:space="preserve">投标报价： </w:t>
      </w:r>
    </w:p>
    <w:p>
      <w:pPr>
        <w:numPr>
          <w:ilvl w:val="0"/>
          <w:numId w:val="0"/>
        </w:numPr>
        <w:bidi w:val="0"/>
        <w:ind w:leftChars="0" w:firstLine="420" w:firstLineChars="0"/>
        <w:rPr>
          <w:highlight w:val="none"/>
        </w:rPr>
      </w:pPr>
      <w:r>
        <w:rPr>
          <w:highlight w:val="none"/>
        </w:rPr>
        <w:t xml:space="preserve">10.1 投标货币：所有投标报价均以人民币元为计算单位。 </w:t>
      </w:r>
    </w:p>
    <w:p>
      <w:pPr>
        <w:numPr>
          <w:ilvl w:val="0"/>
          <w:numId w:val="0"/>
        </w:numPr>
        <w:bidi w:val="0"/>
        <w:ind w:leftChars="0" w:firstLine="420" w:firstLineChars="0"/>
        <w:rPr>
          <w:highlight w:val="none"/>
        </w:rPr>
      </w:pPr>
      <w:r>
        <w:rPr>
          <w:highlight w:val="none"/>
        </w:rPr>
        <w:t xml:space="preserve">10.2 供应商应一次性报出投标货物的单价，每种货物只允许有一个报价，任何有选择的报价将不予接受。供应商所报价格应为在本招标文件指定地点交货、由供应商负责安装调试、验收合格并交付的全部价格。 </w:t>
      </w:r>
    </w:p>
    <w:p>
      <w:pPr>
        <w:numPr>
          <w:ilvl w:val="0"/>
          <w:numId w:val="0"/>
        </w:numPr>
        <w:bidi w:val="0"/>
        <w:ind w:leftChars="0" w:firstLine="420" w:firstLineChars="0"/>
        <w:rPr>
          <w:highlight w:val="none"/>
        </w:rPr>
      </w:pPr>
      <w:r>
        <w:rPr>
          <w:highlight w:val="none"/>
        </w:rPr>
        <w:t xml:space="preserve">10.3 供应商所报的价格在合同执行过程中是固定不变的，不得以任何理由予以变更。以可调整的价格提交 的投标将作为非响应性投标予以拒绝。 </w:t>
      </w:r>
    </w:p>
    <w:p>
      <w:pPr>
        <w:numPr>
          <w:ilvl w:val="0"/>
          <w:numId w:val="0"/>
        </w:numPr>
        <w:bidi w:val="0"/>
        <w:ind w:leftChars="0" w:firstLine="420" w:firstLineChars="0"/>
        <w:rPr>
          <w:highlight w:val="none"/>
        </w:rPr>
      </w:pPr>
      <w:r>
        <w:rPr>
          <w:highlight w:val="none"/>
        </w:rPr>
        <w:t xml:space="preserve">10.4 最低报价不能作为中标的保证。 </w:t>
      </w:r>
    </w:p>
    <w:p>
      <w:pPr>
        <w:numPr>
          <w:ilvl w:val="0"/>
          <w:numId w:val="7"/>
        </w:numPr>
        <w:bidi w:val="0"/>
        <w:ind w:firstLine="0"/>
        <w:rPr>
          <w:highlight w:val="none"/>
        </w:rPr>
      </w:pPr>
      <w:r>
        <w:rPr>
          <w:highlight w:val="none"/>
        </w:rPr>
        <w:t xml:space="preserve">投标保证金： </w:t>
      </w:r>
    </w:p>
    <w:p>
      <w:pPr>
        <w:numPr>
          <w:ilvl w:val="0"/>
          <w:numId w:val="0"/>
        </w:numPr>
        <w:bidi w:val="0"/>
        <w:ind w:leftChars="0" w:firstLine="420" w:firstLineChars="0"/>
        <w:rPr>
          <w:highlight w:val="none"/>
        </w:rPr>
      </w:pPr>
      <w:r>
        <w:rPr>
          <w:highlight w:val="none"/>
        </w:rPr>
        <w:t xml:space="preserve">11.1 供应商应向采购人提交相应的投标保证金。供应商须按照《招标公告》标明的采购人帐户名称、开户 银行和帐号，在投标截止时间之前将投标保证金足额汇入（存入）采购人帐户，并必须携带汇款银行出具 的汇款（存款）凭证（进帐单复印件加盖供应商公章或财务章）参加开标会并领取收据。 采购人特别声明：投标保证金必须以银行电汇、电子保函等形式在投标截止时间前汇入招标代理机构指定 的账户，应从基本账户转出。银行电汇单据复印件及基本账户开户许可证复印件应放入投标文件中。详见投标人须知 </w:t>
      </w:r>
    </w:p>
    <w:p>
      <w:pPr>
        <w:numPr>
          <w:ilvl w:val="0"/>
          <w:numId w:val="0"/>
        </w:numPr>
        <w:bidi w:val="0"/>
        <w:ind w:leftChars="0" w:firstLine="420" w:firstLineChars="0"/>
        <w:rPr>
          <w:highlight w:val="none"/>
        </w:rPr>
      </w:pPr>
      <w:r>
        <w:rPr>
          <w:highlight w:val="none"/>
        </w:rPr>
        <w:t xml:space="preserve">11.2 投标保证金是为了弥补采购人因供应商的违规行为而蒙受的损失。采购人在因供应商的违规行为而受 到损害时，将不予退还供应商的投标保证金，并作为所受损害的补偿。 </w:t>
      </w:r>
    </w:p>
    <w:p>
      <w:pPr>
        <w:numPr>
          <w:ilvl w:val="0"/>
          <w:numId w:val="0"/>
        </w:numPr>
        <w:bidi w:val="0"/>
        <w:ind w:leftChars="0" w:firstLine="420" w:firstLineChars="0"/>
        <w:rPr>
          <w:highlight w:val="none"/>
        </w:rPr>
      </w:pPr>
      <w:r>
        <w:rPr>
          <w:highlight w:val="none"/>
        </w:rPr>
        <w:t xml:space="preserve">11.3 投标保证金是投标文件的一个组成部分。在开标时，凡没有按规定提交投标保证金的投标，将被视为 非响应性投标予以拒绝。 </w:t>
      </w:r>
    </w:p>
    <w:p>
      <w:pPr>
        <w:numPr>
          <w:ilvl w:val="0"/>
          <w:numId w:val="0"/>
        </w:numPr>
        <w:bidi w:val="0"/>
        <w:ind w:leftChars="0" w:firstLine="420" w:firstLineChars="0"/>
        <w:rPr>
          <w:highlight w:val="none"/>
        </w:rPr>
      </w:pPr>
      <w:r>
        <w:rPr>
          <w:highlight w:val="none"/>
        </w:rPr>
        <w:t xml:space="preserve">11.4 落标人的投标保证金将在中标通知书发出后 5 个工作日内退还，不计利息。 </w:t>
      </w:r>
    </w:p>
    <w:p>
      <w:pPr>
        <w:numPr>
          <w:ilvl w:val="0"/>
          <w:numId w:val="0"/>
        </w:numPr>
        <w:bidi w:val="0"/>
        <w:ind w:leftChars="0" w:firstLine="420" w:firstLineChars="0"/>
        <w:rPr>
          <w:highlight w:val="none"/>
        </w:rPr>
      </w:pPr>
      <w:r>
        <w:rPr>
          <w:highlight w:val="none"/>
        </w:rPr>
        <w:t xml:space="preserve">11.5 中标人的投标保证金，在中标人按本须知第 21 条规定签署合同，并按第 22 条规定交纳了履约保证金 后 5 个工作日内退还，不计利息。 </w:t>
      </w:r>
    </w:p>
    <w:p>
      <w:pPr>
        <w:numPr>
          <w:ilvl w:val="0"/>
          <w:numId w:val="0"/>
        </w:numPr>
        <w:bidi w:val="0"/>
        <w:ind w:leftChars="0" w:firstLine="420" w:firstLineChars="0"/>
        <w:rPr>
          <w:highlight w:val="none"/>
        </w:rPr>
      </w:pPr>
      <w:r>
        <w:rPr>
          <w:highlight w:val="none"/>
        </w:rPr>
        <w:t xml:space="preserve">11.6 投标保证金将一律通过银行转帐方式退还。 </w:t>
      </w:r>
    </w:p>
    <w:p>
      <w:pPr>
        <w:numPr>
          <w:ilvl w:val="0"/>
          <w:numId w:val="0"/>
        </w:numPr>
        <w:bidi w:val="0"/>
        <w:ind w:leftChars="0" w:firstLine="420" w:firstLineChars="0"/>
        <w:rPr>
          <w:highlight w:val="none"/>
        </w:rPr>
      </w:pPr>
      <w:r>
        <w:rPr>
          <w:highlight w:val="none"/>
        </w:rPr>
        <w:t xml:space="preserve">11.7 下列情况之一发生时，投标保证金将不予退还： </w:t>
      </w:r>
    </w:p>
    <w:p>
      <w:pPr>
        <w:numPr>
          <w:ilvl w:val="0"/>
          <w:numId w:val="0"/>
        </w:numPr>
        <w:bidi w:val="0"/>
        <w:ind w:leftChars="0" w:firstLine="420" w:firstLineChars="0"/>
        <w:rPr>
          <w:highlight w:val="none"/>
        </w:rPr>
      </w:pPr>
      <w:r>
        <w:rPr>
          <w:highlight w:val="none"/>
        </w:rPr>
        <w:t xml:space="preserve">（1）供应商在招标文件规定的投标有效期内撤回其投标； </w:t>
      </w:r>
    </w:p>
    <w:p>
      <w:pPr>
        <w:numPr>
          <w:ilvl w:val="0"/>
          <w:numId w:val="0"/>
        </w:numPr>
        <w:bidi w:val="0"/>
        <w:ind w:leftChars="0" w:firstLine="420" w:firstLineChars="0"/>
        <w:rPr>
          <w:highlight w:val="none"/>
        </w:rPr>
      </w:pPr>
      <w:r>
        <w:rPr>
          <w:highlight w:val="none"/>
        </w:rPr>
        <w:t xml:space="preserve">（2）中标人在规定期限内未能做到：a.按照本须知第 21 条规定签订合同；b.按照本须知第 22 条规定提交 履约保证金。 </w:t>
      </w:r>
    </w:p>
    <w:p>
      <w:pPr>
        <w:numPr>
          <w:ilvl w:val="0"/>
          <w:numId w:val="0"/>
        </w:numPr>
        <w:bidi w:val="0"/>
        <w:ind w:leftChars="0" w:firstLine="420" w:firstLineChars="0"/>
        <w:rPr>
          <w:highlight w:val="none"/>
        </w:rPr>
      </w:pPr>
      <w:r>
        <w:rPr>
          <w:highlight w:val="none"/>
        </w:rPr>
        <w:t xml:space="preserve">（3）招标文件规定不予退还投标保证金的其他情形。 </w:t>
      </w:r>
    </w:p>
    <w:p>
      <w:pPr>
        <w:numPr>
          <w:ilvl w:val="0"/>
          <w:numId w:val="0"/>
        </w:numPr>
        <w:bidi w:val="0"/>
        <w:ind w:leftChars="0" w:firstLine="420" w:firstLineChars="0"/>
        <w:rPr>
          <w:highlight w:val="none"/>
        </w:rPr>
      </w:pPr>
      <w:r>
        <w:rPr>
          <w:highlight w:val="none"/>
        </w:rPr>
        <w:t xml:space="preserve">11.8 如投标保证金使用电子保函形式的，请务必仔细阅读公告及供应商须知前附表要求，若因未按照文件 相关规定出具的，后果自负。 </w:t>
      </w:r>
    </w:p>
    <w:p>
      <w:pPr>
        <w:numPr>
          <w:ilvl w:val="0"/>
          <w:numId w:val="7"/>
        </w:numPr>
        <w:bidi w:val="0"/>
        <w:ind w:firstLine="0"/>
        <w:rPr>
          <w:highlight w:val="none"/>
        </w:rPr>
      </w:pPr>
      <w:r>
        <w:rPr>
          <w:highlight w:val="none"/>
        </w:rPr>
        <w:t xml:space="preserve">投标有效期： </w:t>
      </w:r>
    </w:p>
    <w:p>
      <w:pPr>
        <w:numPr>
          <w:ilvl w:val="0"/>
          <w:numId w:val="0"/>
        </w:numPr>
        <w:bidi w:val="0"/>
        <w:ind w:leftChars="0" w:firstLine="420" w:firstLineChars="0"/>
        <w:rPr>
          <w:highlight w:val="none"/>
        </w:rPr>
      </w:pPr>
      <w:r>
        <w:rPr>
          <w:highlight w:val="none"/>
        </w:rPr>
        <w:t xml:space="preserve">12.1 投标有效期为自开标之时起 90 天。投标文件在这个规定期限内应保持有效。 </w:t>
      </w:r>
    </w:p>
    <w:p>
      <w:pPr>
        <w:numPr>
          <w:ilvl w:val="0"/>
          <w:numId w:val="0"/>
        </w:numPr>
        <w:bidi w:val="0"/>
        <w:ind w:leftChars="0" w:firstLine="420" w:firstLineChars="0"/>
        <w:rPr>
          <w:highlight w:val="none"/>
        </w:rPr>
      </w:pPr>
      <w:r>
        <w:rPr>
          <w:highlight w:val="none"/>
        </w:rPr>
        <w:t>12.2 在特殊情况下，采购人可与供应商协商延长投标有效期。这种要求和答复都应以书面形式进行。供应 商可以拒绝接受延期要求而不会被没收投标保证金。同意延长投标有效期的供应商除按照采购人要求修改 投标文件的有效期外，不能修改投标文件的其他内容。</w:t>
      </w:r>
    </w:p>
    <w:p>
      <w:pPr>
        <w:numPr>
          <w:ilvl w:val="0"/>
          <w:numId w:val="0"/>
        </w:numPr>
        <w:bidi w:val="0"/>
        <w:ind w:leftChars="0" w:firstLine="420" w:firstLineChars="0"/>
        <w:rPr>
          <w:highlight w:val="none"/>
        </w:rPr>
      </w:pPr>
      <w:r>
        <w:rPr>
          <w:highlight w:val="none"/>
        </w:rPr>
        <w:t xml:space="preserve">12.3 中标人的投标文件有效期等同于合同履行期。 </w:t>
      </w:r>
    </w:p>
    <w:p>
      <w:pPr>
        <w:numPr>
          <w:ilvl w:val="0"/>
          <w:numId w:val="0"/>
        </w:numPr>
        <w:bidi w:val="0"/>
        <w:ind w:leftChars="0" w:firstLine="420" w:firstLineChars="0"/>
        <w:rPr>
          <w:highlight w:val="none"/>
        </w:rPr>
      </w:pPr>
      <w:r>
        <w:rPr>
          <w:highlight w:val="none"/>
        </w:rPr>
        <w:t xml:space="preserve">13. 投标文件的式样和签署： </w:t>
      </w:r>
    </w:p>
    <w:p>
      <w:pPr>
        <w:numPr>
          <w:ilvl w:val="0"/>
          <w:numId w:val="0"/>
        </w:numPr>
        <w:bidi w:val="0"/>
        <w:ind w:leftChars="0" w:firstLine="420" w:firstLineChars="0"/>
        <w:rPr>
          <w:highlight w:val="none"/>
        </w:rPr>
      </w:pPr>
      <w:r>
        <w:rPr>
          <w:highlight w:val="none"/>
        </w:rPr>
        <w:t xml:space="preserve">13.1 投标文件需打印或用不褪色墨水书写。第六章《投标文件构成、要求及格式》中凡要求签署和加盖公 章的，均须由供应商的法定代表人或其授权代理人手书签字和加盖供应商公章。投标文件由法定代表人签 署的，须与其企业法人营业执照相符；由授权代理人签署的，须提交以书面形式出具的《法定代表人授权 书》（按第六章规定的格式提交）。 </w:t>
      </w:r>
    </w:p>
    <w:p>
      <w:pPr>
        <w:numPr>
          <w:ilvl w:val="0"/>
          <w:numId w:val="0"/>
        </w:numPr>
        <w:bidi w:val="0"/>
        <w:ind w:leftChars="0" w:firstLine="420" w:firstLineChars="0"/>
        <w:rPr>
          <w:highlight w:val="none"/>
        </w:rPr>
      </w:pPr>
      <w:r>
        <w:rPr>
          <w:highlight w:val="none"/>
        </w:rPr>
        <w:t xml:space="preserve">13.2 投标文件中如有修改错漏处，应在修改处加盖供应商公章。 </w:t>
      </w:r>
    </w:p>
    <w:p>
      <w:pPr>
        <w:numPr>
          <w:ilvl w:val="0"/>
          <w:numId w:val="0"/>
        </w:numPr>
        <w:bidi w:val="0"/>
        <w:ind w:leftChars="0" w:firstLine="420" w:firstLineChars="0"/>
        <w:rPr>
          <w:highlight w:val="none"/>
        </w:rPr>
      </w:pPr>
      <w:r>
        <w:rPr>
          <w:highlight w:val="none"/>
        </w:rPr>
        <w:t xml:space="preserve">14. 投标文件的修改和撤回： </w:t>
      </w:r>
    </w:p>
    <w:p>
      <w:pPr>
        <w:numPr>
          <w:ilvl w:val="0"/>
          <w:numId w:val="0"/>
        </w:numPr>
        <w:bidi w:val="0"/>
        <w:ind w:leftChars="0" w:firstLine="420" w:firstLineChars="0"/>
        <w:rPr>
          <w:highlight w:val="none"/>
        </w:rPr>
      </w:pPr>
      <w:r>
        <w:rPr>
          <w:highlight w:val="none"/>
        </w:rPr>
        <w:t>14.1 供应商在递交投标文件后，可以修改或撤回其投标文件，但采购人必须在规定的投标截止时间之前收 到供应商的修改或撤回的书面通知。</w:t>
      </w:r>
    </w:p>
    <w:p>
      <w:pPr>
        <w:numPr>
          <w:ilvl w:val="0"/>
          <w:numId w:val="0"/>
        </w:numPr>
        <w:bidi w:val="0"/>
        <w:ind w:leftChars="0" w:firstLine="420" w:firstLineChars="0"/>
        <w:rPr>
          <w:highlight w:val="none"/>
        </w:rPr>
      </w:pPr>
      <w:r>
        <w:rPr>
          <w:highlight w:val="none"/>
        </w:rPr>
        <w:t xml:space="preserve">14.2 供应商的修改或撤回通知书应按对投标文件的规定一样进行编制、密封、标记和递交，并标明“修改” 或“撤回”字样。 </w:t>
      </w:r>
    </w:p>
    <w:p>
      <w:pPr>
        <w:numPr>
          <w:ilvl w:val="0"/>
          <w:numId w:val="0"/>
        </w:numPr>
        <w:bidi w:val="0"/>
        <w:ind w:leftChars="0" w:firstLine="420" w:firstLineChars="0"/>
        <w:rPr>
          <w:highlight w:val="none"/>
        </w:rPr>
      </w:pPr>
      <w:r>
        <w:rPr>
          <w:highlight w:val="none"/>
        </w:rPr>
        <w:t xml:space="preserve">14.3 在投标截止时间（开标时间）之后，供应商不得对其投标书做任何修改（包括开标一览表的内容）。 </w:t>
      </w:r>
    </w:p>
    <w:p>
      <w:pPr>
        <w:numPr>
          <w:ilvl w:val="0"/>
          <w:numId w:val="0"/>
        </w:numPr>
        <w:bidi w:val="0"/>
        <w:ind w:leftChars="0" w:firstLine="420" w:firstLineChars="0"/>
        <w:rPr>
          <w:highlight w:val="none"/>
        </w:rPr>
      </w:pPr>
      <w:r>
        <w:rPr>
          <w:highlight w:val="none"/>
        </w:rPr>
        <w:t xml:space="preserve">14.4 从开标时间起，至投标有效期期满，供应商不得撤回其投标，否则，其投标保证金将不予退还。 投标（此条本项目不适用，本项目采用远程不见面投标，相关规定详见前附表） </w:t>
      </w:r>
    </w:p>
    <w:p>
      <w:pPr>
        <w:numPr>
          <w:ilvl w:val="0"/>
          <w:numId w:val="0"/>
        </w:numPr>
        <w:bidi w:val="0"/>
        <w:ind w:leftChars="0" w:firstLine="420" w:firstLineChars="0"/>
        <w:rPr>
          <w:highlight w:val="none"/>
        </w:rPr>
      </w:pPr>
      <w:r>
        <w:rPr>
          <w:highlight w:val="none"/>
        </w:rPr>
        <w:t xml:space="preserve">15.密封： </w:t>
      </w:r>
    </w:p>
    <w:p>
      <w:pPr>
        <w:numPr>
          <w:ilvl w:val="0"/>
          <w:numId w:val="0"/>
        </w:numPr>
        <w:bidi w:val="0"/>
        <w:ind w:leftChars="0" w:firstLine="420" w:firstLineChars="0"/>
        <w:rPr>
          <w:highlight w:val="none"/>
        </w:rPr>
      </w:pPr>
      <w:r>
        <w:rPr>
          <w:highlight w:val="none"/>
        </w:rPr>
        <w:t xml:space="preserve">15.1 投标文件应按以下方法分别装袋密封： 投标书正本单独包封、所有副本包封到一起，正副本不得再包封。开标一览表和电子版单独封装。封口处 应加盖投标单位公章。封皮上写明招标编号、招标项目名称、投标人名称，并注明“投标人名称及地址、在年月日时分前不得开启”等字样，并有投标全权代表的签字及加盖投标单位公章。封皮样式见附件。 供应商应将投标文件装订成册、密封，在信封上标明招标项目名称、项目编号、供应商名称、地址、联系 方式和邮编，并在封口处加盖供应商公章，在《招标公告》规定的投标地点和投标截止时间前递交给采购 人。如果供应商没有按照要求密封、标记，采购人对于供应商的误投、错投以及提前拆封概不负责。 </w:t>
      </w:r>
    </w:p>
    <w:p>
      <w:pPr>
        <w:numPr>
          <w:ilvl w:val="0"/>
          <w:numId w:val="0"/>
        </w:numPr>
        <w:bidi w:val="0"/>
        <w:ind w:leftChars="0" w:firstLine="420" w:firstLineChars="0"/>
        <w:rPr>
          <w:highlight w:val="none"/>
        </w:rPr>
      </w:pPr>
      <w:r>
        <w:rPr>
          <w:highlight w:val="none"/>
        </w:rPr>
        <w:t xml:space="preserve">15.2 投标文件份数：供应商应提交投标文件正本 1 份、副本 2 份(副本可以是正本的复印件，但应骑页加 盖供应商公章)，并标明“正本”、“副本”字样，当正本与副本内容不一致时，以正本为准，电子版 3 份（载体为 U 盘），内容与正本一致，单独密封，投标授权委托人需手持法人身份证明，被授权人委托书 原件，被授权人身份证原件进行投标。 </w:t>
      </w:r>
    </w:p>
    <w:p>
      <w:pPr>
        <w:numPr>
          <w:ilvl w:val="0"/>
          <w:numId w:val="0"/>
        </w:numPr>
        <w:bidi w:val="0"/>
        <w:ind w:leftChars="0" w:firstLine="420" w:firstLineChars="0"/>
        <w:rPr>
          <w:highlight w:val="none"/>
        </w:rPr>
      </w:pPr>
      <w:r>
        <w:rPr>
          <w:highlight w:val="none"/>
        </w:rPr>
        <w:t xml:space="preserve">15.3 供应商应按第六章《投标文件构成、要求及格式》中的格式和要求单独编制一份《开标一览表》，按 照对投标文件同样的要求单独密封和标记，与投标文件同时递交。 </w:t>
      </w:r>
    </w:p>
    <w:p>
      <w:pPr>
        <w:numPr>
          <w:ilvl w:val="0"/>
          <w:numId w:val="0"/>
        </w:numPr>
        <w:bidi w:val="0"/>
        <w:ind w:leftChars="0" w:firstLine="420" w:firstLineChars="0"/>
        <w:rPr>
          <w:highlight w:val="none"/>
        </w:rPr>
      </w:pPr>
      <w:r>
        <w:rPr>
          <w:highlight w:val="none"/>
        </w:rPr>
        <w:t xml:space="preserve">15.4 采购人将拒绝接受并原封退回在规定的投标截止时间以后递交的投标文件。 </w:t>
      </w:r>
    </w:p>
    <w:p>
      <w:pPr>
        <w:numPr>
          <w:ilvl w:val="0"/>
          <w:numId w:val="0"/>
        </w:numPr>
        <w:bidi w:val="0"/>
        <w:ind w:leftChars="0" w:firstLine="420" w:firstLineChars="0"/>
        <w:rPr>
          <w:highlight w:val="none"/>
        </w:rPr>
      </w:pPr>
      <w:r>
        <w:rPr>
          <w:highlight w:val="none"/>
        </w:rPr>
        <w:t xml:space="preserve">15.5 首次招标投标截止时间结束后供应商不足三家的，可按本须知第 19 条规定办理。 </w:t>
      </w:r>
    </w:p>
    <w:p>
      <w:pPr>
        <w:numPr>
          <w:ilvl w:val="0"/>
          <w:numId w:val="0"/>
        </w:numPr>
        <w:bidi w:val="0"/>
        <w:ind w:leftChars="0" w:firstLine="420" w:firstLineChars="0"/>
        <w:rPr>
          <w:highlight w:val="none"/>
        </w:rPr>
      </w:pPr>
      <w:r>
        <w:rPr>
          <w:highlight w:val="none"/>
        </w:rPr>
        <w:t xml:space="preserve">15.6 招标采购单位在任何时候发现供应商提交的投标文件内容有下列情形之一时，将给予废标、解除合同 及赔偿损失，同时有权依法追究供应商的责任： </w:t>
      </w:r>
    </w:p>
    <w:p>
      <w:pPr>
        <w:numPr>
          <w:ilvl w:val="0"/>
          <w:numId w:val="0"/>
        </w:numPr>
        <w:bidi w:val="0"/>
        <w:ind w:leftChars="0" w:firstLine="420" w:firstLineChars="0"/>
        <w:rPr>
          <w:highlight w:val="none"/>
        </w:rPr>
      </w:pPr>
      <w:r>
        <w:rPr>
          <w:highlight w:val="none"/>
        </w:rPr>
        <w:t xml:space="preserve">15.6.1 虚假的资料。 </w:t>
      </w:r>
    </w:p>
    <w:p>
      <w:pPr>
        <w:numPr>
          <w:ilvl w:val="0"/>
          <w:numId w:val="0"/>
        </w:numPr>
        <w:bidi w:val="0"/>
        <w:ind w:leftChars="0" w:firstLine="420" w:firstLineChars="0"/>
        <w:rPr>
          <w:highlight w:val="none"/>
        </w:rPr>
      </w:pPr>
      <w:r>
        <w:rPr>
          <w:highlight w:val="none"/>
        </w:rPr>
        <w:t>15.6.2 在实质性方面失实。</w:t>
      </w:r>
    </w:p>
    <w:p>
      <w:pPr>
        <w:numPr>
          <w:ilvl w:val="0"/>
          <w:numId w:val="0"/>
        </w:numPr>
        <w:bidi w:val="0"/>
        <w:ind w:leftChars="0" w:firstLine="420" w:firstLineChars="0"/>
        <w:rPr>
          <w:highlight w:val="none"/>
        </w:rPr>
      </w:pPr>
      <w:r>
        <w:rPr>
          <w:highlight w:val="none"/>
        </w:rPr>
        <w:t xml:space="preserve">16. 开标：（此条本项目不适用，本项目采用远程不见面投标，相关规定详见前附表） </w:t>
      </w:r>
    </w:p>
    <w:p>
      <w:pPr>
        <w:numPr>
          <w:ilvl w:val="0"/>
          <w:numId w:val="0"/>
        </w:numPr>
        <w:bidi w:val="0"/>
        <w:ind w:leftChars="0" w:firstLine="420" w:firstLineChars="0"/>
        <w:rPr>
          <w:highlight w:val="none"/>
        </w:rPr>
      </w:pPr>
      <w:r>
        <w:rPr>
          <w:highlight w:val="none"/>
        </w:rPr>
        <w:t xml:space="preserve">16.1 采购人将在《招标公告》规定的时间和地点公开开标。供应商法定代表人或其授权代理人应参加并签 名报到以证明其出席，并携带有效身份证件以备审查。 </w:t>
      </w:r>
    </w:p>
    <w:p>
      <w:pPr>
        <w:numPr>
          <w:ilvl w:val="0"/>
          <w:numId w:val="0"/>
        </w:numPr>
        <w:bidi w:val="0"/>
        <w:ind w:leftChars="0" w:firstLine="420" w:firstLineChars="0"/>
        <w:rPr>
          <w:highlight w:val="none"/>
        </w:rPr>
      </w:pPr>
      <w:r>
        <w:rPr>
          <w:highlight w:val="none"/>
        </w:rPr>
        <w:t xml:space="preserve">16.2 开标会由采购人组织并主持。开标前，由监督人员和供应商代表检查投标文件的密封情况并当场宣布检查情况。 </w:t>
      </w:r>
    </w:p>
    <w:p>
      <w:pPr>
        <w:numPr>
          <w:ilvl w:val="0"/>
          <w:numId w:val="0"/>
        </w:numPr>
        <w:bidi w:val="0"/>
        <w:ind w:leftChars="0" w:firstLine="420" w:firstLineChars="0"/>
        <w:rPr>
          <w:highlight w:val="none"/>
        </w:rPr>
      </w:pPr>
      <w:r>
        <w:rPr>
          <w:highlight w:val="none"/>
        </w:rPr>
        <w:t xml:space="preserve">16.3 开标时，采购人将按照供应商提交的“开标一览表”，当众宣读供应商名称、修改和撤回投标的通知、 投标价格、交货时间、是否提交了投标保证金等内容。 </w:t>
      </w:r>
    </w:p>
    <w:p>
      <w:pPr>
        <w:numPr>
          <w:ilvl w:val="0"/>
          <w:numId w:val="0"/>
        </w:numPr>
        <w:bidi w:val="0"/>
        <w:ind w:leftChars="0" w:firstLine="420" w:firstLineChars="0"/>
        <w:rPr>
          <w:highlight w:val="none"/>
        </w:rPr>
      </w:pPr>
      <w:r>
        <w:rPr>
          <w:highlight w:val="none"/>
        </w:rPr>
        <w:t xml:space="preserve">16.4 开标时未宣读的投标价格等实质性内容，评标时不予承认。 </w:t>
      </w:r>
    </w:p>
    <w:p>
      <w:pPr>
        <w:numPr>
          <w:ilvl w:val="0"/>
          <w:numId w:val="0"/>
        </w:numPr>
        <w:bidi w:val="0"/>
        <w:ind w:leftChars="0" w:firstLine="420" w:firstLineChars="0"/>
        <w:rPr>
          <w:highlight w:val="none"/>
        </w:rPr>
      </w:pPr>
      <w:r>
        <w:rPr>
          <w:highlight w:val="none"/>
        </w:rPr>
        <w:t xml:space="preserve">16.5 按照供应商须知第 14 条的规定，提交了可接受的“撤回”通知的投标将不予开封。撤回的投标书将 原封退回供应商。 </w:t>
      </w:r>
    </w:p>
    <w:p>
      <w:pPr>
        <w:numPr>
          <w:ilvl w:val="0"/>
          <w:numId w:val="0"/>
        </w:numPr>
        <w:bidi w:val="0"/>
        <w:ind w:leftChars="0" w:firstLine="420" w:firstLineChars="0"/>
        <w:rPr>
          <w:highlight w:val="none"/>
        </w:rPr>
      </w:pPr>
      <w:r>
        <w:rPr>
          <w:highlight w:val="none"/>
        </w:rPr>
        <w:t xml:space="preserve">16.6 采购人将做开标记录，开标记录包括按本须知第 16.3 款的规定在开标时宣读的全部内容。开标记录 将在开标后由监督人员和供应商代表签字确认。 </w:t>
      </w:r>
    </w:p>
    <w:p>
      <w:pPr>
        <w:numPr>
          <w:ilvl w:val="0"/>
          <w:numId w:val="0"/>
        </w:numPr>
        <w:bidi w:val="0"/>
        <w:ind w:leftChars="0" w:firstLine="420" w:firstLineChars="0"/>
        <w:rPr>
          <w:highlight w:val="none"/>
        </w:rPr>
      </w:pPr>
      <w:r>
        <w:rPr>
          <w:highlight w:val="none"/>
        </w:rPr>
        <w:t xml:space="preserve">16.7 开标时有下列情形之一的为无效投标： </w:t>
      </w:r>
    </w:p>
    <w:p>
      <w:pPr>
        <w:numPr>
          <w:ilvl w:val="0"/>
          <w:numId w:val="0"/>
        </w:numPr>
        <w:bidi w:val="0"/>
        <w:ind w:leftChars="0" w:firstLine="420" w:firstLineChars="0"/>
        <w:rPr>
          <w:highlight w:val="none"/>
        </w:rPr>
      </w:pPr>
      <w:r>
        <w:rPr>
          <w:highlight w:val="none"/>
        </w:rPr>
        <w:t xml:space="preserve">（1）投标文件在规定的投标截止时间以后送达的； </w:t>
      </w:r>
    </w:p>
    <w:p>
      <w:pPr>
        <w:numPr>
          <w:ilvl w:val="0"/>
          <w:numId w:val="0"/>
        </w:numPr>
        <w:bidi w:val="0"/>
        <w:ind w:leftChars="0" w:firstLine="420" w:firstLineChars="0"/>
        <w:rPr>
          <w:highlight w:val="none"/>
        </w:rPr>
      </w:pPr>
      <w:r>
        <w:rPr>
          <w:highlight w:val="none"/>
        </w:rPr>
        <w:t xml:space="preserve">（2）未按招标文件规定提交投标保证金的； </w:t>
      </w:r>
    </w:p>
    <w:p>
      <w:pPr>
        <w:numPr>
          <w:ilvl w:val="0"/>
          <w:numId w:val="0"/>
        </w:numPr>
        <w:bidi w:val="0"/>
        <w:ind w:leftChars="0" w:firstLine="420" w:firstLineChars="0"/>
        <w:rPr>
          <w:highlight w:val="none"/>
        </w:rPr>
      </w:pPr>
      <w:r>
        <w:rPr>
          <w:highlight w:val="none"/>
        </w:rPr>
        <w:t xml:space="preserve">（3）投标文件未按招标文件规定密封的； </w:t>
      </w:r>
    </w:p>
    <w:p>
      <w:pPr>
        <w:numPr>
          <w:ilvl w:val="0"/>
          <w:numId w:val="0"/>
        </w:numPr>
        <w:bidi w:val="0"/>
        <w:ind w:leftChars="0" w:firstLine="420" w:firstLineChars="0"/>
        <w:rPr>
          <w:highlight w:val="none"/>
        </w:rPr>
      </w:pPr>
      <w:r>
        <w:rPr>
          <w:highlight w:val="none"/>
        </w:rPr>
        <w:t xml:space="preserve">（4）未提交单独密封的开标一览表或者开标一览表未按规定加盖公章和有效签署的； </w:t>
      </w:r>
    </w:p>
    <w:p>
      <w:pPr>
        <w:numPr>
          <w:ilvl w:val="0"/>
          <w:numId w:val="0"/>
        </w:numPr>
        <w:bidi w:val="0"/>
        <w:ind w:leftChars="0" w:firstLine="420" w:firstLineChars="0"/>
        <w:rPr>
          <w:highlight w:val="none"/>
        </w:rPr>
      </w:pPr>
      <w:r>
        <w:rPr>
          <w:highlight w:val="none"/>
        </w:rPr>
        <w:t xml:space="preserve">（5）招标文件规定开标时属于无效投标的其他情形。 </w:t>
      </w:r>
    </w:p>
    <w:p>
      <w:pPr>
        <w:numPr>
          <w:ilvl w:val="0"/>
          <w:numId w:val="0"/>
        </w:numPr>
        <w:bidi w:val="0"/>
        <w:ind w:leftChars="0" w:firstLine="420" w:firstLineChars="0"/>
        <w:rPr>
          <w:highlight w:val="none"/>
        </w:rPr>
      </w:pPr>
      <w:r>
        <w:rPr>
          <w:highlight w:val="none"/>
        </w:rPr>
        <w:t xml:space="preserve">16.8 开标时有下列情形之一的，采购人有权宣布本项目废标： </w:t>
      </w:r>
    </w:p>
    <w:p>
      <w:pPr>
        <w:numPr>
          <w:ilvl w:val="0"/>
          <w:numId w:val="0"/>
        </w:numPr>
        <w:bidi w:val="0"/>
        <w:ind w:leftChars="0" w:firstLine="420" w:firstLineChars="0"/>
        <w:rPr>
          <w:highlight w:val="none"/>
        </w:rPr>
      </w:pPr>
      <w:r>
        <w:rPr>
          <w:highlight w:val="none"/>
        </w:rPr>
        <w:t xml:space="preserve">（1）交货时间符合招标文件要求的供应商不足三家的； </w:t>
      </w:r>
    </w:p>
    <w:p>
      <w:pPr>
        <w:numPr>
          <w:ilvl w:val="0"/>
          <w:numId w:val="0"/>
        </w:numPr>
        <w:bidi w:val="0"/>
        <w:ind w:leftChars="0" w:firstLine="420" w:firstLineChars="0"/>
        <w:rPr>
          <w:highlight w:val="none"/>
        </w:rPr>
      </w:pPr>
      <w:r>
        <w:rPr>
          <w:highlight w:val="none"/>
        </w:rPr>
        <w:t xml:space="preserve">（2）所有供应商的报价均超过采购项目预算，采购人不能支付的。 </w:t>
      </w:r>
    </w:p>
    <w:p>
      <w:pPr>
        <w:numPr>
          <w:ilvl w:val="0"/>
          <w:numId w:val="0"/>
        </w:numPr>
        <w:bidi w:val="0"/>
        <w:ind w:leftChars="0" w:firstLine="420" w:firstLineChars="0"/>
        <w:rPr>
          <w:highlight w:val="none"/>
        </w:rPr>
      </w:pPr>
      <w:r>
        <w:rPr>
          <w:highlight w:val="none"/>
        </w:rPr>
        <w:t xml:space="preserve">17.评标过程的保密性：公开开标后，直至向中标的供应商授予合同时止，除按招标文件规定予以公开的 评标结果外，凡与审查、澄清、评价和比较投标有关的资料以及授标意见等，均不得向供应商及与评标无 关的其他人透露 </w:t>
      </w:r>
    </w:p>
    <w:p>
      <w:pPr>
        <w:numPr>
          <w:ilvl w:val="0"/>
          <w:numId w:val="0"/>
        </w:numPr>
        <w:bidi w:val="0"/>
        <w:ind w:leftChars="0" w:firstLine="420" w:firstLineChars="0"/>
        <w:rPr>
          <w:highlight w:val="none"/>
        </w:rPr>
      </w:pPr>
      <w:r>
        <w:rPr>
          <w:highlight w:val="none"/>
        </w:rPr>
        <w:t xml:space="preserve">18.评标： </w:t>
      </w:r>
    </w:p>
    <w:p>
      <w:pPr>
        <w:numPr>
          <w:ilvl w:val="0"/>
          <w:numId w:val="0"/>
        </w:numPr>
        <w:bidi w:val="0"/>
        <w:ind w:leftChars="0" w:firstLine="420" w:firstLineChars="0"/>
        <w:rPr>
          <w:highlight w:val="none"/>
        </w:rPr>
      </w:pPr>
      <w:r>
        <w:rPr>
          <w:highlight w:val="none"/>
        </w:rPr>
        <w:t xml:space="preserve">18.1 评标工作由采购人负责组织，具体评标工作由采购人依法组建的评标委员会负责。评标委员会由有关 的技术、经济方面的专家和采购人代表组成。评标委员会的专家成员由专家库中随机抽取产生，采购人代 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人只负责评标组织工作，不参加评标。 </w:t>
      </w:r>
    </w:p>
    <w:p>
      <w:pPr>
        <w:numPr>
          <w:ilvl w:val="0"/>
          <w:numId w:val="0"/>
        </w:numPr>
        <w:bidi w:val="0"/>
        <w:ind w:leftChars="0" w:firstLine="420" w:firstLineChars="0"/>
        <w:rPr>
          <w:highlight w:val="none"/>
        </w:rPr>
      </w:pPr>
      <w:r>
        <w:rPr>
          <w:highlight w:val="none"/>
        </w:rPr>
        <w:t xml:space="preserve">18.2 审查是否所有供应商的报价均超过采购预算：根据《中华人民共和国政府采购法》的规定，所有供应 商的报价均超过采购预算，采购人不能支付的，应予否决处理。 </w:t>
      </w:r>
    </w:p>
    <w:p>
      <w:pPr>
        <w:numPr>
          <w:ilvl w:val="0"/>
          <w:numId w:val="0"/>
        </w:numPr>
        <w:bidi w:val="0"/>
        <w:ind w:leftChars="0" w:firstLine="420" w:firstLineChars="0"/>
        <w:rPr>
          <w:highlight w:val="none"/>
        </w:rPr>
      </w:pPr>
      <w:r>
        <w:rPr>
          <w:highlight w:val="none"/>
        </w:rPr>
        <w:t xml:space="preserve">18.3 审查供应商是否存在串通投标行为：评标委员会发现供应商有下列情形之一的，将认定属于串通投标 行为，相关供应商的投标应作废标处理。评标结束后，招标机构将以书面形式报告吉林市政府采购监督管理部门： </w:t>
      </w:r>
    </w:p>
    <w:p>
      <w:pPr>
        <w:numPr>
          <w:ilvl w:val="0"/>
          <w:numId w:val="0"/>
        </w:numPr>
        <w:bidi w:val="0"/>
        <w:ind w:leftChars="0" w:firstLine="420" w:firstLineChars="0"/>
        <w:rPr>
          <w:highlight w:val="none"/>
        </w:rPr>
      </w:pPr>
      <w:r>
        <w:rPr>
          <w:highlight w:val="none"/>
        </w:rPr>
        <w:t>（1）不同供应商的投标文件中错、漏之处相同的；</w:t>
      </w:r>
    </w:p>
    <w:p>
      <w:pPr>
        <w:numPr>
          <w:ilvl w:val="0"/>
          <w:numId w:val="0"/>
        </w:numPr>
        <w:bidi w:val="0"/>
        <w:ind w:leftChars="0" w:firstLine="420" w:firstLineChars="0"/>
        <w:rPr>
          <w:highlight w:val="none"/>
        </w:rPr>
      </w:pPr>
      <w:r>
        <w:rPr>
          <w:highlight w:val="none"/>
        </w:rPr>
        <w:t xml:space="preserve">（2）不同供应商的投标文件相互混装的，或者相互加盖了对方公章的，或者相互出现了对方法定代表人或者授权代理人签名的，或者相互书写了对方名称的； </w:t>
      </w:r>
    </w:p>
    <w:p>
      <w:pPr>
        <w:numPr>
          <w:ilvl w:val="0"/>
          <w:numId w:val="0"/>
        </w:numPr>
        <w:bidi w:val="0"/>
        <w:ind w:leftChars="0" w:firstLine="420" w:firstLineChars="0"/>
        <w:rPr>
          <w:highlight w:val="none"/>
        </w:rPr>
      </w:pPr>
      <w:r>
        <w:rPr>
          <w:highlight w:val="none"/>
        </w:rPr>
        <w:t xml:space="preserve">（3）一家供应商的投标文件中加盖了另一家供应商公章的； </w:t>
      </w:r>
    </w:p>
    <w:p>
      <w:pPr>
        <w:numPr>
          <w:ilvl w:val="0"/>
          <w:numId w:val="0"/>
        </w:numPr>
        <w:bidi w:val="0"/>
        <w:ind w:leftChars="0" w:firstLine="420" w:firstLineChars="0"/>
        <w:rPr>
          <w:highlight w:val="none"/>
        </w:rPr>
      </w:pPr>
      <w:r>
        <w:rPr>
          <w:highlight w:val="none"/>
        </w:rPr>
        <w:t xml:space="preserve">（4）不同供应商的投标文件中，项目成员出现同一人的； </w:t>
      </w:r>
    </w:p>
    <w:p>
      <w:pPr>
        <w:numPr>
          <w:ilvl w:val="0"/>
          <w:numId w:val="0"/>
        </w:numPr>
        <w:bidi w:val="0"/>
        <w:ind w:leftChars="0" w:firstLine="420" w:firstLineChars="0"/>
        <w:rPr>
          <w:highlight w:val="none"/>
        </w:rPr>
      </w:pPr>
      <w:r>
        <w:rPr>
          <w:highlight w:val="none"/>
        </w:rPr>
        <w:t xml:space="preserve">（5）不同供应商的投标文件的制作非正常一致的； </w:t>
      </w:r>
    </w:p>
    <w:p>
      <w:pPr>
        <w:numPr>
          <w:ilvl w:val="0"/>
          <w:numId w:val="0"/>
        </w:numPr>
        <w:bidi w:val="0"/>
        <w:ind w:leftChars="0" w:firstLine="420" w:firstLineChars="0"/>
        <w:rPr>
          <w:highlight w:val="none"/>
        </w:rPr>
      </w:pPr>
      <w:r>
        <w:rPr>
          <w:highlight w:val="none"/>
        </w:rPr>
        <w:t xml:space="preserve">（6）不同供应商的投标文件中相关内容的段落、字句、售后服务电话、联系人姓名等非正常一致的； </w:t>
      </w:r>
    </w:p>
    <w:p>
      <w:pPr>
        <w:numPr>
          <w:ilvl w:val="0"/>
          <w:numId w:val="0"/>
        </w:numPr>
        <w:bidi w:val="0"/>
        <w:ind w:leftChars="0" w:firstLine="420" w:firstLineChars="0"/>
        <w:rPr>
          <w:highlight w:val="none"/>
        </w:rPr>
      </w:pPr>
      <w:r>
        <w:rPr>
          <w:highlight w:val="none"/>
        </w:rPr>
        <w:t xml:space="preserve">（7）一家供应商的投标文件中装订了标有另一家供应商名称的文件材料，或者出现了另一家法定代表人或 者授予代理人签名的，其投标作废标处理； </w:t>
      </w:r>
    </w:p>
    <w:p>
      <w:pPr>
        <w:numPr>
          <w:ilvl w:val="0"/>
          <w:numId w:val="0"/>
        </w:numPr>
        <w:bidi w:val="0"/>
        <w:ind w:leftChars="0" w:firstLine="420" w:firstLineChars="0"/>
        <w:rPr>
          <w:highlight w:val="none"/>
        </w:rPr>
      </w:pPr>
      <w:r>
        <w:rPr>
          <w:highlight w:val="none"/>
        </w:rPr>
        <w:t xml:space="preserve">（8）不同供应商的投标文件由同一供应商或者同一个人编制的； </w:t>
      </w:r>
    </w:p>
    <w:p>
      <w:pPr>
        <w:numPr>
          <w:ilvl w:val="0"/>
          <w:numId w:val="0"/>
        </w:numPr>
        <w:bidi w:val="0"/>
        <w:ind w:leftChars="0" w:firstLine="420" w:firstLineChars="0"/>
        <w:rPr>
          <w:highlight w:val="none"/>
        </w:rPr>
      </w:pPr>
      <w:r>
        <w:rPr>
          <w:highlight w:val="none"/>
        </w:rPr>
        <w:t xml:space="preserve">（9）《关于禁止串通招标投标行为的暂行规定》（国家工商行政管理局令第82号）第三条规定的串通投标 行为； </w:t>
      </w:r>
    </w:p>
    <w:p>
      <w:pPr>
        <w:numPr>
          <w:ilvl w:val="0"/>
          <w:numId w:val="0"/>
        </w:numPr>
        <w:bidi w:val="0"/>
        <w:ind w:leftChars="0" w:firstLine="420" w:firstLineChars="0"/>
        <w:rPr>
          <w:highlight w:val="none"/>
        </w:rPr>
      </w:pPr>
      <w:r>
        <w:rPr>
          <w:highlight w:val="none"/>
        </w:rPr>
        <w:t xml:space="preserve">（10）供应商串通投标的其他情形。 </w:t>
      </w:r>
    </w:p>
    <w:p>
      <w:pPr>
        <w:numPr>
          <w:ilvl w:val="0"/>
          <w:numId w:val="0"/>
        </w:numPr>
        <w:bidi w:val="0"/>
        <w:ind w:leftChars="0" w:firstLine="420" w:firstLineChars="0"/>
        <w:rPr>
          <w:highlight w:val="none"/>
        </w:rPr>
      </w:pPr>
      <w:r>
        <w:rPr>
          <w:highlight w:val="none"/>
        </w:rPr>
        <w:t xml:space="preserve">18.4 对投标文件商务部分（供应商资格）进行审查：评标委员会将审查每个供应商提交的商务文件是否齐 全完整，是否合法有效，是否有重大偏离和保留，是否符合招标文件要求。商务（供应商资格）审查不符 合招标文件要求的投标文件将被拒绝。 </w:t>
      </w:r>
    </w:p>
    <w:p>
      <w:pPr>
        <w:numPr>
          <w:ilvl w:val="0"/>
          <w:numId w:val="0"/>
        </w:numPr>
        <w:bidi w:val="0"/>
        <w:ind w:leftChars="0" w:firstLine="420" w:firstLineChars="0"/>
        <w:rPr>
          <w:highlight w:val="none"/>
        </w:rPr>
      </w:pPr>
      <w:r>
        <w:rPr>
          <w:highlight w:val="none"/>
        </w:rPr>
        <w:t xml:space="preserve">18.5 对投标文件技术部分（符合性）进行审查： </w:t>
      </w:r>
    </w:p>
    <w:p>
      <w:pPr>
        <w:numPr>
          <w:ilvl w:val="0"/>
          <w:numId w:val="0"/>
        </w:numPr>
        <w:bidi w:val="0"/>
        <w:ind w:leftChars="0" w:firstLine="420" w:firstLineChars="0"/>
        <w:rPr>
          <w:highlight w:val="none"/>
        </w:rPr>
      </w:pPr>
      <w:r>
        <w:rPr>
          <w:highlight w:val="none"/>
        </w:rPr>
        <w:t xml:space="preserve">18.5.1 对于商务审查合格的供应商，评标委员会将审查其投标文件技术部分是否对招标文件规定的事项、 格式、条款和技术规格等要求都做出了实质性响应。 </w:t>
      </w:r>
    </w:p>
    <w:p>
      <w:pPr>
        <w:numPr>
          <w:ilvl w:val="0"/>
          <w:numId w:val="0"/>
        </w:numPr>
        <w:bidi w:val="0"/>
        <w:ind w:leftChars="0" w:firstLine="420" w:firstLineChars="0"/>
        <w:rPr>
          <w:highlight w:val="none"/>
        </w:rPr>
      </w:pPr>
      <w:r>
        <w:rPr>
          <w:highlight w:val="none"/>
        </w:rPr>
        <w:t xml:space="preserve">18.5.2 实质性响应的投标是指与招标文件规定的事项、条款、条件和技术规格相符，没有重大偏离和保留。 没有实质性响应招标文件要求的投标将被拒绝。 </w:t>
      </w:r>
    </w:p>
    <w:p>
      <w:pPr>
        <w:numPr>
          <w:ilvl w:val="0"/>
          <w:numId w:val="0"/>
        </w:numPr>
        <w:bidi w:val="0"/>
        <w:ind w:leftChars="0" w:firstLine="420" w:firstLineChars="0"/>
        <w:rPr>
          <w:highlight w:val="none"/>
        </w:rPr>
      </w:pPr>
      <w:r>
        <w:rPr>
          <w:highlight w:val="none"/>
        </w:rPr>
        <w:t xml:space="preserve">18.6 重大偏离和保留是指实质上影响合同的供货范围、质量和性能，或者实质上限制了合同中采购人的权 利或供应商的义务。投标文件有下列情形之一的属于重大偏离和保留，将作废标处理： </w:t>
      </w:r>
    </w:p>
    <w:p>
      <w:pPr>
        <w:numPr>
          <w:ilvl w:val="0"/>
          <w:numId w:val="0"/>
        </w:numPr>
        <w:bidi w:val="0"/>
        <w:ind w:leftChars="0" w:firstLine="420" w:firstLineChars="0"/>
        <w:rPr>
          <w:highlight w:val="none"/>
        </w:rPr>
      </w:pPr>
      <w:r>
        <w:rPr>
          <w:highlight w:val="none"/>
        </w:rPr>
        <w:t xml:space="preserve">（1）供应商未按招标文件规定提交所要求提交的全部文件或者提交的文件无效或者不符合招标文件的规定； </w:t>
      </w:r>
    </w:p>
    <w:p>
      <w:pPr>
        <w:numPr>
          <w:ilvl w:val="0"/>
          <w:numId w:val="0"/>
        </w:numPr>
        <w:bidi w:val="0"/>
        <w:ind w:leftChars="0" w:firstLine="420" w:firstLineChars="0"/>
        <w:rPr>
          <w:highlight w:val="none"/>
        </w:rPr>
      </w:pPr>
      <w:r>
        <w:rPr>
          <w:highlight w:val="none"/>
        </w:rPr>
        <w:t xml:space="preserve">（2）投标文件未按招标文件的规定有效签署和加盖公章； </w:t>
      </w:r>
    </w:p>
    <w:p>
      <w:pPr>
        <w:numPr>
          <w:ilvl w:val="0"/>
          <w:numId w:val="0"/>
        </w:numPr>
        <w:bidi w:val="0"/>
        <w:ind w:leftChars="0" w:firstLine="420" w:firstLineChars="0"/>
        <w:rPr>
          <w:highlight w:val="none"/>
        </w:rPr>
      </w:pPr>
      <w:r>
        <w:rPr>
          <w:highlight w:val="none"/>
        </w:rPr>
        <w:t xml:space="preserve">（3）投标文件载明的项目完成期限超过招标文件规定的期限； </w:t>
      </w:r>
    </w:p>
    <w:p>
      <w:pPr>
        <w:numPr>
          <w:ilvl w:val="0"/>
          <w:numId w:val="0"/>
        </w:numPr>
        <w:bidi w:val="0"/>
        <w:ind w:leftChars="0" w:firstLine="420" w:firstLineChars="0"/>
        <w:rPr>
          <w:highlight w:val="none"/>
        </w:rPr>
      </w:pPr>
      <w:r>
        <w:rPr>
          <w:highlight w:val="none"/>
        </w:rPr>
        <w:t xml:space="preserve">（4）投标文件明显不符合招标文件规定的技术规格、技术标准要求； </w:t>
      </w:r>
    </w:p>
    <w:p>
      <w:pPr>
        <w:numPr>
          <w:ilvl w:val="0"/>
          <w:numId w:val="0"/>
        </w:numPr>
        <w:bidi w:val="0"/>
        <w:ind w:leftChars="0" w:firstLine="420" w:firstLineChars="0"/>
        <w:rPr>
          <w:highlight w:val="none"/>
        </w:rPr>
      </w:pPr>
      <w:r>
        <w:rPr>
          <w:highlight w:val="none"/>
        </w:rPr>
        <w:t xml:space="preserve">（5）投标文件载明的货物包装方式、检验方法和标准等不符合招标文件要求； </w:t>
      </w:r>
    </w:p>
    <w:p>
      <w:pPr>
        <w:numPr>
          <w:ilvl w:val="0"/>
          <w:numId w:val="0"/>
        </w:numPr>
        <w:bidi w:val="0"/>
        <w:ind w:leftChars="0" w:firstLine="420" w:firstLineChars="0"/>
        <w:rPr>
          <w:highlight w:val="none"/>
        </w:rPr>
      </w:pPr>
      <w:r>
        <w:rPr>
          <w:highlight w:val="none"/>
        </w:rPr>
        <w:t xml:space="preserve">（6）投标文件附有采购人不能接受的条件； </w:t>
      </w:r>
    </w:p>
    <w:p>
      <w:pPr>
        <w:numPr>
          <w:ilvl w:val="0"/>
          <w:numId w:val="0"/>
        </w:numPr>
        <w:bidi w:val="0"/>
        <w:ind w:leftChars="0" w:firstLine="420" w:firstLineChars="0"/>
        <w:rPr>
          <w:highlight w:val="none"/>
        </w:rPr>
      </w:pPr>
      <w:r>
        <w:rPr>
          <w:highlight w:val="none"/>
        </w:rPr>
        <w:t xml:space="preserve">（7）不符合招标文件规定的其他实质性要求。 </w:t>
      </w:r>
    </w:p>
    <w:p>
      <w:pPr>
        <w:numPr>
          <w:ilvl w:val="0"/>
          <w:numId w:val="0"/>
        </w:numPr>
        <w:bidi w:val="0"/>
        <w:ind w:leftChars="0" w:firstLine="420" w:firstLineChars="0"/>
        <w:rPr>
          <w:highlight w:val="none"/>
        </w:rPr>
      </w:pPr>
      <w:r>
        <w:rPr>
          <w:highlight w:val="none"/>
        </w:rPr>
        <w:t xml:space="preserve">18.7 评标委员会将允许修正投标文件中不构成重大偏离的细微偏离，但这些修正应不会对实质上响应招标 文件要求的供应商的竞争地位（相互排序）产生不公正的影响。 </w:t>
      </w:r>
    </w:p>
    <w:p>
      <w:pPr>
        <w:numPr>
          <w:ilvl w:val="0"/>
          <w:numId w:val="0"/>
        </w:numPr>
        <w:bidi w:val="0"/>
        <w:ind w:leftChars="0" w:firstLine="420" w:firstLineChars="0"/>
        <w:rPr>
          <w:highlight w:val="none"/>
        </w:rPr>
      </w:pPr>
      <w:r>
        <w:rPr>
          <w:highlight w:val="none"/>
        </w:rPr>
        <w:t xml:space="preserve">18.8 评标委员会对投标文件的判定，只依据投标文件内容本身，不依据任何外来证明。 </w:t>
      </w:r>
    </w:p>
    <w:p>
      <w:pPr>
        <w:numPr>
          <w:ilvl w:val="0"/>
          <w:numId w:val="0"/>
        </w:numPr>
        <w:bidi w:val="0"/>
        <w:ind w:leftChars="0" w:firstLine="420" w:firstLineChars="0"/>
        <w:rPr>
          <w:highlight w:val="none"/>
        </w:rPr>
      </w:pPr>
      <w:r>
        <w:rPr>
          <w:highlight w:val="none"/>
        </w:rPr>
        <w:t xml:space="preserve">18.9 投标报价的审查：评标委员会将对商务审查、技术审查合格的投标文件的报价进行审核，看其是否有 计算和累加上的错误。修正错误的原则如下：投标报价以《开标一览表》的报价为准，《投标报价明细表》的报价与《开标一览表》的报价不一致的，供应商应按《开标一览表》的报价相应修改《投标报价明细表》 的报价，并相应修改分项报价。按上述原则调整后的价格为评标价，经供应商法定代表人或授权代理人签 字确认后对供应商具有约束力。如果供应商不按照上述原则修正其投标报价及分项报价，则其投标将被拒绝。 </w:t>
      </w:r>
    </w:p>
    <w:p>
      <w:pPr>
        <w:numPr>
          <w:ilvl w:val="0"/>
          <w:numId w:val="0"/>
        </w:numPr>
        <w:bidi w:val="0"/>
        <w:ind w:leftChars="0" w:firstLine="420" w:firstLineChars="0"/>
        <w:rPr>
          <w:highlight w:val="none"/>
        </w:rPr>
      </w:pPr>
      <w:r>
        <w:rPr>
          <w:highlight w:val="none"/>
        </w:rPr>
        <w:t xml:space="preserve">18.10 澄清：评标委员会对于投标文件实质性响应了招标文件要求，但在个别地方提供了不完整的技术信 息和数据，以及同类问题表述不一致或者有明显文字和计算错误等细微偏离问题，将以书面形式（澄清细 微偏离由评标委员会依据招标文件集体决定并由评标委员会专家签字）要求供应商在规定的时限内（在评 标结束前）作出必要的澄清、说明或者补正。供应商的澄清、说明或者补正应当采用书面形式，由供应商 法定代表人或其授权代理人签字（须提交签字人身份证件并与投标文件签字人一致），并不得超出投标文 件的范围或者改变投标文件的实质性内容。供应商拒不进行澄清、说明、补正的，或者不能在规定时间内 作出书面澄清、说明、补正的，评标委员会将拒绝其投标。接受细微偏离有利于采购成功，不应因细微偏 离而废标。 </w:t>
      </w:r>
    </w:p>
    <w:p>
      <w:pPr>
        <w:numPr>
          <w:ilvl w:val="0"/>
          <w:numId w:val="0"/>
        </w:numPr>
        <w:bidi w:val="0"/>
        <w:ind w:leftChars="0" w:firstLine="420" w:firstLineChars="0"/>
        <w:rPr>
          <w:highlight w:val="none"/>
        </w:rPr>
      </w:pPr>
      <w:r>
        <w:rPr>
          <w:highlight w:val="none"/>
        </w:rPr>
        <w:t>19.首次招标因评标过程中出现符合专业条件的投标人或者对招标文件作实质性响应的投标人不足三家情 形而否决投标，重新招标仍然出现前述情形的，以及竞争性</w:t>
      </w:r>
      <w:r>
        <w:rPr>
          <w:rFonts w:hint="eastAsia"/>
          <w:highlight w:val="none"/>
          <w:lang w:val="en-US" w:eastAsia="zh-CN"/>
        </w:rPr>
        <w:t>磋商</w:t>
      </w:r>
      <w:r>
        <w:rPr>
          <w:highlight w:val="none"/>
        </w:rPr>
        <w:t xml:space="preserve">、询价项目出现前述情形的，如果采购人 需求紧急需要直接变更方式采购，经采购人代表现场提出，评标委员会专家成员和评标监督人员同意，可 以在评标专家、采购人代表、评标监督人员、投标供应商授权代表以及采购中心或者采购代理机构工作人 员同时在场的情况下直接变更采购方式继续采购，并按下述规定办理： </w:t>
      </w:r>
    </w:p>
    <w:p>
      <w:pPr>
        <w:numPr>
          <w:ilvl w:val="0"/>
          <w:numId w:val="0"/>
        </w:numPr>
        <w:bidi w:val="0"/>
        <w:ind w:leftChars="0" w:firstLine="420" w:firstLineChars="0"/>
        <w:rPr>
          <w:highlight w:val="none"/>
        </w:rPr>
      </w:pPr>
      <w:r>
        <w:rPr>
          <w:highlight w:val="none"/>
        </w:rPr>
        <w:t xml:space="preserve">（1）采用招标方式采购项目，重新招标出现前述情形的，如果有两家供应商投标或者经评审有两家合格投 标供应商，可以直接变更为两家供应商招标或者向两家供应商询价采购。 </w:t>
      </w:r>
    </w:p>
    <w:p>
      <w:pPr>
        <w:numPr>
          <w:ilvl w:val="0"/>
          <w:numId w:val="0"/>
        </w:numPr>
        <w:bidi w:val="0"/>
        <w:ind w:leftChars="0" w:firstLine="420" w:firstLineChars="0"/>
        <w:rPr>
          <w:highlight w:val="none"/>
        </w:rPr>
      </w:pPr>
      <w:r>
        <w:rPr>
          <w:highlight w:val="none"/>
        </w:rPr>
        <w:t>（2）采用</w:t>
      </w:r>
      <w:r>
        <w:rPr>
          <w:rFonts w:hint="eastAsia"/>
          <w:highlight w:val="none"/>
          <w:lang w:eastAsia="zh-CN"/>
        </w:rPr>
        <w:t>公开招标</w:t>
      </w:r>
      <w:r>
        <w:rPr>
          <w:highlight w:val="none"/>
        </w:rPr>
        <w:t>、询价方式采购的项目，出现前述情形的，如果有两家供应商投标或者经评审由两家 合格投标供应商，原采购方式为</w:t>
      </w:r>
      <w:r>
        <w:rPr>
          <w:rFonts w:hint="eastAsia"/>
          <w:highlight w:val="none"/>
          <w:lang w:eastAsia="zh-CN"/>
        </w:rPr>
        <w:t>公开招标</w:t>
      </w:r>
      <w:r>
        <w:rPr>
          <w:highlight w:val="none"/>
        </w:rPr>
        <w:t>的，应当直接变更为两家供应商</w:t>
      </w:r>
      <w:r>
        <w:rPr>
          <w:rFonts w:hint="eastAsia"/>
          <w:highlight w:val="none"/>
          <w:lang w:eastAsia="zh-CN"/>
        </w:rPr>
        <w:t>公开招标</w:t>
      </w:r>
      <w:r>
        <w:rPr>
          <w:highlight w:val="none"/>
        </w:rPr>
        <w:t xml:space="preserve">；原采购方式为询 价的，应当直接变更为两家供应商询价采购。 </w:t>
      </w:r>
    </w:p>
    <w:p>
      <w:pPr>
        <w:numPr>
          <w:ilvl w:val="0"/>
          <w:numId w:val="0"/>
        </w:numPr>
        <w:bidi w:val="0"/>
        <w:ind w:leftChars="0" w:firstLine="420" w:firstLineChars="0"/>
        <w:rPr>
          <w:highlight w:val="none"/>
        </w:rPr>
      </w:pPr>
      <w:r>
        <w:rPr>
          <w:highlight w:val="none"/>
        </w:rPr>
        <w:t xml:space="preserve">（3）只有 1 家供应商投标，或者经评审只有 1 家合格供应商的，不得直接变24更为单一来源方式采购。 采购人需要变更为单一来源方式采购的，应当在否决投标后向采购办申请批准。 </w:t>
      </w:r>
    </w:p>
    <w:p>
      <w:pPr>
        <w:numPr>
          <w:ilvl w:val="0"/>
          <w:numId w:val="0"/>
        </w:numPr>
        <w:bidi w:val="0"/>
        <w:ind w:leftChars="0" w:firstLine="420" w:firstLineChars="0"/>
        <w:rPr>
          <w:highlight w:val="none"/>
        </w:rPr>
      </w:pPr>
      <w:r>
        <w:rPr>
          <w:highlight w:val="none"/>
        </w:rPr>
        <w:t xml:space="preserve">（4）招标失败后直接变更采购方式的项目，应当当场由评标专家、采购人代表、评标监督人员和相关投标 供应商授权代表共同签署《招标失败后直接变更采购方式备忘录》。评标结束后，由采购中心或者采购代 理机构将《招标失败后直接变更采购方式备忘录》和评标纪要（评标报告）包采购办备案。 </w:t>
      </w:r>
    </w:p>
    <w:p>
      <w:pPr>
        <w:numPr>
          <w:ilvl w:val="0"/>
          <w:numId w:val="0"/>
        </w:numPr>
        <w:bidi w:val="0"/>
        <w:ind w:leftChars="0" w:firstLine="420" w:firstLineChars="0"/>
        <w:rPr>
          <w:highlight w:val="none"/>
        </w:rPr>
      </w:pPr>
      <w:r>
        <w:rPr>
          <w:highlight w:val="none"/>
        </w:rPr>
        <w:t>（5）招标失败后直接变更采购方式的条件应在采购文件中事先申明。</w:t>
      </w:r>
    </w:p>
    <w:p>
      <w:pPr>
        <w:numPr>
          <w:ilvl w:val="0"/>
          <w:numId w:val="0"/>
        </w:numPr>
        <w:bidi w:val="0"/>
        <w:ind w:leftChars="0" w:firstLine="420" w:firstLineChars="0"/>
        <w:rPr>
          <w:highlight w:val="none"/>
        </w:rPr>
      </w:pPr>
      <w:r>
        <w:rPr>
          <w:highlight w:val="none"/>
        </w:rPr>
        <w:t xml:space="preserve"> 20. 评标方法和标准： </w:t>
      </w:r>
    </w:p>
    <w:p>
      <w:pPr>
        <w:numPr>
          <w:ilvl w:val="0"/>
          <w:numId w:val="0"/>
        </w:numPr>
        <w:bidi w:val="0"/>
        <w:ind w:leftChars="0" w:firstLine="420" w:firstLineChars="0"/>
        <w:rPr>
          <w:highlight w:val="none"/>
        </w:rPr>
      </w:pPr>
      <w:r>
        <w:rPr>
          <w:highlight w:val="none"/>
        </w:rPr>
        <w:t xml:space="preserve">20.1 评标委员会将只对商务（供应商资格）审查和技术（符合性）审查均符合招标文件要求的投标进行详 细评审。 </w:t>
      </w:r>
    </w:p>
    <w:p>
      <w:pPr>
        <w:numPr>
          <w:ilvl w:val="0"/>
          <w:numId w:val="0"/>
        </w:numPr>
        <w:bidi w:val="0"/>
        <w:ind w:leftChars="0" w:firstLine="420" w:firstLineChars="0"/>
        <w:rPr>
          <w:highlight w:val="none"/>
        </w:rPr>
      </w:pPr>
      <w:r>
        <w:rPr>
          <w:highlight w:val="none"/>
        </w:rPr>
        <w:t xml:space="preserve">20.2 本项目采用综合评分法评标，评标委员会将按下述标准评定预中标人：按评审后供应商得分由高到低 的顺序排列；得分相同的，按投标报价由低到高顺序排列；得分且投标报价相同的，按技术指标优劣顺序排列。 </w:t>
      </w:r>
    </w:p>
    <w:p>
      <w:pPr>
        <w:numPr>
          <w:ilvl w:val="0"/>
          <w:numId w:val="0"/>
        </w:numPr>
        <w:bidi w:val="0"/>
        <w:ind w:leftChars="0" w:firstLine="420" w:firstLineChars="0"/>
        <w:rPr>
          <w:highlight w:val="none"/>
        </w:rPr>
      </w:pPr>
      <w:r>
        <w:rPr>
          <w:highlight w:val="none"/>
        </w:rPr>
        <w:t>本项目不接受任何额外捐赠。评标委员会在评审时，将按下列规定计算价格扣除： 1、对于供应商投标纳人财政部、国家发改委发布的《节能产品政府采购清单》的产品：</w:t>
      </w:r>
    </w:p>
    <w:p>
      <w:pPr>
        <w:numPr>
          <w:ilvl w:val="0"/>
          <w:numId w:val="8"/>
        </w:numPr>
        <w:bidi w:val="0"/>
        <w:ind w:leftChars="0" w:firstLine="420" w:firstLineChars="0"/>
        <w:rPr>
          <w:highlight w:val="none"/>
        </w:rPr>
      </w:pPr>
      <w:r>
        <w:rPr>
          <w:highlight w:val="none"/>
        </w:rPr>
        <w:t>给予投标报价得分的3％的加分，采购项目或者分包中既包含节能产品也包含非节能产品的，只对纳入《节能产品政府采购清单》的产品按其在总报价中所占的比例给予价格分加分。</w:t>
      </w:r>
    </w:p>
    <w:p>
      <w:pPr>
        <w:numPr>
          <w:ilvl w:val="0"/>
          <w:numId w:val="8"/>
        </w:numPr>
        <w:bidi w:val="0"/>
        <w:ind w:leftChars="0" w:firstLine="420" w:firstLineChars="0"/>
        <w:rPr>
          <w:rFonts w:hint="eastAsia"/>
          <w:highlight w:val="none"/>
          <w:lang w:val="zh-CN"/>
        </w:rPr>
      </w:pPr>
      <w:r>
        <w:rPr>
          <w:highlight w:val="none"/>
        </w:rPr>
        <w:t xml:space="preserve">对于技术评分项目，给予技术评分得分 的3％的加分。 </w:t>
      </w:r>
    </w:p>
    <w:p>
      <w:pPr>
        <w:numPr>
          <w:ilvl w:val="0"/>
          <w:numId w:val="0"/>
        </w:numPr>
        <w:bidi w:val="0"/>
        <w:ind w:left="420" w:leftChars="0"/>
        <w:rPr>
          <w:rFonts w:hint="eastAsia"/>
          <w:highlight w:val="none"/>
          <w:lang w:val="zh-CN"/>
        </w:rPr>
      </w:pPr>
      <w:r>
        <w:rPr>
          <w:highlight w:val="none"/>
        </w:rPr>
        <w:t>2、对于供应商投标纳入财政部、环保总局发布的《环境标志产品政府采购清单》的产品：</w:t>
      </w:r>
    </w:p>
    <w:p>
      <w:pPr>
        <w:numPr>
          <w:ilvl w:val="0"/>
          <w:numId w:val="9"/>
        </w:numPr>
        <w:bidi w:val="0"/>
        <w:ind w:leftChars="0" w:firstLine="420" w:firstLineChars="0"/>
        <w:rPr>
          <w:rFonts w:hint="eastAsia"/>
          <w:highlight w:val="none"/>
          <w:lang w:val="zh-CN"/>
        </w:rPr>
      </w:pPr>
      <w:r>
        <w:rPr>
          <w:highlight w:val="none"/>
        </w:rPr>
        <w:t>给予投标 报价得分的3％的加分，采购项目或者分包中既包含环境标志产品也包含非环境标志产品的，只对纳入《环境标志产品政府采购清单》的产品按其在总报价中所占的比例给予价格分加分。</w:t>
      </w:r>
    </w:p>
    <w:p>
      <w:pPr>
        <w:numPr>
          <w:ilvl w:val="0"/>
          <w:numId w:val="9"/>
        </w:numPr>
        <w:bidi w:val="0"/>
        <w:ind w:leftChars="0" w:firstLine="420" w:firstLineChars="0"/>
        <w:rPr>
          <w:rFonts w:hint="eastAsia"/>
          <w:highlight w:val="none"/>
          <w:lang w:val="zh-CN"/>
        </w:rPr>
      </w:pPr>
      <w:r>
        <w:rPr>
          <w:highlight w:val="none"/>
        </w:rPr>
        <w:t xml:space="preserve">对于技术评分项民 给 予技术评分得分的3％的加分。 </w:t>
      </w:r>
    </w:p>
    <w:p>
      <w:pPr>
        <w:numPr>
          <w:ilvl w:val="0"/>
          <w:numId w:val="10"/>
        </w:numPr>
        <w:bidi w:val="0"/>
        <w:ind w:left="420" w:leftChars="0"/>
        <w:rPr>
          <w:highlight w:val="none"/>
        </w:rPr>
      </w:pPr>
      <w:r>
        <w:rPr>
          <w:highlight w:val="none"/>
        </w:rPr>
        <w:t xml:space="preserve">投标产品同时纳入《环境标志产品政府采购清单》、《节能产品政府采购清单》的，将上述规定的价格 分加分比例和技术分加分比例分别叠加后计算价格分加分和技术分加分。 </w:t>
      </w:r>
    </w:p>
    <w:p>
      <w:pPr>
        <w:numPr>
          <w:ilvl w:val="0"/>
          <w:numId w:val="10"/>
        </w:numPr>
        <w:bidi w:val="0"/>
        <w:ind w:left="420" w:leftChars="0"/>
        <w:rPr>
          <w:rFonts w:hint="eastAsia"/>
          <w:highlight w:val="none"/>
          <w:lang w:val="zh-CN"/>
        </w:rPr>
      </w:pPr>
      <w:r>
        <w:rPr>
          <w:highlight w:val="none"/>
        </w:rPr>
        <w:t xml:space="preserve">根据《政府采购促进中小企业发展暂行办法》（财库【2011】181号）的规定，对满足价格扣除条件且 在投标文件中提交了《中小企业声明函》的供应商，其投标报价中由小型和微型企业制造的产品的报价扣 除6%后参与评审。 </w:t>
      </w:r>
    </w:p>
    <w:p>
      <w:pPr>
        <w:numPr>
          <w:ilvl w:val="0"/>
          <w:numId w:val="0"/>
        </w:numPr>
        <w:bidi w:val="0"/>
        <w:ind w:left="420" w:leftChars="0"/>
        <w:rPr>
          <w:highlight w:val="none"/>
        </w:rPr>
      </w:pPr>
      <w:r>
        <w:rPr>
          <w:highlight w:val="none"/>
        </w:rPr>
        <w:t xml:space="preserve">20.3预中标结果将在中国政府采购网及相关媒体上公示一个工作日，如果没有异议，预中标人确定为中标 人。如果供应商对预中标结果有异议，应当在公示期内以书面形式向招标机构提出质疑。供应商的质疑事 项应当具体、明确并提供事实依据。 </w:t>
      </w:r>
    </w:p>
    <w:p>
      <w:pPr>
        <w:numPr>
          <w:ilvl w:val="0"/>
          <w:numId w:val="11"/>
        </w:numPr>
        <w:bidi w:val="0"/>
        <w:ind w:left="420" w:leftChars="0"/>
        <w:rPr>
          <w:highlight w:val="none"/>
        </w:rPr>
      </w:pPr>
      <w:r>
        <w:rPr>
          <w:highlight w:val="none"/>
        </w:rPr>
        <w:t xml:space="preserve">签订合同： </w:t>
      </w:r>
    </w:p>
    <w:p>
      <w:pPr>
        <w:numPr>
          <w:ilvl w:val="0"/>
          <w:numId w:val="0"/>
        </w:numPr>
        <w:bidi w:val="0"/>
        <w:ind w:left="420" w:leftChars="0"/>
        <w:rPr>
          <w:highlight w:val="none"/>
        </w:rPr>
      </w:pPr>
      <w:r>
        <w:rPr>
          <w:highlight w:val="none"/>
        </w:rPr>
        <w:t xml:space="preserve">21.1采购人将在投标有效期期满之前向中标人发出《中标通知书》。中标通知书是合同的组成部分，对采 购人和中标人均具有法律约束力。 </w:t>
      </w:r>
    </w:p>
    <w:p>
      <w:pPr>
        <w:numPr>
          <w:ilvl w:val="0"/>
          <w:numId w:val="0"/>
        </w:numPr>
        <w:bidi w:val="0"/>
        <w:ind w:left="420" w:leftChars="0"/>
        <w:rPr>
          <w:highlight w:val="none"/>
        </w:rPr>
      </w:pPr>
      <w:r>
        <w:rPr>
          <w:highlight w:val="none"/>
        </w:rPr>
        <w:t xml:space="preserve">21.2中标通知书发出后，采购人改变中标结果的，或者中标人放弃中标项目的，应当依法承担法律责任。 </w:t>
      </w:r>
    </w:p>
    <w:p>
      <w:pPr>
        <w:numPr>
          <w:ilvl w:val="0"/>
          <w:numId w:val="0"/>
        </w:numPr>
        <w:bidi w:val="0"/>
        <w:ind w:left="420" w:leftChars="0"/>
        <w:rPr>
          <w:highlight w:val="none"/>
        </w:rPr>
      </w:pPr>
      <w:r>
        <w:rPr>
          <w:highlight w:val="none"/>
        </w:rPr>
        <w:t xml:space="preserve">21.3中标人应按中标通知书规定的时间与采购人和采购人签订合同。如果中标人不在规定的时间内签署合 同，视为自动放弃中标资格，其提交的投标保证金不予退还，列入不良行为记录名单，在一至三年内禁止 参加政府采购活动并予以公告。供应商在被评标委员会评定为预中标人（中标人）之后、中标通知书发出 之前放弃中标的，按本条规定处理。 </w:t>
      </w:r>
    </w:p>
    <w:p>
      <w:pPr>
        <w:numPr>
          <w:ilvl w:val="0"/>
          <w:numId w:val="0"/>
        </w:numPr>
        <w:bidi w:val="0"/>
        <w:ind w:left="420" w:leftChars="0"/>
        <w:rPr>
          <w:highlight w:val="none"/>
        </w:rPr>
      </w:pPr>
      <w:r>
        <w:rPr>
          <w:highlight w:val="none"/>
        </w:rPr>
        <w:t xml:space="preserve">21.4中标结果将在发布招标公告的媒体上公告，不再以书面方式通知落标人。 </w:t>
      </w:r>
    </w:p>
    <w:p>
      <w:pPr>
        <w:numPr>
          <w:ilvl w:val="0"/>
          <w:numId w:val="11"/>
        </w:numPr>
        <w:bidi w:val="0"/>
        <w:ind w:left="420" w:leftChars="0" w:firstLine="0" w:firstLineChars="0"/>
        <w:rPr>
          <w:highlight w:val="none"/>
        </w:rPr>
      </w:pPr>
      <w:r>
        <w:rPr>
          <w:highlight w:val="none"/>
        </w:rPr>
        <w:t xml:space="preserve">保密和披露： </w:t>
      </w:r>
    </w:p>
    <w:p>
      <w:pPr>
        <w:numPr>
          <w:ilvl w:val="0"/>
          <w:numId w:val="0"/>
        </w:numPr>
        <w:bidi w:val="0"/>
        <w:ind w:left="420" w:leftChars="0"/>
        <w:rPr>
          <w:highlight w:val="none"/>
        </w:rPr>
      </w:pPr>
      <w:r>
        <w:rPr>
          <w:highlight w:val="none"/>
        </w:rPr>
        <w:t xml:space="preserve">22.1采购人有权将供应商提供的所有资料向其他政府部门或有关的非政府机构负责评审标书的人员或与评 标有关的人员披露。 </w:t>
      </w:r>
    </w:p>
    <w:p>
      <w:pPr>
        <w:numPr>
          <w:ilvl w:val="0"/>
          <w:numId w:val="0"/>
        </w:numPr>
        <w:bidi w:val="0"/>
        <w:ind w:left="420" w:leftChars="0"/>
        <w:rPr>
          <w:highlight w:val="none"/>
        </w:rPr>
      </w:pPr>
      <w:r>
        <w:rPr>
          <w:highlight w:val="none"/>
        </w:rPr>
        <w:t>22.2在下列情形下：当发布中标公告和其它公告时，当国家机关调查、审查、审计时，以及在其他符合法 律规定的情形下，采购人无须事先征求供应商/中标人同意而可以披露关于采购过程、投标文件、合同文本、 合同签署情况的资料、供应商/中标人的名称及地址、采购内容的有关信息以及补充条款等，并且对任何已 经公布过的内容或与之内容相同的资料无须再承担保密责任。</w:t>
      </w:r>
    </w:p>
    <w:p>
      <w:pPr>
        <w:numPr>
          <w:ilvl w:val="0"/>
          <w:numId w:val="0"/>
        </w:numPr>
        <w:bidi w:val="0"/>
        <w:ind w:left="420" w:leftChars="0"/>
        <w:rPr>
          <w:highlight w:val="none"/>
        </w:rPr>
      </w:pPr>
      <w:r>
        <w:rPr>
          <w:highlight w:val="none"/>
        </w:rPr>
        <w:t xml:space="preserve">23 履约保证金：除投标人须知前附表另有规定外，投标人应按照合同约定向采购人提交合同总价款5%的 履约保证金，履约保证金期限一年。 </w:t>
      </w:r>
    </w:p>
    <w:p>
      <w:pPr>
        <w:numPr>
          <w:ilvl w:val="0"/>
          <w:numId w:val="0"/>
        </w:numPr>
        <w:bidi w:val="0"/>
        <w:ind w:left="420" w:leftChars="0"/>
        <w:rPr>
          <w:highlight w:val="none"/>
        </w:rPr>
      </w:pPr>
      <w:r>
        <w:rPr>
          <w:highlight w:val="none"/>
        </w:rPr>
        <w:t xml:space="preserve">24 招标代理服务费： </w:t>
      </w:r>
    </w:p>
    <w:p>
      <w:pPr>
        <w:numPr>
          <w:ilvl w:val="0"/>
          <w:numId w:val="0"/>
        </w:numPr>
        <w:bidi w:val="0"/>
        <w:ind w:left="420" w:leftChars="0"/>
        <w:rPr>
          <w:highlight w:val="none"/>
        </w:rPr>
      </w:pPr>
      <w:r>
        <w:rPr>
          <w:highlight w:val="none"/>
        </w:rPr>
        <w:t>24.1 招标代理服务费的收取标准按国家发展计划委员会计价格[2002]1980 号文件《招标代理服务费管理暂 行办法》、发改办价格[2003]857 号文件和发改价格[2015]299 号文件的规定执行。</w:t>
      </w:r>
    </w:p>
    <w:p>
      <w:pPr>
        <w:numPr>
          <w:ilvl w:val="0"/>
          <w:numId w:val="0"/>
        </w:numPr>
        <w:bidi w:val="0"/>
        <w:ind w:left="420" w:leftChars="0"/>
        <w:rPr>
          <w:highlight w:val="none"/>
        </w:rPr>
      </w:pPr>
      <w:r>
        <w:rPr>
          <w:highlight w:val="none"/>
        </w:rPr>
        <w:t xml:space="preserve"> 24.2 招标方按国家规定向中标人收取招标代理服务费。招标代理服务费从中标人的投标保证金中扣除。 </w:t>
      </w:r>
    </w:p>
    <w:p>
      <w:pPr>
        <w:numPr>
          <w:ilvl w:val="0"/>
          <w:numId w:val="0"/>
        </w:numPr>
        <w:bidi w:val="0"/>
        <w:ind w:left="420" w:leftChars="0"/>
        <w:rPr>
          <w:rFonts w:hint="eastAsia"/>
          <w:highlight w:val="none"/>
          <w:lang w:val="zh-CN"/>
        </w:rPr>
      </w:pPr>
      <w:r>
        <w:rPr>
          <w:highlight w:val="none"/>
        </w:rPr>
        <w:t>24.3 详见供应商须知前附表</w:t>
      </w:r>
    </w:p>
    <w:p>
      <w:pPr>
        <w:pStyle w:val="36"/>
        <w:numPr>
          <w:ilvl w:val="0"/>
          <w:numId w:val="0"/>
        </w:numPr>
        <w:spacing w:line="360" w:lineRule="auto"/>
        <w:ind w:left="425" w:leftChars="0"/>
        <w:rPr>
          <w:rFonts w:hint="eastAsia" w:ascii="仿宋" w:hAnsi="仿宋" w:eastAsia="仿宋" w:cs="仿宋"/>
          <w:color w:val="auto"/>
          <w:sz w:val="24"/>
          <w:szCs w:val="24"/>
          <w:highlight w:val="none"/>
        </w:rPr>
      </w:pPr>
    </w:p>
    <w:p>
      <w:pPr>
        <w:widowControl/>
        <w:jc w:val="left"/>
        <w:rPr>
          <w:rFonts w:hint="eastAsia" w:ascii="仿宋" w:hAnsi="仿宋" w:eastAsia="仿宋" w:cs="仿宋"/>
          <w:b/>
          <w:color w:val="auto"/>
          <w:sz w:val="24"/>
          <w:szCs w:val="24"/>
          <w:highlight w:val="none"/>
        </w:rPr>
        <w:sectPr>
          <w:footerReference r:id="rId6" w:type="default"/>
          <w:pgSz w:w="11907" w:h="16840"/>
          <w:pgMar w:top="1440" w:right="1800" w:bottom="1440" w:left="1800" w:header="680" w:footer="907" w:gutter="0"/>
          <w:pgNumType w:fmt="decimal" w:start="1"/>
          <w:cols w:space="0" w:num="1"/>
          <w:rtlGutter w:val="0"/>
          <w:docGrid w:linePitch="271" w:charSpace="0"/>
        </w:sectPr>
      </w:pPr>
    </w:p>
    <w:p>
      <w:pPr>
        <w:pStyle w:val="3"/>
        <w:bidi w:val="0"/>
        <w:rPr>
          <w:rFonts w:hint="eastAsia"/>
          <w:color w:val="auto"/>
          <w:highlight w:val="none"/>
        </w:rPr>
      </w:pPr>
      <w:bookmarkStart w:id="49" w:name="_Toc22778"/>
      <w:bookmarkStart w:id="50" w:name="_Toc27874"/>
      <w:r>
        <w:rPr>
          <w:rFonts w:hint="eastAsia"/>
          <w:color w:val="auto"/>
          <w:highlight w:val="none"/>
          <w:lang w:val="en-US" w:eastAsia="zh-CN"/>
        </w:rPr>
        <w:t xml:space="preserve">第三章 </w:t>
      </w:r>
      <w:r>
        <w:rPr>
          <w:rFonts w:hint="eastAsia"/>
          <w:color w:val="auto"/>
          <w:highlight w:val="none"/>
        </w:rPr>
        <w:t>合同条款</w:t>
      </w:r>
      <w:bookmarkEnd w:id="40"/>
      <w:bookmarkEnd w:id="41"/>
      <w:bookmarkEnd w:id="42"/>
      <w:bookmarkEnd w:id="43"/>
      <w:bookmarkEnd w:id="44"/>
      <w:bookmarkEnd w:id="45"/>
      <w:bookmarkEnd w:id="46"/>
      <w:bookmarkEnd w:id="47"/>
      <w:bookmarkEnd w:id="48"/>
      <w:bookmarkEnd w:id="49"/>
      <w:bookmarkEnd w:id="50"/>
    </w:p>
    <w:p>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1．定义：除非另有约定，在本合同下列术语按如下定义进行解释：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（1）“合同”指供需双方签署的、在合同中载明的合同各方所达成的协议，包括构 成合同的所有附件、附录和其他文件。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（2）“附件、附录”指与本合同的订立、履行有关的，经供需双方认可的，对本合同约定内容进行细化、补充、修改、变更等的文件资料。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（3）“合同价格”指根据合同规定供方正确地完全履行合同义务后需方应支付给供方的价格。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（4）“货物”指根据合同规定供方须向需方提供的一切材料、设备、机械、仪表、备件、工具和/或其它材料。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（5）“服务”指根据合同规定供方承担的与供货和履行合同有关的辅助服务。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（6）“需方”指政府招标货物和服务的使用单位。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（7）“供方”指按照合同规定向需方提供货物和服务的公司或实体。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（8）“第三方”指本合同以外的任何中国境内、境外的法人、自然人或其他组织。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（9）“日、天”均指日历天数。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（10）“工作日”指扣除公休日和国家法定节假日以外的日历日。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2．合同标的：详见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服务标准和要求</w:t>
      </w:r>
      <w:r>
        <w:rPr>
          <w:rFonts w:hint="eastAsia" w:ascii="仿宋" w:hAnsi="仿宋" w:eastAsia="仿宋" w:cs="仿宋"/>
          <w:color w:val="auto"/>
          <w:sz w:val="21"/>
          <w:szCs w:val="21"/>
          <w:highlight w:val="none"/>
          <w:lang w:val="en-US" w:eastAsia="zh-CN"/>
        </w:rPr>
        <w:t xml:space="preserve">”及供方的投标文件。未尽事宜在“集中采购合同书中”约定。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3．合同价格、交货时间及地点、交货方式、付款方式及条件：在“集中采购合同书”中约定。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6．包装标志：每一包装箱应用不褪色的油漆以醒目的中文字样做出相关标记。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7．伴随服务 </w:t>
      </w:r>
    </w:p>
    <w:p>
      <w:pPr>
        <w:bidi w:val="0"/>
        <w:ind w:left="0" w:leftChars="0"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7.1供方应提供所交付货物的全套技术文件资料，包括产品目录、图纸、操作手册、使用说明、维护手册和服务指南等。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7.3上述伴随服务的费用应包含在合同总价中，不单独进行支付。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8．质量保证期及售后服务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8.1质量保证期及售后服务：详见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 xml:space="preserve">的要求，供方提交的售后服务承诺书和制造厂商的有关文件，如果上述文件有不一致之处，以对需方有利的为准。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8.2如果上述第8.1款无特别约定，本合同项下货物的质量保证期为从需方验收合格之日起。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9．质量保证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9.3在质量保证期内，供方在接到需方的通知后，应在本合同条款第8条约定的响应时间内,免费维修和/或更换有缺陷的货物或部件。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11．索赔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11.1需方有权根据国家技术监督局、进出口商品检验局或其他具有法定资格的质检机构出具的检验证书向供方提出索赔。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11.2如果供方对缺陷负有责任而需方提出索赔，供方应按照需方同意的下列一种或多种方式解决索赔事宜：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（2）根据货物低劣、损坏程度以及需方所遭受损失的金额，经双方商定降低货物的价格。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12．履约延误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12.1 供方应按照合同规定的时间、地点交货和提供服务；需方应按照合同规定的时间、地点接收货物和接受服务。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13．误期赔偿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13.2误期赔偿费可从应付货款和/或履约保证金中扣除。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13.3收取误期赔偿费不影响需方采取合同规定的其他补救措施的权利。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13.4在收取误期赔偿费期间，需方有权决定是否终止合同。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13.5如果需方违约，应承担相应的违约责任。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14．履约保证金和质量保证金：在集中采购合同书中约定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15．不可抗力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16．税费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16.1 根据现行法律规定对需方征收的与本合同有关的一切税费均由需方负担。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16.2 根据现行法律规定对供方征收的与本合同有关的一切税费均由供方负担。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16.3 在中国境外发生的与执行本合同有关的一切税费均由供方负担。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17．争议解决方式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17.1 需方和供方应通过友好协商，解决在执行本合同过程中所发生的或与本合同有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关的一切争议。如从协商开始十天内仍不能解决，可向国家工商行政管理机关的合同管理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部门提请调解。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17.2 如果调解不成，供需双方中的任何一方可向人民法院提起诉讼。诉讼由合同签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订地人民法院管辖。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17.3诉讼费由败诉方负担。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17.4因合同部分履行引发诉讼的，在诉讼期间，除正在进行诉讼的部分外，本合同的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其它部分应继续执行。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18．违约终止合同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18.1 在需方因供方违约而按合同约定采取的任何补救措施不受影响的情况下，需方可在下列情况下向供方发出书面通知，提出终止部分或全部合同。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（1）如果供方未能在合同规定的限期或需方同意延长的限期内提供部分或全部货物和服务。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（2）如果供方未能履行合同规定的其它任何义务。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（3）如果供方在本合同订立和履行过程中采取了任何“不正当竞争行为”，危害到国家利益、社会公共利益和需方的合法权益。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18.3如果需方违约，应承担相应的违约责任。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20．合同转让和分包：本合同不得转让与分包。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21．需要补充的合同条款：在集中采购合同书中约定。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22．适用法律：本合同按照中华人民共和国的现行法律进行解释。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23．合同备案：自集中采购合同书订立之日起七个工作日内，向本级采购监督管理部门备案。 </w:t>
      </w:r>
    </w:p>
    <w:p>
      <w:pPr>
        <w:bidi w:val="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pPr>
        <w:rPr>
          <w:rFonts w:hint="eastAsia" w:ascii="仿宋" w:hAnsi="仿宋" w:eastAsia="仿宋" w:cs="仿宋"/>
          <w:color w:val="auto"/>
          <w:highlight w:val="none"/>
          <w:lang w:val="en-US" w:eastAsia="zh-CN"/>
        </w:rPr>
      </w:pPr>
      <w:bookmarkStart w:id="51" w:name="_Toc144974854"/>
      <w:bookmarkStart w:id="52" w:name="_Toc247085870"/>
      <w:bookmarkStart w:id="53" w:name="_Toc246997096"/>
      <w:bookmarkStart w:id="54" w:name="_Toc52181488"/>
      <w:bookmarkStart w:id="55" w:name="_Toc152045785"/>
      <w:bookmarkStart w:id="56" w:name="_Toc55285627"/>
      <w:bookmarkStart w:id="57" w:name="_Toc246996353"/>
      <w:bookmarkStart w:id="58" w:name="_Toc20801"/>
      <w:bookmarkStart w:id="59" w:name="_Toc179632804"/>
      <w:bookmarkStart w:id="60" w:name="_Toc152042574"/>
      <w:r>
        <w:rPr>
          <w:rFonts w:hint="eastAsia" w:ascii="仿宋" w:hAnsi="仿宋" w:eastAsia="仿宋" w:cs="仿宋"/>
          <w:color w:val="auto"/>
          <w:highlight w:val="none"/>
          <w:lang w:val="en-US" w:eastAsia="zh-CN"/>
        </w:rPr>
        <w:br w:type="page"/>
      </w:r>
    </w:p>
    <w:p>
      <w:pPr>
        <w:pStyle w:val="3"/>
        <w:bidi w:val="0"/>
        <w:rPr>
          <w:rFonts w:hint="default"/>
          <w:color w:val="auto"/>
          <w:highlight w:val="none"/>
          <w:lang w:val="en-US" w:eastAsia="zh-CN"/>
        </w:rPr>
      </w:pPr>
      <w:bookmarkStart w:id="61" w:name="_Toc13549"/>
      <w:r>
        <w:rPr>
          <w:rFonts w:hint="eastAsia"/>
          <w:color w:val="auto"/>
          <w:highlight w:val="none"/>
          <w:lang w:val="en-US" w:eastAsia="zh-CN"/>
        </w:rPr>
        <w:t xml:space="preserve">第四章 </w:t>
      </w:r>
      <w:bookmarkEnd w:id="51"/>
      <w:bookmarkEnd w:id="52"/>
      <w:bookmarkEnd w:id="53"/>
      <w:bookmarkEnd w:id="54"/>
      <w:bookmarkEnd w:id="55"/>
      <w:bookmarkEnd w:id="56"/>
      <w:bookmarkEnd w:id="57"/>
      <w:bookmarkEnd w:id="58"/>
      <w:bookmarkEnd w:id="59"/>
      <w:bookmarkEnd w:id="60"/>
      <w:r>
        <w:rPr>
          <w:rFonts w:hint="eastAsia"/>
          <w:color w:val="auto"/>
          <w:highlight w:val="none"/>
          <w:lang w:val="en-US" w:eastAsia="zh-CN"/>
        </w:rPr>
        <w:t>合同格式</w:t>
      </w:r>
      <w:bookmarkEnd w:id="61"/>
    </w:p>
    <w:p>
      <w:pPr>
        <w:keepNext w:val="0"/>
        <w:keepLines w:val="0"/>
        <w:widowControl/>
        <w:suppressLineNumbers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合同书格式</w:t>
      </w:r>
    </w:p>
    <w:p>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注：以实际合同为准 </w:t>
      </w:r>
    </w:p>
    <w:p>
      <w:pPr>
        <w:bidi w:val="0"/>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合同编号：</w:t>
      </w:r>
      <w:r>
        <w:rPr>
          <w:rFonts w:hint="eastAsia" w:ascii="仿宋" w:hAnsi="仿宋" w:eastAsia="仿宋" w:cs="仿宋"/>
          <w:color w:val="auto"/>
          <w:sz w:val="24"/>
          <w:szCs w:val="24"/>
          <w:highlight w:val="none"/>
          <w:u w:val="single"/>
          <w:lang w:val="en-US" w:eastAsia="zh-CN"/>
        </w:rPr>
        <w:t xml:space="preserve">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签订地点：</w:t>
      </w:r>
      <w:r>
        <w:rPr>
          <w:rFonts w:hint="eastAsia" w:ascii="仿宋" w:hAnsi="仿宋" w:eastAsia="仿宋" w:cs="仿宋"/>
          <w:color w:val="auto"/>
          <w:sz w:val="24"/>
          <w:szCs w:val="24"/>
          <w:highlight w:val="none"/>
          <w:u w:val="single"/>
          <w:lang w:val="en-US" w:eastAsia="zh-CN"/>
        </w:rPr>
        <w:t xml:space="preserve">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日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招标任务通知书编号：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（需方）需求的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（货物名称）经招标 公司以编号为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w:t>
      </w:r>
      <w:r>
        <w:rPr>
          <w:rFonts w:hint="eastAsia" w:cs="仿宋"/>
          <w:color w:val="auto"/>
          <w:sz w:val="24"/>
          <w:szCs w:val="24"/>
          <w:highlight w:val="none"/>
          <w:lang w:val="en-US" w:eastAsia="zh-CN"/>
        </w:rPr>
        <w:t>招标文件</w:t>
      </w:r>
      <w:r>
        <w:rPr>
          <w:rFonts w:hint="eastAsia" w:ascii="仿宋" w:hAnsi="仿宋" w:eastAsia="仿宋" w:cs="仿宋"/>
          <w:color w:val="auto"/>
          <w:sz w:val="24"/>
          <w:szCs w:val="24"/>
          <w:highlight w:val="none"/>
          <w:lang w:val="en-US" w:eastAsia="zh-CN"/>
        </w:rPr>
        <w:t>在国内公开招标，评标委员会评定（供方）为中标供应商。 供需双方和</w:t>
      </w:r>
      <w:r>
        <w:rPr>
          <w:rFonts w:hint="eastAsia" w:cs="仿宋"/>
          <w:color w:val="auto"/>
          <w:sz w:val="24"/>
          <w:szCs w:val="24"/>
          <w:highlight w:val="none"/>
          <w:lang w:val="en-US" w:eastAsia="zh-CN"/>
        </w:rPr>
        <w:t>中屹宬信建设集团有限公司</w:t>
      </w:r>
      <w:r>
        <w:rPr>
          <w:rFonts w:hint="eastAsia" w:ascii="仿宋" w:hAnsi="仿宋" w:eastAsia="仿宋" w:cs="仿宋"/>
          <w:color w:val="auto"/>
          <w:sz w:val="24"/>
          <w:szCs w:val="24"/>
          <w:highlight w:val="none"/>
          <w:lang w:val="en-US" w:eastAsia="zh-CN"/>
        </w:rPr>
        <w:t xml:space="preserve">按照《中华人民共和国合同法》和有关法律法规，遵循平等、自愿、公平和诚实信用原则，同意按照下面的条款和条件订立本合同，共同信守。 </w:t>
      </w:r>
    </w:p>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合同标的：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招标项目名称 </w:t>
            </w:r>
          </w:p>
        </w:tc>
        <w:tc>
          <w:tcPr>
            <w:tcW w:w="2536" w:type="dxa"/>
            <w:noWrap w:val="0"/>
            <w:vAlign w:val="top"/>
          </w:tcPr>
          <w:p>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详细配置及主要技术参数</w:t>
            </w:r>
          </w:p>
        </w:tc>
        <w:tc>
          <w:tcPr>
            <w:tcW w:w="1056" w:type="dxa"/>
            <w:noWrap w:val="0"/>
            <w:vAlign w:val="top"/>
          </w:tcPr>
          <w:p>
            <w:pPr>
              <w:keepNext w:val="0"/>
              <w:keepLines w:val="0"/>
              <w:widowControl/>
              <w:suppressLineNumbers w:val="0"/>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数量 </w:t>
            </w:r>
          </w:p>
        </w:tc>
        <w:tc>
          <w:tcPr>
            <w:tcW w:w="1705" w:type="dxa"/>
            <w:noWrap w:val="0"/>
            <w:vAlign w:val="top"/>
          </w:tcPr>
          <w:p>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w:t>
            </w:r>
          </w:p>
        </w:tc>
        <w:tc>
          <w:tcPr>
            <w:tcW w:w="1705" w:type="dxa"/>
            <w:noWrap w:val="0"/>
            <w:vAlign w:val="top"/>
          </w:tcPr>
          <w:p>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pPr>
              <w:pStyle w:val="8"/>
              <w:widowControl w:val="0"/>
              <w:jc w:val="both"/>
              <w:rPr>
                <w:rFonts w:hint="eastAsia" w:ascii="仿宋" w:hAnsi="仿宋" w:eastAsia="仿宋" w:cs="仿宋"/>
                <w:color w:val="auto"/>
                <w:sz w:val="24"/>
                <w:szCs w:val="24"/>
                <w:highlight w:val="none"/>
                <w:vertAlign w:val="baseline"/>
                <w:lang w:val="en-US" w:eastAsia="zh-CN"/>
              </w:rPr>
            </w:pPr>
          </w:p>
        </w:tc>
        <w:tc>
          <w:tcPr>
            <w:tcW w:w="2536" w:type="dxa"/>
            <w:noWrap w:val="0"/>
            <w:vAlign w:val="top"/>
          </w:tcPr>
          <w:p>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top"/>
          </w:tcPr>
          <w:p>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pPr>
              <w:pStyle w:val="8"/>
              <w:widowControl w:val="0"/>
              <w:jc w:val="both"/>
              <w:rPr>
                <w:rFonts w:hint="eastAsia" w:ascii="仿宋" w:hAnsi="仿宋" w:eastAsia="仿宋" w:cs="仿宋"/>
                <w:color w:val="auto"/>
                <w:sz w:val="24"/>
                <w:szCs w:val="24"/>
                <w:highlight w:val="none"/>
                <w:vertAlign w:val="baseline"/>
                <w:lang w:val="en-US" w:eastAsia="zh-CN"/>
              </w:rPr>
            </w:pPr>
          </w:p>
        </w:tc>
      </w:tr>
    </w:tbl>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合同价格：人民币（大写）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元，（小写）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元。 </w:t>
      </w:r>
    </w:p>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服务时间、地点、方式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3.1服务期：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3.2交货地点：</w:t>
      </w:r>
      <w:r>
        <w:rPr>
          <w:rFonts w:hint="eastAsia" w:ascii="仿宋" w:hAnsi="仿宋" w:eastAsia="仿宋" w:cs="仿宋"/>
          <w:b/>
          <w:color w:val="auto"/>
          <w:kern w:val="0"/>
          <w:sz w:val="24"/>
          <w:szCs w:val="24"/>
          <w:highlight w:val="none"/>
          <w:lang w:val="en-US" w:eastAsia="zh-CN" w:bidi="ar"/>
        </w:rPr>
        <w:t xml:space="preserve"> </w:t>
      </w:r>
    </w:p>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4. 付款方式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4.2付款：以实际合同为准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履约保证金 </w:t>
      </w:r>
    </w:p>
    <w:p>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5.1 在签署本合同之前，供方应向需方提交合同总价1%的履约保证金（人民币，取整数位到百元）。履约保证金可以采用银行转帐方式提交。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质量保证金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6.1质量保证金为合同总价款的       %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6.2质量保证金由供方的履约保证金（如计取）转为质量保证金。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成果验收：项目提交成果通过甲方组织的专家验收。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合同构成：</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下列文件构成本合同不可分割的组成部分，与本合同具有同等法律效力：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8.1本合同书；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8.2中标通知书；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8.3</w:t>
      </w:r>
      <w:r>
        <w:rPr>
          <w:rFonts w:hint="eastAsia" w:cs="仿宋"/>
          <w:color w:val="auto"/>
          <w:kern w:val="0"/>
          <w:sz w:val="24"/>
          <w:szCs w:val="24"/>
          <w:highlight w:val="none"/>
          <w:lang w:val="en-US" w:eastAsia="zh-CN" w:bidi="ar"/>
        </w:rPr>
        <w:t>招标文件</w:t>
      </w:r>
      <w:r>
        <w:rPr>
          <w:rFonts w:hint="eastAsia" w:ascii="仿宋" w:hAnsi="仿宋" w:eastAsia="仿宋" w:cs="仿宋"/>
          <w:color w:val="auto"/>
          <w:kern w:val="0"/>
          <w:sz w:val="24"/>
          <w:szCs w:val="24"/>
          <w:highlight w:val="none"/>
          <w:lang w:val="en-US" w:eastAsia="zh-CN" w:bidi="ar"/>
        </w:rPr>
        <w:t xml:space="preserve">及澄清、修改、补遗文件；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8.4供方的投标文件及书面澄清、说明、补正文件；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8.5产品样本、样品（样机）、说明书、图纸等有关资料；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8.6政府招标验收报告单；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8.7合同的其它附件。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上述组成合同的文件如有不一致之处，以日期在后的为准。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合同份数：</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本合同一式三份，供需双方各执一份，另一份需提交至监管部门做备存。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合同生效：</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pPr>
        <w:numPr>
          <w:ilvl w:val="0"/>
          <w:numId w:val="12"/>
        </w:numPr>
        <w:bidi w:val="0"/>
        <w:ind w:left="0" w:leftChars="0" w:firstLine="0" w:firstLineChars="0"/>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合同修改：</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除供需双方签署书面修改、补充协议外，本合同条件不得有任何变化或修改。 </w:t>
      </w:r>
    </w:p>
    <w:p>
      <w:pPr>
        <w:pStyle w:val="8"/>
        <w:rPr>
          <w:rFonts w:hint="eastAsia" w:ascii="仿宋" w:hAnsi="仿宋" w:eastAsia="仿宋" w:cs="仿宋"/>
          <w:color w:val="auto"/>
          <w:kern w:val="0"/>
          <w:sz w:val="24"/>
          <w:szCs w:val="24"/>
          <w:highlight w:val="none"/>
          <w:lang w:val="en-US" w:eastAsia="zh-CN" w:bidi="ar"/>
        </w:rPr>
      </w:pPr>
    </w:p>
    <w:p>
      <w:pPr>
        <w:pStyle w:val="8"/>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需方：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供方：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（加盖公章或合同专用章）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（加盖公章或合同专用章）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地址：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地址：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法定代表人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或授权代理人签字：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或授权代理人签字：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签字日期：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签字日期：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邮政编码：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邮政编码：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电话：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传真：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联系人：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开户银行：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帐户名称： </w:t>
      </w:r>
    </w:p>
    <w:p>
      <w:pPr>
        <w:pStyle w:val="36"/>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4"/>
          <w:szCs w:val="24"/>
          <w:highlight w:val="none"/>
          <w:lang w:val="en-US" w:eastAsia="zh-CN" w:bidi="ar"/>
        </w:rPr>
        <w:t>帐号：</w:t>
      </w:r>
    </w:p>
    <w:p>
      <w:pPr>
        <w:pStyle w:val="3"/>
        <w:numPr>
          <w:ilvl w:val="0"/>
          <w:numId w:val="0"/>
        </w:numPr>
        <w:ind w:leftChars="0"/>
        <w:jc w:val="center"/>
        <w:rPr>
          <w:rFonts w:hint="eastAsia" w:ascii="仿宋" w:hAnsi="仿宋" w:eastAsia="仿宋" w:cs="仿宋"/>
          <w:color w:val="auto"/>
          <w:highlight w:val="none"/>
        </w:rPr>
      </w:pPr>
      <w:bookmarkStart w:id="62" w:name="_Toc152042575"/>
      <w:bookmarkStart w:id="63" w:name="_Toc247085872"/>
      <w:bookmarkStart w:id="64" w:name="_Toc246996354"/>
      <w:bookmarkStart w:id="65" w:name="_Toc179632806"/>
      <w:bookmarkStart w:id="66" w:name="_Toc144974855"/>
      <w:bookmarkStart w:id="67" w:name="_Toc152045786"/>
      <w:bookmarkStart w:id="68" w:name="_Toc246997097"/>
      <w:r>
        <w:rPr>
          <w:rFonts w:hint="eastAsia" w:ascii="仿宋" w:hAnsi="仿宋" w:eastAsia="仿宋" w:cs="仿宋"/>
          <w:color w:val="auto"/>
          <w:szCs w:val="21"/>
          <w:highlight w:val="none"/>
        </w:rPr>
        <w:br w:type="page"/>
      </w:r>
      <w:bookmarkEnd w:id="62"/>
      <w:bookmarkEnd w:id="63"/>
      <w:bookmarkEnd w:id="64"/>
      <w:bookmarkEnd w:id="65"/>
      <w:bookmarkEnd w:id="66"/>
      <w:bookmarkEnd w:id="67"/>
      <w:bookmarkEnd w:id="68"/>
      <w:bookmarkStart w:id="69" w:name="_Toc9126"/>
      <w:bookmarkStart w:id="70" w:name="_Toc6025"/>
      <w:r>
        <w:rPr>
          <w:rFonts w:hint="eastAsia" w:ascii="仿宋" w:hAnsi="仿宋" w:eastAsia="仿宋" w:cs="仿宋"/>
          <w:color w:val="auto"/>
          <w:szCs w:val="21"/>
          <w:highlight w:val="none"/>
          <w:lang w:val="en-US" w:eastAsia="zh-CN"/>
        </w:rPr>
        <w:t xml:space="preserve">第五章 </w:t>
      </w:r>
      <w:bookmarkEnd w:id="69"/>
      <w:bookmarkEnd w:id="70"/>
      <w:r>
        <w:rPr>
          <w:rFonts w:hint="eastAsia" w:cs="仿宋"/>
          <w:color w:val="auto"/>
          <w:szCs w:val="44"/>
          <w:highlight w:val="none"/>
          <w:lang w:eastAsia="zh-CN"/>
        </w:rPr>
        <w:t>服务标准和要求</w:t>
      </w:r>
    </w:p>
    <w:p>
      <w:pPr>
        <w:bidi w:val="0"/>
        <w:rPr>
          <w:rFonts w:hint="eastAsia"/>
          <w:highlight w:val="none"/>
          <w:lang w:val="zh-CN"/>
        </w:rPr>
      </w:pPr>
      <w:r>
        <w:rPr>
          <w:rFonts w:hint="eastAsia"/>
          <w:highlight w:val="none"/>
          <w:lang w:val="zh-CN"/>
        </w:rPr>
        <w:t>一、采购预算：</w:t>
      </w:r>
      <w:r>
        <w:rPr>
          <w:rFonts w:hint="eastAsia"/>
          <w:highlight w:val="none"/>
          <w:lang w:val="en-US" w:eastAsia="zh-CN"/>
        </w:rPr>
        <w:t>120万元</w:t>
      </w:r>
      <w:r>
        <w:rPr>
          <w:rFonts w:hint="eastAsia"/>
          <w:highlight w:val="none"/>
          <w:lang w:val="zh-CN"/>
        </w:rPr>
        <w:t xml:space="preserve">。（有超过该预算的投标，采购人恕不接受） </w:t>
      </w:r>
    </w:p>
    <w:p>
      <w:pPr>
        <w:bidi w:val="0"/>
        <w:rPr>
          <w:rFonts w:hint="default" w:cs="Times New Roman"/>
          <w:highlight w:val="none"/>
          <w:lang w:val="en-US" w:eastAsia="zh-CN"/>
        </w:rPr>
      </w:pPr>
      <w:r>
        <w:rPr>
          <w:rFonts w:hint="eastAsia" w:cs="Times New Roman"/>
          <w:highlight w:val="none"/>
          <w:lang w:val="en-US" w:eastAsia="zh-CN"/>
        </w:rPr>
        <w:t>二、服务范围：</w:t>
      </w:r>
      <w:r>
        <w:rPr>
          <w:rFonts w:hint="eastAsia" w:cs="Times New Roman"/>
          <w:highlight w:val="none"/>
          <w:lang w:val="zh-CN" w:eastAsia="zh-CN"/>
        </w:rPr>
        <w:t>病区的床单、被罩、枕套租赁洗涤。 附加：医院院内窗帘、患者服、工作装、手术衣、敷料的洗涤</w:t>
      </w:r>
    </w:p>
    <w:p>
      <w:pPr>
        <w:bidi w:val="0"/>
        <w:rPr>
          <w:rFonts w:hint="eastAsia"/>
          <w:highlight w:val="none"/>
          <w:lang w:val="zh-CN"/>
        </w:rPr>
      </w:pPr>
      <w:r>
        <w:rPr>
          <w:rFonts w:hint="eastAsia"/>
          <w:highlight w:val="none"/>
          <w:lang w:val="en-US" w:eastAsia="zh-CN"/>
        </w:rPr>
        <w:t>三</w:t>
      </w:r>
      <w:r>
        <w:rPr>
          <w:rFonts w:hint="eastAsia"/>
          <w:highlight w:val="none"/>
          <w:lang w:val="zh-CN"/>
        </w:rPr>
        <w:t>、服务内容及要求</w:t>
      </w:r>
    </w:p>
    <w:p>
      <w:pPr>
        <w:bidi w:val="0"/>
        <w:rPr>
          <w:rFonts w:hint="eastAsia"/>
          <w:highlight w:val="none"/>
        </w:rPr>
      </w:pPr>
      <w:r>
        <w:rPr>
          <w:rFonts w:hint="eastAsia"/>
          <w:highlight w:val="none"/>
        </w:rPr>
        <w:t>1、供应商须根据国家卫计委下发的《医院医用织物洗涤消毒技术规范》的相关要求取得医用织物洗涤资格；根据规范对洗衣房进行管理；建筑布局符合规范；洗涤烘干设备、环境及卫生标准须符合规范要求，以保证甲方洗涤物品符合卫生标准及行业标准，保障甲方相关的正常工作。</w:t>
      </w:r>
    </w:p>
    <w:p>
      <w:pPr>
        <w:bidi w:val="0"/>
        <w:rPr>
          <w:rFonts w:hint="eastAsia"/>
          <w:highlight w:val="none"/>
        </w:rPr>
      </w:pPr>
      <w:r>
        <w:rPr>
          <w:rFonts w:hint="eastAsia"/>
          <w:highlight w:val="none"/>
        </w:rPr>
        <w:t>2、乙方负责洗涤物品的取送工作，取送时间由甲方按照诊疗需要具体情况决定，乙方执行。费用由乙方承担。</w:t>
      </w:r>
    </w:p>
    <w:p>
      <w:pPr>
        <w:bidi w:val="0"/>
        <w:rPr>
          <w:rFonts w:hint="eastAsia"/>
          <w:highlight w:val="none"/>
        </w:rPr>
      </w:pPr>
      <w:r>
        <w:rPr>
          <w:rFonts w:hint="eastAsia"/>
          <w:highlight w:val="none"/>
        </w:rPr>
        <w:t>3、负责甲方所有洗涤医用织物的免费缝补、折叠、熨烫等服务。</w:t>
      </w:r>
    </w:p>
    <w:p>
      <w:pPr>
        <w:bidi w:val="0"/>
        <w:rPr>
          <w:rFonts w:hint="eastAsia"/>
          <w:highlight w:val="none"/>
        </w:rPr>
      </w:pPr>
      <w:r>
        <w:rPr>
          <w:rFonts w:hint="eastAsia"/>
          <w:highlight w:val="none"/>
        </w:rPr>
        <w:t>4、医用织物分类收集、运送与储存操作要求应符合《医院医用织物洗涤消毒技术规范》的相关要求。</w:t>
      </w:r>
    </w:p>
    <w:p>
      <w:pPr>
        <w:bidi w:val="0"/>
        <w:rPr>
          <w:highlight w:val="none"/>
        </w:rPr>
      </w:pPr>
      <w:r>
        <w:rPr>
          <w:rFonts w:hint="eastAsia"/>
          <w:highlight w:val="none"/>
        </w:rPr>
        <w:t>5、负责配置运送使用后医用织物和清洁织物的专用车辆和容器，采取封闭方式运送。</w:t>
      </w:r>
    </w:p>
    <w:p>
      <w:pPr>
        <w:bidi w:val="0"/>
        <w:rPr>
          <w:rFonts w:hint="eastAsia"/>
          <w:highlight w:val="none"/>
        </w:rPr>
      </w:pPr>
      <w:r>
        <w:rPr>
          <w:rFonts w:hint="eastAsia"/>
          <w:highlight w:val="none"/>
        </w:rPr>
        <w:t>6、清洁医用织物用包布包装后运送；每套清洁的患者服使用包装袋包装。</w:t>
      </w:r>
    </w:p>
    <w:p>
      <w:pPr>
        <w:bidi w:val="0"/>
        <w:rPr>
          <w:rFonts w:hint="eastAsia"/>
          <w:highlight w:val="none"/>
        </w:rPr>
      </w:pPr>
      <w:r>
        <w:rPr>
          <w:rFonts w:hint="eastAsia"/>
          <w:highlight w:val="none"/>
        </w:rPr>
        <w:t>7、医用织物洗涤、消毒的原则与方法应符合《医院医用织物洗涤消毒技术规范》的相关要求。</w:t>
      </w:r>
    </w:p>
    <w:p>
      <w:pPr>
        <w:bidi w:val="0"/>
        <w:rPr>
          <w:rFonts w:hint="eastAsia"/>
          <w:highlight w:val="none"/>
        </w:rPr>
      </w:pPr>
      <w:r>
        <w:rPr>
          <w:rFonts w:hint="eastAsia"/>
          <w:highlight w:val="none"/>
        </w:rPr>
        <w:t>8、清洁织物未达到《医院医用织物洗涤消毒技术规范》有关质量标准，甲方不予验收。</w:t>
      </w:r>
    </w:p>
    <w:p>
      <w:pPr>
        <w:bidi w:val="0"/>
        <w:rPr>
          <w:rFonts w:hint="eastAsia"/>
          <w:highlight w:val="none"/>
        </w:rPr>
      </w:pPr>
      <w:r>
        <w:rPr>
          <w:rFonts w:hint="eastAsia"/>
          <w:highlight w:val="none"/>
        </w:rPr>
        <w:t>9、医用织物丢失、破损等，按如下标准由乙方承担赔偿责任：</w:t>
      </w:r>
    </w:p>
    <w:p>
      <w:pPr>
        <w:bidi w:val="0"/>
        <w:rPr>
          <w:rFonts w:hint="eastAsia"/>
          <w:highlight w:val="none"/>
        </w:rPr>
      </w:pPr>
      <w:r>
        <w:rPr>
          <w:rFonts w:hint="eastAsia"/>
          <w:highlight w:val="none"/>
        </w:rPr>
        <w:t>（1）甲方所送洗涤的产品寿命周期按12个月计算（洗涤的纺织品需达到国家正规纺织品标准）。</w:t>
      </w:r>
    </w:p>
    <w:p>
      <w:pPr>
        <w:bidi w:val="0"/>
        <w:rPr>
          <w:rFonts w:hint="eastAsia"/>
          <w:highlight w:val="none"/>
        </w:rPr>
      </w:pPr>
      <w:r>
        <w:rPr>
          <w:rFonts w:hint="eastAsia"/>
          <w:highlight w:val="none"/>
        </w:rPr>
        <w:t>（2）如乙方洗涤原因造成破损，双方根据乙方承诺的医用织物寿命折价赔偿。</w:t>
      </w:r>
    </w:p>
    <w:p>
      <w:pPr>
        <w:bidi w:val="0"/>
        <w:rPr>
          <w:rFonts w:hint="eastAsia"/>
          <w:highlight w:val="none"/>
        </w:rPr>
      </w:pPr>
      <w:r>
        <w:rPr>
          <w:rFonts w:hint="eastAsia"/>
          <w:highlight w:val="none"/>
        </w:rPr>
        <w:t>（3）十二个月以上的医用织物的损坏属于自然破损，乙方不予赔偿。</w:t>
      </w:r>
    </w:p>
    <w:p>
      <w:pPr>
        <w:bidi w:val="0"/>
        <w:rPr>
          <w:rFonts w:hint="eastAsia"/>
          <w:highlight w:val="none"/>
        </w:rPr>
      </w:pPr>
      <w:r>
        <w:rPr>
          <w:rFonts w:hint="eastAsia"/>
          <w:highlight w:val="none"/>
        </w:rPr>
        <w:t>（4）出现责任损失时，甲方将购买物品的发票复印件与损坏物品一并交付乙方，下一月结算时在甲方支付的清洗费用中扣除。</w:t>
      </w:r>
    </w:p>
    <w:p>
      <w:pPr>
        <w:bidi w:val="0"/>
        <w:rPr>
          <w:rFonts w:hint="eastAsia"/>
          <w:highlight w:val="none"/>
        </w:rPr>
      </w:pPr>
      <w:r>
        <w:rPr>
          <w:rFonts w:hint="eastAsia"/>
          <w:highlight w:val="none"/>
        </w:rPr>
        <w:t>10、洗涤质量与标准：</w:t>
      </w:r>
    </w:p>
    <w:p>
      <w:pPr>
        <w:bidi w:val="0"/>
        <w:rPr>
          <w:rFonts w:hint="eastAsia"/>
          <w:highlight w:val="none"/>
        </w:rPr>
      </w:pPr>
      <w:r>
        <w:rPr>
          <w:rFonts w:hint="eastAsia"/>
          <w:highlight w:val="none"/>
        </w:rPr>
        <w:t>（1）乙方为甲方洗涤后的清洁织物，卫生质量要求应符合《医院医用织物洗涤消毒技术规范》的相关标准。</w:t>
      </w:r>
    </w:p>
    <w:p>
      <w:pPr>
        <w:bidi w:val="0"/>
        <w:rPr>
          <w:rFonts w:hint="eastAsia" w:ascii="宋体" w:hAnsi="宋体" w:cs="宋体"/>
          <w:b w:val="0"/>
          <w:bCs w:val="0"/>
          <w:color w:val="auto"/>
          <w:szCs w:val="24"/>
          <w:highlight w:val="none"/>
        </w:rPr>
      </w:pPr>
      <w:r>
        <w:rPr>
          <w:rFonts w:hint="eastAsia"/>
          <w:highlight w:val="none"/>
        </w:rPr>
        <w:t>（2）需特殊处理的污渍，乙方应提前告知可清洗程度，征得甲方同意后进行洗涤。若甲方要求强行去除重度油污造成医用织物损伤，乙方不承担责任。</w:t>
      </w:r>
    </w:p>
    <w:p>
      <w:pPr>
        <w:ind w:firstLine="420" w:firstLineChars="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p>
      <w:pPr>
        <w:pStyle w:val="3"/>
        <w:numPr>
          <w:ilvl w:val="0"/>
          <w:numId w:val="0"/>
        </w:numPr>
        <w:ind w:leftChars="0"/>
        <w:jc w:val="center"/>
        <w:rPr>
          <w:rFonts w:hint="eastAsia" w:ascii="仿宋" w:hAnsi="仿宋" w:eastAsia="仿宋" w:cs="仿宋"/>
          <w:color w:val="auto"/>
          <w:highlight w:val="none"/>
        </w:rPr>
      </w:pPr>
      <w:bookmarkStart w:id="71" w:name="_Toc5281"/>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六</w:t>
      </w:r>
      <w:r>
        <w:rPr>
          <w:rFonts w:hint="eastAsia" w:ascii="仿宋" w:hAnsi="仿宋" w:eastAsia="仿宋" w:cs="仿宋"/>
          <w:color w:val="auto"/>
          <w:szCs w:val="21"/>
          <w:highlight w:val="none"/>
          <w:lang w:val="en-US" w:eastAsia="zh-CN"/>
        </w:rPr>
        <w:t xml:space="preserve">章 </w:t>
      </w:r>
      <w:r>
        <w:rPr>
          <w:rFonts w:hint="eastAsia" w:cs="仿宋"/>
          <w:color w:val="auto"/>
          <w:szCs w:val="44"/>
          <w:highlight w:val="none"/>
          <w:lang w:eastAsia="zh-CN"/>
        </w:rPr>
        <w:t>投标文件格式</w:t>
      </w:r>
      <w:bookmarkEnd w:id="71"/>
    </w:p>
    <w:p>
      <w:pPr>
        <w:wordWrap w:val="0"/>
        <w:jc w:val="center"/>
        <w:rPr>
          <w:rFonts w:hint="eastAsia" w:ascii="仿宋" w:hAnsi="仿宋" w:eastAsia="仿宋" w:cs="仿宋"/>
          <w:color w:val="auto"/>
          <w:highlight w:val="none"/>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pPr>
        <w:keepNext w:val="0"/>
        <w:keepLines w:val="0"/>
        <w:widowControl w:val="0"/>
        <w:suppressLineNumbers w:val="0"/>
        <w:spacing w:before="0" w:beforeAutospacing="0" w:after="0" w:afterAutospacing="0"/>
        <w:ind w:left="0" w:leftChars="0" w:right="0" w:firstLine="5400" w:firstLineChars="1500"/>
        <w:jc w:val="both"/>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lang w:val="en-US" w:eastAsia="zh-CN" w:bidi="ar"/>
        </w:rPr>
        <w:t>（项目名称）</w:t>
      </w: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w w:val="80"/>
          <w:sz w:val="84"/>
          <w:szCs w:val="84"/>
          <w:highlight w:val="none"/>
        </w:rPr>
        <w:t>响 应 文 件</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 xml:space="preserve">                            (盖章)</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bidi="ar"/>
        </w:rPr>
        <w:t>法定代表人或</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其委托代理人：</w:t>
      </w:r>
      <w:r>
        <w:rPr>
          <w:rFonts w:hint="eastAsia" w:ascii="仿宋" w:hAnsi="仿宋" w:eastAsia="仿宋" w:cs="仿宋"/>
          <w:color w:val="auto"/>
          <w:kern w:val="0"/>
          <w:sz w:val="28"/>
          <w:szCs w:val="28"/>
          <w:highlight w:val="none"/>
          <w:u w:val="single"/>
          <w:lang w:val="en-US" w:eastAsia="zh-CN" w:bidi="ar"/>
        </w:rPr>
        <w:t xml:space="preserve">                (签字或盖章)</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tabs>
          <w:tab w:val="left" w:pos="1365"/>
        </w:tabs>
        <w:wordWrap w:val="0"/>
        <w:spacing w:line="360" w:lineRule="auto"/>
        <w:jc w:val="center"/>
        <w:rPr>
          <w:rFonts w:hint="eastAsia" w:ascii="仿宋" w:hAnsi="仿宋" w:eastAsia="仿宋" w:cs="仿宋"/>
          <w:b/>
          <w:color w:val="auto"/>
          <w:sz w:val="36"/>
          <w:szCs w:val="36"/>
          <w:highlight w:val="none"/>
        </w:rPr>
      </w:pPr>
    </w:p>
    <w:p>
      <w:pPr>
        <w:bidi w:val="0"/>
        <w:jc w:val="center"/>
        <w:rPr>
          <w:rFonts w:hint="eastAsia" w:ascii="仿宋" w:hAnsi="仿宋" w:eastAsia="仿宋" w:cs="仿宋"/>
          <w:color w:val="auto"/>
          <w:highlight w:val="none"/>
          <w:lang w:eastAsia="zh-CN"/>
        </w:rPr>
      </w:pPr>
      <w:r>
        <w:rPr>
          <w:rFonts w:hint="eastAsia" w:ascii="仿宋" w:hAnsi="仿宋" w:eastAsia="仿宋" w:cs="仿宋"/>
          <w:b/>
          <w:color w:val="auto"/>
          <w:szCs w:val="36"/>
          <w:highlight w:val="none"/>
        </w:rPr>
        <w:br w:type="page"/>
      </w:r>
      <w:r>
        <w:rPr>
          <w:rFonts w:hint="eastAsia" w:ascii="仿宋" w:hAnsi="仿宋" w:eastAsia="仿宋" w:cs="仿宋"/>
          <w:color w:val="auto"/>
          <w:highlight w:val="none"/>
          <w:lang w:eastAsia="zh-CN"/>
        </w:rPr>
        <w:t>目   录</w:t>
      </w:r>
    </w:p>
    <w:p>
      <w:pPr>
        <w:pStyle w:val="8"/>
        <w:rPr>
          <w:rFonts w:hint="eastAsia" w:ascii="仿宋" w:hAnsi="仿宋" w:eastAsia="仿宋" w:cs="仿宋"/>
          <w:color w:val="auto"/>
          <w:highlight w:val="none"/>
          <w:lang w:eastAsia="zh-CN"/>
        </w:rPr>
      </w:pP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投标函及投标函附录</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开标一览表</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法定代表人身份证明</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授权委托书</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供应商基本情况</w:t>
      </w:r>
    </w:p>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投标人资格声明</w:t>
      </w:r>
    </w:p>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售后服务承诺书</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技术因素评审内容</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优惠条件</w:t>
      </w:r>
      <w:r>
        <w:rPr>
          <w:rFonts w:hint="eastAsia" w:ascii="仿宋" w:hAnsi="仿宋" w:eastAsia="仿宋" w:cs="仿宋"/>
          <w:color w:val="auto"/>
          <w:highlight w:val="none"/>
          <w:lang w:val="en-US" w:eastAsia="zh-CN"/>
        </w:rPr>
        <w:tab/>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投标人认为需要提供的其他材料</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b/>
      </w:r>
    </w:p>
    <w:p>
      <w:pPr>
        <w:bidi w:val="0"/>
        <w:rPr>
          <w:rFonts w:hint="eastAsia" w:ascii="仿宋" w:hAnsi="仿宋" w:eastAsia="仿宋" w:cs="仿宋"/>
          <w:color w:val="auto"/>
          <w:highlight w:val="none"/>
          <w:lang w:eastAsia="zh-CN"/>
        </w:rPr>
      </w:pPr>
    </w:p>
    <w:p>
      <w:pPr>
        <w:pStyle w:val="4"/>
        <w:spacing w:before="0" w:line="360" w:lineRule="auto"/>
        <w:ind w:firstLine="72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6"/>
          <w:szCs w:val="36"/>
          <w:highlight w:val="none"/>
        </w:rPr>
        <w:br w:type="page"/>
      </w:r>
      <w:bookmarkStart w:id="72" w:name="_Toc247527828"/>
      <w:bookmarkStart w:id="73" w:name="_Toc17046640"/>
      <w:bookmarkStart w:id="74" w:name="_Toc508372382"/>
      <w:bookmarkStart w:id="75" w:name="_Toc499397513"/>
      <w:bookmarkStart w:id="76" w:name="_Toc300835210"/>
      <w:bookmarkStart w:id="77" w:name="_Toc152045788"/>
      <w:bookmarkStart w:id="78" w:name="_Toc500439923"/>
      <w:bookmarkStart w:id="79" w:name="_Toc508201975"/>
      <w:bookmarkStart w:id="80" w:name="_Toc144974857"/>
      <w:bookmarkStart w:id="81" w:name="_Toc152042577"/>
      <w:bookmarkStart w:id="82" w:name="_Toc509413340"/>
      <w:bookmarkStart w:id="83" w:name="_Toc247514247"/>
      <w:bookmarkStart w:id="84" w:name="_Toc425260054"/>
      <w:r>
        <w:rPr>
          <w:rFonts w:hint="eastAsia" w:ascii="仿宋" w:hAnsi="仿宋" w:eastAsia="仿宋" w:cs="仿宋"/>
          <w:b/>
          <w:color w:val="auto"/>
          <w:sz w:val="32"/>
          <w:szCs w:val="30"/>
          <w:highlight w:val="none"/>
        </w:rPr>
        <w:t>投标函及投标函附录</w:t>
      </w:r>
      <w:bookmarkEnd w:id="72"/>
      <w:bookmarkEnd w:id="73"/>
      <w:bookmarkEnd w:id="74"/>
      <w:bookmarkEnd w:id="75"/>
      <w:bookmarkEnd w:id="76"/>
      <w:bookmarkEnd w:id="77"/>
      <w:bookmarkEnd w:id="78"/>
      <w:bookmarkEnd w:id="79"/>
      <w:bookmarkEnd w:id="80"/>
      <w:bookmarkEnd w:id="81"/>
      <w:bookmarkEnd w:id="82"/>
      <w:bookmarkEnd w:id="83"/>
      <w:bookmarkEnd w:id="84"/>
    </w:p>
    <w:p>
      <w:pPr>
        <w:pStyle w:val="5"/>
        <w:spacing w:before="0" w:after="0" w:line="360" w:lineRule="auto"/>
        <w:jc w:val="center"/>
        <w:rPr>
          <w:rFonts w:hint="eastAsia" w:ascii="仿宋" w:hAnsi="仿宋" w:eastAsia="仿宋" w:cs="仿宋"/>
          <w:color w:val="auto"/>
          <w:sz w:val="28"/>
          <w:szCs w:val="28"/>
          <w:highlight w:val="none"/>
        </w:rPr>
      </w:pPr>
      <w:bookmarkStart w:id="85" w:name="_Toc17046641"/>
      <w:bookmarkStart w:id="86" w:name="_Toc508201976"/>
      <w:bookmarkStart w:id="87" w:name="_Toc425260055"/>
      <w:bookmarkStart w:id="88" w:name="_Toc247514248"/>
      <w:bookmarkStart w:id="89" w:name="_Toc152045789"/>
      <w:bookmarkStart w:id="90" w:name="_Toc300835211"/>
      <w:bookmarkStart w:id="91" w:name="_Toc509413341"/>
      <w:bookmarkStart w:id="92" w:name="_Toc144974858"/>
      <w:bookmarkStart w:id="93" w:name="_Toc152042578"/>
      <w:bookmarkStart w:id="94" w:name="_Toc499397514"/>
      <w:bookmarkStart w:id="95" w:name="_Toc500439924"/>
      <w:bookmarkStart w:id="96" w:name="_Toc247527829"/>
      <w:bookmarkStart w:id="97" w:name="_Toc508372383"/>
      <w:r>
        <w:rPr>
          <w:rFonts w:hint="eastAsia" w:ascii="仿宋" w:hAnsi="仿宋" w:eastAsia="仿宋" w:cs="仿宋"/>
          <w:color w:val="auto"/>
          <w:sz w:val="28"/>
          <w:szCs w:val="28"/>
          <w:highlight w:val="none"/>
        </w:rPr>
        <w:t>（一）投标函</w:t>
      </w:r>
      <w:bookmarkEnd w:id="85"/>
      <w:bookmarkEnd w:id="86"/>
      <w:bookmarkEnd w:id="87"/>
      <w:bookmarkEnd w:id="88"/>
      <w:bookmarkEnd w:id="89"/>
      <w:bookmarkEnd w:id="90"/>
      <w:bookmarkEnd w:id="91"/>
      <w:bookmarkEnd w:id="92"/>
      <w:bookmarkEnd w:id="93"/>
      <w:bookmarkEnd w:id="94"/>
      <w:bookmarkEnd w:id="95"/>
      <w:bookmarkEnd w:id="96"/>
      <w:bookmarkEnd w:id="97"/>
    </w:p>
    <w:p>
      <w:pPr>
        <w:autoSpaceDE w:val="0"/>
        <w:autoSpaceDN w:val="0"/>
        <w:spacing w:line="360" w:lineRule="auto"/>
        <w:rPr>
          <w:rFonts w:hint="eastAsia" w:ascii="仿宋" w:hAnsi="仿宋" w:eastAsia="仿宋" w:cs="仿宋"/>
          <w:color w:val="auto"/>
          <w:kern w:val="0"/>
          <w:sz w:val="24"/>
          <w:szCs w:val="24"/>
          <w:highlight w:val="none"/>
          <w:u w:val="single"/>
          <w:lang w:val="zh-CN"/>
        </w:rPr>
      </w:pPr>
      <w:r>
        <w:rPr>
          <w:rFonts w:hint="eastAsia" w:cs="仿宋"/>
          <w:color w:val="auto"/>
          <w:kern w:val="0"/>
          <w:sz w:val="24"/>
          <w:szCs w:val="24"/>
          <w:highlight w:val="none"/>
          <w:lang w:val="zh-CN"/>
        </w:rPr>
        <w:t>中屹宬信建设集团有限公司</w:t>
      </w:r>
      <w:r>
        <w:rPr>
          <w:rFonts w:hint="eastAsia" w:ascii="仿宋" w:hAnsi="仿宋" w:eastAsia="仿宋" w:cs="仿宋"/>
          <w:color w:val="auto"/>
          <w:kern w:val="0"/>
          <w:sz w:val="24"/>
          <w:szCs w:val="24"/>
          <w:highlight w:val="none"/>
          <w:lang w:val="zh-CN"/>
        </w:rPr>
        <w:t>：</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根据你方采购</w:t>
      </w:r>
      <w:r>
        <w:rPr>
          <w:rFonts w:hint="eastAsia" w:ascii="仿宋" w:hAnsi="仿宋" w:eastAsia="仿宋" w:cs="仿宋"/>
          <w:color w:val="auto"/>
          <w:sz w:val="24"/>
          <w:szCs w:val="24"/>
          <w:highlight w:val="none"/>
          <w:u w:val="single"/>
          <w:lang w:val="zh-CN"/>
        </w:rPr>
        <w:t>（项目名称）</w:t>
      </w:r>
      <w:r>
        <w:rPr>
          <w:rFonts w:hint="eastAsia" w:ascii="仿宋" w:hAnsi="仿宋" w:eastAsia="仿宋" w:cs="仿宋"/>
          <w:color w:val="auto"/>
          <w:sz w:val="24"/>
          <w:szCs w:val="24"/>
          <w:highlight w:val="none"/>
          <w:lang w:val="zh-CN"/>
        </w:rPr>
        <w:t>项目包的编号为</w:t>
      </w:r>
      <w:r>
        <w:rPr>
          <w:rFonts w:hint="eastAsia" w:ascii="仿宋" w:hAnsi="仿宋" w:eastAsia="仿宋" w:cs="仿宋"/>
          <w:color w:val="auto"/>
          <w:sz w:val="24"/>
          <w:szCs w:val="24"/>
          <w:highlight w:val="none"/>
          <w:u w:val="single"/>
          <w:lang w:val="zh-CN"/>
        </w:rPr>
        <w:t xml:space="preserve">     -     </w:t>
      </w:r>
      <w:r>
        <w:rPr>
          <w:rFonts w:hint="eastAsia" w:ascii="仿宋" w:hAnsi="仿宋" w:eastAsia="仿宋" w:cs="仿宋"/>
          <w:color w:val="auto"/>
          <w:sz w:val="24"/>
          <w:szCs w:val="24"/>
          <w:highlight w:val="none"/>
          <w:lang w:val="zh-CN"/>
        </w:rPr>
        <w:t>招标文件，我方正式授权的下述签字人</w:t>
      </w:r>
      <w:r>
        <w:rPr>
          <w:rFonts w:hint="eastAsia" w:ascii="仿宋" w:hAnsi="仿宋" w:eastAsia="仿宋" w:cs="仿宋"/>
          <w:color w:val="auto"/>
          <w:sz w:val="24"/>
          <w:szCs w:val="24"/>
          <w:highlight w:val="none"/>
          <w:u w:val="single"/>
          <w:lang w:val="zh-CN"/>
        </w:rPr>
        <w:t>（姓名和职务）</w:t>
      </w:r>
      <w:r>
        <w:rPr>
          <w:rFonts w:hint="eastAsia" w:ascii="仿宋" w:hAnsi="仿宋" w:eastAsia="仿宋" w:cs="仿宋"/>
          <w:color w:val="auto"/>
          <w:sz w:val="24"/>
          <w:szCs w:val="24"/>
          <w:highlight w:val="none"/>
          <w:lang w:val="zh-CN"/>
        </w:rPr>
        <w:t>代表我方</w:t>
      </w:r>
      <w:r>
        <w:rPr>
          <w:rFonts w:hint="eastAsia" w:ascii="仿宋" w:hAnsi="仿宋" w:eastAsia="仿宋" w:cs="仿宋"/>
          <w:color w:val="auto"/>
          <w:sz w:val="24"/>
          <w:szCs w:val="24"/>
          <w:highlight w:val="none"/>
          <w:u w:val="single"/>
          <w:lang w:val="zh-CN"/>
        </w:rPr>
        <w:t>（投标人的名称）</w:t>
      </w:r>
      <w:r>
        <w:rPr>
          <w:rFonts w:hint="eastAsia" w:ascii="仿宋" w:hAnsi="仿宋" w:eastAsia="仿宋" w:cs="仿宋"/>
          <w:color w:val="auto"/>
          <w:sz w:val="24"/>
          <w:szCs w:val="24"/>
          <w:highlight w:val="none"/>
          <w:lang w:val="zh-CN"/>
        </w:rPr>
        <w:t>，按照你方招标文件的规定，提交《投标人须知》</w:t>
      </w:r>
      <w:r>
        <w:rPr>
          <w:rFonts w:hint="eastAsia" w:ascii="仿宋" w:hAnsi="仿宋" w:eastAsia="仿宋" w:cs="仿宋"/>
          <w:b/>
          <w:bCs/>
          <w:color w:val="auto"/>
          <w:sz w:val="24"/>
          <w:szCs w:val="24"/>
          <w:highlight w:val="none"/>
          <w:lang w:val="zh-CN"/>
        </w:rPr>
        <w:t>第8条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投标文件构成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要求的全部文件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并保证所提供的全部文件是真实的、有效的和准确的。</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据此函，签字人兹宣布同意如下：</w:t>
      </w:r>
    </w:p>
    <w:p>
      <w:pPr>
        <w:tabs>
          <w:tab w:val="left" w:pos="8175"/>
        </w:tabs>
        <w:autoSpaceDE w:val="0"/>
        <w:autoSpaceDN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1.按招标文件规定提供采购</w:t>
      </w:r>
      <w:r>
        <w:rPr>
          <w:rFonts w:hint="eastAsia" w:cs="仿宋"/>
          <w:color w:val="auto"/>
          <w:sz w:val="24"/>
          <w:szCs w:val="24"/>
          <w:highlight w:val="none"/>
          <w:lang w:val="en-US" w:eastAsia="zh-CN"/>
        </w:rPr>
        <w:t>服务</w:t>
      </w:r>
      <w:r>
        <w:rPr>
          <w:rFonts w:hint="eastAsia" w:ascii="仿宋" w:hAnsi="仿宋" w:eastAsia="仿宋" w:cs="仿宋"/>
          <w:color w:val="auto"/>
          <w:sz w:val="24"/>
          <w:szCs w:val="24"/>
          <w:highlight w:val="none"/>
          <w:lang w:val="zh-CN"/>
        </w:rPr>
        <w:t>的投标价格为（</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val="en-US" w:eastAsia="zh-CN"/>
        </w:rPr>
        <w:t>元</w:t>
      </w:r>
      <w:r>
        <w:rPr>
          <w:rFonts w:hint="eastAsia" w:ascii="仿宋" w:hAnsi="仿宋" w:eastAsia="仿宋" w:cs="仿宋"/>
          <w:color w:val="auto"/>
          <w:sz w:val="24"/>
          <w:szCs w:val="24"/>
          <w:highlight w:val="none"/>
          <w:lang w:val="zh-CN"/>
        </w:rPr>
        <w:t>）</w:t>
      </w:r>
    </w:p>
    <w:p>
      <w:pPr>
        <w:tabs>
          <w:tab w:val="left" w:pos="8175"/>
        </w:tabs>
        <w:autoSpaceDE w:val="0"/>
        <w:autoSpaceDN w:val="0"/>
        <w:spacing w:line="360" w:lineRule="auto"/>
        <w:ind w:firstLine="960"/>
        <w:rPr>
          <w:rFonts w:hint="eastAsia" w:ascii="仿宋" w:hAnsi="仿宋" w:eastAsia="仿宋" w:cs="仿宋"/>
          <w:color w:val="auto"/>
          <w:sz w:val="24"/>
          <w:szCs w:val="24"/>
          <w:highlight w:val="none"/>
          <w:lang w:val="zh-CN"/>
        </w:rPr>
      </w:pPr>
      <w:r>
        <w:rPr>
          <w:rFonts w:hint="eastAsia" w:cs="仿宋"/>
          <w:color w:val="auto"/>
          <w:sz w:val="24"/>
          <w:szCs w:val="24"/>
          <w:highlight w:val="none"/>
          <w:lang w:val="zh-CN"/>
        </w:rPr>
        <w:t>服务期</w:t>
      </w:r>
      <w:r>
        <w:rPr>
          <w:rFonts w:hint="eastAsia" w:ascii="仿宋" w:hAnsi="仿宋" w:eastAsia="仿宋" w:cs="仿宋"/>
          <w:color w:val="auto"/>
          <w:sz w:val="24"/>
          <w:szCs w:val="24"/>
          <w:highlight w:val="none"/>
          <w:lang w:val="zh-CN"/>
        </w:rPr>
        <w:t>为：</w:t>
      </w:r>
    </w:p>
    <w:p>
      <w:pPr>
        <w:tabs>
          <w:tab w:val="left" w:pos="8175"/>
        </w:tabs>
        <w:autoSpaceDE w:val="0"/>
        <w:autoSpaceDN w:val="0"/>
        <w:spacing w:line="360" w:lineRule="auto"/>
        <w:ind w:firstLine="96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服务</w:t>
      </w:r>
      <w:r>
        <w:rPr>
          <w:rFonts w:hint="eastAsia" w:ascii="仿宋" w:hAnsi="仿宋" w:eastAsia="仿宋" w:cs="仿宋"/>
          <w:color w:val="auto"/>
          <w:sz w:val="24"/>
          <w:szCs w:val="24"/>
          <w:highlight w:val="none"/>
          <w:lang w:val="zh-CN"/>
        </w:rPr>
        <w:t>地点：…………。</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2.如果我方中标，我们保证根据招标文件规定履行合同责任和义务。</w:t>
      </w:r>
    </w:p>
    <w:p>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3.我方投标保证金与本投标文件同时提交。</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4.如果我方中标，我方保证按照招标文件规定提交履约保证金，承担履约责任。</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6.我们对招标文件关于时限、程序方面的规定没有异议，保证按照招标文件规定的时限和程序参加投标活动。</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7.我们同意在投标人须知规定的开标时间起遵循本投标书，并在投标人须知规定的投标有效期满之前均具有约束力，并有可能中标。</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8.我们如果在规定的投标有效期内撤回投标，则你方可不予退还我们的投标保证金。</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9.我们保证向你方提供你方可能要求的与本投标有关的任何证据或资料。</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10.我们完全理解你方不一定要接受最低报价的投标或收到的任何投标。</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11.本投标自开标之时起90天内有效。</w:t>
      </w:r>
    </w:p>
    <w:p>
      <w:pPr>
        <w:tabs>
          <w:tab w:val="left" w:pos="709"/>
        </w:tabs>
        <w:autoSpaceDE w:val="0"/>
        <w:autoSpaceDN w:val="0"/>
        <w:spacing w:line="360" w:lineRule="auto"/>
        <w:ind w:firstLine="482"/>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）提供虚假材料谋取中标、成交的；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）采取不正当手段诋毁、排挤其他投标人的；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）与其他投标人、招标代理机构或者采购单位人员或者其他有关人员恶意串通的；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）向评标委员会成员、招标代理机构或者采购单位人员或者其他有关人员行贿或者提供其他不正当利益的；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）将中标项目转让给他人或者将中标项目分包给他人的；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）签订合同后拒绝履行合同义务的；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）拒绝有关部门监督检查或提供虚假情况的。</w:t>
      </w:r>
    </w:p>
    <w:p>
      <w:pPr>
        <w:autoSpaceDE w:val="0"/>
        <w:autoSpaceDN w:val="0"/>
        <w:spacing w:line="360" w:lineRule="auto"/>
        <w:ind w:firstLine="480"/>
        <w:rPr>
          <w:rFonts w:hint="eastAsia" w:ascii="仿宋" w:hAnsi="仿宋" w:eastAsia="仿宋" w:cs="仿宋"/>
          <w:color w:val="auto"/>
          <w:sz w:val="24"/>
          <w:szCs w:val="24"/>
          <w:highlight w:val="none"/>
          <w:lang w:val="zh-CN"/>
        </w:rPr>
      </w:pPr>
    </w:p>
    <w:p>
      <w:pPr>
        <w:autoSpaceDE w:val="0"/>
        <w:autoSpaceDN w:val="0"/>
        <w:spacing w:line="360" w:lineRule="auto"/>
        <w:ind w:left="1680" w:leftChars="0" w:firstLine="1701"/>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sz w:val="24"/>
          <w:szCs w:val="24"/>
          <w:highlight w:val="none"/>
          <w:lang w:val="zh-CN"/>
        </w:rPr>
        <w:t>投标人名称（加盖公章）：</w:t>
      </w:r>
    </w:p>
    <w:p>
      <w:pPr>
        <w:autoSpaceDE w:val="0"/>
        <w:autoSpaceDN w:val="0"/>
        <w:spacing w:line="360" w:lineRule="auto"/>
        <w:ind w:left="1680" w:leftChars="0" w:firstLine="1701"/>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投标人代表姓名（手书签名）：</w:t>
      </w:r>
    </w:p>
    <w:p>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地址：</w:t>
      </w:r>
    </w:p>
    <w:p>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电话、传真或电传：</w:t>
      </w:r>
    </w:p>
    <w:p>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邮政编码：</w:t>
      </w:r>
    </w:p>
    <w:p>
      <w:pPr>
        <w:autoSpaceDE w:val="0"/>
        <w:autoSpaceDN w:val="0"/>
        <w:spacing w:line="360" w:lineRule="auto"/>
        <w:ind w:left="1680" w:leftChars="0" w:firstLine="1701"/>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日期：年月日</w:t>
      </w:r>
    </w:p>
    <w:p>
      <w:pPr>
        <w:autoSpaceDE w:val="0"/>
        <w:autoSpaceDN w:val="0"/>
        <w:spacing w:line="360" w:lineRule="auto"/>
        <w:ind w:firstLine="1701"/>
        <w:rPr>
          <w:rFonts w:hint="eastAsia" w:ascii="仿宋" w:hAnsi="仿宋" w:eastAsia="仿宋" w:cs="仿宋"/>
          <w:color w:val="auto"/>
          <w:sz w:val="24"/>
          <w:szCs w:val="24"/>
          <w:highlight w:val="none"/>
          <w:lang w:val="zh-CN"/>
        </w:rPr>
      </w:pPr>
    </w:p>
    <w:p>
      <w:pPr>
        <w:autoSpaceDE w:val="0"/>
        <w:autoSpaceDN w:val="0"/>
        <w:adjustRightInd w:val="0"/>
        <w:spacing w:line="400" w:lineRule="exact"/>
        <w:jc w:val="center"/>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请投标人注意：投标函必须按规定有效签署和加盖公章，否则为废标。</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5"/>
        <w:numPr>
          <w:ilvl w:val="0"/>
          <w:numId w:val="13"/>
        </w:numPr>
        <w:spacing w:before="0" w:after="0" w:line="360" w:lineRule="auto"/>
        <w:jc w:val="center"/>
        <w:rPr>
          <w:rFonts w:hint="eastAsia" w:cs="仿宋"/>
          <w:color w:val="auto"/>
          <w:sz w:val="28"/>
          <w:szCs w:val="28"/>
          <w:highlight w:val="none"/>
          <w:lang w:val="en-US" w:eastAsia="zh-CN"/>
        </w:rPr>
      </w:pPr>
      <w:r>
        <w:rPr>
          <w:rFonts w:hint="eastAsia" w:ascii="仿宋" w:hAnsi="仿宋" w:eastAsia="仿宋" w:cs="仿宋"/>
          <w:color w:val="auto"/>
          <w:sz w:val="28"/>
          <w:szCs w:val="28"/>
          <w:highlight w:val="none"/>
        </w:rPr>
        <w:t>投标函</w:t>
      </w:r>
      <w:r>
        <w:rPr>
          <w:rFonts w:hint="eastAsia" w:cs="仿宋"/>
          <w:color w:val="auto"/>
          <w:sz w:val="28"/>
          <w:szCs w:val="28"/>
          <w:highlight w:val="none"/>
          <w:lang w:val="en-US" w:eastAsia="zh-CN"/>
        </w:rPr>
        <w:t>附录</w:t>
      </w:r>
    </w:p>
    <w:p>
      <w:pPr>
        <w:numPr>
          <w:ilvl w:val="0"/>
          <w:numId w:val="0"/>
        </w:numPr>
        <w:ind w:firstLine="0"/>
        <w:rPr>
          <w:rFonts w:hint="eastAsia"/>
          <w:highlight w:val="none"/>
          <w:lang w:val="en-US" w:eastAsia="zh-CN"/>
        </w:rPr>
      </w:pPr>
      <w:r>
        <w:rPr>
          <w:rFonts w:hint="eastAsia"/>
          <w:highlight w:val="none"/>
          <w:lang w:val="en-US" w:eastAsia="zh-CN"/>
        </w:rPr>
        <w:t>项目名称:</w:t>
      </w:r>
    </w:p>
    <w:p>
      <w:pPr>
        <w:numPr>
          <w:ilvl w:val="0"/>
          <w:numId w:val="0"/>
        </w:numPr>
        <w:ind w:firstLine="0"/>
        <w:rPr>
          <w:rFonts w:hint="eastAsia"/>
          <w:highlight w:val="none"/>
          <w:lang w:val="en-US" w:eastAsia="zh-CN"/>
        </w:rPr>
      </w:pPr>
      <w:r>
        <w:rPr>
          <w:rFonts w:hint="eastAsia"/>
          <w:highlight w:val="none"/>
          <w:lang w:val="en-US" w:eastAsia="zh-CN"/>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76"/>
        <w:gridCol w:w="32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序号</w:t>
            </w:r>
          </w:p>
        </w:tc>
        <w:tc>
          <w:tcPr>
            <w:tcW w:w="2276"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条款内容</w:t>
            </w:r>
          </w:p>
        </w:tc>
        <w:tc>
          <w:tcPr>
            <w:tcW w:w="3210"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约定内容</w:t>
            </w:r>
          </w:p>
        </w:tc>
        <w:tc>
          <w:tcPr>
            <w:tcW w:w="2131"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1</w:t>
            </w:r>
          </w:p>
        </w:tc>
        <w:tc>
          <w:tcPr>
            <w:tcW w:w="2276" w:type="dxa"/>
          </w:tcPr>
          <w:p>
            <w:pPr>
              <w:pStyle w:val="10"/>
              <w:widowControl w:val="0"/>
              <w:ind w:firstLine="0"/>
              <w:jc w:val="both"/>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eastAsia="zh-CN"/>
              </w:rPr>
              <w:t>服务期</w:t>
            </w: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2</w:t>
            </w:r>
          </w:p>
        </w:tc>
        <w:tc>
          <w:tcPr>
            <w:tcW w:w="2276" w:type="dxa"/>
          </w:tcPr>
          <w:p>
            <w:pPr>
              <w:pStyle w:val="10"/>
              <w:widowControl w:val="0"/>
              <w:ind w:firstLine="0"/>
              <w:jc w:val="both"/>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eastAsia="zh-CN"/>
              </w:rPr>
              <w:t>服务地点</w:t>
            </w: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3</w:t>
            </w:r>
          </w:p>
        </w:tc>
        <w:tc>
          <w:tcPr>
            <w:tcW w:w="2276" w:type="dxa"/>
          </w:tcPr>
          <w:p>
            <w:pPr>
              <w:pStyle w:val="10"/>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质量标准</w:t>
            </w: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4</w:t>
            </w:r>
          </w:p>
        </w:tc>
        <w:tc>
          <w:tcPr>
            <w:tcW w:w="2276" w:type="dxa"/>
          </w:tcPr>
          <w:p>
            <w:pPr>
              <w:pStyle w:val="10"/>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联合体投标</w:t>
            </w: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5</w:t>
            </w:r>
          </w:p>
        </w:tc>
        <w:tc>
          <w:tcPr>
            <w:tcW w:w="2276" w:type="dxa"/>
          </w:tcPr>
          <w:p>
            <w:pPr>
              <w:pStyle w:val="10"/>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分包</w:t>
            </w: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6</w:t>
            </w:r>
          </w:p>
        </w:tc>
        <w:tc>
          <w:tcPr>
            <w:tcW w:w="2276" w:type="dxa"/>
          </w:tcPr>
          <w:p>
            <w:pPr>
              <w:pStyle w:val="10"/>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投标有效期</w:t>
            </w: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7</w:t>
            </w:r>
          </w:p>
        </w:tc>
        <w:tc>
          <w:tcPr>
            <w:tcW w:w="2276" w:type="dxa"/>
          </w:tcPr>
          <w:p>
            <w:pPr>
              <w:pStyle w:val="10"/>
              <w:widowControl w:val="0"/>
              <w:ind w:firstLine="0"/>
              <w:jc w:val="both"/>
              <w:rPr>
                <w:rFonts w:hint="default" w:ascii="仿宋" w:hAnsi="仿宋" w:eastAsia="仿宋" w:cs="仿宋"/>
                <w:sz w:val="21"/>
                <w:szCs w:val="21"/>
                <w:highlight w:val="none"/>
                <w:lang w:val="en-US" w:eastAsia="zh-CN"/>
              </w:rPr>
            </w:pP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8</w:t>
            </w:r>
          </w:p>
        </w:tc>
        <w:tc>
          <w:tcPr>
            <w:tcW w:w="2276" w:type="dxa"/>
          </w:tcPr>
          <w:p>
            <w:pPr>
              <w:pStyle w:val="10"/>
              <w:widowControl w:val="0"/>
              <w:jc w:val="both"/>
              <w:rPr>
                <w:rFonts w:hint="default"/>
                <w:highlight w:val="none"/>
                <w:vertAlign w:val="baseline"/>
                <w:lang w:val="en-US" w:eastAsia="zh-CN"/>
              </w:rPr>
            </w:pP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9</w:t>
            </w:r>
          </w:p>
        </w:tc>
        <w:tc>
          <w:tcPr>
            <w:tcW w:w="2276" w:type="dxa"/>
          </w:tcPr>
          <w:p>
            <w:pPr>
              <w:pStyle w:val="10"/>
              <w:widowControl w:val="0"/>
              <w:jc w:val="both"/>
              <w:rPr>
                <w:rFonts w:hint="default"/>
                <w:highlight w:val="none"/>
                <w:vertAlign w:val="baseline"/>
                <w:lang w:val="en-US" w:eastAsia="zh-CN"/>
              </w:rPr>
            </w:pP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0"/>
              <w:widowControl w:val="0"/>
              <w:jc w:val="center"/>
              <w:rPr>
                <w:rFonts w:hint="default"/>
                <w:highlight w:val="none"/>
                <w:vertAlign w:val="baseline"/>
                <w:lang w:val="en-US" w:eastAsia="zh-CN"/>
              </w:rPr>
            </w:pPr>
            <w:r>
              <w:rPr>
                <w:rFonts w:hint="eastAsia"/>
                <w:highlight w:val="none"/>
                <w:vertAlign w:val="baseline"/>
                <w:lang w:val="en-US" w:eastAsia="zh-CN"/>
              </w:rPr>
              <w:t>10</w:t>
            </w:r>
          </w:p>
        </w:tc>
        <w:tc>
          <w:tcPr>
            <w:tcW w:w="2276" w:type="dxa"/>
          </w:tcPr>
          <w:p>
            <w:pPr>
              <w:pStyle w:val="10"/>
              <w:widowControl w:val="0"/>
              <w:jc w:val="both"/>
              <w:rPr>
                <w:rFonts w:hint="default"/>
                <w:highlight w:val="none"/>
                <w:vertAlign w:val="baseline"/>
                <w:lang w:val="en-US" w:eastAsia="zh-CN"/>
              </w:rPr>
            </w:pPr>
          </w:p>
        </w:tc>
        <w:tc>
          <w:tcPr>
            <w:tcW w:w="3210" w:type="dxa"/>
          </w:tcPr>
          <w:p>
            <w:pPr>
              <w:pStyle w:val="10"/>
              <w:widowControl w:val="0"/>
              <w:jc w:val="both"/>
              <w:rPr>
                <w:rFonts w:hint="default"/>
                <w:highlight w:val="none"/>
                <w:vertAlign w:val="baseline"/>
                <w:lang w:val="en-US" w:eastAsia="zh-CN"/>
              </w:rPr>
            </w:pPr>
          </w:p>
        </w:tc>
        <w:tc>
          <w:tcPr>
            <w:tcW w:w="2131" w:type="dxa"/>
          </w:tcPr>
          <w:p>
            <w:pPr>
              <w:pStyle w:val="10"/>
              <w:widowControl w:val="0"/>
              <w:jc w:val="both"/>
              <w:rPr>
                <w:rFonts w:hint="default"/>
                <w:highlight w:val="none"/>
                <w:vertAlign w:val="baseline"/>
                <w:lang w:val="en-US" w:eastAsia="zh-CN"/>
              </w:rPr>
            </w:pPr>
          </w:p>
        </w:tc>
      </w:tr>
    </w:tbl>
    <w:p>
      <w:pPr>
        <w:pStyle w:val="10"/>
        <w:rPr>
          <w:rFonts w:hint="default"/>
          <w:highlight w:val="none"/>
          <w:lang w:val="en-US" w:eastAsia="zh-CN"/>
        </w:rPr>
      </w:pP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bidi w:val="0"/>
        <w:rPr>
          <w:rFonts w:hint="eastAsia"/>
          <w:highlight w:val="none"/>
          <w:lang w:val="zh-CN" w:eastAsia="zh-CN"/>
        </w:rPr>
      </w:pPr>
    </w:p>
    <w:p>
      <w:pPr>
        <w:bidi w:val="0"/>
        <w:rPr>
          <w:rFonts w:hint="eastAsia"/>
          <w:highlight w:val="none"/>
          <w:lang w:val="zh-CN" w:eastAsia="zh-CN"/>
        </w:rPr>
      </w:pPr>
    </w:p>
    <w:p>
      <w:pPr>
        <w:bidi w:val="0"/>
        <w:rPr>
          <w:rFonts w:hint="eastAsia"/>
          <w:highlight w:val="none"/>
          <w:lang w:val="zh-CN" w:eastAsia="zh-CN"/>
        </w:rPr>
      </w:pPr>
    </w:p>
    <w:p>
      <w:pP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br w:type="page"/>
      </w:r>
    </w:p>
    <w:p>
      <w:pPr>
        <w:pStyle w:val="4"/>
        <w:spacing w:before="0" w:line="360" w:lineRule="auto"/>
        <w:ind w:firstLine="64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开标一览表</w:t>
      </w:r>
    </w:p>
    <w:p>
      <w:pPr>
        <w:autoSpaceDE w:val="0"/>
        <w:autoSpaceDN w:val="0"/>
        <w:adjustRightInd w:val="0"/>
        <w:ind w:firstLine="480" w:firstLineChars="200"/>
        <w:rPr>
          <w:rFonts w:hint="eastAsia" w:ascii="仿宋" w:hAnsi="仿宋" w:eastAsia="仿宋" w:cs="仿宋"/>
          <w:bCs/>
          <w:color w:val="auto"/>
          <w:sz w:val="24"/>
          <w:highlight w:val="none"/>
        </w:rPr>
      </w:pPr>
    </w:p>
    <w:p>
      <w:pPr>
        <w:autoSpaceDE w:val="0"/>
        <w:autoSpaceDN w:val="0"/>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utoSpaceDE w:val="0"/>
        <w:autoSpaceDN w:val="0"/>
        <w:adjustRightIn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tbl>
      <w:tblPr>
        <w:tblStyle w:val="19"/>
        <w:tblW w:w="4862"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969"/>
        <w:gridCol w:w="2147"/>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9" w:type="pct"/>
            <w:noWrap w:val="0"/>
            <w:vAlign w:val="center"/>
          </w:tcPr>
          <w:p>
            <w:pPr>
              <w:pStyle w:val="10"/>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投标人名称</w:t>
            </w:r>
            <w:r>
              <w:rPr>
                <w:rFonts w:hint="eastAsia" w:ascii="仿宋" w:hAnsi="仿宋" w:eastAsia="仿宋" w:cs="仿宋"/>
                <w:b/>
                <w:color w:val="auto"/>
                <w:sz w:val="24"/>
                <w:szCs w:val="28"/>
                <w:highlight w:val="none"/>
              </w:rPr>
              <w:t>（盖单位章）</w:t>
            </w:r>
          </w:p>
        </w:tc>
        <w:tc>
          <w:tcPr>
            <w:tcW w:w="1188" w:type="pct"/>
            <w:noWrap w:val="0"/>
            <w:vAlign w:val="center"/>
          </w:tcPr>
          <w:p>
            <w:pPr>
              <w:pStyle w:val="10"/>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投标总价（</w:t>
            </w:r>
            <w:r>
              <w:rPr>
                <w:rFonts w:hint="eastAsia" w:ascii="仿宋" w:hAnsi="仿宋" w:cs="仿宋"/>
                <w:b/>
                <w:color w:val="auto"/>
                <w:sz w:val="24"/>
                <w:highlight w:val="none"/>
                <w:lang w:val="en-US" w:eastAsia="zh-CN"/>
              </w:rPr>
              <w:t>元</w:t>
            </w:r>
            <w:r>
              <w:rPr>
                <w:rFonts w:hint="eastAsia" w:ascii="仿宋" w:hAnsi="仿宋" w:eastAsia="仿宋" w:cs="仿宋"/>
                <w:b/>
                <w:color w:val="auto"/>
                <w:sz w:val="24"/>
                <w:highlight w:val="none"/>
                <w:lang w:val="en-US" w:eastAsia="zh-CN"/>
              </w:rPr>
              <w:t>）</w:t>
            </w:r>
          </w:p>
        </w:tc>
        <w:tc>
          <w:tcPr>
            <w:tcW w:w="1295" w:type="pct"/>
            <w:noWrap w:val="0"/>
            <w:vAlign w:val="center"/>
          </w:tcPr>
          <w:p>
            <w:pPr>
              <w:pStyle w:val="10"/>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服务期</w:t>
            </w:r>
          </w:p>
        </w:tc>
        <w:tc>
          <w:tcPr>
            <w:tcW w:w="1557" w:type="pct"/>
            <w:noWrap w:val="0"/>
            <w:vAlign w:val="center"/>
          </w:tcPr>
          <w:p>
            <w:pPr>
              <w:pStyle w:val="10"/>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9" w:type="pct"/>
            <w:noWrap w:val="0"/>
            <w:vAlign w:val="center"/>
          </w:tcPr>
          <w:p>
            <w:pPr>
              <w:pStyle w:val="10"/>
              <w:spacing w:line="360" w:lineRule="auto"/>
              <w:jc w:val="center"/>
              <w:rPr>
                <w:rFonts w:hint="eastAsia" w:ascii="仿宋" w:hAnsi="仿宋" w:eastAsia="仿宋" w:cs="仿宋"/>
                <w:b/>
                <w:color w:val="auto"/>
                <w:sz w:val="24"/>
                <w:highlight w:val="none"/>
                <w:lang w:val="en-US" w:eastAsia="zh-CN"/>
              </w:rPr>
            </w:pPr>
          </w:p>
        </w:tc>
        <w:tc>
          <w:tcPr>
            <w:tcW w:w="1188" w:type="pct"/>
            <w:noWrap w:val="0"/>
            <w:vAlign w:val="center"/>
          </w:tcPr>
          <w:p>
            <w:pPr>
              <w:pStyle w:val="10"/>
              <w:spacing w:line="360" w:lineRule="auto"/>
              <w:jc w:val="left"/>
              <w:rPr>
                <w:rFonts w:hint="eastAsia" w:ascii="仿宋" w:hAnsi="仿宋" w:eastAsia="仿宋" w:cs="仿宋"/>
                <w:color w:val="auto"/>
                <w:sz w:val="24"/>
                <w:highlight w:val="none"/>
                <w:lang w:val="en-US" w:eastAsia="zh-CN"/>
              </w:rPr>
            </w:pPr>
          </w:p>
        </w:tc>
        <w:tc>
          <w:tcPr>
            <w:tcW w:w="1295" w:type="pct"/>
            <w:noWrap w:val="0"/>
            <w:vAlign w:val="center"/>
          </w:tcPr>
          <w:p>
            <w:pPr>
              <w:pStyle w:val="10"/>
              <w:spacing w:line="360" w:lineRule="auto"/>
              <w:jc w:val="center"/>
              <w:rPr>
                <w:rFonts w:hint="eastAsia" w:ascii="仿宋" w:hAnsi="仿宋" w:eastAsia="仿宋" w:cs="仿宋"/>
                <w:color w:val="auto"/>
                <w:sz w:val="24"/>
                <w:highlight w:val="none"/>
                <w:lang w:val="en-US" w:eastAsia="zh-CN"/>
              </w:rPr>
            </w:pPr>
          </w:p>
        </w:tc>
        <w:tc>
          <w:tcPr>
            <w:tcW w:w="1557" w:type="pct"/>
            <w:noWrap w:val="0"/>
            <w:vAlign w:val="center"/>
          </w:tcPr>
          <w:p>
            <w:pPr>
              <w:pStyle w:val="10"/>
              <w:spacing w:line="360" w:lineRule="auto"/>
              <w:jc w:val="center"/>
              <w:rPr>
                <w:rFonts w:hint="eastAsia" w:ascii="仿宋" w:hAnsi="仿宋" w:eastAsia="仿宋" w:cs="仿宋"/>
                <w:color w:val="auto"/>
                <w:sz w:val="24"/>
                <w:highlight w:val="none"/>
                <w:lang w:val="en-US" w:eastAsia="zh-CN"/>
              </w:rPr>
            </w:pPr>
          </w:p>
        </w:tc>
      </w:tr>
    </w:tbl>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p>
    <w:p>
      <w:pPr>
        <w:autoSpaceDE w:val="0"/>
        <w:autoSpaceDN w:val="0"/>
        <w:adjustRightInd w:val="0"/>
        <w:spacing w:line="360" w:lineRule="auto"/>
        <w:rPr>
          <w:rFonts w:hint="eastAsia" w:ascii="仿宋" w:hAnsi="仿宋" w:eastAsia="仿宋" w:cs="仿宋"/>
          <w:b/>
          <w:color w:val="auto"/>
          <w:sz w:val="24"/>
          <w:highlight w:val="none"/>
        </w:rPr>
      </w:pP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autoSpaceDE w:val="0"/>
        <w:autoSpaceDN w:val="0"/>
        <w:adjustRightInd w:val="0"/>
        <w:spacing w:line="360" w:lineRule="auto"/>
        <w:rPr>
          <w:rFonts w:hint="eastAsia" w:ascii="仿宋" w:hAnsi="仿宋" w:eastAsia="仿宋" w:cs="仿宋"/>
          <w:b/>
          <w:color w:val="auto"/>
          <w:sz w:val="24"/>
          <w:highlight w:val="none"/>
          <w:lang w:val="zh-CN"/>
        </w:rPr>
      </w:pPr>
    </w:p>
    <w:p>
      <w:pPr>
        <w:autoSpaceDE w:val="0"/>
        <w:autoSpaceDN w:val="0"/>
        <w:adjustRightInd w:val="0"/>
        <w:spacing w:line="360" w:lineRule="auto"/>
        <w:rPr>
          <w:rFonts w:hint="eastAsia" w:ascii="仿宋" w:hAnsi="仿宋" w:eastAsia="仿宋" w:cs="仿宋"/>
          <w:b/>
          <w:color w:val="auto"/>
          <w:sz w:val="24"/>
          <w:highlight w:val="none"/>
          <w:lang w:val="zh-CN"/>
        </w:rPr>
      </w:pPr>
    </w:p>
    <w:p>
      <w:pPr>
        <w:rPr>
          <w:rFonts w:hint="eastAsia" w:ascii="仿宋" w:hAnsi="仿宋" w:eastAsia="仿宋" w:cs="仿宋"/>
          <w:bCs/>
          <w:color w:val="auto"/>
          <w:sz w:val="24"/>
          <w:highlight w:val="none"/>
          <w:lang w:val="zh-CN"/>
        </w:rPr>
      </w:pPr>
      <w:r>
        <w:rPr>
          <w:rFonts w:hint="eastAsia" w:ascii="仿宋" w:hAnsi="仿宋" w:eastAsia="仿宋" w:cs="仿宋"/>
          <w:b/>
          <w:color w:val="auto"/>
          <w:sz w:val="32"/>
          <w:szCs w:val="30"/>
          <w:highlight w:val="none"/>
          <w:lang w:val="zh-CN" w:eastAsia="zh-CN"/>
        </w:rPr>
        <w:br w:type="page"/>
      </w:r>
    </w:p>
    <w:p>
      <w:pPr>
        <w:pStyle w:val="4"/>
        <w:spacing w:before="0" w:line="360" w:lineRule="auto"/>
        <w:ind w:firstLine="643" w:firstLineChars="200"/>
        <w:jc w:val="center"/>
        <w:rPr>
          <w:rFonts w:hint="eastAsia"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法定代表人身份证明</w:t>
      </w:r>
    </w:p>
    <w:p>
      <w:pPr>
        <w:spacing w:line="360" w:lineRule="auto"/>
        <w:rPr>
          <w:rFonts w:hint="eastAsia" w:ascii="仿宋" w:hAnsi="仿宋" w:eastAsia="仿宋" w:cs="仿宋"/>
          <w:b/>
          <w:bCs/>
          <w:color w:val="auto"/>
          <w:sz w:val="24"/>
          <w:szCs w:val="24"/>
          <w:highlight w:val="none"/>
          <w:u w:val="single"/>
        </w:rPr>
      </w:pP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单位性质:</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成立时间：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经营期限：</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姓    名：</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性     别：</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年    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职     务：</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p>
      <w:pPr>
        <w:wordWrap w:val="0"/>
        <w:spacing w:line="360" w:lineRule="auto"/>
        <w:rPr>
          <w:rFonts w:hint="eastAsia" w:ascii="仿宋" w:hAnsi="仿宋" w:eastAsia="仿宋" w:cs="仿宋"/>
          <w:color w:val="auto"/>
          <w:sz w:val="24"/>
          <w:szCs w:val="24"/>
          <w:highlight w:val="none"/>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附：法定代表人居民身份证复印件（正、反面）</w:t>
            </w:r>
          </w:p>
        </w:tc>
      </w:tr>
    </w:tbl>
    <w:p>
      <w:pPr>
        <w:wordWrap w:val="0"/>
        <w:spacing w:line="360" w:lineRule="auto"/>
        <w:rPr>
          <w:rFonts w:hint="eastAsia" w:ascii="仿宋" w:hAnsi="仿宋" w:eastAsia="仿宋" w:cs="仿宋"/>
          <w:color w:val="auto"/>
          <w:sz w:val="24"/>
          <w:szCs w:val="24"/>
          <w:highlight w:val="none"/>
        </w:rPr>
      </w:pPr>
    </w:p>
    <w:p>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（盖单位公章）</w:t>
      </w:r>
    </w:p>
    <w:p>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（签字）</w:t>
      </w:r>
    </w:p>
    <w:p>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98" w:name="_Toc3572712"/>
      <w:bookmarkStart w:id="99" w:name="_Toc534639585"/>
      <w:bookmarkStart w:id="100" w:name="_Toc534639458"/>
      <w:r>
        <w:rPr>
          <w:rFonts w:hint="eastAsia" w:ascii="仿宋" w:hAnsi="仿宋" w:eastAsia="仿宋" w:cs="仿宋"/>
          <w:b/>
          <w:color w:val="auto"/>
          <w:sz w:val="32"/>
          <w:szCs w:val="30"/>
          <w:highlight w:val="none"/>
          <w:lang w:val="zh-CN" w:eastAsia="zh-CN"/>
        </w:rPr>
        <w:t>授权委托书</w:t>
      </w:r>
      <w:bookmarkEnd w:id="98"/>
      <w:bookmarkEnd w:id="99"/>
      <w:bookmarkEnd w:id="100"/>
    </w:p>
    <w:p>
      <w:pPr>
        <w:adjustRightInd w:val="0"/>
        <w:snapToGrid w:val="0"/>
        <w:spacing w:line="480" w:lineRule="auto"/>
        <w:ind w:firstLine="480" w:firstLineChars="200"/>
        <w:rPr>
          <w:rFonts w:hint="eastAsia" w:ascii="仿宋" w:hAnsi="仿宋" w:eastAsia="仿宋" w:cs="仿宋"/>
          <w:color w:val="auto"/>
          <w:sz w:val="24"/>
          <w:szCs w:val="21"/>
          <w:highlight w:val="none"/>
        </w:rPr>
      </w:pPr>
    </w:p>
    <w:p>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（投标人名称）的法定代表人，现委托</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（姓名）为我方代理人，代理人根据授权，以我方名义签署、澄清、说明、补正、递交、撤回、修改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（项目名称）响应文件、签订合同和处理有关事宜，其法律后果由我方承担。</w:t>
      </w:r>
    </w:p>
    <w:p>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委托期限：</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代理人无转委托权。</w:t>
      </w:r>
    </w:p>
    <w:p>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本表后附：法定代表人身份证明</w:t>
      </w:r>
    </w:p>
    <w:p>
      <w:pPr>
        <w:bidi w:val="0"/>
        <w:rPr>
          <w:rFonts w:hint="eastAsia" w:ascii="仿宋" w:hAnsi="仿宋" w:eastAsia="仿宋" w:cs="仿宋"/>
          <w:color w:val="auto"/>
          <w:highlight w:val="none"/>
        </w:rPr>
      </w:pPr>
      <w:bookmarkStart w:id="101" w:name="_Toc492451837"/>
      <w:bookmarkStart w:id="102" w:name="_Toc16666385"/>
      <w:bookmarkStart w:id="103" w:name="_Toc19097106"/>
      <w:bookmarkStart w:id="104" w:name="_Toc10824"/>
      <w:bookmarkStart w:id="105" w:name="_Toc17185714"/>
      <w:bookmarkStart w:id="106" w:name="_Toc17185817"/>
    </w:p>
    <w:tbl>
      <w:tblPr>
        <w:tblStyle w:val="19"/>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pPr>
              <w:bidi w:val="0"/>
              <w:rPr>
                <w:rFonts w:hint="eastAsia" w:ascii="仿宋" w:hAnsi="仿宋" w:eastAsia="仿宋" w:cs="仿宋"/>
                <w:b/>
                <w:color w:val="auto"/>
                <w:szCs w:val="24"/>
                <w:highlight w:val="none"/>
              </w:rPr>
            </w:pPr>
            <w:bookmarkStart w:id="107" w:name="_Toc22892142"/>
            <w:r>
              <w:rPr>
                <w:rFonts w:hint="eastAsia"/>
                <w:highlight w:val="none"/>
              </w:rPr>
              <w:t>附：委托代理人居民身份证复印件（正、反面）</w:t>
            </w:r>
            <w:bookmarkEnd w:id="107"/>
          </w:p>
        </w:tc>
      </w:tr>
    </w:tbl>
    <w:p>
      <w:pPr>
        <w:bidi w:val="0"/>
        <w:rPr>
          <w:rFonts w:hint="eastAsia" w:ascii="仿宋" w:hAnsi="仿宋" w:eastAsia="仿宋" w:cs="仿宋"/>
          <w:color w:val="auto"/>
          <w:highlight w:val="none"/>
        </w:rPr>
      </w:pPr>
    </w:p>
    <w:bookmarkEnd w:id="101"/>
    <w:bookmarkEnd w:id="102"/>
    <w:bookmarkEnd w:id="103"/>
    <w:bookmarkEnd w:id="104"/>
    <w:bookmarkEnd w:id="105"/>
    <w:bookmarkEnd w:id="106"/>
    <w:p>
      <w:pPr>
        <w:tabs>
          <w:tab w:val="left" w:pos="0"/>
        </w:tabs>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tabs>
          <w:tab w:val="left" w:pos="0"/>
        </w:tabs>
        <w:wordWrap w:val="0"/>
        <w:spacing w:line="360" w:lineRule="auto"/>
        <w:rPr>
          <w:rFonts w:hint="eastAsia" w:ascii="仿宋" w:hAnsi="仿宋" w:eastAsia="仿宋" w:cs="仿宋"/>
          <w:color w:val="auto"/>
          <w:sz w:val="24"/>
          <w:szCs w:val="24"/>
          <w:highlight w:val="none"/>
        </w:rPr>
      </w:pPr>
      <w:bookmarkStart w:id="108" w:name="_Toc16528401"/>
      <w:bookmarkStart w:id="109" w:name="_Toc16528278"/>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108"/>
      <w:bookmarkEnd w:id="109"/>
    </w:p>
    <w:p>
      <w:pPr>
        <w:tabs>
          <w:tab w:val="left" w:pos="0"/>
        </w:tabs>
        <w:wordWrap w:val="0"/>
        <w:spacing w:line="360" w:lineRule="auto"/>
        <w:rPr>
          <w:rFonts w:hint="eastAsia" w:ascii="仿宋" w:hAnsi="仿宋" w:eastAsia="仿宋" w:cs="仿宋"/>
          <w:color w:val="auto"/>
          <w:sz w:val="24"/>
          <w:szCs w:val="24"/>
          <w:highlight w:val="none"/>
        </w:rPr>
      </w:pPr>
      <w:bookmarkStart w:id="110" w:name="_Toc16528279"/>
      <w:bookmarkStart w:id="111" w:name="_Toc16528402"/>
      <w:r>
        <w:rPr>
          <w:rFonts w:hint="eastAsia" w:ascii="仿宋" w:hAnsi="仿宋" w:eastAsia="仿宋" w:cs="仿宋"/>
          <w:color w:val="auto"/>
          <w:sz w:val="24"/>
          <w:szCs w:val="24"/>
          <w:highlight w:val="none"/>
        </w:rPr>
        <w:t>身份证号码：</w:t>
      </w:r>
      <w:bookmarkEnd w:id="110"/>
      <w:bookmarkEnd w:id="111"/>
      <w:r>
        <w:rPr>
          <w:rFonts w:hint="eastAsia" w:ascii="仿宋" w:hAnsi="仿宋" w:eastAsia="仿宋" w:cs="仿宋"/>
          <w:color w:val="auto"/>
          <w:sz w:val="24"/>
          <w:szCs w:val="24"/>
          <w:highlight w:val="none"/>
          <w:u w:val="single"/>
        </w:rPr>
        <w:t xml:space="preserve">                                   </w:t>
      </w:r>
    </w:p>
    <w:p>
      <w:pPr>
        <w:tabs>
          <w:tab w:val="left" w:pos="0"/>
        </w:tabs>
        <w:wordWrap w:val="0"/>
        <w:spacing w:line="360" w:lineRule="auto"/>
        <w:rPr>
          <w:rFonts w:hint="eastAsia" w:ascii="仿宋" w:hAnsi="仿宋" w:eastAsia="仿宋" w:cs="仿宋"/>
          <w:color w:val="auto"/>
          <w:sz w:val="24"/>
          <w:szCs w:val="24"/>
          <w:highlight w:val="none"/>
        </w:rPr>
      </w:pPr>
      <w:bookmarkStart w:id="112" w:name="_Toc16528280"/>
      <w:bookmarkStart w:id="113" w:name="_Toc16528403"/>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112"/>
      <w:bookmarkEnd w:id="113"/>
    </w:p>
    <w:p>
      <w:pPr>
        <w:tabs>
          <w:tab w:val="left" w:pos="0"/>
        </w:tabs>
        <w:wordWrap w:val="0"/>
        <w:spacing w:line="360" w:lineRule="auto"/>
        <w:rPr>
          <w:rFonts w:hint="eastAsia" w:ascii="仿宋" w:hAnsi="仿宋" w:eastAsia="仿宋" w:cs="仿宋"/>
          <w:color w:val="auto"/>
          <w:sz w:val="24"/>
          <w:szCs w:val="24"/>
          <w:highlight w:val="none"/>
          <w:u w:val="single"/>
        </w:rPr>
      </w:pPr>
      <w:bookmarkStart w:id="114" w:name="_Toc16528404"/>
      <w:bookmarkStart w:id="115" w:name="_Toc16528281"/>
      <w:r>
        <w:rPr>
          <w:rFonts w:hint="eastAsia" w:ascii="仿宋" w:hAnsi="仿宋" w:eastAsia="仿宋" w:cs="仿宋"/>
          <w:color w:val="auto"/>
          <w:sz w:val="24"/>
          <w:szCs w:val="24"/>
          <w:highlight w:val="none"/>
        </w:rPr>
        <w:t>身份证号码：</w:t>
      </w:r>
      <w:bookmarkEnd w:id="114"/>
      <w:bookmarkEnd w:id="115"/>
      <w:r>
        <w:rPr>
          <w:rFonts w:hint="eastAsia" w:ascii="仿宋" w:hAnsi="仿宋" w:eastAsia="仿宋" w:cs="仿宋"/>
          <w:color w:val="auto"/>
          <w:sz w:val="24"/>
          <w:szCs w:val="24"/>
          <w:highlight w:val="none"/>
          <w:u w:val="single"/>
        </w:rPr>
        <w:t xml:space="preserve">                                    </w:t>
      </w:r>
    </w:p>
    <w:p>
      <w:pPr>
        <w:tabs>
          <w:tab w:val="left" w:pos="0"/>
        </w:tabs>
        <w:wordWrap w:val="0"/>
        <w:spacing w:line="360" w:lineRule="auto"/>
        <w:rPr>
          <w:rFonts w:hint="eastAsia" w:ascii="仿宋" w:hAnsi="仿宋" w:eastAsia="仿宋" w:cs="仿宋"/>
          <w:color w:val="auto"/>
          <w:sz w:val="24"/>
          <w:szCs w:val="24"/>
          <w:highlight w:val="none"/>
        </w:rPr>
      </w:pPr>
      <w:bookmarkStart w:id="116" w:name="_Toc16528282"/>
      <w:bookmarkStart w:id="117" w:name="_Toc16528405"/>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End w:id="116"/>
      <w:bookmarkEnd w:id="117"/>
    </w:p>
    <w:p>
      <w:pPr>
        <w:autoSpaceDE w:val="0"/>
        <w:autoSpaceDN w:val="0"/>
        <w:adjustRightInd w:val="0"/>
        <w:spacing w:line="400" w:lineRule="exact"/>
        <w:jc w:val="left"/>
        <w:rPr>
          <w:rFonts w:hint="eastAsia" w:ascii="仿宋" w:hAnsi="仿宋" w:eastAsia="仿宋" w:cs="仿宋"/>
          <w:bCs/>
          <w:color w:val="auto"/>
          <w:sz w:val="24"/>
          <w:highlight w:val="none"/>
          <w:lang w:val="zh-CN"/>
        </w:rPr>
      </w:pPr>
      <w:bookmarkStart w:id="118" w:name="_Toc17185720"/>
      <w:bookmarkStart w:id="119" w:name="_Toc17185823"/>
      <w:bookmarkStart w:id="120" w:name="_Toc19097112"/>
      <w:bookmarkStart w:id="121" w:name="_Toc22892143"/>
      <w:r>
        <w:rPr>
          <w:rFonts w:hint="eastAsia" w:ascii="仿宋" w:hAnsi="仿宋" w:eastAsia="仿宋" w:cs="仿宋"/>
          <w:bCs/>
          <w:color w:val="auto"/>
          <w:sz w:val="32"/>
          <w:szCs w:val="18"/>
          <w:highlight w:val="none"/>
          <w:lang w:val="zh-CN"/>
        </w:rPr>
        <w:br w:type="page"/>
      </w:r>
      <w:bookmarkEnd w:id="118"/>
      <w:bookmarkEnd w:id="119"/>
      <w:bookmarkEnd w:id="120"/>
      <w:bookmarkEnd w:id="121"/>
    </w:p>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122" w:name="_Toc2160"/>
      <w:r>
        <w:rPr>
          <w:rFonts w:hint="eastAsia" w:ascii="仿宋" w:hAnsi="仿宋" w:eastAsia="仿宋" w:cs="仿宋"/>
          <w:b/>
          <w:color w:val="auto"/>
          <w:sz w:val="32"/>
          <w:szCs w:val="30"/>
          <w:highlight w:val="none"/>
          <w:lang w:val="en-US" w:eastAsia="zh-CN"/>
        </w:rPr>
        <w:t>投标</w:t>
      </w:r>
      <w:r>
        <w:rPr>
          <w:rFonts w:hint="eastAsia" w:ascii="仿宋" w:hAnsi="仿宋" w:eastAsia="仿宋" w:cs="仿宋"/>
          <w:b/>
          <w:color w:val="auto"/>
          <w:sz w:val="32"/>
          <w:szCs w:val="30"/>
          <w:highlight w:val="none"/>
          <w:lang w:val="zh-CN" w:eastAsia="zh-CN"/>
        </w:rPr>
        <w:t>保证金</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{招标人名称}</w:t>
      </w:r>
    </w:p>
    <w:p>
      <w:pPr>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（投标人名称）（以下称“投标人”）于     年    月    日递交了      {招标项目名称、项目编号} 的</w:t>
      </w:r>
      <w:r>
        <w:rPr>
          <w:rFonts w:hint="eastAsia" w:ascii="仿宋" w:hAnsi="仿宋" w:eastAsia="仿宋" w:cs="仿宋"/>
          <w:color w:val="auto"/>
          <w:sz w:val="24"/>
          <w:szCs w:val="24"/>
          <w:highlight w:val="none"/>
          <w:u w:val="single"/>
          <w:lang w:eastAsia="zh-CN"/>
        </w:rPr>
        <w:t>投标保证金</w:t>
      </w:r>
      <w:r>
        <w:rPr>
          <w:rFonts w:hint="eastAsia" w:ascii="仿宋" w:hAnsi="仿宋" w:eastAsia="仿宋" w:cs="仿宋"/>
          <w:color w:val="auto"/>
          <w:sz w:val="24"/>
          <w:szCs w:val="24"/>
          <w:highlight w:val="none"/>
          <w:u w:val="single"/>
        </w:rPr>
        <w:t>人民币          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如果我方在响应有效期内收到你方的中标通知后，不能或拒绝按投标须知的要求签署合同协议书；你方有权没收我方的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我方同意</w:t>
      </w:r>
      <w:r>
        <w:rPr>
          <w:rFonts w:hint="eastAsia" w:cs="仿宋"/>
          <w:color w:val="auto"/>
          <w:sz w:val="24"/>
          <w:szCs w:val="24"/>
          <w:highlight w:val="none"/>
          <w:lang w:eastAsia="zh-CN"/>
        </w:rPr>
        <w:t>招标文件</w:t>
      </w:r>
      <w:r>
        <w:rPr>
          <w:rFonts w:hint="eastAsia" w:ascii="仿宋" w:hAnsi="仿宋" w:eastAsia="仿宋" w:cs="仿宋"/>
          <w:color w:val="auto"/>
          <w:sz w:val="24"/>
          <w:szCs w:val="24"/>
          <w:highlight w:val="none"/>
        </w:rPr>
        <w:t>有关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规定，并对我方有约束力。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保证金</w:t>
      </w:r>
      <w:r>
        <w:rPr>
          <w:rFonts w:hint="eastAsia" w:ascii="仿宋" w:hAnsi="仿宋" w:eastAsia="仿宋" w:cs="仿宋"/>
          <w:color w:val="auto"/>
          <w:sz w:val="24"/>
          <w:szCs w:val="24"/>
          <w:highlight w:val="none"/>
        </w:rPr>
        <w:t>递交凭证</w:t>
      </w:r>
      <w:r>
        <w:rPr>
          <w:rFonts w:hint="eastAsia" w:cs="仿宋"/>
          <w:color w:val="auto"/>
          <w:sz w:val="24"/>
          <w:szCs w:val="24"/>
          <w:highlight w:val="none"/>
          <w:lang w:eastAsia="zh-CN"/>
        </w:rPr>
        <w:t>（</w:t>
      </w:r>
      <w:r>
        <w:rPr>
          <w:rFonts w:hint="eastAsia" w:cs="仿宋"/>
          <w:color w:val="auto"/>
          <w:sz w:val="24"/>
          <w:szCs w:val="24"/>
          <w:highlight w:val="none"/>
          <w:lang w:val="en-US" w:eastAsia="zh-CN"/>
        </w:rPr>
        <w:t>或投标保函</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1" w:hRule="atLeast"/>
          <w:jc w:val="center"/>
        </w:trPr>
        <w:tc>
          <w:tcPr>
            <w:tcW w:w="8738" w:type="dxa"/>
            <w:noWrap w:val="0"/>
            <w:vAlign w:val="top"/>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附:银行进账单</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附：开户银行证明</w:t>
            </w:r>
          </w:p>
          <w:p>
            <w:pPr>
              <w:rPr>
                <w:rFonts w:hint="eastAsia" w:ascii="仿宋" w:hAnsi="仿宋" w:eastAsia="仿宋" w:cs="仿宋"/>
                <w:color w:val="auto"/>
                <w:sz w:val="24"/>
                <w:szCs w:val="24"/>
                <w:highlight w:val="none"/>
              </w:rPr>
            </w:pPr>
          </w:p>
          <w:p>
            <w:pPr>
              <w:rPr>
                <w:rFonts w:hint="eastAsia" w:ascii="仿宋" w:hAnsi="仿宋" w:eastAsia="仿宋" w:cs="仿宋"/>
                <w:b/>
                <w:color w:val="auto"/>
                <w:sz w:val="24"/>
                <w:szCs w:val="24"/>
                <w:highlight w:val="none"/>
              </w:rPr>
            </w:pPr>
          </w:p>
        </w:tc>
      </w:tr>
    </w:tbl>
    <w:p>
      <w:pPr>
        <w:rPr>
          <w:rFonts w:hint="eastAsia" w:ascii="仿宋" w:hAnsi="仿宋" w:eastAsia="仿宋" w:cs="仿宋"/>
          <w:color w:val="auto"/>
          <w:sz w:val="24"/>
          <w:szCs w:val="24"/>
          <w:highlight w:val="none"/>
        </w:rPr>
      </w:pPr>
    </w:p>
    <w:p>
      <w:pPr>
        <w:ind w:left="0" w:leftChars="0" w:firstLine="0" w:firstLineChars="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utoSpaceDE w:val="0"/>
        <w:autoSpaceDN w:val="0"/>
        <w:adjustRightInd w:val="0"/>
        <w:spacing w:line="400" w:lineRule="exact"/>
        <w:jc w:val="left"/>
        <w:rPr>
          <w:rFonts w:hint="eastAsia" w:ascii="仿宋" w:hAnsi="仿宋" w:eastAsia="仿宋" w:cs="仿宋"/>
          <w:bCs/>
          <w:color w:val="auto"/>
          <w:sz w:val="24"/>
          <w:highlight w:val="none"/>
          <w:lang w:val="zh-CN"/>
        </w:rPr>
      </w:pPr>
    </w:p>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供应商基本情况</w:t>
      </w:r>
    </w:p>
    <w:p>
      <w:pPr>
        <w:autoSpaceDE w:val="0"/>
        <w:autoSpaceDN w:val="0"/>
        <w:adjustRightInd w:val="0"/>
        <w:spacing w:line="400" w:lineRule="exact"/>
        <w:jc w:val="left"/>
        <w:rPr>
          <w:rFonts w:hint="default" w:ascii="仿宋" w:hAnsi="仿宋" w:eastAsia="仿宋" w:cs="仿宋"/>
          <w:b/>
          <w:bCs/>
          <w:color w:val="auto"/>
          <w:szCs w:val="21"/>
          <w:highlight w:val="none"/>
          <w:lang w:val="en-US" w:eastAsia="zh-CN"/>
        </w:rPr>
      </w:pPr>
      <w:r>
        <w:rPr>
          <w:rFonts w:hint="eastAsia" w:cs="仿宋"/>
          <w:b/>
          <w:bCs/>
          <w:color w:val="auto"/>
          <w:szCs w:val="21"/>
          <w:highlight w:val="none"/>
          <w:lang w:val="en-US" w:eastAsia="zh-CN"/>
        </w:rPr>
        <w:t>单位名称：</w:t>
      </w:r>
      <w:r>
        <w:rPr>
          <w:rFonts w:hint="eastAsia" w:cs="仿宋"/>
          <w:b/>
          <w:bCs/>
          <w:color w:val="auto"/>
          <w:szCs w:val="21"/>
          <w:highlight w:val="none"/>
          <w:u w:val="single"/>
          <w:lang w:val="en-US" w:eastAsia="zh-CN"/>
        </w:rPr>
        <w:t xml:space="preserve">                       </w:t>
      </w:r>
      <w:r>
        <w:rPr>
          <w:rFonts w:hint="eastAsia" w:cs="仿宋"/>
          <w:b/>
          <w:bCs/>
          <w:color w:val="auto"/>
          <w:szCs w:val="21"/>
          <w:highlight w:val="none"/>
          <w:lang w:val="en-US" w:eastAsia="zh-CN"/>
        </w:rPr>
        <w:t xml:space="preserve"> （加盖公章）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bookmarkStart w:id="123" w:name="_Toc201719192"/>
            <w:bookmarkStart w:id="124" w:name="_Toc30559"/>
            <w:r>
              <w:rPr>
                <w:sz w:val="21"/>
                <w:szCs w:val="21"/>
                <w:highlight w:val="none"/>
              </w:rPr>
              <w:t>注册资金</w:t>
            </w:r>
          </w:p>
        </w:tc>
        <w:tc>
          <w:tcPr>
            <w:tcW w:w="6016" w:type="dxa"/>
          </w:tcPr>
          <w:p>
            <w:pPr>
              <w:widowControl w:val="0"/>
              <w:bidi w:val="0"/>
              <w:spacing w:line="240" w:lineRule="auto"/>
              <w:jc w:val="right"/>
              <w:rPr>
                <w:rFonts w:hint="eastAsia" w:ascii="仿宋" w:hAnsi="仿宋" w:eastAsia="仿宋" w:cs="仿宋"/>
                <w:b/>
                <w:bCs/>
                <w:color w:val="auto"/>
                <w:sz w:val="21"/>
                <w:szCs w:val="21"/>
                <w:highlight w:val="none"/>
                <w:vertAlign w:val="baseline"/>
                <w:lang w:val="zh-CN"/>
              </w:rPr>
            </w:pPr>
            <w:r>
              <w:rPr>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行业类别 （对应“□”画“√”）</w:t>
            </w:r>
          </w:p>
        </w:tc>
        <w:tc>
          <w:tcPr>
            <w:tcW w:w="6016" w:type="dxa"/>
          </w:tcPr>
          <w:p>
            <w:pPr>
              <w:widowControl w:val="0"/>
              <w:bidi w:val="0"/>
              <w:spacing w:line="240" w:lineRule="auto"/>
              <w:jc w:val="both"/>
              <w:rPr>
                <w:sz w:val="21"/>
                <w:szCs w:val="21"/>
                <w:highlight w:val="none"/>
              </w:rPr>
            </w:pPr>
            <w:r>
              <w:rPr>
                <w:sz w:val="21"/>
                <w:szCs w:val="21"/>
                <w:highlight w:val="none"/>
              </w:rPr>
              <w:t xml:space="preserve">□（一）农、林、牧、渔业 </w:t>
            </w:r>
          </w:p>
          <w:p>
            <w:pPr>
              <w:widowControl w:val="0"/>
              <w:bidi w:val="0"/>
              <w:spacing w:line="240" w:lineRule="auto"/>
              <w:jc w:val="both"/>
              <w:rPr>
                <w:sz w:val="21"/>
                <w:szCs w:val="21"/>
                <w:highlight w:val="none"/>
              </w:rPr>
            </w:pPr>
            <w:r>
              <w:rPr>
                <w:sz w:val="21"/>
                <w:szCs w:val="21"/>
                <w:highlight w:val="none"/>
              </w:rPr>
              <w:t xml:space="preserve">□（二）工业 </w:t>
            </w:r>
          </w:p>
          <w:p>
            <w:pPr>
              <w:widowControl w:val="0"/>
              <w:bidi w:val="0"/>
              <w:spacing w:line="240" w:lineRule="auto"/>
              <w:jc w:val="both"/>
              <w:rPr>
                <w:sz w:val="21"/>
                <w:szCs w:val="21"/>
                <w:highlight w:val="none"/>
              </w:rPr>
            </w:pPr>
            <w:r>
              <w:rPr>
                <w:sz w:val="21"/>
                <w:szCs w:val="21"/>
                <w:highlight w:val="none"/>
              </w:rPr>
              <w:t>□（三）建筑业</w:t>
            </w:r>
          </w:p>
          <w:p>
            <w:pPr>
              <w:widowControl w:val="0"/>
              <w:bidi w:val="0"/>
              <w:spacing w:line="240" w:lineRule="auto"/>
              <w:jc w:val="both"/>
              <w:rPr>
                <w:sz w:val="21"/>
                <w:szCs w:val="21"/>
                <w:highlight w:val="none"/>
              </w:rPr>
            </w:pPr>
            <w:r>
              <w:rPr>
                <w:sz w:val="21"/>
                <w:szCs w:val="21"/>
                <w:highlight w:val="none"/>
              </w:rPr>
              <w:t>□（四）</w:t>
            </w:r>
            <w:r>
              <w:rPr>
                <w:rFonts w:hint="eastAsia"/>
                <w:sz w:val="21"/>
                <w:szCs w:val="21"/>
                <w:highlight w:val="none"/>
                <w:lang w:eastAsia="zh-CN"/>
              </w:rPr>
              <w:t>其他未列明行业</w:t>
            </w:r>
            <w:r>
              <w:rPr>
                <w:sz w:val="21"/>
                <w:szCs w:val="21"/>
                <w:highlight w:val="none"/>
              </w:rPr>
              <w:t xml:space="preserve"> </w:t>
            </w:r>
          </w:p>
          <w:p>
            <w:pPr>
              <w:widowControl w:val="0"/>
              <w:bidi w:val="0"/>
              <w:spacing w:line="240" w:lineRule="auto"/>
              <w:jc w:val="both"/>
              <w:rPr>
                <w:sz w:val="21"/>
                <w:szCs w:val="21"/>
                <w:highlight w:val="none"/>
              </w:rPr>
            </w:pPr>
            <w:r>
              <w:rPr>
                <w:rFonts w:hint="eastAsia"/>
                <w:sz w:val="21"/>
                <w:szCs w:val="21"/>
                <w:highlight w:val="none"/>
                <w:lang w:eastAsia="zh-CN"/>
              </w:rPr>
              <w:t>□</w:t>
            </w:r>
            <w:r>
              <w:rPr>
                <w:sz w:val="21"/>
                <w:szCs w:val="21"/>
                <w:highlight w:val="none"/>
              </w:rPr>
              <w:t xml:space="preserve">（五）零售业 </w:t>
            </w:r>
          </w:p>
          <w:p>
            <w:pPr>
              <w:widowControl w:val="0"/>
              <w:bidi w:val="0"/>
              <w:spacing w:line="240" w:lineRule="auto"/>
              <w:jc w:val="both"/>
              <w:rPr>
                <w:sz w:val="21"/>
                <w:szCs w:val="21"/>
                <w:highlight w:val="none"/>
              </w:rPr>
            </w:pPr>
            <w:r>
              <w:rPr>
                <w:sz w:val="21"/>
                <w:szCs w:val="21"/>
                <w:highlight w:val="none"/>
              </w:rPr>
              <w:t>□（六）交通运输业</w:t>
            </w:r>
          </w:p>
          <w:p>
            <w:pPr>
              <w:widowControl w:val="0"/>
              <w:bidi w:val="0"/>
              <w:spacing w:line="240" w:lineRule="auto"/>
              <w:jc w:val="both"/>
              <w:rPr>
                <w:sz w:val="21"/>
                <w:szCs w:val="21"/>
                <w:highlight w:val="none"/>
              </w:rPr>
            </w:pPr>
            <w:r>
              <w:rPr>
                <w:sz w:val="21"/>
                <w:szCs w:val="21"/>
                <w:highlight w:val="none"/>
              </w:rPr>
              <w:t xml:space="preserve">□（七）仓储业 </w:t>
            </w:r>
          </w:p>
          <w:p>
            <w:pPr>
              <w:widowControl w:val="0"/>
              <w:bidi w:val="0"/>
              <w:spacing w:line="240" w:lineRule="auto"/>
              <w:jc w:val="both"/>
              <w:rPr>
                <w:sz w:val="21"/>
                <w:szCs w:val="21"/>
                <w:highlight w:val="none"/>
              </w:rPr>
            </w:pPr>
            <w:r>
              <w:rPr>
                <w:sz w:val="21"/>
                <w:szCs w:val="21"/>
                <w:highlight w:val="none"/>
              </w:rPr>
              <w:t xml:space="preserve">□（八）邮政业 </w:t>
            </w:r>
          </w:p>
          <w:p>
            <w:pPr>
              <w:widowControl w:val="0"/>
              <w:bidi w:val="0"/>
              <w:spacing w:line="240" w:lineRule="auto"/>
              <w:jc w:val="both"/>
              <w:rPr>
                <w:sz w:val="21"/>
                <w:szCs w:val="21"/>
                <w:highlight w:val="none"/>
              </w:rPr>
            </w:pPr>
            <w:r>
              <w:rPr>
                <w:sz w:val="21"/>
                <w:szCs w:val="21"/>
                <w:highlight w:val="none"/>
              </w:rPr>
              <w:t xml:space="preserve">□（九）住宿业 </w:t>
            </w:r>
          </w:p>
          <w:p>
            <w:pPr>
              <w:widowControl w:val="0"/>
              <w:bidi w:val="0"/>
              <w:spacing w:line="240" w:lineRule="auto"/>
              <w:jc w:val="both"/>
              <w:rPr>
                <w:sz w:val="21"/>
                <w:szCs w:val="21"/>
                <w:highlight w:val="none"/>
              </w:rPr>
            </w:pPr>
            <w:r>
              <w:rPr>
                <w:sz w:val="21"/>
                <w:szCs w:val="21"/>
                <w:highlight w:val="none"/>
              </w:rPr>
              <w:t>□（十）餐饮业</w:t>
            </w:r>
          </w:p>
          <w:p>
            <w:pPr>
              <w:widowControl w:val="0"/>
              <w:bidi w:val="0"/>
              <w:spacing w:line="240" w:lineRule="auto"/>
              <w:jc w:val="both"/>
              <w:rPr>
                <w:sz w:val="21"/>
                <w:szCs w:val="21"/>
                <w:highlight w:val="none"/>
              </w:rPr>
            </w:pPr>
            <w:r>
              <w:rPr>
                <w:sz w:val="21"/>
                <w:szCs w:val="21"/>
                <w:highlight w:val="none"/>
              </w:rPr>
              <w:t xml:space="preserve">□（十一）信息传输业 </w:t>
            </w:r>
          </w:p>
          <w:p>
            <w:pPr>
              <w:widowControl w:val="0"/>
              <w:bidi w:val="0"/>
              <w:spacing w:line="240" w:lineRule="auto"/>
              <w:jc w:val="both"/>
              <w:rPr>
                <w:sz w:val="21"/>
                <w:szCs w:val="21"/>
                <w:highlight w:val="none"/>
              </w:rPr>
            </w:pPr>
            <w:r>
              <w:rPr>
                <w:sz w:val="21"/>
                <w:szCs w:val="21"/>
                <w:highlight w:val="none"/>
              </w:rPr>
              <w:t xml:space="preserve">□（十二）软件和信息信息技术服务业 </w:t>
            </w:r>
          </w:p>
          <w:p>
            <w:pPr>
              <w:widowControl w:val="0"/>
              <w:bidi w:val="0"/>
              <w:spacing w:line="240" w:lineRule="auto"/>
              <w:jc w:val="both"/>
              <w:rPr>
                <w:sz w:val="21"/>
                <w:szCs w:val="21"/>
                <w:highlight w:val="none"/>
              </w:rPr>
            </w:pPr>
            <w:r>
              <w:rPr>
                <w:sz w:val="21"/>
                <w:szCs w:val="21"/>
                <w:highlight w:val="none"/>
              </w:rPr>
              <w:t xml:space="preserve">□（十三）房地产开发经营 </w:t>
            </w:r>
          </w:p>
          <w:p>
            <w:pPr>
              <w:widowControl w:val="0"/>
              <w:bidi w:val="0"/>
              <w:spacing w:line="240" w:lineRule="auto"/>
              <w:jc w:val="both"/>
              <w:rPr>
                <w:sz w:val="21"/>
                <w:szCs w:val="21"/>
                <w:highlight w:val="none"/>
              </w:rPr>
            </w:pPr>
            <w:r>
              <w:rPr>
                <w:sz w:val="21"/>
                <w:szCs w:val="21"/>
                <w:highlight w:val="none"/>
              </w:rPr>
              <w:t xml:space="preserve">□（十四）物业管理 </w:t>
            </w:r>
          </w:p>
          <w:p>
            <w:pPr>
              <w:widowControl w:val="0"/>
              <w:bidi w:val="0"/>
              <w:spacing w:line="240" w:lineRule="auto"/>
              <w:jc w:val="both"/>
              <w:rPr>
                <w:sz w:val="21"/>
                <w:szCs w:val="21"/>
                <w:highlight w:val="none"/>
              </w:rPr>
            </w:pPr>
            <w:r>
              <w:rPr>
                <w:sz w:val="21"/>
                <w:szCs w:val="21"/>
                <w:highlight w:val="none"/>
              </w:rPr>
              <w:t xml:space="preserve">□（十五）租赁和商务服务业 </w:t>
            </w:r>
          </w:p>
          <w:p>
            <w:pPr>
              <w:widowControl w:val="0"/>
              <w:bidi w:val="0"/>
              <w:spacing w:line="240" w:lineRule="auto"/>
              <w:jc w:val="both"/>
              <w:rPr>
                <w:rFonts w:hint="eastAsia" w:ascii="仿宋" w:hAnsi="仿宋" w:eastAsia="仿宋" w:cs="仿宋"/>
                <w:b/>
                <w:bCs/>
                <w:color w:val="auto"/>
                <w:sz w:val="21"/>
                <w:szCs w:val="21"/>
                <w:highlight w:val="none"/>
                <w:vertAlign w:val="baseline"/>
                <w:lang w:val="zh-CN"/>
              </w:rPr>
            </w:pPr>
            <w:r>
              <w:rPr>
                <w:sz w:val="21"/>
                <w:szCs w:val="21"/>
                <w:highlight w:val="none"/>
              </w:rPr>
              <w:t>□（十六）其他未列明行业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职工人数</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专业技术人员人数</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上年度营业收入</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社会保障资金情况</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 xml:space="preserve">附缴费证明复印件缴税情况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缴税情况</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有/无（有，附近期的缴费证明复印件）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上年利润</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（万元）</w:t>
            </w:r>
          </w:p>
        </w:tc>
      </w:tr>
    </w:tbl>
    <w:p>
      <w:pPr>
        <w:autoSpaceDE w:val="0"/>
        <w:autoSpaceDN w:val="0"/>
        <w:adjustRightInd w:val="0"/>
        <w:spacing w:line="360" w:lineRule="auto"/>
        <w:jc w:val="left"/>
        <w:rPr>
          <w:rFonts w:hint="eastAsia" w:ascii="仿宋" w:hAnsi="仿宋" w:eastAsia="仿宋" w:cs="仿宋"/>
          <w:color w:val="auto"/>
          <w:sz w:val="24"/>
          <w:szCs w:val="24"/>
          <w:highlight w:val="none"/>
        </w:rPr>
      </w:pPr>
    </w:p>
    <w:p>
      <w:pPr>
        <w:pStyle w:val="10"/>
        <w:rPr>
          <w:rFonts w:hint="eastAsia"/>
          <w:highlight w:val="none"/>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
          <w:color w:val="auto"/>
          <w:sz w:val="32"/>
          <w:szCs w:val="30"/>
          <w:highlight w:val="none"/>
          <w:lang w:val="zh-CN" w:eastAsia="zh-CN"/>
        </w:rPr>
      </w:pPr>
    </w:p>
    <w:p>
      <w:pPr>
        <w:autoSpaceDE w:val="0"/>
        <w:autoSpaceDN w:val="0"/>
        <w:adjustRightIn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后附：营业执照、组织机构代码证、税务登记证、管理体系认证、经营企业许可证</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技术证明文件等各种资料的复印件加盖投标人公章。</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5"/>
        <w:spacing w:before="0" w:after="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（1）投标单位财务状况</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sz w:val="21"/>
          <w:szCs w:val="21"/>
          <w:highlight w:val="none"/>
        </w:rPr>
        <w:t>应出具近三年（2020年至今）经会计师事务所审计的财务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（投标人的成立时间少于规定年份的，应提供成立以来至2022年的财务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；2023年以后新成立企业需提供近三个月内银行出具的公司资信证明）</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pPr>
        <w:pStyle w:val="5"/>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社保缴费凭证</w:t>
      </w:r>
    </w:p>
    <w:p>
      <w:pPr>
        <w:spacing w:before="0" w:after="0" w:line="360" w:lineRule="auto"/>
        <w:ind w:firstLine="420" w:firstLineChars="0"/>
        <w:jc w:val="left"/>
        <w:outlineLvl w:val="9"/>
        <w:rPr>
          <w:rFonts w:hint="eastAsia"/>
          <w:highlight w:val="none"/>
          <w:lang w:val="en-US" w:eastAsia="zh-CN"/>
        </w:rPr>
      </w:pPr>
      <w:r>
        <w:rPr>
          <w:rFonts w:hint="eastAsia"/>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pPr>
        <w:pStyle w:val="5"/>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）类似项目业绩</w:t>
      </w:r>
    </w:p>
    <w:tbl>
      <w:tblPr>
        <w:tblStyle w:val="19"/>
        <w:tblW w:w="901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350"/>
        <w:gridCol w:w="1275"/>
        <w:gridCol w:w="1380"/>
        <w:gridCol w:w="1365"/>
        <w:gridCol w:w="2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pPr>
              <w:pStyle w:val="5"/>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序号</w:t>
            </w:r>
          </w:p>
        </w:tc>
        <w:tc>
          <w:tcPr>
            <w:tcW w:w="1350" w:type="dxa"/>
            <w:noWrap w:val="0"/>
            <w:vAlign w:val="center"/>
          </w:tcPr>
          <w:p>
            <w:pPr>
              <w:pStyle w:val="5"/>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项目名称</w:t>
            </w:r>
          </w:p>
        </w:tc>
        <w:tc>
          <w:tcPr>
            <w:tcW w:w="1275" w:type="dxa"/>
            <w:noWrap w:val="0"/>
            <w:vAlign w:val="center"/>
          </w:tcPr>
          <w:p>
            <w:pPr>
              <w:pStyle w:val="5"/>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采购内容</w:t>
            </w:r>
          </w:p>
        </w:tc>
        <w:tc>
          <w:tcPr>
            <w:tcW w:w="1380" w:type="dxa"/>
            <w:noWrap w:val="0"/>
            <w:vAlign w:val="center"/>
          </w:tcPr>
          <w:p>
            <w:pPr>
              <w:pStyle w:val="5"/>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中标金额</w:t>
            </w:r>
          </w:p>
        </w:tc>
        <w:tc>
          <w:tcPr>
            <w:tcW w:w="1365" w:type="dxa"/>
            <w:noWrap w:val="0"/>
            <w:vAlign w:val="center"/>
          </w:tcPr>
          <w:p>
            <w:pPr>
              <w:pStyle w:val="5"/>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服务期</w:t>
            </w:r>
          </w:p>
        </w:tc>
        <w:tc>
          <w:tcPr>
            <w:tcW w:w="2580" w:type="dxa"/>
            <w:noWrap w:val="0"/>
            <w:vAlign w:val="center"/>
          </w:tcPr>
          <w:p>
            <w:pPr>
              <w:pStyle w:val="5"/>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采购人联系电话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65" w:type="dxa"/>
            <w:noWrap w:val="0"/>
            <w:vAlign w:val="center"/>
          </w:tcPr>
          <w:p>
            <w:pPr>
              <w:pStyle w:val="5"/>
              <w:spacing w:line="360" w:lineRule="auto"/>
              <w:jc w:val="center"/>
              <w:rPr>
                <w:rFonts w:hint="eastAsia"/>
                <w:color w:val="000000"/>
                <w:sz w:val="24"/>
                <w:szCs w:val="24"/>
                <w:highlight w:val="none"/>
                <w:lang w:eastAsia="zh-CN"/>
              </w:rPr>
            </w:pPr>
          </w:p>
        </w:tc>
        <w:tc>
          <w:tcPr>
            <w:tcW w:w="1350" w:type="dxa"/>
            <w:noWrap w:val="0"/>
            <w:vAlign w:val="center"/>
          </w:tcPr>
          <w:p>
            <w:pPr>
              <w:pStyle w:val="5"/>
              <w:spacing w:line="360" w:lineRule="auto"/>
              <w:jc w:val="center"/>
              <w:rPr>
                <w:rFonts w:hint="eastAsia"/>
                <w:color w:val="000000"/>
                <w:sz w:val="24"/>
                <w:szCs w:val="24"/>
                <w:highlight w:val="none"/>
                <w:lang w:eastAsia="zh-CN"/>
              </w:rPr>
            </w:pPr>
          </w:p>
        </w:tc>
        <w:tc>
          <w:tcPr>
            <w:tcW w:w="1275" w:type="dxa"/>
            <w:noWrap w:val="0"/>
            <w:vAlign w:val="center"/>
          </w:tcPr>
          <w:p>
            <w:pPr>
              <w:pStyle w:val="5"/>
              <w:spacing w:line="360" w:lineRule="auto"/>
              <w:jc w:val="center"/>
              <w:rPr>
                <w:rFonts w:hint="eastAsia"/>
                <w:color w:val="000000"/>
                <w:sz w:val="24"/>
                <w:szCs w:val="24"/>
                <w:highlight w:val="none"/>
                <w:lang w:eastAsia="zh-CN"/>
              </w:rPr>
            </w:pPr>
          </w:p>
        </w:tc>
        <w:tc>
          <w:tcPr>
            <w:tcW w:w="1380" w:type="dxa"/>
            <w:noWrap w:val="0"/>
            <w:vAlign w:val="center"/>
          </w:tcPr>
          <w:p>
            <w:pPr>
              <w:pStyle w:val="5"/>
              <w:spacing w:line="360" w:lineRule="auto"/>
              <w:jc w:val="center"/>
              <w:rPr>
                <w:rFonts w:hint="eastAsia"/>
                <w:color w:val="000000"/>
                <w:sz w:val="24"/>
                <w:szCs w:val="24"/>
                <w:highlight w:val="none"/>
                <w:lang w:eastAsia="zh-CN"/>
              </w:rPr>
            </w:pPr>
          </w:p>
        </w:tc>
        <w:tc>
          <w:tcPr>
            <w:tcW w:w="1365" w:type="dxa"/>
            <w:noWrap w:val="0"/>
            <w:vAlign w:val="center"/>
          </w:tcPr>
          <w:p>
            <w:pPr>
              <w:pStyle w:val="5"/>
              <w:spacing w:line="360" w:lineRule="auto"/>
              <w:jc w:val="center"/>
              <w:rPr>
                <w:rFonts w:hint="eastAsia"/>
                <w:color w:val="000000"/>
                <w:sz w:val="24"/>
                <w:szCs w:val="24"/>
                <w:highlight w:val="none"/>
                <w:lang w:eastAsia="zh-CN"/>
              </w:rPr>
            </w:pPr>
          </w:p>
        </w:tc>
        <w:tc>
          <w:tcPr>
            <w:tcW w:w="2580" w:type="dxa"/>
            <w:noWrap w:val="0"/>
            <w:vAlign w:val="center"/>
          </w:tcPr>
          <w:p>
            <w:pPr>
              <w:pStyle w:val="5"/>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pPr>
              <w:pStyle w:val="5"/>
              <w:spacing w:line="360" w:lineRule="auto"/>
              <w:jc w:val="center"/>
              <w:rPr>
                <w:rFonts w:hint="eastAsia"/>
                <w:color w:val="000000"/>
                <w:sz w:val="24"/>
                <w:szCs w:val="24"/>
                <w:highlight w:val="none"/>
                <w:lang w:eastAsia="zh-CN"/>
              </w:rPr>
            </w:pPr>
          </w:p>
        </w:tc>
        <w:tc>
          <w:tcPr>
            <w:tcW w:w="1350" w:type="dxa"/>
            <w:noWrap w:val="0"/>
            <w:vAlign w:val="center"/>
          </w:tcPr>
          <w:p>
            <w:pPr>
              <w:pStyle w:val="5"/>
              <w:spacing w:line="360" w:lineRule="auto"/>
              <w:jc w:val="center"/>
              <w:rPr>
                <w:rFonts w:hint="eastAsia"/>
                <w:color w:val="000000"/>
                <w:sz w:val="24"/>
                <w:szCs w:val="24"/>
                <w:highlight w:val="none"/>
                <w:lang w:eastAsia="zh-CN"/>
              </w:rPr>
            </w:pPr>
          </w:p>
        </w:tc>
        <w:tc>
          <w:tcPr>
            <w:tcW w:w="1275" w:type="dxa"/>
            <w:noWrap w:val="0"/>
            <w:vAlign w:val="center"/>
          </w:tcPr>
          <w:p>
            <w:pPr>
              <w:pStyle w:val="5"/>
              <w:spacing w:line="360" w:lineRule="auto"/>
              <w:jc w:val="center"/>
              <w:rPr>
                <w:rFonts w:hint="eastAsia"/>
                <w:color w:val="000000"/>
                <w:sz w:val="24"/>
                <w:szCs w:val="24"/>
                <w:highlight w:val="none"/>
                <w:lang w:eastAsia="zh-CN"/>
              </w:rPr>
            </w:pPr>
          </w:p>
        </w:tc>
        <w:tc>
          <w:tcPr>
            <w:tcW w:w="1380" w:type="dxa"/>
            <w:noWrap w:val="0"/>
            <w:vAlign w:val="center"/>
          </w:tcPr>
          <w:p>
            <w:pPr>
              <w:pStyle w:val="5"/>
              <w:spacing w:line="360" w:lineRule="auto"/>
              <w:jc w:val="center"/>
              <w:rPr>
                <w:rFonts w:hint="eastAsia"/>
                <w:color w:val="000000"/>
                <w:sz w:val="24"/>
                <w:szCs w:val="24"/>
                <w:highlight w:val="none"/>
                <w:lang w:eastAsia="zh-CN"/>
              </w:rPr>
            </w:pPr>
          </w:p>
        </w:tc>
        <w:tc>
          <w:tcPr>
            <w:tcW w:w="1365" w:type="dxa"/>
            <w:noWrap w:val="0"/>
            <w:vAlign w:val="center"/>
          </w:tcPr>
          <w:p>
            <w:pPr>
              <w:pStyle w:val="5"/>
              <w:spacing w:line="360" w:lineRule="auto"/>
              <w:jc w:val="center"/>
              <w:rPr>
                <w:rFonts w:hint="eastAsia"/>
                <w:color w:val="000000"/>
                <w:sz w:val="24"/>
                <w:szCs w:val="24"/>
                <w:highlight w:val="none"/>
                <w:lang w:eastAsia="zh-CN"/>
              </w:rPr>
            </w:pPr>
          </w:p>
        </w:tc>
        <w:tc>
          <w:tcPr>
            <w:tcW w:w="2580" w:type="dxa"/>
            <w:noWrap w:val="0"/>
            <w:vAlign w:val="center"/>
          </w:tcPr>
          <w:p>
            <w:pPr>
              <w:pStyle w:val="5"/>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pPr>
              <w:pStyle w:val="5"/>
              <w:spacing w:line="360" w:lineRule="auto"/>
              <w:jc w:val="center"/>
              <w:rPr>
                <w:rFonts w:hint="eastAsia"/>
                <w:color w:val="000000"/>
                <w:sz w:val="24"/>
                <w:szCs w:val="24"/>
                <w:highlight w:val="none"/>
                <w:lang w:eastAsia="zh-CN"/>
              </w:rPr>
            </w:pPr>
          </w:p>
        </w:tc>
        <w:tc>
          <w:tcPr>
            <w:tcW w:w="1350" w:type="dxa"/>
            <w:noWrap w:val="0"/>
            <w:vAlign w:val="center"/>
          </w:tcPr>
          <w:p>
            <w:pPr>
              <w:pStyle w:val="5"/>
              <w:spacing w:line="360" w:lineRule="auto"/>
              <w:jc w:val="center"/>
              <w:rPr>
                <w:rFonts w:hint="eastAsia"/>
                <w:color w:val="000000"/>
                <w:sz w:val="24"/>
                <w:szCs w:val="24"/>
                <w:highlight w:val="none"/>
                <w:lang w:eastAsia="zh-CN"/>
              </w:rPr>
            </w:pPr>
          </w:p>
        </w:tc>
        <w:tc>
          <w:tcPr>
            <w:tcW w:w="1275" w:type="dxa"/>
            <w:noWrap w:val="0"/>
            <w:vAlign w:val="center"/>
          </w:tcPr>
          <w:p>
            <w:pPr>
              <w:pStyle w:val="5"/>
              <w:spacing w:line="360" w:lineRule="auto"/>
              <w:jc w:val="center"/>
              <w:rPr>
                <w:rFonts w:hint="eastAsia"/>
                <w:color w:val="000000"/>
                <w:sz w:val="24"/>
                <w:szCs w:val="24"/>
                <w:highlight w:val="none"/>
                <w:lang w:eastAsia="zh-CN"/>
              </w:rPr>
            </w:pPr>
          </w:p>
        </w:tc>
        <w:tc>
          <w:tcPr>
            <w:tcW w:w="1380" w:type="dxa"/>
            <w:noWrap w:val="0"/>
            <w:vAlign w:val="center"/>
          </w:tcPr>
          <w:p>
            <w:pPr>
              <w:pStyle w:val="5"/>
              <w:spacing w:line="360" w:lineRule="auto"/>
              <w:jc w:val="center"/>
              <w:rPr>
                <w:rFonts w:hint="eastAsia"/>
                <w:color w:val="000000"/>
                <w:sz w:val="24"/>
                <w:szCs w:val="24"/>
                <w:highlight w:val="none"/>
                <w:lang w:eastAsia="zh-CN"/>
              </w:rPr>
            </w:pPr>
          </w:p>
        </w:tc>
        <w:tc>
          <w:tcPr>
            <w:tcW w:w="1365" w:type="dxa"/>
            <w:noWrap w:val="0"/>
            <w:vAlign w:val="center"/>
          </w:tcPr>
          <w:p>
            <w:pPr>
              <w:pStyle w:val="5"/>
              <w:spacing w:line="360" w:lineRule="auto"/>
              <w:jc w:val="center"/>
              <w:rPr>
                <w:rFonts w:hint="eastAsia"/>
                <w:color w:val="000000"/>
                <w:sz w:val="24"/>
                <w:szCs w:val="24"/>
                <w:highlight w:val="none"/>
                <w:lang w:eastAsia="zh-CN"/>
              </w:rPr>
            </w:pPr>
          </w:p>
        </w:tc>
        <w:tc>
          <w:tcPr>
            <w:tcW w:w="2580" w:type="dxa"/>
            <w:noWrap w:val="0"/>
            <w:vAlign w:val="center"/>
          </w:tcPr>
          <w:p>
            <w:pPr>
              <w:pStyle w:val="5"/>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pPr>
              <w:pStyle w:val="5"/>
              <w:spacing w:line="360" w:lineRule="auto"/>
              <w:jc w:val="center"/>
              <w:rPr>
                <w:rFonts w:hint="eastAsia"/>
                <w:color w:val="000000"/>
                <w:sz w:val="24"/>
                <w:szCs w:val="24"/>
                <w:highlight w:val="none"/>
                <w:lang w:eastAsia="zh-CN"/>
              </w:rPr>
            </w:pPr>
          </w:p>
        </w:tc>
        <w:tc>
          <w:tcPr>
            <w:tcW w:w="1350" w:type="dxa"/>
            <w:noWrap w:val="0"/>
            <w:vAlign w:val="center"/>
          </w:tcPr>
          <w:p>
            <w:pPr>
              <w:pStyle w:val="5"/>
              <w:spacing w:line="360" w:lineRule="auto"/>
              <w:jc w:val="center"/>
              <w:rPr>
                <w:rFonts w:hint="eastAsia"/>
                <w:color w:val="000000"/>
                <w:sz w:val="24"/>
                <w:szCs w:val="24"/>
                <w:highlight w:val="none"/>
                <w:lang w:eastAsia="zh-CN"/>
              </w:rPr>
            </w:pPr>
          </w:p>
        </w:tc>
        <w:tc>
          <w:tcPr>
            <w:tcW w:w="1275" w:type="dxa"/>
            <w:noWrap w:val="0"/>
            <w:vAlign w:val="center"/>
          </w:tcPr>
          <w:p>
            <w:pPr>
              <w:pStyle w:val="5"/>
              <w:spacing w:line="360" w:lineRule="auto"/>
              <w:jc w:val="center"/>
              <w:rPr>
                <w:rFonts w:hint="eastAsia"/>
                <w:color w:val="000000"/>
                <w:sz w:val="24"/>
                <w:szCs w:val="24"/>
                <w:highlight w:val="none"/>
                <w:lang w:eastAsia="zh-CN"/>
              </w:rPr>
            </w:pPr>
          </w:p>
        </w:tc>
        <w:tc>
          <w:tcPr>
            <w:tcW w:w="1380" w:type="dxa"/>
            <w:noWrap w:val="0"/>
            <w:vAlign w:val="center"/>
          </w:tcPr>
          <w:p>
            <w:pPr>
              <w:pStyle w:val="5"/>
              <w:spacing w:line="360" w:lineRule="auto"/>
              <w:jc w:val="center"/>
              <w:rPr>
                <w:rFonts w:hint="eastAsia"/>
                <w:color w:val="000000"/>
                <w:sz w:val="24"/>
                <w:szCs w:val="24"/>
                <w:highlight w:val="none"/>
                <w:lang w:eastAsia="zh-CN"/>
              </w:rPr>
            </w:pPr>
          </w:p>
        </w:tc>
        <w:tc>
          <w:tcPr>
            <w:tcW w:w="1365" w:type="dxa"/>
            <w:noWrap w:val="0"/>
            <w:vAlign w:val="center"/>
          </w:tcPr>
          <w:p>
            <w:pPr>
              <w:pStyle w:val="5"/>
              <w:spacing w:line="360" w:lineRule="auto"/>
              <w:jc w:val="center"/>
              <w:rPr>
                <w:rFonts w:hint="eastAsia"/>
                <w:color w:val="000000"/>
                <w:sz w:val="24"/>
                <w:szCs w:val="24"/>
                <w:highlight w:val="none"/>
                <w:lang w:eastAsia="zh-CN"/>
              </w:rPr>
            </w:pPr>
          </w:p>
        </w:tc>
        <w:tc>
          <w:tcPr>
            <w:tcW w:w="2580" w:type="dxa"/>
            <w:noWrap w:val="0"/>
            <w:vAlign w:val="center"/>
          </w:tcPr>
          <w:p>
            <w:pPr>
              <w:pStyle w:val="5"/>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pPr>
              <w:pStyle w:val="5"/>
              <w:spacing w:line="360" w:lineRule="auto"/>
              <w:jc w:val="center"/>
              <w:rPr>
                <w:rFonts w:hint="eastAsia"/>
                <w:color w:val="000000"/>
                <w:sz w:val="24"/>
                <w:szCs w:val="24"/>
                <w:highlight w:val="none"/>
                <w:lang w:eastAsia="zh-CN"/>
              </w:rPr>
            </w:pPr>
          </w:p>
        </w:tc>
        <w:tc>
          <w:tcPr>
            <w:tcW w:w="1350" w:type="dxa"/>
            <w:noWrap w:val="0"/>
            <w:vAlign w:val="center"/>
          </w:tcPr>
          <w:p>
            <w:pPr>
              <w:pStyle w:val="5"/>
              <w:spacing w:line="360" w:lineRule="auto"/>
              <w:jc w:val="center"/>
              <w:rPr>
                <w:rFonts w:hint="eastAsia"/>
                <w:color w:val="000000"/>
                <w:sz w:val="24"/>
                <w:szCs w:val="24"/>
                <w:highlight w:val="none"/>
                <w:lang w:eastAsia="zh-CN"/>
              </w:rPr>
            </w:pPr>
          </w:p>
        </w:tc>
        <w:tc>
          <w:tcPr>
            <w:tcW w:w="1275" w:type="dxa"/>
            <w:noWrap w:val="0"/>
            <w:vAlign w:val="center"/>
          </w:tcPr>
          <w:p>
            <w:pPr>
              <w:pStyle w:val="5"/>
              <w:spacing w:line="360" w:lineRule="auto"/>
              <w:jc w:val="center"/>
              <w:rPr>
                <w:rFonts w:hint="eastAsia"/>
                <w:color w:val="000000"/>
                <w:sz w:val="24"/>
                <w:szCs w:val="24"/>
                <w:highlight w:val="none"/>
                <w:lang w:eastAsia="zh-CN"/>
              </w:rPr>
            </w:pPr>
          </w:p>
        </w:tc>
        <w:tc>
          <w:tcPr>
            <w:tcW w:w="1380" w:type="dxa"/>
            <w:noWrap w:val="0"/>
            <w:vAlign w:val="center"/>
          </w:tcPr>
          <w:p>
            <w:pPr>
              <w:pStyle w:val="5"/>
              <w:spacing w:line="360" w:lineRule="auto"/>
              <w:jc w:val="center"/>
              <w:rPr>
                <w:rFonts w:hint="eastAsia"/>
                <w:color w:val="000000"/>
                <w:sz w:val="24"/>
                <w:szCs w:val="24"/>
                <w:highlight w:val="none"/>
                <w:lang w:eastAsia="zh-CN"/>
              </w:rPr>
            </w:pPr>
          </w:p>
        </w:tc>
        <w:tc>
          <w:tcPr>
            <w:tcW w:w="1365" w:type="dxa"/>
            <w:noWrap w:val="0"/>
            <w:vAlign w:val="center"/>
          </w:tcPr>
          <w:p>
            <w:pPr>
              <w:pStyle w:val="5"/>
              <w:spacing w:line="360" w:lineRule="auto"/>
              <w:jc w:val="center"/>
              <w:rPr>
                <w:rFonts w:hint="eastAsia"/>
                <w:color w:val="000000"/>
                <w:sz w:val="24"/>
                <w:szCs w:val="24"/>
                <w:highlight w:val="none"/>
                <w:lang w:eastAsia="zh-CN"/>
              </w:rPr>
            </w:pPr>
          </w:p>
        </w:tc>
        <w:tc>
          <w:tcPr>
            <w:tcW w:w="2580" w:type="dxa"/>
            <w:noWrap w:val="0"/>
            <w:vAlign w:val="center"/>
          </w:tcPr>
          <w:p>
            <w:pPr>
              <w:pStyle w:val="5"/>
              <w:spacing w:line="360" w:lineRule="auto"/>
              <w:jc w:val="center"/>
              <w:rPr>
                <w:rFonts w:hint="eastAsia"/>
                <w:color w:val="000000"/>
                <w:sz w:val="24"/>
                <w:szCs w:val="24"/>
                <w:highlight w:val="none"/>
                <w:lang w:eastAsia="zh-CN"/>
              </w:rPr>
            </w:pPr>
          </w:p>
        </w:tc>
      </w:tr>
    </w:tbl>
    <w:p>
      <w:pPr>
        <w:bidi w:val="0"/>
        <w:rPr>
          <w:rFonts w:hint="eastAsia"/>
          <w:highlight w:val="none"/>
          <w:lang w:val="en-US" w:eastAsia="zh-CN"/>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bidi w:val="0"/>
        <w:rPr>
          <w:rFonts w:hint="eastAsia"/>
          <w:highlight w:val="none"/>
          <w:lang w:val="en-US" w:eastAsia="zh-CN"/>
        </w:rPr>
      </w:pPr>
    </w:p>
    <w:p>
      <w:pPr>
        <w:bidi w:val="0"/>
        <w:rPr>
          <w:rFonts w:hint="eastAsia"/>
          <w:highlight w:val="none"/>
          <w:lang w:val="en-US" w:eastAsia="zh-CN"/>
        </w:rPr>
      </w:pPr>
    </w:p>
    <w:p>
      <w:pPr>
        <w:bidi w:val="0"/>
        <w:rPr>
          <w:rFonts w:hint="default"/>
          <w:highlight w:val="none"/>
          <w:lang w:val="en-US" w:eastAsia="zh-CN"/>
        </w:rPr>
      </w:pPr>
      <w:r>
        <w:rPr>
          <w:rFonts w:hint="eastAsia"/>
          <w:highlight w:val="none"/>
          <w:lang w:val="en-US" w:eastAsia="zh-CN"/>
        </w:rPr>
        <w:t>后附业绩证明材料（中标通知书和供货合同）并标明序号，没有类似项目经验本表可不填写。</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5"/>
        <w:spacing w:before="0" w:after="0" w:line="360" w:lineRule="auto"/>
        <w:jc w:val="center"/>
        <w:rPr>
          <w:rFonts w:hint="eastAsia" w:ascii="仿宋" w:hAnsi="仿宋" w:eastAsia="仿宋" w:cs="仿宋"/>
          <w:color w:val="auto"/>
          <w:sz w:val="28"/>
          <w:szCs w:val="28"/>
          <w:highlight w:val="none"/>
          <w:lang w:val="en-US" w:eastAsia="zh-CN"/>
        </w:rPr>
      </w:pPr>
      <w:r>
        <w:rPr>
          <w:rFonts w:hint="eastAsia" w:cs="仿宋"/>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拟投入本项目的管理人员表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18"/>
        <w:gridCol w:w="1652"/>
        <w:gridCol w:w="1175"/>
        <w:gridCol w:w="1120"/>
        <w:gridCol w:w="11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20" w:type="dxa"/>
            <w:noWrap w:val="0"/>
            <w:vAlign w:val="center"/>
          </w:tcPr>
          <w:p>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序号</w:t>
            </w: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岗位</w:t>
            </w:r>
          </w:p>
        </w:tc>
        <w:tc>
          <w:tcPr>
            <w:tcW w:w="1652"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175"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120"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年龄</w:t>
            </w:r>
          </w:p>
        </w:tc>
        <w:tc>
          <w:tcPr>
            <w:tcW w:w="1199"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学历</w:t>
            </w:r>
          </w:p>
        </w:tc>
        <w:tc>
          <w:tcPr>
            <w:tcW w:w="1080"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项目负责人</w:t>
            </w:r>
          </w:p>
        </w:tc>
        <w:tc>
          <w:tcPr>
            <w:tcW w:w="1652" w:type="dxa"/>
            <w:noWrap w:val="0"/>
            <w:vAlign w:val="top"/>
          </w:tcPr>
          <w:p>
            <w:pPr>
              <w:spacing w:line="400" w:lineRule="exact"/>
              <w:jc w:val="center"/>
              <w:rPr>
                <w:rFonts w:ascii="宋体" w:hAnsi="宋体"/>
                <w:color w:val="auto"/>
                <w:sz w:val="24"/>
                <w:szCs w:val="24"/>
                <w:highlight w:val="none"/>
              </w:rPr>
            </w:pPr>
          </w:p>
        </w:tc>
        <w:tc>
          <w:tcPr>
            <w:tcW w:w="1175" w:type="dxa"/>
            <w:noWrap w:val="0"/>
            <w:vAlign w:val="top"/>
          </w:tcPr>
          <w:p>
            <w:pPr>
              <w:spacing w:line="400" w:lineRule="exact"/>
              <w:jc w:val="center"/>
              <w:rPr>
                <w:rFonts w:ascii="宋体" w:hAnsi="宋体"/>
                <w:color w:val="auto"/>
                <w:sz w:val="24"/>
                <w:szCs w:val="24"/>
                <w:highlight w:val="none"/>
              </w:rPr>
            </w:pPr>
          </w:p>
        </w:tc>
        <w:tc>
          <w:tcPr>
            <w:tcW w:w="1120" w:type="dxa"/>
            <w:noWrap w:val="0"/>
            <w:vAlign w:val="center"/>
          </w:tcPr>
          <w:p>
            <w:pPr>
              <w:spacing w:line="400" w:lineRule="exact"/>
              <w:jc w:val="center"/>
              <w:rPr>
                <w:rFonts w:ascii="宋体" w:hAnsi="宋体"/>
                <w:color w:val="auto"/>
                <w:sz w:val="24"/>
                <w:szCs w:val="24"/>
                <w:highlight w:val="none"/>
              </w:rPr>
            </w:pPr>
          </w:p>
        </w:tc>
        <w:tc>
          <w:tcPr>
            <w:tcW w:w="1199" w:type="dxa"/>
            <w:noWrap w:val="0"/>
            <w:vAlign w:val="center"/>
          </w:tcPr>
          <w:p>
            <w:pPr>
              <w:spacing w:line="400" w:lineRule="exact"/>
              <w:jc w:val="center"/>
              <w:rPr>
                <w:rFonts w:ascii="宋体" w:hAnsi="宋体"/>
                <w:color w:val="auto"/>
                <w:sz w:val="24"/>
                <w:szCs w:val="24"/>
                <w:highlight w:val="none"/>
              </w:rPr>
            </w:pPr>
          </w:p>
        </w:tc>
        <w:tc>
          <w:tcPr>
            <w:tcW w:w="1080" w:type="dxa"/>
            <w:noWrap w:val="0"/>
            <w:vAlign w:val="center"/>
          </w:tcPr>
          <w:p>
            <w:pPr>
              <w:spacing w:line="4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技术负责人</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lang w:eastAsia="zh-CN"/>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其他负责人</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专业技术人员</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其他辅助人员</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bl>
    <w:p>
      <w:pPr>
        <w:pStyle w:val="6"/>
        <w:numPr>
          <w:ilvl w:val="0"/>
          <w:numId w:val="0"/>
        </w:numPr>
        <w:rPr>
          <w:rFonts w:hint="default"/>
          <w:highlight w:val="none"/>
          <w:lang w:val="en-US" w:eastAsia="zh-CN"/>
        </w:rPr>
      </w:pPr>
    </w:p>
    <w:p>
      <w:pPr>
        <w:pStyle w:val="5"/>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）投标单位信誉情况</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（1）拒绝列入政府取消投标资格记录期间的企业或个人投标；</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（2）投标人未被工商行政管理机关在全国企业信用信息公示系统（www.gsxt.gov.cn）中列入严重违法失信企业名单；</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（3）投标人未被列入“失信被执行人、重大税收违法失信主体”的记录名单，通过“信用中国”网站（www.creditchina.gov.cn)查询；</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（4）投标人未被列入“政府采购严重违法失信行为记录名单”，通过“中国政府采购网”（www.ccgp.gov.cn）查询；</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（5）投标人和个人（指法定代表人、法人代理人）未在“中国裁判文书网”（wenshu.court.gov.cn）上有行贿犯罪行为；</w:t>
      </w:r>
    </w:p>
    <w:p>
      <w:pPr>
        <w:spacing w:line="360" w:lineRule="auto"/>
        <w:jc w:val="left"/>
        <w:outlineLvl w:val="9"/>
        <w:rPr>
          <w:rFonts w:hint="eastAsia"/>
          <w:b w:val="0"/>
          <w:bCs/>
          <w:sz w:val="24"/>
          <w:szCs w:val="24"/>
          <w:highlight w:val="none"/>
        </w:rPr>
      </w:pPr>
      <w:r>
        <w:rPr>
          <w:rFonts w:hint="eastAsia" w:ascii="仿宋" w:hAnsi="仿宋" w:eastAsia="仿宋" w:cs="Times New Roman"/>
          <w:bCs w:val="0"/>
          <w:kern w:val="2"/>
          <w:sz w:val="24"/>
          <w:szCs w:val="28"/>
          <w:highlight w:val="none"/>
          <w:lang w:val="en-US" w:eastAsia="zh-CN" w:bidi="ar-SA"/>
        </w:rPr>
        <w:t>投标文件内（1）-（5）附由法定代表人或其委托代理人签字并加盖供应商公章的承诺书</w:t>
      </w:r>
      <w:r>
        <w:rPr>
          <w:rFonts w:hint="eastAsia"/>
          <w:b w:val="0"/>
          <w:bCs/>
          <w:sz w:val="24"/>
          <w:szCs w:val="24"/>
          <w:highlight w:val="none"/>
        </w:rPr>
        <w:t>。</w:t>
      </w:r>
    </w:p>
    <w:p>
      <w:pPr>
        <w:rPr>
          <w:rFonts w:hint="eastAsia"/>
          <w:b w:val="0"/>
          <w:bCs/>
          <w:sz w:val="24"/>
          <w:szCs w:val="24"/>
          <w:highlight w:val="none"/>
        </w:rPr>
      </w:pPr>
      <w:r>
        <w:rPr>
          <w:rFonts w:hint="eastAsia" w:ascii="仿宋" w:hAnsi="仿宋" w:eastAsia="仿宋" w:cs="仿宋"/>
          <w:color w:val="auto"/>
          <w:sz w:val="28"/>
          <w:szCs w:val="28"/>
          <w:highlight w:val="none"/>
          <w:lang w:val="en-US" w:eastAsia="zh-CN"/>
        </w:rPr>
        <w:br w:type="page"/>
      </w:r>
    </w:p>
    <w:p>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具有依法缴纳税收和社会保障资金的良好记录的书面承诺函</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采购代理机构</w:t>
      </w:r>
      <w:r>
        <w:rPr>
          <w:rFonts w:hint="eastAsia"/>
          <w:sz w:val="24"/>
          <w:szCs w:val="24"/>
          <w:highlight w:val="none"/>
          <w:lang w:eastAsia="zh-CN"/>
        </w:rPr>
        <w:t>）</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highlight w:val="none"/>
        </w:rPr>
      </w:pPr>
      <w:r>
        <w:rPr>
          <w:rFonts w:hint="eastAsia"/>
          <w:sz w:val="24"/>
          <w:szCs w:val="24"/>
          <w:highlight w:val="none"/>
        </w:rPr>
        <w:t>我单位郑重承诺︰我单位参加</w:t>
      </w:r>
      <w:r>
        <w:rPr>
          <w:rFonts w:hint="eastAsia"/>
          <w:sz w:val="24"/>
          <w:szCs w:val="24"/>
          <w:highlight w:val="none"/>
          <w:u w:val="single"/>
        </w:rPr>
        <w:t>（</w:t>
      </w:r>
      <w:r>
        <w:rPr>
          <w:rFonts w:hint="eastAsia"/>
          <w:sz w:val="24"/>
          <w:szCs w:val="24"/>
          <w:highlight w:val="none"/>
          <w:u w:val="single"/>
          <w:lang w:val="en-US" w:eastAsia="zh-CN"/>
        </w:rPr>
        <w:t>采购人</w:t>
      </w:r>
      <w:r>
        <w:rPr>
          <w:rFonts w:hint="eastAsia"/>
          <w:sz w:val="24"/>
          <w:szCs w:val="24"/>
          <w:highlight w:val="none"/>
          <w:u w:val="single"/>
        </w:rPr>
        <w:t>名称）</w:t>
      </w:r>
      <w:r>
        <w:rPr>
          <w:rFonts w:hint="eastAsia"/>
          <w:sz w:val="24"/>
          <w:szCs w:val="24"/>
          <w:highlight w:val="none"/>
        </w:rPr>
        <w:t>的</w:t>
      </w:r>
      <w:r>
        <w:rPr>
          <w:rFonts w:hint="eastAsia"/>
          <w:sz w:val="24"/>
          <w:szCs w:val="24"/>
          <w:highlight w:val="none"/>
          <w:u w:val="single"/>
        </w:rPr>
        <w:t>（项目名称）</w:t>
      </w:r>
      <w:r>
        <w:rPr>
          <w:rFonts w:hint="eastAsia"/>
          <w:sz w:val="24"/>
          <w:szCs w:val="24"/>
          <w:highlight w:val="none"/>
        </w:rPr>
        <w:t>采购活动，根据《中华人民共和国政府采购法》第二十二条的规定，我单位具有依法缴纳税收和社会保障资金的良好记录，符合相关要求。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r>
        <w:rPr>
          <w:rFonts w:hint="eastAsia"/>
          <w:sz w:val="24"/>
          <w:szCs w:val="24"/>
          <w:highlight w:val="none"/>
        </w:rPr>
        <w:t>特此承诺。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highlight w:val="none"/>
        </w:rPr>
      </w:pPr>
      <w:r>
        <w:rPr>
          <w:rFonts w:hint="eastAsia"/>
          <w:sz w:val="24"/>
          <w:szCs w:val="24"/>
          <w:highlight w:val="none"/>
        </w:rPr>
        <w:t>我单位对上述承诺的真实性负责。如有虚假，将依法承担相应责任。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
          <w:color w:val="auto"/>
          <w:sz w:val="32"/>
          <w:szCs w:val="30"/>
          <w:highlight w:val="none"/>
          <w:lang w:val="zh-CN" w:eastAsia="zh-CN"/>
        </w:rPr>
      </w:pPr>
    </w:p>
    <w:p>
      <w:pPr>
        <w:pStyle w:val="5"/>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6</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中小企业声明函</w:t>
      </w:r>
    </w:p>
    <w:p>
      <w:pPr>
        <w:keepNext/>
        <w:keepLines/>
        <w:autoSpaceDE w:val="0"/>
        <w:autoSpaceDN w:val="0"/>
        <w:spacing w:before="120" w:after="120" w:line="300" w:lineRule="auto"/>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中小企业声明函（</w:t>
      </w:r>
      <w:r>
        <w:rPr>
          <w:rFonts w:hint="eastAsia" w:ascii="仿宋" w:hAnsi="仿宋" w:eastAsia="仿宋" w:cs="仿宋"/>
          <w:color w:val="auto"/>
          <w:sz w:val="24"/>
          <w:szCs w:val="24"/>
          <w:highlight w:val="none"/>
        </w:rPr>
        <w:t>货物</w:t>
      </w:r>
      <w:r>
        <w:rPr>
          <w:rFonts w:hint="eastAsia" w:ascii="仿宋" w:hAnsi="仿宋" w:eastAsia="仿宋" w:cs="仿宋"/>
          <w:color w:val="auto"/>
          <w:sz w:val="24"/>
          <w:szCs w:val="24"/>
          <w:highlight w:val="none"/>
          <w:lang w:val="zh-CN"/>
        </w:rPr>
        <w:t>）</w:t>
      </w:r>
    </w:p>
    <w:p>
      <w:pPr>
        <w:spacing w:before="120" w:after="12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w:t>
      </w:r>
      <w:r>
        <w:rPr>
          <w:rFonts w:hint="eastAsia" w:ascii="仿宋" w:hAnsi="仿宋" w:eastAsia="仿宋" w:cs="仿宋"/>
          <w:color w:val="auto"/>
          <w:sz w:val="24"/>
          <w:szCs w:val="24"/>
          <w:highlight w:val="none"/>
          <w:u w:val="single"/>
        </w:rPr>
        <w:t>)参加   (单位名称)</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采购活动，提供的</w:t>
      </w:r>
      <w:r>
        <w:rPr>
          <w:rFonts w:hint="eastAsia" w:ascii="仿宋" w:hAnsi="仿宋" w:eastAsia="仿宋" w:cs="仿宋"/>
          <w:color w:val="auto"/>
          <w:sz w:val="24"/>
          <w:szCs w:val="24"/>
          <w:highlight w:val="none"/>
          <w:lang w:val="en-US" w:eastAsia="zh-CN"/>
        </w:rPr>
        <w:t>中小企业预留部分的</w:t>
      </w:r>
      <w:r>
        <w:rPr>
          <w:rFonts w:hint="eastAsia" w:ascii="仿宋" w:hAnsi="仿宋" w:eastAsia="仿宋" w:cs="仿宋"/>
          <w:color w:val="auto"/>
          <w:sz w:val="24"/>
          <w:szCs w:val="24"/>
          <w:highlight w:val="none"/>
        </w:rPr>
        <w:t>货物全部由符合政策要求的中小企业制造。相关企业（含联合体中的中小企业、签订分包意向协议的中小企业）的具体情况如下:</w:t>
      </w:r>
    </w:p>
    <w:p>
      <w:pPr>
        <w:numPr>
          <w:ilvl w:val="0"/>
          <w:numId w:val="14"/>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pPr>
        <w:numPr>
          <w:ilvl w:val="0"/>
          <w:numId w:val="14"/>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 企业、微型企业）</w:t>
      </w:r>
      <w:r>
        <w:rPr>
          <w:rFonts w:hint="eastAsia" w:ascii="仿宋" w:hAnsi="仿宋" w:eastAsia="仿宋" w:cs="仿宋"/>
          <w:color w:val="auto"/>
          <w:sz w:val="24"/>
          <w:szCs w:val="24"/>
          <w:highlight w:val="none"/>
        </w:rPr>
        <w:t xml:space="preserve">； </w:t>
      </w:r>
    </w:p>
    <w:p>
      <w:pPr>
        <w:numPr>
          <w:ilvl w:val="0"/>
          <w:numId w:val="14"/>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before="120" w:after="12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本企业对上述声明内容的真实性负责。如有虚假，将依法承担相应责任。</w:t>
      </w:r>
    </w:p>
    <w:p>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企业名称（盖单）：</w:t>
      </w:r>
      <w:r>
        <w:rPr>
          <w:rFonts w:hint="eastAsia" w:ascii="仿宋" w:hAnsi="仿宋" w:eastAsia="仿宋" w:cs="仿宋"/>
          <w:color w:val="auto"/>
          <w:sz w:val="24"/>
          <w:szCs w:val="24"/>
          <w:highlight w:val="none"/>
          <w:u w:val="single"/>
        </w:rPr>
        <w:t xml:space="preserve">                      </w:t>
      </w:r>
    </w:p>
    <w:p>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spacing w:before="120" w:after="120"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p>
    <w:p>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1、供应商需提供设备制造厂商中小企业声明函（设备清单表中为大型企业的不需要提供）</w:t>
      </w:r>
    </w:p>
    <w:p>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可不填报。投标人提供采购文件规定预留货物部分必须由中小企业生产且使用该中小企业商号或注册商标。非预留部分的货物如非中小企业生产则非预留部分不需填写，只需填写预留部分的情况即可。</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4"/>
          <w:szCs w:val="24"/>
          <w:highlight w:val="none"/>
        </w:rPr>
        <w:t>3、投标单位必须严格填写此表，此表作为评审依据。（此格式不允许更改）</w:t>
      </w:r>
    </w:p>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投标人的资格声明</w:t>
      </w:r>
    </w:p>
    <w:p>
      <w:pPr>
        <w:autoSpaceDE w:val="0"/>
        <w:autoSpaceDN w:val="0"/>
        <w:rPr>
          <w:rFonts w:hint="eastAsia" w:ascii="仿宋" w:hAnsi="仿宋" w:eastAsia="仿宋" w:cs="仿宋"/>
          <w:b/>
          <w:bCs/>
          <w:color w:val="auto"/>
          <w:sz w:val="24"/>
          <w:szCs w:val="24"/>
          <w:highlight w:val="none"/>
        </w:rPr>
      </w:pP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致</w:t>
      </w:r>
      <w:r>
        <w:rPr>
          <w:rFonts w:hint="eastAsia" w:cs="仿宋"/>
          <w:color w:val="auto"/>
          <w:sz w:val="24"/>
          <w:szCs w:val="24"/>
          <w:highlight w:val="none"/>
          <w:lang w:val="zh-CN"/>
        </w:rPr>
        <w:t>中屹宬信建设集团有限公司</w:t>
      </w:r>
      <w:r>
        <w:rPr>
          <w:rFonts w:hint="eastAsia" w:ascii="仿宋" w:hAnsi="仿宋" w:eastAsia="仿宋" w:cs="仿宋"/>
          <w:color w:val="auto"/>
          <w:sz w:val="24"/>
          <w:szCs w:val="24"/>
          <w:highlight w:val="none"/>
          <w:lang w:val="zh-CN"/>
        </w:rPr>
        <w:t>：</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按照《中华人民共和国政府采购法》第</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条和你单位发布的《</w:t>
      </w:r>
      <w:r>
        <w:rPr>
          <w:rFonts w:hint="eastAsia" w:ascii="仿宋" w:hAnsi="仿宋" w:eastAsia="仿宋" w:cs="仿宋"/>
          <w:color w:val="auto"/>
          <w:sz w:val="24"/>
          <w:szCs w:val="24"/>
          <w:highlight w:val="none"/>
          <w:u w:val="single"/>
          <w:lang w:val="zh-CN"/>
        </w:rPr>
        <w:t>采购单位名称+项目名称</w:t>
      </w:r>
      <w:r>
        <w:rPr>
          <w:rFonts w:hint="eastAsia" w:ascii="仿宋" w:hAnsi="仿宋" w:eastAsia="仿宋" w:cs="仿宋"/>
          <w:color w:val="auto"/>
          <w:sz w:val="24"/>
          <w:szCs w:val="24"/>
          <w:highlight w:val="none"/>
          <w:lang w:val="zh-CN"/>
        </w:rPr>
        <w:t>招标文件》（</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lang w:val="zh-CN"/>
        </w:rPr>
        <w:t>号）的规定，我公司郑重声明如下：</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、我公司是按照中华人民共和国法律在工商管理机关登记注册的企业法人，注册地点为，公司全称为，法定代表人为，具有独立承担民事责任的能力。</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、我公司具有良好的商业信誉和健全的财务会计制度。</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、我公司具有履行本项目采购合同所必需的设备和专业技术能力。</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、我公司具有依法缴纳税收和社会保障资金的良好记录。</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、我公司在参与本次政府采购活动之前三年内，在经营活动中无重大违法记录。</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、我公司在参与本次政府采购活动时未受到任何地方政府采购部门作出的暂停参加政府采购活动的处罚。</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我公司保证上述声明的事项都是真实的，如有虚假，我公司承担相应的法律责任，并承担因此给你公司以及本项目采购人所造成的损失。</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pPr>
        <w:autoSpaceDE w:val="0"/>
        <w:autoSpaceDN w:val="0"/>
        <w:ind w:firstLine="480"/>
        <w:rPr>
          <w:rFonts w:hint="eastAsia" w:ascii="仿宋" w:hAnsi="仿宋" w:eastAsia="仿宋" w:cs="仿宋"/>
          <w:color w:val="auto"/>
          <w:sz w:val="24"/>
          <w:szCs w:val="24"/>
          <w:highlight w:val="none"/>
        </w:rPr>
      </w:pPr>
    </w:p>
    <w:bookmarkEnd w:id="123"/>
    <w:bookmarkEnd w:id="124"/>
    <w:p>
      <w:pPr>
        <w:autoSpaceDE w:val="0"/>
        <w:autoSpaceDN w:val="0"/>
        <w:adjustRightInd w:val="0"/>
        <w:spacing w:line="360" w:lineRule="auto"/>
        <w:jc w:val="left"/>
        <w:rPr>
          <w:rFonts w:hint="eastAsia" w:ascii="仿宋" w:hAnsi="仿宋" w:eastAsia="仿宋" w:cs="仿宋"/>
          <w:color w:val="auto"/>
          <w:sz w:val="24"/>
          <w:szCs w:val="21"/>
          <w:highlight w:val="none"/>
        </w:rPr>
      </w:pPr>
      <w:bookmarkStart w:id="125" w:name="_Toc27274"/>
      <w:bookmarkStart w:id="126" w:name="_Toc17185835"/>
      <w:bookmarkStart w:id="127" w:name="_Toc476745880"/>
      <w:bookmarkStart w:id="128" w:name="_Toc17185732"/>
      <w:bookmarkStart w:id="129" w:name="_Toc19097124"/>
      <w:bookmarkStart w:id="130" w:name="_Toc22892155"/>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rPr>
          <w:rFonts w:hint="eastAsia" w:ascii="仿宋" w:hAnsi="仿宋" w:eastAsia="仿宋" w:cs="仿宋"/>
          <w:b/>
          <w:bCs/>
          <w:color w:val="auto"/>
          <w:kern w:val="2"/>
          <w:sz w:val="24"/>
          <w:szCs w:val="24"/>
          <w:highlight w:val="none"/>
          <w:lang w:val="zh-CN" w:eastAsia="zh-CN" w:bidi="ar-SA"/>
        </w:rPr>
      </w:pP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售后服务承诺书</w:t>
      </w:r>
    </w:p>
    <w:p>
      <w:pPr>
        <w:autoSpaceDE w:val="0"/>
        <w:autoSpaceDN w:val="0"/>
        <w:ind w:firstLine="105" w:firstLineChars="5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u w:val="single"/>
          <w:lang w:val="zh-CN"/>
        </w:rPr>
        <w:t>采购人及使用方单位名称</w:t>
      </w:r>
      <w:r>
        <w:rPr>
          <w:rFonts w:hint="eastAsia" w:ascii="仿宋" w:hAnsi="仿宋" w:eastAsia="仿宋" w:cs="仿宋"/>
          <w:color w:val="auto"/>
          <w:sz w:val="21"/>
          <w:szCs w:val="21"/>
          <w:highlight w:val="none"/>
          <w:lang w:val="zh-CN"/>
        </w:rPr>
        <w:t>：</w:t>
      </w:r>
    </w:p>
    <w:p>
      <w:pPr>
        <w:autoSpaceDE w:val="0"/>
        <w:autoSpaceDN w:val="0"/>
        <w:spacing w:line="360" w:lineRule="auto"/>
        <w:ind w:firstLine="48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我公司自愿参加项目（招标编号</w:t>
      </w:r>
      <w:r>
        <w:rPr>
          <w:rFonts w:hint="eastAsia" w:ascii="仿宋" w:hAnsi="仿宋" w:eastAsia="仿宋" w:cs="仿宋"/>
          <w:color w:val="auto"/>
          <w:sz w:val="21"/>
          <w:szCs w:val="21"/>
          <w:highlight w:val="none"/>
          <w:u w:val="single"/>
          <w:lang w:val="zh-CN"/>
        </w:rPr>
        <w:t xml:space="preserve">    -       </w:t>
      </w:r>
      <w:r>
        <w:rPr>
          <w:rFonts w:hint="eastAsia" w:ascii="仿宋" w:hAnsi="仿宋" w:eastAsia="仿宋" w:cs="仿宋"/>
          <w:color w:val="auto"/>
          <w:sz w:val="21"/>
          <w:szCs w:val="21"/>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1、我公司中标后将为采购人提供下列售后服务项目：</w:t>
      </w:r>
    </w:p>
    <w:p>
      <w:pPr>
        <w:autoSpaceDE w:val="0"/>
        <w:autoSpaceDN w:val="0"/>
        <w:spacing w:line="360" w:lineRule="auto"/>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zh-CN"/>
        </w:rPr>
        <w:t>2、我公司的售后服务响应及到达现场的时间</w:t>
      </w:r>
      <w:r>
        <w:rPr>
          <w:rFonts w:hint="eastAsia" w:ascii="仿宋" w:hAnsi="仿宋" w:eastAsia="仿宋" w:cs="仿宋"/>
          <w:b/>
          <w:bCs/>
          <w:color w:val="auto"/>
          <w:sz w:val="21"/>
          <w:szCs w:val="21"/>
          <w:highlight w:val="none"/>
          <w:lang w:val="zh-CN"/>
        </w:rPr>
        <w:t>（包括质保期内免费维修和更换有缺陷的货物或部件的响应时间）：</w:t>
      </w:r>
    </w:p>
    <w:p>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3、我公司对本项目的技术培训安排：</w:t>
      </w:r>
    </w:p>
    <w:p>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4、我公司用于本项目的维修技术人员及设备情况、备品备件供应的保证措施及收费标准：</w:t>
      </w:r>
    </w:p>
    <w:p>
      <w:pPr>
        <w:autoSpaceDE w:val="0"/>
        <w:autoSpaceDN w:val="0"/>
        <w:adjustRightInd w:val="0"/>
        <w:spacing w:line="360" w:lineRule="auto"/>
        <w:jc w:val="left"/>
        <w:rPr>
          <w:rFonts w:hint="eastAsia" w:ascii="仿宋" w:hAnsi="仿宋" w:eastAsia="仿宋" w:cs="仿宋"/>
          <w:color w:val="auto"/>
          <w:sz w:val="21"/>
          <w:szCs w:val="21"/>
          <w:highlight w:val="none"/>
        </w:rPr>
      </w:pPr>
    </w:p>
    <w:p>
      <w:pPr>
        <w:autoSpaceDE w:val="0"/>
        <w:autoSpaceDN w:val="0"/>
        <w:adjustRightInd w:val="0"/>
        <w:spacing w:line="360" w:lineRule="auto"/>
        <w:jc w:val="left"/>
        <w:rPr>
          <w:rFonts w:hint="eastAsia" w:ascii="仿宋" w:hAnsi="仿宋" w:eastAsia="仿宋" w:cs="仿宋"/>
          <w:color w:val="auto"/>
          <w:sz w:val="21"/>
          <w:szCs w:val="21"/>
          <w:highlight w:val="none"/>
        </w:rPr>
      </w:pPr>
    </w:p>
    <w:p>
      <w:pPr>
        <w:autoSpaceDE w:val="0"/>
        <w:autoSpaceDN w:val="0"/>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  标  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法定代表人或委托代理人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autoSpaceDE w:val="0"/>
        <w:autoSpaceDN w:val="0"/>
        <w:rPr>
          <w:rFonts w:hint="eastAsia" w:ascii="仿宋" w:hAnsi="仿宋" w:eastAsia="仿宋" w:cs="仿宋"/>
          <w:color w:val="auto"/>
          <w:sz w:val="24"/>
          <w:szCs w:val="24"/>
          <w:highlight w:val="none"/>
          <w:u w:val="single"/>
          <w:lang w:val="zh-CN"/>
        </w:rPr>
      </w:pPr>
    </w:p>
    <w:p>
      <w:pPr>
        <w:autoSpaceDE w:val="0"/>
        <w:autoSpaceDN w:val="0"/>
        <w:rPr>
          <w:rFonts w:hint="eastAsia" w:ascii="仿宋" w:hAnsi="仿宋" w:eastAsia="仿宋" w:cs="仿宋"/>
          <w:b/>
          <w:bCs/>
          <w:color w:val="auto"/>
          <w:sz w:val="24"/>
          <w:szCs w:val="24"/>
          <w:highlight w:val="none"/>
          <w:u w:val="single"/>
          <w:lang w:val="zh-CN"/>
        </w:rPr>
      </w:pPr>
    </w:p>
    <w:p>
      <w:pPr>
        <w:autoSpaceDE w:val="0"/>
        <w:autoSpaceDN w:val="0"/>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sz w:val="24"/>
          <w:szCs w:val="24"/>
          <w:highlight w:val="none"/>
          <w:u w:val="single"/>
          <w:lang w:val="zh-CN"/>
        </w:rPr>
        <w:t>※投标人应对应详细评审标准对以上内容进行细化编写。</w:t>
      </w:r>
    </w:p>
    <w:p>
      <w:pPr>
        <w:rPr>
          <w:rFonts w:hint="eastAsia" w:ascii="仿宋" w:hAnsi="仿宋" w:eastAsia="仿宋" w:cs="仿宋"/>
          <w:b/>
          <w:color w:val="auto"/>
          <w:sz w:val="28"/>
          <w:szCs w:val="30"/>
          <w:highlight w:val="none"/>
          <w:lang w:val="zh-CN"/>
        </w:rPr>
      </w:pPr>
      <w:r>
        <w:rPr>
          <w:rFonts w:hint="eastAsia" w:ascii="仿宋" w:hAnsi="仿宋" w:eastAsia="仿宋" w:cs="仿宋"/>
          <w:b/>
          <w:color w:val="auto"/>
          <w:sz w:val="28"/>
          <w:szCs w:val="30"/>
          <w:highlight w:val="none"/>
          <w:lang w:val="zh-CN"/>
        </w:rPr>
        <w:br w:type="page"/>
      </w:r>
    </w:p>
    <w:bookmarkEnd w:id="125"/>
    <w:bookmarkEnd w:id="126"/>
    <w:bookmarkEnd w:id="127"/>
    <w:bookmarkEnd w:id="128"/>
    <w:bookmarkEnd w:id="129"/>
    <w:bookmarkEnd w:id="130"/>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技术因素评审内容</w:t>
      </w:r>
    </w:p>
    <w:p>
      <w:pPr>
        <w:pStyle w:val="16"/>
        <w:spacing w:line="360" w:lineRule="exact"/>
        <w:outlineLvl w:val="9"/>
        <w:rPr>
          <w:rFonts w:hint="eastAsia" w:ascii="仿宋" w:hAnsi="仿宋" w:eastAsia="仿宋" w:cs="仿宋"/>
          <w:b w:val="0"/>
          <w:color w:val="auto"/>
          <w:sz w:val="21"/>
          <w:szCs w:val="21"/>
          <w:highlight w:val="none"/>
          <w:lang w:val="zh-CN"/>
        </w:rPr>
      </w:pPr>
    </w:p>
    <w:p>
      <w:pPr>
        <w:spacing w:line="360" w:lineRule="auto"/>
        <w:jc w:val="center"/>
        <w:rPr>
          <w:rFonts w:hint="eastAsia" w:ascii="宋体" w:cs="宋体"/>
          <w:color w:val="000000"/>
          <w:kern w:val="0"/>
          <w:sz w:val="24"/>
          <w:szCs w:val="24"/>
          <w:highlight w:val="none"/>
        </w:rPr>
      </w:pPr>
      <w:r>
        <w:rPr>
          <w:rFonts w:hint="eastAsia" w:ascii="宋体" w:cs="宋体"/>
          <w:color w:val="000000"/>
          <w:kern w:val="0"/>
          <w:sz w:val="24"/>
          <w:szCs w:val="24"/>
          <w:highlight w:val="none"/>
        </w:rPr>
        <w:t>（以上项无固定格式，由投标人自行填写。）</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4"/>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en-US" w:eastAsia="zh-CN"/>
        </w:rPr>
        <w:t>优惠条件</w:t>
      </w:r>
    </w:p>
    <w:p>
      <w:pPr>
        <w:bidi w:val="0"/>
        <w:rPr>
          <w:rFonts w:hint="eastAsia"/>
          <w:highlight w:val="none"/>
          <w:lang w:val="zh-CN"/>
        </w:rPr>
      </w:pPr>
      <w:r>
        <w:rPr>
          <w:rFonts w:hint="eastAsia"/>
          <w:highlight w:val="none"/>
          <w:lang w:val="zh-CN"/>
        </w:rPr>
        <w:t>备注：本项格式由投标人自行拟订。</w:t>
      </w:r>
    </w:p>
    <w:p>
      <w:pPr>
        <w:rPr>
          <w:rFonts w:hint="eastAsia"/>
          <w:highlight w:val="none"/>
          <w:lang w:val="zh-CN" w:eastAsia="zh-CN"/>
        </w:rPr>
      </w:pP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4"/>
        <w:spacing w:before="0" w:line="360" w:lineRule="auto"/>
        <w:ind w:firstLine="643" w:firstLineChars="200"/>
        <w:jc w:val="center"/>
        <w:rPr>
          <w:rFonts w:hint="eastAsia" w:ascii="仿宋" w:hAnsi="仿宋" w:eastAsia="仿宋" w:cs="仿宋"/>
          <w:b/>
          <w:color w:val="auto"/>
          <w:sz w:val="32"/>
          <w:szCs w:val="30"/>
          <w:highlight w:val="none"/>
          <w:lang w:val="en-US" w:eastAsia="zh-CN"/>
        </w:rPr>
      </w:pPr>
      <w:r>
        <w:rPr>
          <w:rFonts w:hint="eastAsia" w:ascii="仿宋" w:hAnsi="仿宋" w:eastAsia="仿宋" w:cs="仿宋"/>
          <w:b/>
          <w:color w:val="auto"/>
          <w:sz w:val="32"/>
          <w:szCs w:val="30"/>
          <w:highlight w:val="none"/>
          <w:lang w:val="zh-CN" w:eastAsia="zh-CN"/>
        </w:rPr>
        <w:t>投标单位认为需要提供的其他材料</w:t>
      </w:r>
    </w:p>
    <w:p>
      <w:pPr>
        <w:bidi w:val="0"/>
        <w:jc w:val="center"/>
        <w:rPr>
          <w:rFonts w:hint="eastAsia" w:ascii="仿宋" w:hAnsi="仿宋" w:eastAsia="仿宋" w:cs="仿宋"/>
          <w:b/>
          <w:color w:val="auto"/>
          <w:szCs w:val="30"/>
          <w:highlight w:val="none"/>
          <w:lang w:val="en-US" w:eastAsia="zh-CN"/>
        </w:rPr>
      </w:pPr>
      <w:r>
        <w:rPr>
          <w:rFonts w:hint="eastAsia"/>
          <w:highlight w:val="none"/>
          <w:lang w:val="en-US" w:eastAsia="zh-CN"/>
        </w:rPr>
        <w:t>格式自拟</w:t>
      </w:r>
      <w:r>
        <w:rPr>
          <w:rFonts w:hint="eastAsia" w:ascii="仿宋" w:hAnsi="仿宋" w:eastAsia="仿宋" w:cs="仿宋"/>
          <w:b/>
          <w:color w:val="auto"/>
          <w:szCs w:val="30"/>
          <w:highlight w:val="none"/>
          <w:lang w:val="zh-CN" w:eastAsia="zh-CN"/>
        </w:rPr>
        <w:br w:type="page"/>
      </w:r>
    </w:p>
    <w:p>
      <w:pPr>
        <w:pStyle w:val="3"/>
        <w:numPr>
          <w:ilvl w:val="0"/>
          <w:numId w:val="0"/>
        </w:numPr>
        <w:spacing w:line="240" w:lineRule="auto"/>
        <w:ind w:leftChars="0"/>
        <w:jc w:val="center"/>
        <w:rPr>
          <w:rFonts w:hint="eastAsia" w:ascii="仿宋" w:hAnsi="仿宋" w:eastAsia="仿宋" w:cs="仿宋"/>
          <w:b w:val="0"/>
          <w:bCs w:val="0"/>
          <w:color w:val="auto"/>
          <w:sz w:val="48"/>
          <w:szCs w:val="22"/>
          <w:highlight w:val="none"/>
          <w:lang w:val="en-US" w:eastAsia="zh-CN"/>
        </w:rPr>
      </w:pPr>
      <w:bookmarkStart w:id="131" w:name="_Toc5420"/>
      <w:r>
        <w:rPr>
          <w:rFonts w:hint="eastAsia" w:ascii="仿宋" w:hAnsi="仿宋" w:eastAsia="仿宋" w:cs="仿宋"/>
          <w:b/>
          <w:bCs/>
          <w:color w:val="auto"/>
          <w:highlight w:val="none"/>
          <w:lang w:val="en-US" w:eastAsia="zh-CN"/>
        </w:rPr>
        <w:t>第</w:t>
      </w:r>
      <w:r>
        <w:rPr>
          <w:rFonts w:hint="eastAsia" w:cs="仿宋"/>
          <w:b/>
          <w:bCs/>
          <w:color w:val="auto"/>
          <w:highlight w:val="none"/>
          <w:lang w:val="en-US" w:eastAsia="zh-CN"/>
        </w:rPr>
        <w:t>七</w:t>
      </w:r>
      <w:r>
        <w:rPr>
          <w:rFonts w:hint="eastAsia" w:ascii="仿宋" w:hAnsi="仿宋" w:eastAsia="仿宋" w:cs="仿宋"/>
          <w:b/>
          <w:bCs/>
          <w:color w:val="auto"/>
          <w:highlight w:val="none"/>
          <w:lang w:val="en-US" w:eastAsia="zh-CN"/>
        </w:rPr>
        <w:t>章</w:t>
      </w: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szCs w:val="44"/>
          <w:highlight w:val="none"/>
          <w:lang w:eastAsia="zh-CN"/>
        </w:rPr>
        <w:t>评标办法</w:t>
      </w:r>
      <w:bookmarkEnd w:id="122"/>
      <w:bookmarkEnd w:id="131"/>
    </w:p>
    <w:p>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val="en-US" w:eastAsia="zh-CN"/>
        </w:rPr>
      </w:pPr>
      <w:bookmarkStart w:id="132" w:name="_Toc27964"/>
      <w:r>
        <w:rPr>
          <w:rFonts w:hint="eastAsia" w:ascii="仿宋" w:hAnsi="仿宋" w:eastAsia="仿宋" w:cs="仿宋"/>
          <w:b w:val="0"/>
          <w:bCs w:val="0"/>
          <w:color w:val="auto"/>
          <w:sz w:val="32"/>
          <w:szCs w:val="16"/>
          <w:highlight w:val="none"/>
          <w:lang w:eastAsia="zh-CN"/>
        </w:rPr>
        <w:t>（综合评估法）</w:t>
      </w:r>
      <w:bookmarkEnd w:id="132"/>
    </w:p>
    <w:p>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eastAsia="zh-CN"/>
        </w:rPr>
      </w:pPr>
      <w:bookmarkStart w:id="133" w:name="_Toc525929464"/>
      <w:bookmarkStart w:id="134" w:name="_Toc471726704"/>
      <w:r>
        <w:rPr>
          <w:rFonts w:hint="eastAsia" w:ascii="仿宋" w:hAnsi="仿宋" w:eastAsia="仿宋" w:cs="仿宋"/>
          <w:b w:val="0"/>
          <w:bCs w:val="0"/>
          <w:color w:val="auto"/>
          <w:sz w:val="32"/>
          <w:szCs w:val="16"/>
          <w:highlight w:val="none"/>
          <w:lang w:eastAsia="zh-CN"/>
        </w:rPr>
        <w:t>评标办法正文</w:t>
      </w:r>
      <w:bookmarkEnd w:id="133"/>
      <w:bookmarkEnd w:id="134"/>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一、评标须知</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1.关于评标方案</w:t>
      </w:r>
    </w:p>
    <w:p>
      <w:pPr>
        <w:tabs>
          <w:tab w:val="left" w:pos="0"/>
        </w:tabs>
        <w:spacing w:line="240" w:lineRule="auto"/>
        <w:ind w:firstLine="420" w:firstLineChar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（1）评标委员会的每位成员（简称评委）应认真地阅读并确认已经正确理解了评标方案；</w:t>
      </w:r>
    </w:p>
    <w:p>
      <w:pPr>
        <w:tabs>
          <w:tab w:val="left" w:pos="0"/>
        </w:tabs>
        <w:spacing w:line="240" w:lineRule="auto"/>
        <w:ind w:firstLine="420" w:firstLineChar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（2）评委如对评标方案有异议，应在评标开始前提出。</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2.关于评标纪律</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评标委员会及其成员不得有下列行为：</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（一）确定参与评标至评标结束前私自接触供应商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（二）接受供应商提出的与投标文件不一致的澄清或者说明；</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（三）违反评标纪律发表倾向性意见或者征询采购人的倾向性意见；</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（四）对需要专业判断的主观评审因素协商评分；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（五）在评标过程中擅离职守，影响评标程序正常进行的；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（六）记录、复制或者带走任何评标资料；</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（七）其他不遵守评标纪律的行为。</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评标委员会成员有前款第一至五项行为之一的，其评审意见无效，并不得获取评审劳务报酬和报销异地评审差旅费。</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3.关于评标责任</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（1）评委应在其书面评审意见上签字确认</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（2）评委对其所提出的评审意见承担个人责任。</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4.关于回避</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有下列情形之一的，不得担任评标委员会成员，如事先不知情的，应在宣读供应商名单及评标纪律后主动提出回避：</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（1）供应商或供应商主要负责人的近亲属；</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（2）项目主管部门或者行政监督部门的人员</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（3）与供应商有经济利益关系，可能影响对投标公正评审的；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（4）曾因在招标、评标以及其他与招标投标有关活动中从事违法行为而受过行政处罚或刑事处罚的；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（5）与供应商有其他利害关系。</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5.关于保密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评标委员会成员和与评标活动有关的工作人员不得透露对投标文件的评审和比较、中标候选人的推荐情况以及评标有关的其他情况。</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前款所称与评标活动有关的工作人员，是指评标委员会成员以外的因参与评标监督工作或者事务性工作而知悉有关评标情况的所有人员。</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二、评标原则</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1.评标方法</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供应商为排名第一的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2.评审标准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2.1初步评审标准</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2.1.1 形式评审标准：见评标办法前附表。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2.1.2 资格评审标准：见评标办法前附表。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2.1.3 响应性评审标准：见评标办法前附表。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2.2分值构成与评分标准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2.2.1 分值构成</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（1）商务部分：见评标办法前附表；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（2）技术部分：见评标办法前附表；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2.2.2 评标基准价计算</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评标基准价计算方法：见评标办法前附表。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2.2.3 评分标准</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（1）商务部分评分标准：见评标办法前附表；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（2）技术部分评分标准：见评标办法前附表；</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3.评标程序</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3.1初步评审</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3.1.1 评标委员会可以要求供应商提交第二章“供应商须知”规定的有关证明和证件的原件，以便核验。评标委员会依据本章第2.1款规定的标准对投标文件进行初步评审。有一项不符合评审标准的，评标委员会应当否决其投标。</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3.1.2 供应商有以下情形之一的，评标委员会应当否决其投标：</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(1)第二章“供应商须知”前附表及正文规定的任何一种投标无效、废标、否决投标的情况；</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(2)串通投标或弄虚作假或有其他违法行为的：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(3)不按评标委员会要求澄清、说明或补正的。</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3.2详细评审</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3.2.1 评标委员会按本章第2.2款规定的量化因素和分值进行打分，并计算出综合评估得分。</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（1）按本章第2.2.3（1）目规定的评审因素和分值对商务部分计算出得分A；</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（2）按本章第2.2.4（2）目规定的评审因素和分值对技术部分计算出得分B；</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3.2.2 评分分值计算保留小数点后两位，小数点后第三位“四舍五入”。</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3.2.3 供应商得分=A+B。</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3.2.4 评标委员会发现供应商的报价明显低于其他通过符合性审查供应商的报价，或者在设有标底时明显低于标底，使得其投标报价可能低于其个别成本的，可能影响产品质量或者不能诚信履约的，应当要求其在评标现场合理的时间内提供书面说明，必要时提交相关证明材料；供应商不能证明其报价合理性的，评标委员会应当将其作为无效投标处理。以低于成本报价竞标，其投标将被否决。</w:t>
      </w:r>
    </w:p>
    <w:p>
      <w:pPr>
        <w:tabs>
          <w:tab w:val="left" w:pos="0"/>
        </w:tabs>
        <w:spacing w:line="240" w:lineRule="auto"/>
        <w:ind w:firstLine="420" w:firstLineChars="200"/>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3.2.5 本次招标活动对于满足政府采购政策要求的供应商按照下列相关规定的扶持政策执行</w:t>
      </w:r>
      <w:r>
        <w:rPr>
          <w:rFonts w:hint="eastAsia" w:cs="仿宋"/>
          <w:color w:val="000000"/>
          <w:sz w:val="21"/>
          <w:szCs w:val="21"/>
          <w:highlight w:val="none"/>
          <w:lang w:val="en-US" w:eastAsia="zh-CN"/>
        </w:rPr>
        <w:t>:</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1、《政府采购促进中小企业发展管理办法》（财库﹝2020﹞46号）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（1）在政府采购活动中，对符合本办法规定的小微企业报价给予</w:t>
      </w:r>
      <w:r>
        <w:rPr>
          <w:rFonts w:hint="eastAsia" w:ascii="仿宋" w:hAnsi="仿宋" w:eastAsia="仿宋" w:cs="仿宋"/>
          <w:color w:val="000000"/>
          <w:sz w:val="21"/>
          <w:szCs w:val="21"/>
          <w:highlight w:val="none"/>
          <w:lang w:val="en-US" w:eastAsia="zh-CN"/>
        </w:rPr>
        <w:t>10</w:t>
      </w:r>
      <w:r>
        <w:rPr>
          <w:rFonts w:hint="eastAsia" w:ascii="仿宋" w:hAnsi="仿宋" w:eastAsia="仿宋" w:cs="仿宋"/>
          <w:color w:val="000000"/>
          <w:sz w:val="21"/>
          <w:szCs w:val="21"/>
          <w:highlight w:val="none"/>
        </w:rPr>
        <w:t>%的扣除，用扣除后的价格参加评审。</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%的扣除，用扣除后的价格参加评审，组成联合体或者接受分包的小微企业与联合体内其他企业、分包企业之间存在直接控股、管理关系的，不享受价格扣除优惠政策。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中小企业参加政府采购活动，应当出具本办法规定的《中小企业声明函（货物）》，否则不得享受相关中小企业扶持政策，本条款中（1）和（2）两种价格扣除规则不得同时适用。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2、《财政部司法部关于政府采购支持监狱企业发展有关问题的通知》（财库〔2014〕68号）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符合条件的监狱企业参加政府采购活动时，应当提供由省级以上监狱管理局、戒毒管理局（含新疆生产建设兵团）出具的属于监狱企业的证明文件，监狱企业视同小型、微型企业，享受第1条相同的相关扶持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3、《财政部 民政部 中国残疾人联合会关于促进残疾人就业政府采购政策的通知》（财库〔2017〕141号）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符合条件的残疾人福利性单位在参加政府采购活动时，应当提供本通知规定的《残疾人福利性单位声明函》，残疾人福利性单位视同小型、微型企业，享受第1条相同的相关扶持政策。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4、同时属于中小企业、监狱企业、残疾人福利性单位的，不重复享受政策。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5、《节能产品政府采购实施意见》（财库〔2004〕185号）、《关于印发节能产品政府采购品目清单的通知》（财库〔2019〕19号）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政府采购属于节能清单中产品时，在技术、服务等指标同等条件下，应当优先采购节能清单所列的节能产品，优先采购的评审标准：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（1）给予投标报价得分的3％的加分，采购项目或者分包中既包含节能产品也包含非节能产品的，只对纳入《节能产品政府采购清单》的产品按其在总报价中所占的比例给予价格分加分。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（2）对于技术评分项目，给予技术评分得分的3％的加分。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按照财政部、发展改革委最新发布执行的《节能产品政府采购清单》的规定，《采购需求》中凡包含强制采购产品的，供应商必须提供列入《节能产品政府采购清单》的产品，否则投标无效。</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6、《关于环境标志产品政府采购实施的意见》（财库〔2006〕90号）、《关于印发环境标志产品政府采购品目清单的通知》（财库〔2019〕18号）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采购人采购的产品属于清单中品目的，在性能、技术、服务等指标同等条件下，应当优先采购清单中的产品，优先采购的评审标准：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（1）给予投标报价得分的3％的加分，采购项目或者分包中既包含环境标志产品也包含非环境标志产品的，只对纳入《环境标志产品政府采购清单》的产品按其在总报价中所占的比例给予价格分加分。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（2）对于技术评分项目，给予技术评分得分的3％的加分。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7、投标产品同时纳入《环境标志产品政府采购清单》和《节能产品政府采购清单》的，价格扣除比例不叠加。</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财政部关于印发《政府采购进口产品管理办法》的通知（财库[2007]119号）政府采购应当采购本国产品，确需采购进口产品（指通过中国海关报关验放进入中国境内且产自关境外的产品）的，实行审核管理的规定。</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3.3投标文件的澄清和补正</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3.3.1 在评标过程中，评标委员会可以书面形式要求供应商对所提交投标文件中不明确的内容进行书面澄清或说明，或者对细微偏差进行补正。评标委员会不接受供应商主动提出的澄清、说明或补正。</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3.3.2 澄清、说明和补正不得改变投标文件的实质性内容(算术性错误修正的除外)。供应商的书面澄清、说明和补正属于投标文件的组成部分。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3.3.3 评标委员会对供应商提交的澄清、说明或补正有疑问的，可以要求供应商进一步澄清、说明或补正，直至满足评标委员会的要求。</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3.4评标结果</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3.4.1 除第二章“供应商须知”前附表授权直接确定中标供应商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供应商。</w:t>
      </w:r>
    </w:p>
    <w:p>
      <w:pPr>
        <w:spacing w:line="24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000000"/>
          <w:sz w:val="21"/>
          <w:szCs w:val="21"/>
          <w:highlight w:val="none"/>
        </w:rPr>
        <w:t>3.4.2 评标委员会完成评标后，应当向</w:t>
      </w:r>
      <w:r>
        <w:rPr>
          <w:rFonts w:hint="eastAsia" w:ascii="仿宋" w:hAnsi="仿宋" w:eastAsia="仿宋" w:cs="仿宋"/>
          <w:color w:val="000000"/>
          <w:sz w:val="21"/>
          <w:szCs w:val="21"/>
          <w:highlight w:val="none"/>
          <w:lang w:eastAsia="zh-CN"/>
        </w:rPr>
        <w:t>采购人</w:t>
      </w:r>
      <w:r>
        <w:rPr>
          <w:rFonts w:hint="eastAsia" w:ascii="仿宋" w:hAnsi="仿宋" w:eastAsia="仿宋" w:cs="仿宋"/>
          <w:color w:val="000000"/>
          <w:sz w:val="21"/>
          <w:szCs w:val="21"/>
          <w:highlight w:val="none"/>
        </w:rPr>
        <w:t>提交书面评标报告和中标候选人名单</w:t>
      </w:r>
      <w:r>
        <w:rPr>
          <w:rFonts w:hint="eastAsia" w:cs="仿宋"/>
          <w:color w:val="000000"/>
          <w:sz w:val="21"/>
          <w:szCs w:val="21"/>
          <w:highlight w:val="none"/>
          <w:lang w:eastAsia="zh-CN"/>
        </w:rPr>
        <w:t>。</w:t>
      </w:r>
    </w:p>
    <w:p>
      <w:pPr>
        <w:rPr>
          <w:rFonts w:hint="eastAsia" w:ascii="仿宋" w:hAnsi="仿宋" w:eastAsia="仿宋" w:cs="仿宋"/>
          <w:color w:val="auto"/>
          <w:highlight w:val="none"/>
        </w:rPr>
      </w:pPr>
    </w:p>
    <w:p>
      <w:pPr>
        <w:rPr>
          <w:rFonts w:hint="eastAsia"/>
          <w:color w:val="auto"/>
          <w:highlight w:val="none"/>
          <w:lang w:val="en-US" w:eastAsia="zh-CN"/>
        </w:rPr>
      </w:pPr>
      <w:r>
        <w:rPr>
          <w:rFonts w:hint="eastAsia"/>
          <w:color w:val="auto"/>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附表一、初步评审表</w:t>
      </w:r>
    </w:p>
    <w:tbl>
      <w:tblPr>
        <w:tblStyle w:val="19"/>
        <w:tblW w:w="8314" w:type="dxa"/>
        <w:tblInd w:w="108" w:type="dxa"/>
        <w:tblLayout w:type="fixed"/>
        <w:tblCellMar>
          <w:top w:w="0" w:type="dxa"/>
          <w:left w:w="108" w:type="dxa"/>
          <w:bottom w:w="0" w:type="dxa"/>
          <w:right w:w="108" w:type="dxa"/>
        </w:tblCellMar>
      </w:tblPr>
      <w:tblGrid>
        <w:gridCol w:w="742"/>
        <w:gridCol w:w="824"/>
        <w:gridCol w:w="1735"/>
        <w:gridCol w:w="5013"/>
      </w:tblGrid>
      <w:tr>
        <w:tblPrEx>
          <w:tblCellMar>
            <w:top w:w="0" w:type="dxa"/>
            <w:left w:w="108" w:type="dxa"/>
            <w:bottom w:w="0" w:type="dxa"/>
            <w:right w:w="108" w:type="dxa"/>
          </w:tblCellMar>
        </w:tblPrEx>
        <w:trPr>
          <w:trHeight w:val="623" w:hRule="atLeast"/>
        </w:trPr>
        <w:tc>
          <w:tcPr>
            <w:tcW w:w="1566"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1735" w:type="dxa"/>
            <w:tcBorders>
              <w:top w:val="single" w:color="000000" w:sz="2" w:space="0"/>
              <w:left w:val="single" w:color="000000" w:sz="2" w:space="0"/>
              <w:bottom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5013" w:type="dxa"/>
            <w:tcBorders>
              <w:top w:val="single" w:color="000000" w:sz="2" w:space="0"/>
              <w:left w:val="single" w:color="000000" w:sz="2" w:space="0"/>
              <w:bottom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tblPrEx>
          <w:tblCellMar>
            <w:top w:w="0" w:type="dxa"/>
            <w:left w:w="108" w:type="dxa"/>
            <w:bottom w:w="0" w:type="dxa"/>
            <w:right w:w="108" w:type="dxa"/>
          </w:tblCellMar>
        </w:tblPrEx>
        <w:trPr>
          <w:trHeight w:val="90" w:hRule="atLeast"/>
        </w:trPr>
        <w:tc>
          <w:tcPr>
            <w:tcW w:w="742" w:type="dxa"/>
            <w:vMerge w:val="restart"/>
            <w:tcBorders>
              <w:top w:val="single" w:color="auto" w:sz="4" w:space="0"/>
              <w:left w:val="single" w:color="auto" w:sz="4" w:space="0"/>
              <w:bottom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1</w:t>
            </w:r>
          </w:p>
        </w:tc>
        <w:tc>
          <w:tcPr>
            <w:tcW w:w="824" w:type="dxa"/>
            <w:vMerge w:val="restart"/>
            <w:tcBorders>
              <w:top w:val="single" w:color="auto" w:sz="4" w:space="0"/>
              <w:left w:val="single" w:color="000000" w:sz="2"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1735" w:type="dxa"/>
            <w:tcBorders>
              <w:top w:val="single" w:color="auto" w:sz="4" w:space="0"/>
              <w:left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供应商须具有独立的、国家认可的合法经营资格，且经营范围包含本项目采购相关内容；</w:t>
            </w:r>
          </w:p>
          <w:p>
            <w:pPr>
              <w:autoSpaceDE w:val="0"/>
              <w:autoSpaceDN w:val="0"/>
              <w:adjustRightInd w:val="0"/>
              <w:spacing w:line="0" w:lineRule="atLeas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（提供证书营业执照副本复印件加盖公章</w:t>
            </w:r>
            <w:r>
              <w:rPr>
                <w:rFonts w:hint="eastAsia" w:ascii="仿宋" w:hAnsi="仿宋" w:eastAsia="仿宋" w:cs="仿宋"/>
                <w:color w:val="auto"/>
                <w:sz w:val="21"/>
                <w:szCs w:val="21"/>
                <w:highlight w:val="none"/>
              </w:rPr>
              <w:t>，且标书内附加盖公章的复印件。同时提供实体经营店面的照片）</w:t>
            </w:r>
          </w:p>
        </w:tc>
      </w:tr>
      <w:tr>
        <w:tblPrEx>
          <w:tblCellMar>
            <w:top w:w="0" w:type="dxa"/>
            <w:left w:w="108" w:type="dxa"/>
            <w:bottom w:w="0" w:type="dxa"/>
            <w:right w:w="108" w:type="dxa"/>
          </w:tblCellMar>
        </w:tblPrEx>
        <w:trPr>
          <w:trHeight w:val="1226"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财务状况</w:t>
            </w:r>
          </w:p>
        </w:tc>
        <w:tc>
          <w:tcPr>
            <w:tcW w:w="5013" w:type="dxa"/>
            <w:tcBorders>
              <w:top w:val="single" w:color="auto" w:sz="4" w:space="0"/>
              <w:left w:val="single" w:color="auto" w:sz="4" w:space="0"/>
              <w:bottom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近三年（</w:t>
            </w:r>
            <w:r>
              <w:rPr>
                <w:rFonts w:hint="eastAsia" w:ascii="仿宋" w:hAnsi="仿宋" w:eastAsia="仿宋" w:cs="仿宋"/>
                <w:color w:val="auto"/>
                <w:kern w:val="0"/>
                <w:sz w:val="21"/>
                <w:szCs w:val="21"/>
                <w:highlight w:val="none"/>
              </w:rPr>
              <w:t>20</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年-20</w:t>
            </w:r>
            <w:r>
              <w:rPr>
                <w:rFonts w:hint="eastAsia" w:ascii="仿宋" w:hAnsi="仿宋" w:eastAsia="仿宋" w:cs="仿宋"/>
                <w:color w:val="auto"/>
                <w:kern w:val="0"/>
                <w:sz w:val="21"/>
                <w:szCs w:val="21"/>
                <w:highlight w:val="none"/>
                <w:lang w:val="en-US" w:eastAsia="zh-CN"/>
              </w:rPr>
              <w:t>22</w:t>
            </w:r>
            <w:r>
              <w:rPr>
                <w:rFonts w:hint="eastAsia" w:ascii="仿宋" w:hAnsi="仿宋" w:eastAsia="仿宋" w:cs="仿宋"/>
                <w:color w:val="auto"/>
                <w:kern w:val="0"/>
                <w:sz w:val="21"/>
                <w:szCs w:val="21"/>
                <w:highlight w:val="none"/>
              </w:rPr>
              <w:t>年）年度财务状况良好。</w:t>
            </w:r>
          </w:p>
          <w:p>
            <w:pPr>
              <w:spacing w:line="0" w:lineRule="atLeast"/>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（应出具近三年（2020年至今）经会计师事务所审计的财务</w:t>
            </w:r>
            <w:r>
              <w:rPr>
                <w:rFonts w:hint="eastAsia" w:cs="仿宋"/>
                <w:color w:val="auto"/>
                <w:kern w:val="0"/>
                <w:sz w:val="21"/>
                <w:szCs w:val="21"/>
                <w:highlight w:val="none"/>
                <w:lang w:eastAsia="zh-CN"/>
              </w:rPr>
              <w:t>审计报告或财务报表</w:t>
            </w:r>
            <w:r>
              <w:rPr>
                <w:rFonts w:hint="eastAsia" w:ascii="仿宋" w:hAnsi="仿宋" w:eastAsia="仿宋" w:cs="仿宋"/>
                <w:color w:val="auto"/>
                <w:kern w:val="0"/>
                <w:sz w:val="21"/>
                <w:szCs w:val="21"/>
                <w:highlight w:val="none"/>
              </w:rPr>
              <w:t>（投标人的成立时间少于规定年份的，应提供成立以来至2022年的财务</w:t>
            </w:r>
            <w:r>
              <w:rPr>
                <w:rFonts w:hint="eastAsia" w:cs="仿宋"/>
                <w:color w:val="auto"/>
                <w:kern w:val="0"/>
                <w:sz w:val="21"/>
                <w:szCs w:val="21"/>
                <w:highlight w:val="none"/>
                <w:lang w:eastAsia="zh-CN"/>
              </w:rPr>
              <w:t>审计报告或财务报表</w:t>
            </w:r>
            <w:r>
              <w:rPr>
                <w:rFonts w:hint="eastAsia" w:ascii="仿宋" w:hAnsi="仿宋" w:eastAsia="仿宋" w:cs="仿宋"/>
                <w:color w:val="auto"/>
                <w:kern w:val="0"/>
                <w:sz w:val="21"/>
                <w:szCs w:val="21"/>
                <w:highlight w:val="none"/>
              </w:rPr>
              <w:t>；2023年以后新成立企业需提供近三个月内银行出具的公司资信证明）</w:t>
            </w:r>
          </w:p>
        </w:tc>
      </w:tr>
      <w:tr>
        <w:tblPrEx>
          <w:tblCellMar>
            <w:top w:w="0" w:type="dxa"/>
            <w:left w:w="108" w:type="dxa"/>
            <w:bottom w:w="0" w:type="dxa"/>
            <w:right w:w="108" w:type="dxa"/>
          </w:tblCellMar>
        </w:tblPrEx>
        <w:trPr>
          <w:trHeight w:val="9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000000" w:sz="2" w:space="0"/>
              <w:right w:val="single" w:color="000000" w:sz="2" w:space="0"/>
            </w:tcBorders>
            <w:noWrap w:val="0"/>
            <w:vAlign w:val="center"/>
          </w:tcPr>
          <w:p>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中小企业声明函</w:t>
            </w:r>
          </w:p>
        </w:tc>
        <w:tc>
          <w:tcPr>
            <w:tcW w:w="5013" w:type="dxa"/>
            <w:tcBorders>
              <w:top w:val="single" w:color="auto" w:sz="4" w:space="0"/>
              <w:left w:val="single" w:color="000000" w:sz="2" w:space="0"/>
              <w:bottom w:val="single" w:color="000000" w:sz="2" w:space="0"/>
              <w:right w:val="single" w:color="000000" w:sz="2" w:space="0"/>
            </w:tcBorders>
            <w:noWrap w:val="0"/>
            <w:vAlign w:val="center"/>
          </w:tcPr>
          <w:p>
            <w:pPr>
              <w:spacing w:line="0" w:lineRule="atLeast"/>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按照要求提交中小企业声明函</w:t>
            </w:r>
          </w:p>
        </w:tc>
      </w:tr>
      <w:tr>
        <w:tblPrEx>
          <w:tblCellMar>
            <w:top w:w="0" w:type="dxa"/>
            <w:left w:w="108" w:type="dxa"/>
            <w:bottom w:w="0" w:type="dxa"/>
            <w:right w:w="108" w:type="dxa"/>
          </w:tblCellMar>
        </w:tblPrEx>
        <w:trPr>
          <w:trHeight w:val="2542"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000000" w:sz="2" w:space="0"/>
              <w:left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信誉要求</w:t>
            </w:r>
          </w:p>
        </w:tc>
        <w:tc>
          <w:tcPr>
            <w:tcW w:w="5013" w:type="dxa"/>
            <w:tcBorders>
              <w:top w:val="single" w:color="000000" w:sz="2" w:space="0"/>
              <w:left w:val="single" w:color="000000" w:sz="2" w:space="0"/>
              <w:bottom w:val="single" w:color="auto" w:sz="4" w:space="0"/>
              <w:right w:val="single" w:color="000000" w:sz="2" w:space="0"/>
            </w:tcBorders>
            <w:noWrap w:val="0"/>
            <w:vAlign w:val="center"/>
          </w:tcPr>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1.拒绝列入政府不良行为记录期间的企业或个人参加投标。</w:t>
            </w:r>
          </w:p>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（提供法定代表人（或授权代表）签字并加盖公章的承诺书。）</w:t>
            </w:r>
          </w:p>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供应商不能列入失信被执行人、重大税收违法案件当事人名单、政府采购严重违法失信行为记录名单</w:t>
            </w:r>
          </w:p>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（提供信用中国”网站（www.creditchina.gov.cn）和中国政府采购网（www.ccgp.gov.cn）渠道查询相关信用记录的网站截图加盖公章。）</w:t>
            </w:r>
          </w:p>
          <w:p>
            <w:pPr>
              <w:autoSpaceDE w:val="0"/>
              <w:autoSpaceDN w:val="0"/>
              <w:adjustRightInd w:val="0"/>
              <w:spacing w:line="240" w:lineRule="auto"/>
              <w:jc w:val="left"/>
              <w:rPr>
                <w:rFonts w:hint="default" w:eastAsia="仿宋"/>
                <w:highlight w:val="none"/>
                <w:lang w:val="en-US" w:eastAsia="zh-CN"/>
              </w:rPr>
            </w:pPr>
            <w:r>
              <w:rPr>
                <w:rFonts w:hint="eastAsia" w:ascii="仿宋" w:hAnsi="仿宋" w:eastAsia="仿宋" w:cs="仿宋"/>
                <w:color w:val="auto"/>
                <w:sz w:val="21"/>
                <w:szCs w:val="21"/>
                <w:highlight w:val="none"/>
                <w:lang w:val="en-US" w:eastAsia="zh-CN"/>
              </w:rPr>
              <w:t>3.提供招标文件要求的其他材料</w:t>
            </w:r>
          </w:p>
        </w:tc>
      </w:tr>
      <w:tr>
        <w:tblPrEx>
          <w:tblCellMar>
            <w:top w:w="0" w:type="dxa"/>
            <w:left w:w="108" w:type="dxa"/>
            <w:bottom w:w="0" w:type="dxa"/>
            <w:right w:w="108" w:type="dxa"/>
          </w:tblCellMar>
        </w:tblPrEx>
        <w:trPr>
          <w:trHeight w:val="90" w:hRule="atLeast"/>
        </w:trPr>
        <w:tc>
          <w:tcPr>
            <w:tcW w:w="742" w:type="dxa"/>
            <w:vMerge w:val="restart"/>
            <w:tcBorders>
              <w:top w:val="single" w:color="auto" w:sz="4" w:space="0"/>
              <w:left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2</w:t>
            </w:r>
          </w:p>
        </w:tc>
        <w:tc>
          <w:tcPr>
            <w:tcW w:w="824" w:type="dxa"/>
            <w:vMerge w:val="restart"/>
            <w:tcBorders>
              <w:top w:val="single" w:color="auto" w:sz="4" w:space="0"/>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符</w:t>
            </w:r>
          </w:p>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合</w:t>
            </w:r>
          </w:p>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性</w:t>
            </w:r>
          </w:p>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评</w:t>
            </w:r>
          </w:p>
          <w:p>
            <w:pPr>
              <w:spacing w:line="0" w:lineRule="atLeast"/>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审</w:t>
            </w:r>
          </w:p>
        </w:tc>
        <w:tc>
          <w:tcPr>
            <w:tcW w:w="1735" w:type="dxa"/>
            <w:tcBorders>
              <w:top w:val="single" w:color="auto" w:sz="4" w:space="0"/>
              <w:left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供应商名称</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left"/>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 xml:space="preserve">与营业执照、税务登记证、组织机构代码证一致。 </w:t>
            </w:r>
          </w:p>
        </w:tc>
      </w:tr>
      <w:tr>
        <w:tblPrEx>
          <w:tblCellMar>
            <w:top w:w="0" w:type="dxa"/>
            <w:left w:w="108" w:type="dxa"/>
            <w:bottom w:w="0" w:type="dxa"/>
            <w:right w:w="108" w:type="dxa"/>
          </w:tblCellMar>
        </w:tblPrEx>
        <w:trPr>
          <w:trHeight w:val="90"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投标函签字盖章</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left"/>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有法定代表人或其委托代理人签字并加盖单位章。</w:t>
            </w:r>
          </w:p>
        </w:tc>
      </w:tr>
      <w:tr>
        <w:tblPrEx>
          <w:tblCellMar>
            <w:top w:w="0" w:type="dxa"/>
            <w:left w:w="108" w:type="dxa"/>
            <w:bottom w:w="0" w:type="dxa"/>
            <w:right w:w="108" w:type="dxa"/>
          </w:tblCellMar>
        </w:tblPrEx>
        <w:trPr>
          <w:trHeight w:val="294"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投标报价</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只能有一个有效报价。</w:t>
            </w:r>
            <w:r>
              <w:rPr>
                <w:rFonts w:hint="eastAsia" w:ascii="仿宋" w:hAnsi="仿宋" w:eastAsia="仿宋" w:cs="仿宋"/>
                <w:color w:val="auto"/>
                <w:sz w:val="21"/>
                <w:szCs w:val="21"/>
                <w:highlight w:val="none"/>
                <w:lang w:val="en-US" w:eastAsia="zh-CN"/>
              </w:rPr>
              <w:t>不超过采购预算，超过采购预算的投标报价，其投标将被否决</w:t>
            </w:r>
            <w:r>
              <w:rPr>
                <w:rFonts w:hint="eastAsia" w:cs="仿宋"/>
                <w:color w:val="auto"/>
                <w:sz w:val="21"/>
                <w:szCs w:val="21"/>
                <w:highlight w:val="none"/>
                <w:lang w:val="en-US" w:eastAsia="zh-CN"/>
              </w:rPr>
              <w:t>（预算金额：120万元）</w:t>
            </w:r>
          </w:p>
        </w:tc>
      </w:tr>
      <w:tr>
        <w:tblPrEx>
          <w:tblCellMar>
            <w:top w:w="0" w:type="dxa"/>
            <w:left w:w="108" w:type="dxa"/>
            <w:bottom w:w="0" w:type="dxa"/>
            <w:right w:w="108" w:type="dxa"/>
          </w:tblCellMar>
        </w:tblPrEx>
        <w:trPr>
          <w:trHeight w:val="90"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服务期</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cs="仿宋"/>
                <w:color w:val="auto"/>
                <w:sz w:val="21"/>
                <w:szCs w:val="21"/>
                <w:highlight w:val="none"/>
                <w:lang w:val="en-US" w:eastAsia="zh-CN"/>
              </w:rPr>
            </w:pPr>
            <w:r>
              <w:rPr>
                <w:rFonts w:hint="eastAsia" w:cs="仿宋"/>
                <w:color w:val="auto"/>
                <w:sz w:val="21"/>
                <w:szCs w:val="21"/>
                <w:highlight w:val="none"/>
                <w:lang w:val="en-US" w:eastAsia="zh-CN"/>
              </w:rPr>
              <w:t>2年</w:t>
            </w:r>
          </w:p>
        </w:tc>
      </w:tr>
      <w:tr>
        <w:tblPrEx>
          <w:tblCellMar>
            <w:top w:w="0" w:type="dxa"/>
            <w:left w:w="108" w:type="dxa"/>
            <w:bottom w:w="0" w:type="dxa"/>
            <w:right w:w="108" w:type="dxa"/>
          </w:tblCellMar>
        </w:tblPrEx>
        <w:trPr>
          <w:trHeight w:val="105"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color w:val="auto"/>
                <w:sz w:val="21"/>
                <w:szCs w:val="21"/>
                <w:highlight w:val="none"/>
                <w:lang w:eastAsia="zh-CN"/>
              </w:rPr>
            </w:pPr>
            <w:r>
              <w:rPr>
                <w:rFonts w:hint="eastAsia" w:cs="仿宋"/>
                <w:color w:val="auto"/>
                <w:sz w:val="21"/>
                <w:szCs w:val="21"/>
                <w:highlight w:val="none"/>
                <w:lang w:eastAsia="zh-CN"/>
              </w:rPr>
              <w:t>符合国家、行业现行相关标准及采购人合理要求的合格服务</w:t>
            </w:r>
          </w:p>
        </w:tc>
      </w:tr>
      <w:tr>
        <w:tblPrEx>
          <w:tblCellMar>
            <w:top w:w="0" w:type="dxa"/>
            <w:left w:w="108" w:type="dxa"/>
            <w:bottom w:w="0" w:type="dxa"/>
            <w:right w:w="108" w:type="dxa"/>
          </w:tblCellMar>
        </w:tblPrEx>
        <w:trPr>
          <w:trHeight w:val="90"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90天</w:t>
            </w:r>
          </w:p>
        </w:tc>
      </w:tr>
      <w:tr>
        <w:tblPrEx>
          <w:tblCellMar>
            <w:top w:w="0" w:type="dxa"/>
            <w:left w:w="108" w:type="dxa"/>
            <w:bottom w:w="0" w:type="dxa"/>
            <w:right w:w="108" w:type="dxa"/>
          </w:tblCellMar>
        </w:tblPrEx>
        <w:trPr>
          <w:trHeight w:val="253"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有缴纳投标保证金凭证原件加盖公章，基本账户开户许可证复印件加盖公章【要求件清晰可见】 </w:t>
            </w:r>
          </w:p>
        </w:tc>
      </w:tr>
      <w:tr>
        <w:tblPrEx>
          <w:tblCellMar>
            <w:top w:w="0" w:type="dxa"/>
            <w:left w:w="108" w:type="dxa"/>
            <w:bottom w:w="0" w:type="dxa"/>
            <w:right w:w="108" w:type="dxa"/>
          </w:tblCellMar>
        </w:tblPrEx>
        <w:trPr>
          <w:trHeight w:val="454" w:hRule="atLeast"/>
        </w:trPr>
        <w:tc>
          <w:tcPr>
            <w:tcW w:w="742" w:type="dxa"/>
            <w:vMerge w:val="continue"/>
            <w:tcBorders>
              <w:left w:val="single" w:color="000000" w:sz="2" w:space="0"/>
              <w:bottom w:val="single" w:color="auto" w:sz="4"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000000" w:sz="2" w:space="0"/>
              <w:bottom w:val="single" w:color="000000" w:sz="2" w:space="0"/>
              <w:right w:val="single" w:color="000000" w:sz="2" w:space="0"/>
            </w:tcBorders>
            <w:noWrap w:val="0"/>
            <w:vAlign w:val="center"/>
          </w:tcPr>
          <w:p>
            <w:pPr>
              <w:spacing w:line="0" w:lineRule="atLeast"/>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其他要求</w:t>
            </w:r>
          </w:p>
        </w:tc>
        <w:tc>
          <w:tcPr>
            <w:tcW w:w="5013" w:type="dxa"/>
            <w:tcBorders>
              <w:top w:val="single" w:color="auto" w:sz="4" w:space="0"/>
              <w:left w:val="single" w:color="000000" w:sz="2" w:space="0"/>
              <w:bottom w:val="single" w:color="000000" w:sz="2" w:space="0"/>
              <w:right w:val="single" w:color="000000" w:sz="2" w:space="0"/>
            </w:tcBorders>
            <w:noWrap w:val="0"/>
            <w:vAlign w:val="center"/>
          </w:tcPr>
          <w:p>
            <w:pPr>
              <w:spacing w:line="240" w:lineRule="auto"/>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与采购人存在利害关系可能影响招标公正性的法人、其他组织或者个人，不得参加本项目投标。</w:t>
            </w:r>
          </w:p>
        </w:tc>
      </w:tr>
    </w:tbl>
    <w:p>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cs="仿宋"/>
          <w:b/>
          <w:bCs/>
          <w:sz w:val="24"/>
          <w:szCs w:val="24"/>
          <w:highlight w:val="none"/>
          <w:lang w:val="en-US" w:eastAsia="zh-CN"/>
        </w:rPr>
      </w:pPr>
      <w:r>
        <w:rPr>
          <w:rFonts w:hint="eastAsia" w:ascii="仿宋" w:hAnsi="仿宋" w:eastAsia="仿宋" w:cs="仿宋"/>
          <w:b/>
          <w:bCs/>
          <w:sz w:val="24"/>
          <w:szCs w:val="24"/>
          <w:highlight w:val="none"/>
          <w:lang w:val="en-US" w:eastAsia="zh-CN"/>
        </w:rPr>
        <w:t>附表</w:t>
      </w:r>
      <w:r>
        <w:rPr>
          <w:rFonts w:hint="eastAsia" w:cs="仿宋"/>
          <w:b/>
          <w:bCs/>
          <w:sz w:val="24"/>
          <w:szCs w:val="24"/>
          <w:highlight w:val="none"/>
          <w:lang w:val="en-US" w:eastAsia="zh-CN"/>
        </w:rPr>
        <w:t>二</w:t>
      </w:r>
      <w:r>
        <w:rPr>
          <w:rFonts w:hint="eastAsia" w:ascii="仿宋" w:hAnsi="仿宋" w:eastAsia="仿宋" w:cs="仿宋"/>
          <w:b/>
          <w:bCs/>
          <w:sz w:val="24"/>
          <w:szCs w:val="24"/>
          <w:highlight w:val="none"/>
          <w:lang w:val="en-US" w:eastAsia="zh-CN"/>
        </w:rPr>
        <w:t>、</w:t>
      </w:r>
      <w:r>
        <w:rPr>
          <w:rFonts w:hint="eastAsia" w:cs="仿宋"/>
          <w:b/>
          <w:bCs/>
          <w:sz w:val="24"/>
          <w:szCs w:val="24"/>
          <w:highlight w:val="none"/>
          <w:lang w:val="en-US" w:eastAsia="zh-CN"/>
        </w:rPr>
        <w:t>详细评审表</w:t>
      </w:r>
    </w:p>
    <w:tbl>
      <w:tblPr>
        <w:tblStyle w:val="19"/>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037"/>
        <w:gridCol w:w="1118"/>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46" w:type="dxa"/>
            <w:gridSpan w:val="2"/>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评审内容</w:t>
            </w:r>
          </w:p>
        </w:tc>
        <w:tc>
          <w:tcPr>
            <w:tcW w:w="1118"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5864"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37"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价格部分</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1118"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5864" w:type="dxa"/>
            <w:noWrap w:val="0"/>
            <w:vAlign w:val="center"/>
          </w:tcPr>
          <w:p>
            <w:pPr>
              <w:snapToGrid w:val="0"/>
              <w:spacing w:line="240" w:lineRule="auto"/>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本次评标基准价以按照</w:t>
            </w: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的规定修正后的所有合格投标人的评标价的最低价格作为评标基准价。评标价等于评标基准价的得满分，其他投标人的价格分按下面的公式计算：投标报价得分＝基础分值×(最低投标价/有效投标报价)，四舍五入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09" w:type="dxa"/>
            <w:vMerge w:val="restart"/>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2</w:t>
            </w:r>
          </w:p>
        </w:tc>
        <w:tc>
          <w:tcPr>
            <w:tcW w:w="1037" w:type="dxa"/>
            <w:vMerge w:val="restart"/>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45</w:t>
            </w:r>
            <w:r>
              <w:rPr>
                <w:rFonts w:hint="eastAsia" w:ascii="仿宋" w:hAnsi="仿宋" w:eastAsia="仿宋" w:cs="仿宋"/>
                <w:color w:val="auto"/>
                <w:sz w:val="21"/>
                <w:szCs w:val="21"/>
                <w:highlight w:val="none"/>
              </w:rPr>
              <w:t>分)</w:t>
            </w:r>
          </w:p>
          <w:p>
            <w:pPr>
              <w:pStyle w:val="2"/>
              <w:rPr>
                <w:rFonts w:hint="default" w:eastAsia="仿宋"/>
                <w:highlight w:val="none"/>
                <w:lang w:val="en-US" w:eastAsia="zh-CN"/>
              </w:rPr>
            </w:pPr>
            <w:r>
              <w:rPr>
                <w:rFonts w:hint="eastAsia" w:ascii="仿宋" w:hAnsi="仿宋" w:cs="仿宋"/>
                <w:color w:val="auto"/>
                <w:sz w:val="21"/>
                <w:szCs w:val="21"/>
                <w:highlight w:val="none"/>
                <w:lang w:val="en-US" w:eastAsia="zh-CN"/>
              </w:rPr>
              <w:t>客观分</w:t>
            </w:r>
          </w:p>
        </w:tc>
        <w:tc>
          <w:tcPr>
            <w:tcW w:w="1118"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项目业绩</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（10分）</w:t>
            </w:r>
          </w:p>
        </w:tc>
        <w:tc>
          <w:tcPr>
            <w:tcW w:w="5864" w:type="dxa"/>
            <w:noWrap w:val="0"/>
            <w:vAlign w:val="center"/>
          </w:tcPr>
          <w:p>
            <w:pPr>
              <w:spacing w:line="240" w:lineRule="auto"/>
              <w:jc w:val="left"/>
              <w:rPr>
                <w:rFonts w:hint="eastAsia" w:ascii="仿宋" w:hAnsi="仿宋" w:eastAsia="仿宋" w:cs="仿宋"/>
                <w:b/>
                <w:color w:val="auto"/>
                <w:sz w:val="21"/>
                <w:szCs w:val="21"/>
                <w:highlight w:val="none"/>
              </w:rPr>
            </w:pPr>
            <w:r>
              <w:rPr>
                <w:rFonts w:hint="eastAsia" w:ascii="仿宋" w:hAnsi="仿宋" w:eastAsia="仿宋" w:cs="仿宋"/>
                <w:bCs/>
                <w:color w:val="auto"/>
                <w:kern w:val="21"/>
                <w:sz w:val="21"/>
                <w:szCs w:val="21"/>
                <w:highlight w:val="none"/>
                <w:lang w:val="zh-CN"/>
              </w:rPr>
              <w:t>近年（20</w:t>
            </w:r>
            <w:r>
              <w:rPr>
                <w:rFonts w:hint="eastAsia" w:ascii="仿宋" w:hAnsi="仿宋" w:eastAsia="仿宋" w:cs="仿宋"/>
                <w:bCs/>
                <w:color w:val="auto"/>
                <w:kern w:val="21"/>
                <w:sz w:val="21"/>
                <w:szCs w:val="21"/>
                <w:highlight w:val="none"/>
                <w:lang w:val="en-US" w:eastAsia="zh-CN"/>
              </w:rPr>
              <w:t>2</w:t>
            </w:r>
            <w:r>
              <w:rPr>
                <w:rFonts w:hint="eastAsia" w:cs="仿宋"/>
                <w:bCs/>
                <w:color w:val="auto"/>
                <w:kern w:val="21"/>
                <w:sz w:val="21"/>
                <w:szCs w:val="21"/>
                <w:highlight w:val="none"/>
                <w:lang w:val="en-US" w:eastAsia="zh-CN"/>
              </w:rPr>
              <w:t>1</w:t>
            </w:r>
            <w:r>
              <w:rPr>
                <w:rFonts w:hint="eastAsia" w:ascii="仿宋" w:hAnsi="仿宋" w:eastAsia="仿宋" w:cs="仿宋"/>
                <w:bCs/>
                <w:color w:val="auto"/>
                <w:kern w:val="21"/>
                <w:sz w:val="21"/>
                <w:szCs w:val="21"/>
                <w:highlight w:val="none"/>
                <w:lang w:val="zh-CN"/>
              </w:rPr>
              <w:t>年1月1日至投标截止时间止）具有类似项目业绩</w:t>
            </w:r>
            <w:r>
              <w:rPr>
                <w:rFonts w:hint="eastAsia" w:cs="仿宋"/>
                <w:bCs/>
                <w:color w:val="auto"/>
                <w:kern w:val="21"/>
                <w:sz w:val="21"/>
                <w:szCs w:val="21"/>
                <w:highlight w:val="none"/>
                <w:lang w:val="zh-CN"/>
              </w:rPr>
              <w:t>，</w:t>
            </w:r>
            <w:r>
              <w:rPr>
                <w:rFonts w:hint="eastAsia" w:cs="仿宋"/>
                <w:bCs/>
                <w:color w:val="auto"/>
                <w:kern w:val="21"/>
                <w:sz w:val="21"/>
                <w:szCs w:val="21"/>
                <w:highlight w:val="none"/>
                <w:lang w:val="en-US" w:eastAsia="zh-CN"/>
              </w:rPr>
              <w:t>类似业绩范围为“医用织物洗涤”相关</w:t>
            </w:r>
            <w:r>
              <w:rPr>
                <w:rFonts w:hint="eastAsia" w:ascii="仿宋" w:hAnsi="仿宋" w:eastAsia="仿宋" w:cs="仿宋"/>
                <w:bCs/>
                <w:color w:val="auto"/>
                <w:kern w:val="21"/>
                <w:sz w:val="21"/>
                <w:szCs w:val="21"/>
                <w:highlight w:val="none"/>
                <w:lang w:val="zh-CN"/>
              </w:rPr>
              <w:t>。每有</w:t>
            </w:r>
            <w:r>
              <w:rPr>
                <w:rFonts w:hint="eastAsia" w:cs="仿宋"/>
                <w:bCs/>
                <w:color w:val="auto"/>
                <w:kern w:val="21"/>
                <w:sz w:val="21"/>
                <w:szCs w:val="21"/>
                <w:highlight w:val="none"/>
                <w:lang w:val="en-US" w:eastAsia="zh-CN"/>
              </w:rPr>
              <w:t>1</w:t>
            </w:r>
            <w:r>
              <w:rPr>
                <w:rFonts w:hint="eastAsia" w:ascii="仿宋" w:hAnsi="仿宋" w:eastAsia="仿宋" w:cs="仿宋"/>
                <w:bCs/>
                <w:color w:val="auto"/>
                <w:kern w:val="21"/>
                <w:sz w:val="21"/>
                <w:szCs w:val="21"/>
                <w:highlight w:val="none"/>
                <w:lang w:val="zh-CN"/>
              </w:rPr>
              <w:t>项得</w:t>
            </w:r>
            <w:r>
              <w:rPr>
                <w:rFonts w:hint="eastAsia" w:cs="仿宋"/>
                <w:bCs/>
                <w:color w:val="auto"/>
                <w:kern w:val="21"/>
                <w:sz w:val="21"/>
                <w:szCs w:val="21"/>
                <w:highlight w:val="none"/>
                <w:lang w:val="en-US" w:eastAsia="zh-CN"/>
              </w:rPr>
              <w:t>2</w:t>
            </w:r>
            <w:r>
              <w:rPr>
                <w:rFonts w:hint="eastAsia" w:ascii="仿宋" w:hAnsi="仿宋" w:eastAsia="仿宋" w:cs="仿宋"/>
                <w:bCs/>
                <w:color w:val="auto"/>
                <w:kern w:val="21"/>
                <w:sz w:val="21"/>
                <w:szCs w:val="21"/>
                <w:highlight w:val="none"/>
                <w:lang w:val="zh-CN"/>
              </w:rPr>
              <w:t>分，</w:t>
            </w:r>
            <w:r>
              <w:rPr>
                <w:rFonts w:hint="eastAsia" w:ascii="仿宋" w:hAnsi="仿宋" w:eastAsia="仿宋" w:cs="仿宋"/>
                <w:color w:val="auto"/>
                <w:sz w:val="21"/>
                <w:szCs w:val="21"/>
                <w:highlight w:val="none"/>
              </w:rPr>
              <w:t>满分10分。</w:t>
            </w:r>
            <w:r>
              <w:rPr>
                <w:rFonts w:hint="eastAsia" w:ascii="仿宋" w:hAnsi="仿宋" w:eastAsia="仿宋" w:cs="仿宋"/>
                <w:b/>
                <w:color w:val="auto"/>
                <w:sz w:val="21"/>
                <w:szCs w:val="21"/>
                <w:highlight w:val="none"/>
              </w:rPr>
              <w:t>标书内附相应项目</w:t>
            </w:r>
            <w:r>
              <w:rPr>
                <w:rFonts w:hint="eastAsia" w:cs="仿宋"/>
                <w:b/>
                <w:color w:val="auto"/>
                <w:sz w:val="21"/>
                <w:szCs w:val="21"/>
                <w:highlight w:val="none"/>
                <w:lang w:eastAsia="zh-CN"/>
              </w:rPr>
              <w:t>中标通知书和合同复印件</w:t>
            </w:r>
            <w:r>
              <w:rPr>
                <w:rFonts w:hint="eastAsia" w:ascii="仿宋" w:hAnsi="仿宋" w:eastAsia="仿宋" w:cs="仿宋"/>
                <w:b/>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037"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118" w:type="dxa"/>
            <w:noWrap w:val="0"/>
            <w:vAlign w:val="center"/>
          </w:tcPr>
          <w:p>
            <w:pPr>
              <w:spacing w:line="240" w:lineRule="auto"/>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资格证明材料及管理体系认证</w:t>
            </w:r>
          </w:p>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（10分）</w:t>
            </w:r>
          </w:p>
        </w:tc>
        <w:tc>
          <w:tcPr>
            <w:tcW w:w="5864" w:type="dxa"/>
            <w:noWrap w:val="0"/>
            <w:vAlign w:val="center"/>
          </w:tcPr>
          <w:p>
            <w:pPr>
              <w:pStyle w:val="2"/>
              <w:spacing w:line="240" w:lineRule="auto"/>
              <w:jc w:val="both"/>
              <w:rPr>
                <w:rFonts w:hint="eastAsia" w:ascii="仿宋" w:hAnsi="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根据国家卫健委下发的《医院医用织物洗涤消毒技术规范》的相关要求取得卫健委颁发的</w:t>
            </w:r>
            <w:r>
              <w:rPr>
                <w:rFonts w:hint="eastAsia" w:ascii="仿宋" w:hAnsi="仿宋" w:eastAsia="仿宋" w:cs="仿宋"/>
                <w:b/>
                <w:bCs w:val="0"/>
                <w:color w:val="auto"/>
                <w:kern w:val="0"/>
                <w:sz w:val="21"/>
                <w:szCs w:val="21"/>
                <w:highlight w:val="none"/>
              </w:rPr>
              <w:t>医用织物洗涤</w:t>
            </w:r>
            <w:r>
              <w:rPr>
                <w:rFonts w:hint="eastAsia" w:ascii="仿宋" w:hAnsi="仿宋" w:eastAsia="仿宋" w:cs="仿宋"/>
                <w:color w:val="auto"/>
                <w:kern w:val="0"/>
                <w:sz w:val="21"/>
                <w:szCs w:val="21"/>
                <w:highlight w:val="none"/>
              </w:rPr>
              <w:t>资格</w:t>
            </w:r>
            <w:r>
              <w:rPr>
                <w:rFonts w:hint="eastAsia" w:ascii="仿宋" w:hAnsi="仿宋" w:cs="仿宋"/>
                <w:color w:val="auto"/>
                <w:kern w:val="0"/>
                <w:sz w:val="21"/>
                <w:szCs w:val="21"/>
                <w:highlight w:val="none"/>
                <w:lang w:eastAsia="zh-CN"/>
              </w:rPr>
              <w:t>，</w:t>
            </w:r>
            <w:r>
              <w:rPr>
                <w:rFonts w:hint="eastAsia" w:ascii="仿宋" w:hAnsi="仿宋" w:cs="仿宋"/>
                <w:color w:val="auto"/>
                <w:kern w:val="0"/>
                <w:sz w:val="21"/>
                <w:szCs w:val="21"/>
                <w:highlight w:val="none"/>
                <w:lang w:val="en-US" w:eastAsia="zh-CN"/>
              </w:rPr>
              <w:t>能提供相应证书，得4分</w:t>
            </w:r>
            <w:r>
              <w:rPr>
                <w:rFonts w:hint="eastAsia" w:ascii="仿宋" w:hAnsi="仿宋" w:cs="仿宋"/>
                <w:color w:val="auto"/>
                <w:kern w:val="0"/>
                <w:sz w:val="21"/>
                <w:szCs w:val="21"/>
                <w:highlight w:val="none"/>
                <w:lang w:eastAsia="zh-CN"/>
              </w:rPr>
              <w:t>；</w:t>
            </w:r>
          </w:p>
          <w:p>
            <w:pPr>
              <w:pStyle w:val="2"/>
              <w:spacing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kern w:val="0"/>
                <w:sz w:val="21"/>
                <w:szCs w:val="21"/>
                <w:highlight w:val="none"/>
              </w:rPr>
              <w:t>拥有采购人需求的服务质量管理体系认证、环境管理体系认证、职业健康安全管理体系证书，</w:t>
            </w:r>
            <w:r>
              <w:rPr>
                <w:rFonts w:hint="eastAsia" w:ascii="仿宋" w:hAnsi="仿宋" w:cs="仿宋"/>
                <w:color w:val="auto"/>
                <w:kern w:val="0"/>
                <w:sz w:val="21"/>
                <w:szCs w:val="21"/>
                <w:highlight w:val="none"/>
                <w:lang w:val="en-US" w:eastAsia="zh-CN"/>
              </w:rPr>
              <w:t>每项证书得2分，共计6分</w:t>
            </w:r>
            <w:r>
              <w:rPr>
                <w:rFonts w:hint="eastAsia" w:ascii="仿宋" w:hAnsi="仿宋" w:eastAsia="仿宋" w:cs="仿宋"/>
                <w:color w:val="auto"/>
                <w:kern w:val="0"/>
                <w:sz w:val="21"/>
                <w:szCs w:val="21"/>
                <w:highlight w:val="none"/>
              </w:rPr>
              <w:t>，没有得0分。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037"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118" w:type="dxa"/>
            <w:noWrap w:val="0"/>
            <w:vAlign w:val="center"/>
          </w:tcPr>
          <w:p>
            <w:pPr>
              <w:spacing w:line="24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服务与管理人员配置</w:t>
            </w:r>
          </w:p>
          <w:p>
            <w:pPr>
              <w:spacing w:line="24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w:t>
            </w:r>
            <w:r>
              <w:rPr>
                <w:rFonts w:hint="eastAsia" w:cs="仿宋"/>
                <w:color w:val="auto"/>
                <w:spacing w:val="-2"/>
                <w:sz w:val="21"/>
                <w:szCs w:val="21"/>
                <w:highlight w:val="none"/>
                <w:lang w:val="en-US" w:eastAsia="zh-CN"/>
              </w:rPr>
              <w:t>6</w:t>
            </w:r>
            <w:r>
              <w:rPr>
                <w:rFonts w:hint="eastAsia" w:ascii="仿宋" w:hAnsi="仿宋" w:eastAsia="仿宋" w:cs="仿宋"/>
                <w:color w:val="auto"/>
                <w:spacing w:val="-2"/>
                <w:sz w:val="21"/>
                <w:szCs w:val="21"/>
                <w:highlight w:val="none"/>
              </w:rPr>
              <w:t>分）</w:t>
            </w:r>
          </w:p>
        </w:tc>
        <w:tc>
          <w:tcPr>
            <w:tcW w:w="5864" w:type="dxa"/>
            <w:noWrap w:val="0"/>
            <w:vAlign w:val="center"/>
          </w:tcPr>
          <w:p>
            <w:pPr>
              <w:spacing w:line="240" w:lineRule="auto"/>
              <w:jc w:val="left"/>
              <w:rPr>
                <w:rFonts w:hint="eastAsia" w:ascii="仿宋" w:hAnsi="仿宋" w:eastAsia="仿宋" w:cs="仿宋"/>
                <w:color w:val="auto"/>
                <w:spacing w:val="-2"/>
                <w:kern w:val="2"/>
                <w:sz w:val="21"/>
                <w:szCs w:val="21"/>
                <w:highlight w:val="none"/>
              </w:rPr>
            </w:pPr>
            <w:r>
              <w:rPr>
                <w:rFonts w:hint="eastAsia" w:ascii="仿宋" w:hAnsi="仿宋" w:eastAsia="仿宋" w:cs="仿宋"/>
                <w:bCs/>
                <w:color w:val="auto"/>
                <w:kern w:val="21"/>
                <w:sz w:val="21"/>
                <w:szCs w:val="21"/>
                <w:highlight w:val="none"/>
                <w:lang w:val="zh-CN"/>
              </w:rPr>
              <w:t>人员配备及技术水平，根据项目服务人员的数量及工作分类情况进行综合比较评分，需提供相关洗涤专业人才职业技能证书</w:t>
            </w:r>
            <w:r>
              <w:rPr>
                <w:rFonts w:hint="eastAsia" w:cs="仿宋"/>
                <w:bCs/>
                <w:color w:val="auto"/>
                <w:kern w:val="21"/>
                <w:sz w:val="21"/>
                <w:szCs w:val="21"/>
                <w:highlight w:val="none"/>
                <w:lang w:val="zh-CN"/>
              </w:rPr>
              <w:t>；满分6分，每一个技能证书得3分，不能提供的不得分。注：投标人需提供相关洗涤专业技能人员在本公司缴纳社保证明。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037"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118" w:type="dxa"/>
            <w:noWrap w:val="0"/>
            <w:vAlign w:val="center"/>
          </w:tcPr>
          <w:p>
            <w:pPr>
              <w:spacing w:line="240" w:lineRule="auto"/>
              <w:jc w:val="center"/>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车辆配备情况</w:t>
            </w:r>
          </w:p>
          <w:p>
            <w:pPr>
              <w:spacing w:line="240" w:lineRule="auto"/>
              <w:jc w:val="center"/>
              <w:rPr>
                <w:rFonts w:hint="default" w:ascii="仿宋" w:hAnsi="仿宋" w:eastAsia="仿宋" w:cs="仿宋"/>
                <w:color w:val="auto"/>
                <w:spacing w:val="-2"/>
                <w:sz w:val="21"/>
                <w:szCs w:val="21"/>
                <w:highlight w:val="none"/>
                <w:lang w:val="en-US" w:eastAsia="zh-CN"/>
              </w:rPr>
            </w:pPr>
            <w:r>
              <w:rPr>
                <w:rFonts w:hint="eastAsia" w:cs="仿宋"/>
                <w:color w:val="auto"/>
                <w:spacing w:val="-2"/>
                <w:sz w:val="21"/>
                <w:szCs w:val="21"/>
                <w:highlight w:val="none"/>
                <w:lang w:val="en-US" w:eastAsia="zh-CN"/>
              </w:rPr>
              <w:t>（5分）</w:t>
            </w:r>
          </w:p>
        </w:tc>
        <w:tc>
          <w:tcPr>
            <w:tcW w:w="5864" w:type="dxa"/>
            <w:noWrap w:val="0"/>
            <w:vAlign w:val="center"/>
          </w:tcPr>
          <w:p>
            <w:pPr>
              <w:spacing w:line="240" w:lineRule="auto"/>
              <w:jc w:val="left"/>
              <w:rPr>
                <w:rFonts w:hint="eastAsia" w:ascii="仿宋" w:hAnsi="仿宋" w:eastAsia="仿宋" w:cs="仿宋"/>
                <w:bCs/>
                <w:color w:val="auto"/>
                <w:kern w:val="21"/>
                <w:sz w:val="21"/>
                <w:szCs w:val="21"/>
                <w:highlight w:val="none"/>
                <w:lang w:val="zh-CN"/>
              </w:rPr>
            </w:pPr>
            <w:r>
              <w:rPr>
                <w:rFonts w:hint="eastAsia" w:ascii="仿宋" w:hAnsi="仿宋" w:eastAsia="仿宋" w:cs="仿宋"/>
                <w:bCs/>
                <w:color w:val="auto"/>
                <w:kern w:val="21"/>
                <w:sz w:val="21"/>
                <w:szCs w:val="21"/>
                <w:highlight w:val="none"/>
                <w:lang w:val="zh-CN"/>
              </w:rPr>
              <w:t>物流配送体系。根据投标人物流配送体系完整，运输工具合格及人员配备合理，满足采购人需求程度进行评分</w:t>
            </w:r>
            <w:r>
              <w:rPr>
                <w:rFonts w:hint="eastAsia" w:cs="仿宋"/>
                <w:bCs/>
                <w:color w:val="auto"/>
                <w:kern w:val="21"/>
                <w:sz w:val="21"/>
                <w:szCs w:val="21"/>
                <w:highlight w:val="none"/>
                <w:lang w:val="zh-CN"/>
              </w:rPr>
              <w:t>：供应商每提供1辆运输取送车辆得1分，最高得5分。（</w:t>
            </w:r>
            <w:r>
              <w:rPr>
                <w:rFonts w:hint="eastAsia" w:cs="仿宋"/>
                <w:bCs/>
                <w:color w:val="auto"/>
                <w:kern w:val="21"/>
                <w:sz w:val="21"/>
                <w:szCs w:val="21"/>
                <w:highlight w:val="none"/>
                <w:lang w:val="en-US" w:eastAsia="zh-CN"/>
              </w:rPr>
              <w:t>自有车辆</w:t>
            </w:r>
            <w:r>
              <w:rPr>
                <w:rFonts w:hint="eastAsia" w:cs="仿宋"/>
                <w:bCs/>
                <w:color w:val="auto"/>
                <w:kern w:val="21"/>
                <w:sz w:val="21"/>
                <w:szCs w:val="21"/>
                <w:highlight w:val="none"/>
                <w:lang w:val="zh-CN"/>
              </w:rPr>
              <w:t>提供车辆行驶证复印件，</w:t>
            </w:r>
            <w:r>
              <w:rPr>
                <w:rFonts w:hint="eastAsia" w:cs="仿宋"/>
                <w:bCs/>
                <w:color w:val="auto"/>
                <w:kern w:val="21"/>
                <w:sz w:val="21"/>
                <w:szCs w:val="21"/>
                <w:highlight w:val="none"/>
                <w:lang w:val="en-US" w:eastAsia="zh-CN"/>
              </w:rPr>
              <w:t>租赁车辆须提供租赁协议</w:t>
            </w:r>
            <w:r>
              <w:rPr>
                <w:rFonts w:hint="eastAsia" w:cs="仿宋"/>
                <w:bCs/>
                <w:color w:val="auto"/>
                <w:kern w:val="21"/>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037"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118" w:type="dxa"/>
            <w:noWrap w:val="0"/>
            <w:vAlign w:val="center"/>
          </w:tcPr>
          <w:p>
            <w:pPr>
              <w:spacing w:line="240" w:lineRule="auto"/>
              <w:jc w:val="center"/>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设备配置情况</w:t>
            </w:r>
          </w:p>
          <w:p>
            <w:pPr>
              <w:spacing w:line="240" w:lineRule="auto"/>
              <w:jc w:val="center"/>
              <w:rPr>
                <w:rFonts w:hint="default" w:cs="仿宋"/>
                <w:color w:val="auto"/>
                <w:spacing w:val="-2"/>
                <w:sz w:val="21"/>
                <w:szCs w:val="21"/>
                <w:highlight w:val="none"/>
                <w:lang w:val="en-US" w:eastAsia="zh-CN"/>
              </w:rPr>
            </w:pPr>
            <w:r>
              <w:rPr>
                <w:rFonts w:hint="eastAsia" w:cs="仿宋"/>
                <w:color w:val="auto"/>
                <w:spacing w:val="-2"/>
                <w:sz w:val="21"/>
                <w:szCs w:val="21"/>
                <w:highlight w:val="none"/>
                <w:lang w:val="en-US" w:eastAsia="zh-CN"/>
              </w:rPr>
              <w:t>（6分）</w:t>
            </w:r>
          </w:p>
        </w:tc>
        <w:tc>
          <w:tcPr>
            <w:tcW w:w="5864" w:type="dxa"/>
            <w:noWrap w:val="0"/>
            <w:vAlign w:val="center"/>
          </w:tcPr>
          <w:p>
            <w:pPr>
              <w:spacing w:line="240" w:lineRule="auto"/>
              <w:jc w:val="left"/>
              <w:rPr>
                <w:rFonts w:hint="eastAsia"/>
                <w:highlight w:val="none"/>
                <w:lang w:val="zh-CN"/>
              </w:rPr>
            </w:pPr>
            <w:r>
              <w:rPr>
                <w:rFonts w:hint="eastAsia" w:ascii="仿宋" w:hAnsi="仿宋" w:eastAsia="仿宋" w:cs="仿宋"/>
                <w:bCs/>
                <w:color w:val="auto"/>
                <w:kern w:val="21"/>
                <w:sz w:val="21"/>
                <w:szCs w:val="21"/>
                <w:highlight w:val="none"/>
                <w:lang w:val="zh-CN"/>
              </w:rPr>
              <w:t>洗涤生产设备设施配置情况进行评分：根据投标人</w:t>
            </w:r>
            <w:r>
              <w:rPr>
                <w:rFonts w:hint="eastAsia" w:cs="仿宋"/>
                <w:bCs/>
                <w:color w:val="auto"/>
                <w:kern w:val="21"/>
                <w:sz w:val="21"/>
                <w:szCs w:val="21"/>
                <w:highlight w:val="none"/>
                <w:lang w:val="en-US" w:eastAsia="zh-CN"/>
              </w:rPr>
              <w:t>本次项目投入的设备</w:t>
            </w:r>
            <w:r>
              <w:rPr>
                <w:rFonts w:hint="eastAsia" w:ascii="仿宋" w:hAnsi="仿宋" w:eastAsia="仿宋" w:cs="仿宋"/>
                <w:bCs/>
                <w:color w:val="auto"/>
                <w:kern w:val="21"/>
                <w:sz w:val="21"/>
                <w:szCs w:val="21"/>
                <w:highlight w:val="none"/>
                <w:lang w:val="zh-CN" w:eastAsia="zh-CN"/>
              </w:rPr>
              <w:t>满足医用织物洗涤项目要求</w:t>
            </w:r>
            <w:r>
              <w:rPr>
                <w:rFonts w:hint="eastAsia" w:ascii="仿宋" w:hAnsi="仿宋" w:eastAsia="仿宋" w:cs="仿宋"/>
                <w:bCs/>
                <w:color w:val="auto"/>
                <w:kern w:val="21"/>
                <w:sz w:val="21"/>
                <w:szCs w:val="21"/>
                <w:highlight w:val="none"/>
                <w:lang w:val="zh-CN"/>
              </w:rPr>
              <w:t>，</w:t>
            </w:r>
            <w:r>
              <w:rPr>
                <w:rFonts w:hint="eastAsia" w:ascii="仿宋" w:hAnsi="仿宋" w:eastAsia="仿宋" w:cs="仿宋"/>
                <w:bCs/>
                <w:color w:val="auto"/>
                <w:kern w:val="21"/>
                <w:sz w:val="21"/>
                <w:szCs w:val="21"/>
                <w:highlight w:val="none"/>
                <w:lang w:val="zh-CN" w:eastAsia="zh-CN"/>
              </w:rPr>
              <w:t>洗涤剂、消毒产品符合医用洗涤规范</w:t>
            </w:r>
            <w:r>
              <w:rPr>
                <w:rFonts w:hint="eastAsia" w:ascii="仿宋" w:hAnsi="仿宋" w:eastAsia="仿宋" w:cs="仿宋"/>
                <w:bCs/>
                <w:color w:val="auto"/>
                <w:kern w:val="21"/>
                <w:sz w:val="21"/>
                <w:szCs w:val="21"/>
                <w:highlight w:val="none"/>
                <w:lang w:val="zh-CN"/>
              </w:rPr>
              <w:t>，</w:t>
            </w:r>
            <w:r>
              <w:rPr>
                <w:rFonts w:hint="eastAsia" w:cs="仿宋"/>
                <w:bCs/>
                <w:color w:val="auto"/>
                <w:kern w:val="21"/>
                <w:sz w:val="21"/>
                <w:szCs w:val="21"/>
                <w:highlight w:val="none"/>
                <w:lang w:val="en-US" w:eastAsia="zh-CN"/>
              </w:rPr>
              <w:t>能</w:t>
            </w:r>
            <w:r>
              <w:rPr>
                <w:rFonts w:hint="eastAsia" w:ascii="仿宋" w:hAnsi="仿宋" w:eastAsia="仿宋" w:cs="仿宋"/>
                <w:bCs/>
                <w:color w:val="auto"/>
                <w:kern w:val="21"/>
                <w:sz w:val="21"/>
                <w:szCs w:val="21"/>
                <w:highlight w:val="none"/>
                <w:lang w:val="zh-CN"/>
              </w:rPr>
              <w:t>提供详实的产品技术说明书</w:t>
            </w:r>
            <w:r>
              <w:rPr>
                <w:rFonts w:hint="eastAsia" w:cs="仿宋"/>
                <w:bCs/>
                <w:color w:val="auto"/>
                <w:kern w:val="21"/>
                <w:sz w:val="21"/>
                <w:szCs w:val="21"/>
                <w:highlight w:val="none"/>
                <w:lang w:val="zh-CN"/>
              </w:rPr>
              <w:t>，</w:t>
            </w:r>
            <w:r>
              <w:rPr>
                <w:rFonts w:hint="eastAsia" w:ascii="仿宋" w:hAnsi="仿宋" w:eastAsia="仿宋" w:cs="仿宋"/>
                <w:bCs/>
                <w:color w:val="auto"/>
                <w:kern w:val="21"/>
                <w:sz w:val="21"/>
                <w:szCs w:val="21"/>
                <w:highlight w:val="none"/>
                <w:lang w:val="zh-CN" w:eastAsia="zh-CN"/>
              </w:rPr>
              <w:t>每提供一项</w:t>
            </w:r>
            <w:r>
              <w:rPr>
                <w:rFonts w:hint="eastAsia" w:cs="仿宋"/>
                <w:bCs/>
                <w:color w:val="auto"/>
                <w:kern w:val="21"/>
                <w:sz w:val="21"/>
                <w:szCs w:val="21"/>
                <w:highlight w:val="none"/>
                <w:lang w:val="en-US" w:eastAsia="zh-CN"/>
              </w:rPr>
              <w:t>设备</w:t>
            </w:r>
            <w:r>
              <w:rPr>
                <w:rFonts w:hint="eastAsia" w:ascii="仿宋" w:hAnsi="仿宋" w:eastAsia="仿宋" w:cs="仿宋"/>
                <w:bCs/>
                <w:color w:val="auto"/>
                <w:kern w:val="21"/>
                <w:sz w:val="21"/>
                <w:szCs w:val="21"/>
                <w:highlight w:val="none"/>
                <w:lang w:val="zh-CN" w:eastAsia="zh-CN"/>
              </w:rPr>
              <w:t>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037"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118" w:type="dxa"/>
            <w:noWrap w:val="0"/>
            <w:vAlign w:val="center"/>
          </w:tcPr>
          <w:p>
            <w:pPr>
              <w:spacing w:line="240" w:lineRule="auto"/>
              <w:jc w:val="center"/>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其他优惠条件</w:t>
            </w:r>
          </w:p>
          <w:p>
            <w:pPr>
              <w:spacing w:line="240" w:lineRule="auto"/>
              <w:jc w:val="center"/>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（3分）</w:t>
            </w:r>
          </w:p>
        </w:tc>
        <w:tc>
          <w:tcPr>
            <w:tcW w:w="5864" w:type="dxa"/>
            <w:noWrap w:val="0"/>
            <w:vAlign w:val="center"/>
          </w:tcPr>
          <w:p>
            <w:pPr>
              <w:spacing w:line="240" w:lineRule="auto"/>
              <w:jc w:val="left"/>
              <w:rPr>
                <w:rFonts w:hint="eastAsia" w:ascii="仿宋" w:hAnsi="仿宋" w:eastAsia="仿宋" w:cs="仿宋"/>
                <w:bCs/>
                <w:color w:val="auto"/>
                <w:kern w:val="21"/>
                <w:sz w:val="21"/>
                <w:szCs w:val="21"/>
                <w:highlight w:val="none"/>
                <w:lang w:val="zh-CN"/>
              </w:rPr>
            </w:pPr>
            <w:r>
              <w:rPr>
                <w:rFonts w:hint="eastAsia" w:ascii="仿宋" w:hAnsi="仿宋" w:eastAsia="仿宋" w:cs="仿宋"/>
                <w:bCs/>
                <w:color w:val="auto"/>
                <w:kern w:val="21"/>
                <w:sz w:val="21"/>
                <w:szCs w:val="21"/>
                <w:highlight w:val="none"/>
                <w:lang w:val="zh-CN"/>
              </w:rPr>
              <w:t>供应商需提供有利于采购人的具体方案，优惠条件及增值服务，每提供一项实际有效的优惠条件得1分，最高得</w:t>
            </w:r>
            <w:r>
              <w:rPr>
                <w:rFonts w:hint="eastAsia" w:cs="仿宋"/>
                <w:bCs/>
                <w:color w:val="auto"/>
                <w:kern w:val="21"/>
                <w:sz w:val="21"/>
                <w:szCs w:val="21"/>
                <w:highlight w:val="none"/>
                <w:lang w:val="en-US" w:eastAsia="zh-CN"/>
              </w:rPr>
              <w:t>3</w:t>
            </w:r>
            <w:r>
              <w:rPr>
                <w:rFonts w:hint="eastAsia" w:ascii="仿宋" w:hAnsi="仿宋" w:eastAsia="仿宋" w:cs="仿宋"/>
                <w:bCs/>
                <w:color w:val="auto"/>
                <w:kern w:val="21"/>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037"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118" w:type="dxa"/>
            <w:noWrap w:val="0"/>
            <w:vAlign w:val="center"/>
          </w:tcPr>
          <w:p>
            <w:pPr>
              <w:spacing w:line="240" w:lineRule="auto"/>
              <w:jc w:val="center"/>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医用织物微生物检测情况</w:t>
            </w:r>
          </w:p>
          <w:p>
            <w:pPr>
              <w:pStyle w:val="2"/>
              <w:rPr>
                <w:rFonts w:hint="eastAsia"/>
                <w:highlight w:val="none"/>
                <w:lang w:val="en-US" w:eastAsia="zh-CN"/>
              </w:rPr>
            </w:pPr>
            <w:r>
              <w:rPr>
                <w:rFonts w:hint="eastAsia" w:cs="仿宋"/>
                <w:color w:val="auto"/>
                <w:spacing w:val="-2"/>
                <w:sz w:val="21"/>
                <w:szCs w:val="21"/>
                <w:highlight w:val="none"/>
                <w:lang w:val="en-US" w:eastAsia="zh-CN"/>
              </w:rPr>
              <w:t>（5分）</w:t>
            </w:r>
          </w:p>
        </w:tc>
        <w:tc>
          <w:tcPr>
            <w:tcW w:w="5864" w:type="dxa"/>
            <w:noWrap w:val="0"/>
            <w:vAlign w:val="center"/>
          </w:tcPr>
          <w:p>
            <w:pPr>
              <w:spacing w:line="240" w:lineRule="auto"/>
              <w:jc w:val="left"/>
              <w:rPr>
                <w:rFonts w:hint="eastAsia" w:ascii="仿宋" w:hAnsi="仿宋" w:eastAsia="仿宋" w:cs="仿宋"/>
                <w:bCs/>
                <w:color w:val="auto"/>
                <w:kern w:val="21"/>
                <w:sz w:val="21"/>
                <w:szCs w:val="21"/>
                <w:highlight w:val="none"/>
                <w:lang w:val="zh-CN"/>
              </w:rPr>
            </w:pPr>
            <w:r>
              <w:rPr>
                <w:rFonts w:hint="eastAsia" w:ascii="仿宋" w:hAnsi="仿宋" w:eastAsia="仿宋" w:cs="仿宋"/>
                <w:bCs/>
                <w:color w:val="auto"/>
                <w:kern w:val="21"/>
                <w:sz w:val="21"/>
                <w:szCs w:val="21"/>
                <w:highlight w:val="none"/>
                <w:lang w:val="zh-CN"/>
              </w:rPr>
              <w:t>投标人需提供由第三方检测机构出具的合格的卫生学微生物菌落检测报告</w:t>
            </w:r>
            <w:r>
              <w:rPr>
                <w:rFonts w:hint="eastAsia" w:cs="仿宋"/>
                <w:bCs/>
                <w:color w:val="auto"/>
                <w:kern w:val="21"/>
                <w:sz w:val="21"/>
                <w:szCs w:val="21"/>
                <w:highlight w:val="none"/>
                <w:lang w:val="zh-CN"/>
              </w:rPr>
              <w:t>：</w:t>
            </w:r>
            <w:r>
              <w:rPr>
                <w:rFonts w:hint="eastAsia" w:ascii="仿宋" w:hAnsi="仿宋" w:eastAsia="仿宋" w:cs="仿宋"/>
                <w:bCs/>
                <w:color w:val="auto"/>
                <w:kern w:val="21"/>
                <w:sz w:val="21"/>
                <w:szCs w:val="21"/>
                <w:highlight w:val="none"/>
                <w:lang w:val="zh-CN"/>
              </w:rPr>
              <w:t>提供由有资质的第三方检测机构出具的带CMA标识的卫生学微生物菌落检测报告复印件并加盖投标人公章作为评审依据</w:t>
            </w:r>
            <w:r>
              <w:rPr>
                <w:rFonts w:hint="eastAsia" w:cs="仿宋"/>
                <w:bCs/>
                <w:color w:val="auto"/>
                <w:kern w:val="21"/>
                <w:sz w:val="21"/>
                <w:szCs w:val="21"/>
                <w:highlight w:val="none"/>
                <w:lang w:val="zh-CN"/>
              </w:rPr>
              <w:t>，</w:t>
            </w:r>
            <w:r>
              <w:rPr>
                <w:rFonts w:hint="eastAsia" w:cs="仿宋"/>
                <w:bCs/>
                <w:color w:val="auto"/>
                <w:kern w:val="21"/>
                <w:sz w:val="21"/>
                <w:szCs w:val="21"/>
                <w:highlight w:val="none"/>
                <w:lang w:val="en-US" w:eastAsia="zh-CN"/>
              </w:rPr>
              <w:t>能提供得5分</w:t>
            </w:r>
            <w:r>
              <w:rPr>
                <w:rFonts w:hint="eastAsia" w:ascii="仿宋" w:hAnsi="仿宋" w:eastAsia="仿宋" w:cs="仿宋"/>
                <w:bCs/>
                <w:color w:val="auto"/>
                <w:kern w:val="21"/>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dxa"/>
            <w:vMerge w:val="restart"/>
            <w:noWrap w:val="0"/>
            <w:vAlign w:val="center"/>
          </w:tcPr>
          <w:p>
            <w:pPr>
              <w:spacing w:line="240" w:lineRule="auto"/>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1037" w:type="dxa"/>
            <w:vMerge w:val="restart"/>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45</w:t>
            </w:r>
            <w:r>
              <w:rPr>
                <w:rFonts w:hint="eastAsia" w:ascii="仿宋" w:hAnsi="仿宋" w:eastAsia="仿宋" w:cs="仿宋"/>
                <w:color w:val="auto"/>
                <w:sz w:val="21"/>
                <w:szCs w:val="21"/>
                <w:highlight w:val="none"/>
              </w:rPr>
              <w:t>分）</w:t>
            </w:r>
          </w:p>
          <w:p>
            <w:pPr>
              <w:pStyle w:val="2"/>
              <w:spacing w:line="240" w:lineRule="auto"/>
              <w:ind w:firstLine="0" w:firstLineChars="0"/>
              <w:rPr>
                <w:rFonts w:hint="eastAsia" w:ascii="宋体" w:hAnsi="宋体" w:eastAsia="仿宋" w:cs="宋体"/>
                <w:bCs/>
                <w:kern w:val="0"/>
                <w:sz w:val="24"/>
                <w:szCs w:val="28"/>
                <w:highlight w:val="none"/>
                <w:lang w:val="en-US" w:eastAsia="zh-CN" w:bidi="ar-SA"/>
              </w:rPr>
            </w:pPr>
            <w:r>
              <w:rPr>
                <w:rFonts w:hint="eastAsia" w:ascii="仿宋" w:hAnsi="仿宋" w:eastAsia="仿宋" w:cs="仿宋"/>
                <w:bCs w:val="0"/>
                <w:color w:val="auto"/>
                <w:kern w:val="2"/>
                <w:sz w:val="21"/>
                <w:szCs w:val="21"/>
                <w:highlight w:val="none"/>
                <w:lang w:val="en-US" w:eastAsia="zh-CN" w:bidi="ar-SA"/>
              </w:rPr>
              <w:t>主观分</w:t>
            </w:r>
          </w:p>
        </w:tc>
        <w:tc>
          <w:tcPr>
            <w:tcW w:w="1118" w:type="dxa"/>
            <w:noWrap w:val="0"/>
            <w:vAlign w:val="center"/>
          </w:tcPr>
          <w:p>
            <w:pPr>
              <w:spacing w:line="240" w:lineRule="auto"/>
              <w:jc w:val="center"/>
              <w:rPr>
                <w:rFonts w:hint="eastAsia" w:ascii="仿宋" w:hAnsi="仿宋" w:eastAsia="仿宋" w:cs="仿宋"/>
                <w:color w:val="auto"/>
                <w:spacing w:val="-2"/>
                <w:sz w:val="21"/>
                <w:szCs w:val="21"/>
                <w:highlight w:val="none"/>
              </w:rPr>
            </w:pPr>
            <w:r>
              <w:rPr>
                <w:rFonts w:hint="eastAsia" w:cs="仿宋"/>
                <w:color w:val="auto"/>
                <w:spacing w:val="-2"/>
                <w:sz w:val="21"/>
                <w:szCs w:val="21"/>
                <w:highlight w:val="none"/>
                <w:lang w:val="en-US" w:eastAsia="zh-CN"/>
              </w:rPr>
              <w:t>服务</w:t>
            </w:r>
            <w:r>
              <w:rPr>
                <w:rFonts w:hint="eastAsia" w:ascii="仿宋" w:hAnsi="仿宋" w:eastAsia="仿宋" w:cs="仿宋"/>
                <w:color w:val="auto"/>
                <w:spacing w:val="-2"/>
                <w:sz w:val="21"/>
                <w:szCs w:val="21"/>
                <w:highlight w:val="none"/>
              </w:rPr>
              <w:t>方案</w:t>
            </w:r>
          </w:p>
          <w:p>
            <w:pPr>
              <w:spacing w:line="240" w:lineRule="auto"/>
              <w:ind w:firstLine="0" w:firstLineChars="0"/>
              <w:jc w:val="center"/>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rPr>
              <w:t>（</w:t>
            </w:r>
            <w:r>
              <w:rPr>
                <w:rFonts w:hint="eastAsia" w:cs="仿宋"/>
                <w:color w:val="auto"/>
                <w:spacing w:val="-2"/>
                <w:sz w:val="21"/>
                <w:szCs w:val="21"/>
                <w:highlight w:val="none"/>
                <w:lang w:val="en-US" w:eastAsia="zh-CN"/>
              </w:rPr>
              <w:t>15</w:t>
            </w:r>
            <w:r>
              <w:rPr>
                <w:rFonts w:hint="eastAsia" w:ascii="仿宋" w:hAnsi="仿宋" w:eastAsia="仿宋" w:cs="仿宋"/>
                <w:color w:val="auto"/>
                <w:spacing w:val="-2"/>
                <w:sz w:val="21"/>
                <w:szCs w:val="21"/>
                <w:highlight w:val="none"/>
              </w:rPr>
              <w:t>分）</w:t>
            </w:r>
          </w:p>
        </w:tc>
        <w:tc>
          <w:tcPr>
            <w:tcW w:w="5864" w:type="dxa"/>
            <w:noWrap w:val="0"/>
            <w:vAlign w:val="center"/>
          </w:tcPr>
          <w:p>
            <w:pPr>
              <w:spacing w:line="240" w:lineRule="auto"/>
              <w:ind w:firstLine="0" w:firstLineChars="0"/>
              <w:jc w:val="left"/>
              <w:rPr>
                <w:rFonts w:hint="eastAsia" w:ascii="仿宋" w:hAnsi="仿宋" w:eastAsia="仿宋" w:cs="仿宋"/>
                <w:color w:val="auto"/>
                <w:spacing w:val="-2"/>
                <w:sz w:val="21"/>
                <w:szCs w:val="21"/>
                <w:highlight w:val="none"/>
                <w:lang w:eastAsia="zh-CN"/>
              </w:rPr>
            </w:pPr>
            <w:r>
              <w:rPr>
                <w:rFonts w:hint="eastAsia" w:ascii="仿宋" w:hAnsi="仿宋" w:eastAsia="仿宋" w:cs="仿宋"/>
                <w:color w:val="auto"/>
                <w:spacing w:val="-2"/>
                <w:sz w:val="21"/>
                <w:szCs w:val="21"/>
                <w:highlight w:val="none"/>
              </w:rPr>
              <w:t>根据投标人提供的医用织物洗涤流程及院感控制方案、制度</w:t>
            </w:r>
            <w:r>
              <w:rPr>
                <w:rFonts w:hint="eastAsia" w:cs="仿宋"/>
                <w:color w:val="auto"/>
                <w:spacing w:val="-2"/>
                <w:sz w:val="21"/>
                <w:szCs w:val="21"/>
                <w:highlight w:val="none"/>
                <w:lang w:val="en-US" w:eastAsia="zh-CN"/>
              </w:rPr>
              <w:t>等</w:t>
            </w:r>
            <w:r>
              <w:rPr>
                <w:rFonts w:hint="eastAsia" w:ascii="仿宋" w:hAnsi="仿宋" w:eastAsia="仿宋" w:cs="仿宋"/>
                <w:color w:val="auto"/>
                <w:spacing w:val="-2"/>
                <w:sz w:val="21"/>
                <w:szCs w:val="21"/>
                <w:highlight w:val="none"/>
              </w:rPr>
              <w:t>进行评分</w:t>
            </w:r>
            <w:r>
              <w:rPr>
                <w:rFonts w:hint="eastAsia" w:ascii="仿宋" w:hAnsi="仿宋" w:eastAsia="仿宋" w:cs="仿宋"/>
                <w:color w:val="auto"/>
                <w:spacing w:val="-2"/>
                <w:sz w:val="21"/>
                <w:szCs w:val="21"/>
                <w:highlight w:val="none"/>
                <w:lang w:eastAsia="zh-CN"/>
              </w:rPr>
              <w:t>：</w:t>
            </w:r>
          </w:p>
          <w:p>
            <w:pPr>
              <w:spacing w:line="240" w:lineRule="auto"/>
              <w:ind w:firstLine="0" w:firstLineChars="0"/>
              <w:jc w:val="left"/>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工作流程</w:t>
            </w:r>
            <w:r>
              <w:rPr>
                <w:rFonts w:hint="eastAsia" w:ascii="仿宋" w:hAnsi="仿宋" w:eastAsia="仿宋" w:cs="仿宋"/>
                <w:color w:val="auto"/>
                <w:spacing w:val="-2"/>
                <w:sz w:val="21"/>
                <w:szCs w:val="21"/>
                <w:highlight w:val="none"/>
                <w:lang w:eastAsia="zh-CN"/>
              </w:rPr>
              <w:t>清晰</w:t>
            </w:r>
            <w:r>
              <w:rPr>
                <w:rFonts w:hint="eastAsia" w:cs="仿宋"/>
                <w:color w:val="auto"/>
                <w:spacing w:val="-2"/>
                <w:sz w:val="21"/>
                <w:szCs w:val="21"/>
                <w:highlight w:val="none"/>
                <w:lang w:val="en-US" w:eastAsia="zh-CN"/>
              </w:rPr>
              <w:t>完整</w:t>
            </w:r>
            <w:r>
              <w:rPr>
                <w:rFonts w:hint="eastAsia" w:cs="仿宋"/>
                <w:color w:val="auto"/>
                <w:spacing w:val="-2"/>
                <w:sz w:val="21"/>
                <w:szCs w:val="21"/>
                <w:highlight w:val="none"/>
                <w:lang w:eastAsia="zh-CN"/>
              </w:rPr>
              <w:t>，</w:t>
            </w:r>
            <w:r>
              <w:rPr>
                <w:rFonts w:hint="eastAsia" w:cs="仿宋"/>
                <w:color w:val="auto"/>
                <w:spacing w:val="-2"/>
                <w:sz w:val="21"/>
                <w:szCs w:val="21"/>
                <w:highlight w:val="none"/>
                <w:lang w:val="en-US" w:eastAsia="zh-CN"/>
              </w:rPr>
              <w:t>服务</w:t>
            </w:r>
            <w:r>
              <w:rPr>
                <w:rFonts w:hint="eastAsia" w:ascii="仿宋" w:hAnsi="仿宋" w:eastAsia="仿宋" w:cs="仿宋"/>
                <w:color w:val="auto"/>
                <w:spacing w:val="-2"/>
                <w:sz w:val="21"/>
                <w:szCs w:val="21"/>
                <w:highlight w:val="none"/>
                <w:lang w:eastAsia="zh-CN"/>
              </w:rPr>
              <w:t>方案详细</w:t>
            </w:r>
            <w:r>
              <w:rPr>
                <w:rFonts w:hint="eastAsia" w:cs="仿宋"/>
                <w:color w:val="auto"/>
                <w:spacing w:val="-2"/>
                <w:sz w:val="21"/>
                <w:szCs w:val="21"/>
                <w:highlight w:val="none"/>
                <w:lang w:val="en-US" w:eastAsia="zh-CN"/>
              </w:rPr>
              <w:t>合理</w:t>
            </w:r>
            <w:r>
              <w:rPr>
                <w:rFonts w:hint="eastAsia" w:cs="仿宋"/>
                <w:color w:val="auto"/>
                <w:spacing w:val="-2"/>
                <w:sz w:val="21"/>
                <w:szCs w:val="21"/>
                <w:highlight w:val="none"/>
                <w:lang w:eastAsia="zh-CN"/>
              </w:rPr>
              <w:t>，</w:t>
            </w:r>
            <w:r>
              <w:rPr>
                <w:rFonts w:hint="eastAsia" w:ascii="仿宋" w:hAnsi="仿宋" w:eastAsia="仿宋" w:cs="仿宋"/>
                <w:color w:val="auto"/>
                <w:spacing w:val="-2"/>
                <w:sz w:val="21"/>
                <w:szCs w:val="21"/>
                <w:highlight w:val="none"/>
                <w:lang w:eastAsia="zh-CN"/>
              </w:rPr>
              <w:t>可操作性</w:t>
            </w:r>
            <w:r>
              <w:rPr>
                <w:rFonts w:hint="eastAsia" w:cs="仿宋"/>
                <w:color w:val="auto"/>
                <w:spacing w:val="-2"/>
                <w:sz w:val="21"/>
                <w:szCs w:val="21"/>
                <w:highlight w:val="none"/>
                <w:lang w:val="en-US" w:eastAsia="zh-CN"/>
              </w:rPr>
              <w:t>高</w:t>
            </w:r>
            <w:r>
              <w:rPr>
                <w:rFonts w:hint="eastAsia" w:cs="仿宋"/>
                <w:color w:val="auto"/>
                <w:spacing w:val="-2"/>
                <w:sz w:val="21"/>
                <w:szCs w:val="21"/>
                <w:highlight w:val="none"/>
                <w:lang w:eastAsia="zh-CN"/>
              </w:rPr>
              <w:t>，</w:t>
            </w:r>
            <w:r>
              <w:rPr>
                <w:rFonts w:hint="eastAsia" w:cs="仿宋"/>
                <w:color w:val="auto"/>
                <w:spacing w:val="-2"/>
                <w:sz w:val="21"/>
                <w:szCs w:val="21"/>
                <w:highlight w:val="none"/>
                <w:lang w:val="en-US" w:eastAsia="zh-CN"/>
              </w:rPr>
              <w:t>管理</w:t>
            </w:r>
            <w:r>
              <w:rPr>
                <w:rFonts w:hint="eastAsia" w:ascii="仿宋" w:hAnsi="仿宋" w:eastAsia="仿宋" w:cs="仿宋"/>
                <w:color w:val="auto"/>
                <w:spacing w:val="-2"/>
                <w:sz w:val="21"/>
                <w:szCs w:val="21"/>
                <w:highlight w:val="none"/>
                <w:lang w:eastAsia="zh-CN"/>
              </w:rPr>
              <w:t>制度完善全面，符合洗涤消毒技术规范</w:t>
            </w:r>
            <w:r>
              <w:rPr>
                <w:rFonts w:hint="eastAsia" w:cs="仿宋"/>
                <w:color w:val="auto"/>
                <w:spacing w:val="-2"/>
                <w:sz w:val="21"/>
                <w:szCs w:val="21"/>
                <w:highlight w:val="none"/>
                <w:lang w:val="en-US" w:eastAsia="zh-CN"/>
              </w:rPr>
              <w:t>得11-15分；</w:t>
            </w:r>
          </w:p>
          <w:p>
            <w:pPr>
              <w:spacing w:line="240" w:lineRule="auto"/>
              <w:ind w:firstLine="0" w:firstLineChars="0"/>
              <w:jc w:val="left"/>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工作流程简单、服务</w:t>
            </w:r>
            <w:r>
              <w:rPr>
                <w:rFonts w:hint="eastAsia" w:ascii="仿宋" w:hAnsi="仿宋" w:eastAsia="仿宋" w:cs="仿宋"/>
                <w:color w:val="auto"/>
                <w:spacing w:val="-2"/>
                <w:sz w:val="21"/>
                <w:szCs w:val="21"/>
                <w:highlight w:val="none"/>
                <w:lang w:eastAsia="zh-CN"/>
              </w:rPr>
              <w:t>方案</w:t>
            </w:r>
            <w:r>
              <w:rPr>
                <w:rFonts w:hint="eastAsia" w:cs="仿宋"/>
                <w:color w:val="auto"/>
                <w:spacing w:val="-2"/>
                <w:sz w:val="21"/>
                <w:szCs w:val="21"/>
                <w:highlight w:val="none"/>
                <w:lang w:val="en-US" w:eastAsia="zh-CN"/>
              </w:rPr>
              <w:t>合理</w:t>
            </w:r>
            <w:r>
              <w:rPr>
                <w:rFonts w:hint="eastAsia" w:cs="仿宋"/>
                <w:color w:val="auto"/>
                <w:spacing w:val="-2"/>
                <w:sz w:val="21"/>
                <w:szCs w:val="21"/>
                <w:highlight w:val="none"/>
                <w:lang w:eastAsia="zh-CN"/>
              </w:rPr>
              <w:t>、</w:t>
            </w:r>
            <w:r>
              <w:rPr>
                <w:rFonts w:hint="eastAsia" w:cs="仿宋"/>
                <w:color w:val="auto"/>
                <w:spacing w:val="-2"/>
                <w:sz w:val="21"/>
                <w:szCs w:val="21"/>
                <w:highlight w:val="none"/>
                <w:lang w:val="en-US" w:eastAsia="zh-CN"/>
              </w:rPr>
              <w:t>管理制度一般</w:t>
            </w:r>
            <w:r>
              <w:rPr>
                <w:rFonts w:hint="eastAsia" w:cs="仿宋"/>
                <w:color w:val="auto"/>
                <w:spacing w:val="-2"/>
                <w:sz w:val="21"/>
                <w:szCs w:val="21"/>
                <w:highlight w:val="none"/>
                <w:lang w:eastAsia="zh-CN"/>
              </w:rPr>
              <w:t>、</w:t>
            </w:r>
            <w:r>
              <w:rPr>
                <w:rFonts w:hint="eastAsia" w:ascii="仿宋" w:hAnsi="仿宋" w:eastAsia="仿宋" w:cs="仿宋"/>
                <w:color w:val="auto"/>
                <w:spacing w:val="-2"/>
                <w:sz w:val="21"/>
                <w:szCs w:val="21"/>
                <w:highlight w:val="none"/>
                <w:lang w:eastAsia="zh-CN"/>
              </w:rPr>
              <w:t>符合洗涤消毒技术规范</w:t>
            </w:r>
            <w:r>
              <w:rPr>
                <w:rFonts w:hint="eastAsia" w:cs="仿宋"/>
                <w:color w:val="auto"/>
                <w:spacing w:val="-2"/>
                <w:sz w:val="21"/>
                <w:szCs w:val="21"/>
                <w:highlight w:val="none"/>
                <w:lang w:val="en-US" w:eastAsia="zh-CN"/>
              </w:rPr>
              <w:t>得6-10分；</w:t>
            </w:r>
          </w:p>
          <w:p>
            <w:pPr>
              <w:spacing w:line="240" w:lineRule="auto"/>
              <w:ind w:firstLine="0" w:firstLineChars="0"/>
              <w:jc w:val="left"/>
              <w:rPr>
                <w:rFonts w:hint="eastAsia"/>
                <w:highlight w:val="none"/>
                <w:lang w:val="en-US" w:eastAsia="zh-CN"/>
              </w:rPr>
            </w:pPr>
            <w:r>
              <w:rPr>
                <w:rFonts w:hint="eastAsia" w:cs="仿宋"/>
                <w:color w:val="auto"/>
                <w:spacing w:val="-2"/>
                <w:sz w:val="21"/>
                <w:szCs w:val="21"/>
                <w:highlight w:val="none"/>
                <w:lang w:val="en-US" w:eastAsia="zh-CN"/>
              </w:rPr>
              <w:t>工作流程简单、服务</w:t>
            </w:r>
            <w:r>
              <w:rPr>
                <w:rFonts w:hint="eastAsia" w:ascii="仿宋" w:hAnsi="仿宋" w:eastAsia="仿宋" w:cs="仿宋"/>
                <w:color w:val="auto"/>
                <w:spacing w:val="-2"/>
                <w:sz w:val="21"/>
                <w:szCs w:val="21"/>
                <w:highlight w:val="none"/>
                <w:lang w:eastAsia="zh-CN"/>
              </w:rPr>
              <w:t>方案</w:t>
            </w:r>
            <w:r>
              <w:rPr>
                <w:rFonts w:hint="eastAsia" w:cs="仿宋"/>
                <w:color w:val="auto"/>
                <w:spacing w:val="-2"/>
                <w:sz w:val="21"/>
                <w:szCs w:val="21"/>
                <w:highlight w:val="none"/>
                <w:lang w:val="en-US" w:eastAsia="zh-CN"/>
              </w:rPr>
              <w:t>合理</w:t>
            </w:r>
            <w:r>
              <w:rPr>
                <w:rFonts w:hint="eastAsia" w:cs="仿宋"/>
                <w:color w:val="auto"/>
                <w:spacing w:val="-2"/>
                <w:sz w:val="21"/>
                <w:szCs w:val="21"/>
                <w:highlight w:val="none"/>
                <w:lang w:eastAsia="zh-CN"/>
              </w:rPr>
              <w:t>、</w:t>
            </w:r>
            <w:r>
              <w:rPr>
                <w:rFonts w:hint="eastAsia" w:cs="仿宋"/>
                <w:color w:val="auto"/>
                <w:spacing w:val="-2"/>
                <w:sz w:val="21"/>
                <w:szCs w:val="21"/>
                <w:highlight w:val="none"/>
                <w:lang w:val="en-US" w:eastAsia="zh-CN"/>
              </w:rPr>
              <w:t>管理制度较差得0-5分；</w:t>
            </w:r>
          </w:p>
          <w:p>
            <w:pPr>
              <w:spacing w:line="240" w:lineRule="auto"/>
              <w:ind w:firstLine="0" w:firstLineChars="0"/>
              <w:jc w:val="left"/>
              <w:rPr>
                <w:rFonts w:hint="eastAsia" w:ascii="仿宋" w:hAnsi="仿宋" w:eastAsia="仿宋" w:cs="仿宋"/>
                <w:color w:val="auto"/>
                <w:spacing w:val="-2"/>
                <w:kern w:val="2"/>
                <w:sz w:val="21"/>
                <w:szCs w:val="21"/>
                <w:highlight w:val="none"/>
                <w:lang w:val="zh-CN" w:eastAsia="zh-CN" w:bidi="ar-SA"/>
              </w:rPr>
            </w:pPr>
            <w:r>
              <w:rPr>
                <w:rFonts w:hint="eastAsia" w:ascii="仿宋" w:hAnsi="仿宋" w:eastAsia="仿宋" w:cs="仿宋"/>
                <w:color w:val="auto"/>
                <w:spacing w:val="-2"/>
                <w:sz w:val="21"/>
                <w:szCs w:val="21"/>
                <w:highlight w:val="none"/>
              </w:rPr>
              <w:t>注：织物洗涤流程需符合中华人民共和国卫生行业标准WS/T508-2016 医院医用织物洗涤消毒技术规范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09" w:type="dxa"/>
            <w:vMerge w:val="continue"/>
          </w:tcPr>
          <w:p>
            <w:pPr>
              <w:spacing w:line="240" w:lineRule="auto"/>
              <w:jc w:val="center"/>
              <w:rPr>
                <w:rFonts w:hint="eastAsia" w:ascii="仿宋" w:hAnsi="仿宋" w:eastAsia="仿宋" w:cs="仿宋"/>
                <w:color w:val="auto"/>
                <w:sz w:val="21"/>
                <w:szCs w:val="21"/>
                <w:highlight w:val="none"/>
              </w:rPr>
            </w:pPr>
          </w:p>
        </w:tc>
        <w:tc>
          <w:tcPr>
            <w:tcW w:w="1037" w:type="dxa"/>
            <w:vMerge w:val="continue"/>
          </w:tcPr>
          <w:p>
            <w:pPr>
              <w:spacing w:line="240" w:lineRule="auto"/>
              <w:jc w:val="center"/>
              <w:rPr>
                <w:rFonts w:hint="eastAsia" w:ascii="仿宋" w:hAnsi="仿宋" w:eastAsia="仿宋" w:cs="仿宋"/>
                <w:color w:val="auto"/>
                <w:sz w:val="21"/>
                <w:szCs w:val="21"/>
                <w:highlight w:val="none"/>
              </w:rPr>
            </w:pPr>
          </w:p>
        </w:tc>
        <w:tc>
          <w:tcPr>
            <w:tcW w:w="1118" w:type="dxa"/>
            <w:vAlign w:val="center"/>
          </w:tcPr>
          <w:p>
            <w:pPr>
              <w:spacing w:line="240" w:lineRule="auto"/>
              <w:ind w:firstLine="0" w:firstLineChars="0"/>
              <w:jc w:val="center"/>
              <w:rPr>
                <w:rFonts w:hint="eastAsia" w:cs="仿宋"/>
                <w:color w:val="auto"/>
                <w:spacing w:val="-2"/>
                <w:sz w:val="21"/>
                <w:szCs w:val="21"/>
                <w:highlight w:val="none"/>
                <w:lang w:val="en-US" w:eastAsia="zh-CN"/>
              </w:rPr>
            </w:pPr>
            <w:r>
              <w:rPr>
                <w:rFonts w:hint="eastAsia" w:cs="仿宋"/>
                <w:color w:val="auto"/>
                <w:spacing w:val="-2"/>
                <w:sz w:val="21"/>
                <w:szCs w:val="21"/>
                <w:highlight w:val="none"/>
                <w:lang w:val="en-US" w:eastAsia="zh-CN"/>
              </w:rPr>
              <w:t>管理服务总体模式与配套措施</w:t>
            </w:r>
          </w:p>
          <w:p>
            <w:pPr>
              <w:spacing w:line="240" w:lineRule="auto"/>
              <w:ind w:firstLine="0" w:firstLineChars="0"/>
              <w:jc w:val="center"/>
              <w:rPr>
                <w:rFonts w:hint="eastAsia" w:ascii="仿宋" w:hAnsi="仿宋" w:eastAsia="仿宋" w:cs="仿宋"/>
                <w:highlight w:val="none"/>
                <w:lang w:val="en-US" w:eastAsia="zh-CN"/>
              </w:rPr>
            </w:pPr>
            <w:r>
              <w:rPr>
                <w:rFonts w:hint="eastAsia" w:cs="仿宋"/>
                <w:color w:val="auto"/>
                <w:spacing w:val="-2"/>
                <w:sz w:val="21"/>
                <w:szCs w:val="21"/>
                <w:highlight w:val="none"/>
                <w:lang w:val="en-US" w:eastAsia="zh-CN"/>
              </w:rPr>
              <w:t>(10分）</w:t>
            </w:r>
          </w:p>
        </w:tc>
        <w:tc>
          <w:tcPr>
            <w:tcW w:w="5864" w:type="dxa"/>
            <w:vAlign w:val="center"/>
          </w:tcPr>
          <w:p>
            <w:pPr>
              <w:spacing w:line="240" w:lineRule="auto"/>
              <w:ind w:firstLine="0" w:firstLineChars="0"/>
              <w:jc w:val="left"/>
              <w:rPr>
                <w:rFonts w:hint="eastAsia" w:ascii="仿宋" w:hAnsi="仿宋" w:eastAsia="仿宋" w:cs="仿宋"/>
                <w:highlight w:val="none"/>
                <w:lang w:val="en-US" w:eastAsia="zh-CN"/>
              </w:rPr>
            </w:pPr>
            <w:r>
              <w:rPr>
                <w:rFonts w:hint="eastAsia" w:ascii="仿宋" w:hAnsi="仿宋" w:eastAsia="仿宋" w:cs="仿宋"/>
                <w:color w:val="auto"/>
                <w:spacing w:val="-2"/>
                <w:kern w:val="2"/>
                <w:sz w:val="21"/>
                <w:szCs w:val="21"/>
                <w:highlight w:val="none"/>
                <w:lang w:val="en-US" w:eastAsia="zh-CN" w:bidi="ar-SA"/>
              </w:rPr>
              <w:t>根据投标人对本项目提供的服务管理整体方案等进行综合评分：管理服务总体模式与配套措施方案较好得7-10分，一般得3-6分，差得0-2分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dxa"/>
            <w:vMerge w:val="continue"/>
          </w:tcPr>
          <w:p>
            <w:pPr>
              <w:spacing w:line="240" w:lineRule="auto"/>
              <w:jc w:val="center"/>
              <w:rPr>
                <w:rFonts w:hint="eastAsia" w:ascii="仿宋" w:hAnsi="仿宋" w:eastAsia="仿宋" w:cs="仿宋"/>
                <w:color w:val="auto"/>
                <w:sz w:val="21"/>
                <w:szCs w:val="21"/>
                <w:highlight w:val="none"/>
              </w:rPr>
            </w:pPr>
          </w:p>
        </w:tc>
        <w:tc>
          <w:tcPr>
            <w:tcW w:w="1037" w:type="dxa"/>
            <w:vMerge w:val="continue"/>
          </w:tcPr>
          <w:p>
            <w:pPr>
              <w:spacing w:line="240" w:lineRule="auto"/>
              <w:jc w:val="center"/>
              <w:rPr>
                <w:rFonts w:hint="eastAsia" w:ascii="仿宋" w:hAnsi="仿宋" w:eastAsia="仿宋" w:cs="仿宋"/>
                <w:color w:val="auto"/>
                <w:sz w:val="21"/>
                <w:szCs w:val="21"/>
                <w:highlight w:val="none"/>
              </w:rPr>
            </w:pPr>
          </w:p>
        </w:tc>
        <w:tc>
          <w:tcPr>
            <w:tcW w:w="1118" w:type="dxa"/>
            <w:vAlign w:val="center"/>
          </w:tcPr>
          <w:p>
            <w:pPr>
              <w:spacing w:line="240" w:lineRule="auto"/>
              <w:ind w:firstLine="0" w:firstLineChars="0"/>
              <w:jc w:val="center"/>
              <w:rPr>
                <w:rFonts w:hint="eastAsia" w:ascii="仿宋" w:hAnsi="仿宋" w:eastAsia="仿宋" w:cs="Times New Roman"/>
                <w:kern w:val="2"/>
                <w:sz w:val="24"/>
                <w:szCs w:val="28"/>
                <w:highlight w:val="none"/>
                <w:lang w:val="en-US" w:eastAsia="zh-CN" w:bidi="ar-SA"/>
              </w:rPr>
            </w:pPr>
            <w:r>
              <w:rPr>
                <w:rFonts w:hint="eastAsia" w:cs="仿宋"/>
                <w:color w:val="auto"/>
                <w:spacing w:val="-2"/>
                <w:sz w:val="21"/>
                <w:szCs w:val="21"/>
                <w:highlight w:val="none"/>
                <w:lang w:val="en-US" w:eastAsia="zh-CN"/>
              </w:rPr>
              <w:t>保障服务及应急预案（10分）</w:t>
            </w:r>
          </w:p>
        </w:tc>
        <w:tc>
          <w:tcPr>
            <w:tcW w:w="5864" w:type="dxa"/>
            <w:vAlign w:val="center"/>
          </w:tcPr>
          <w:p>
            <w:pPr>
              <w:spacing w:line="240" w:lineRule="auto"/>
              <w:ind w:firstLine="0" w:firstLineChars="0"/>
              <w:jc w:val="left"/>
              <w:rPr>
                <w:rFonts w:hint="default"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zh-CN" w:eastAsia="zh-CN" w:bidi="ar-SA"/>
              </w:rPr>
              <w:t>根据项目保障措施、应急预案、保密措施、服务承诺和项目全过程的质量管理体系的严密性、合理性、可行性进行综合评分</w:t>
            </w:r>
            <w:r>
              <w:rPr>
                <w:rFonts w:hint="eastAsia" w:cs="仿宋"/>
                <w:color w:val="auto"/>
                <w:spacing w:val="-2"/>
                <w:kern w:val="2"/>
                <w:sz w:val="21"/>
                <w:szCs w:val="21"/>
                <w:highlight w:val="none"/>
                <w:lang w:val="zh-CN" w:eastAsia="zh-CN" w:bidi="ar-SA"/>
              </w:rPr>
              <w:t>，</w:t>
            </w:r>
          </w:p>
          <w:p>
            <w:pPr>
              <w:spacing w:line="240" w:lineRule="auto"/>
              <w:ind w:firstLine="0" w:firstLineChars="0"/>
              <w:jc w:val="left"/>
              <w:rPr>
                <w:rFonts w:hint="default" w:ascii="仿宋" w:hAnsi="仿宋" w:eastAsia="仿宋" w:cs="Times New Roman"/>
                <w:kern w:val="2"/>
                <w:sz w:val="24"/>
                <w:szCs w:val="28"/>
                <w:highlight w:val="none"/>
                <w:lang w:val="en-US" w:eastAsia="zh-CN" w:bidi="ar-SA"/>
              </w:rPr>
            </w:pPr>
            <w:r>
              <w:rPr>
                <w:rFonts w:hint="eastAsia" w:ascii="仿宋" w:hAnsi="仿宋" w:eastAsia="仿宋" w:cs="仿宋"/>
                <w:color w:val="auto"/>
                <w:spacing w:val="-2"/>
                <w:kern w:val="2"/>
                <w:sz w:val="21"/>
                <w:szCs w:val="21"/>
                <w:highlight w:val="none"/>
                <w:lang w:val="zh-CN" w:eastAsia="zh-CN" w:bidi="ar-SA"/>
              </w:rPr>
              <w:t>保障服务及应急预案</w:t>
            </w:r>
            <w:r>
              <w:rPr>
                <w:rFonts w:hint="eastAsia" w:cs="仿宋"/>
                <w:color w:val="auto"/>
                <w:spacing w:val="-2"/>
                <w:kern w:val="2"/>
                <w:sz w:val="21"/>
                <w:szCs w:val="21"/>
                <w:highlight w:val="none"/>
                <w:lang w:val="en-US" w:eastAsia="zh-CN" w:bidi="ar-SA"/>
              </w:rPr>
              <w:t>较好得7-10分，一般得3-6分，差得0-2分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dxa"/>
            <w:vMerge w:val="continue"/>
          </w:tcPr>
          <w:p>
            <w:pPr>
              <w:spacing w:line="240" w:lineRule="auto"/>
              <w:jc w:val="center"/>
              <w:rPr>
                <w:rFonts w:hint="eastAsia" w:ascii="仿宋" w:hAnsi="仿宋" w:eastAsia="仿宋" w:cs="仿宋"/>
                <w:color w:val="auto"/>
                <w:sz w:val="21"/>
                <w:szCs w:val="21"/>
                <w:highlight w:val="none"/>
              </w:rPr>
            </w:pPr>
          </w:p>
        </w:tc>
        <w:tc>
          <w:tcPr>
            <w:tcW w:w="1037" w:type="dxa"/>
            <w:vMerge w:val="continue"/>
          </w:tcPr>
          <w:p>
            <w:pPr>
              <w:spacing w:line="240" w:lineRule="auto"/>
              <w:jc w:val="center"/>
              <w:rPr>
                <w:rFonts w:hint="eastAsia" w:ascii="仿宋" w:hAnsi="仿宋" w:eastAsia="仿宋" w:cs="仿宋"/>
                <w:color w:val="auto"/>
                <w:sz w:val="21"/>
                <w:szCs w:val="21"/>
                <w:highlight w:val="none"/>
              </w:rPr>
            </w:pPr>
          </w:p>
        </w:tc>
        <w:tc>
          <w:tcPr>
            <w:tcW w:w="1118" w:type="dxa"/>
            <w:vAlign w:val="center"/>
          </w:tcPr>
          <w:p>
            <w:pPr>
              <w:spacing w:line="240" w:lineRule="auto"/>
              <w:ind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w:t>
            </w:r>
            <w:r>
              <w:rPr>
                <w:rFonts w:hint="eastAsia" w:cs="仿宋"/>
                <w:color w:val="auto"/>
                <w:kern w:val="2"/>
                <w:sz w:val="21"/>
                <w:szCs w:val="21"/>
                <w:highlight w:val="none"/>
                <w:lang w:val="en-US" w:eastAsia="zh-CN" w:bidi="ar-SA"/>
              </w:rPr>
              <w:t>方案</w:t>
            </w:r>
          </w:p>
          <w:p>
            <w:pPr>
              <w:pStyle w:val="2"/>
              <w:ind w:firstLine="0" w:firstLineChars="0"/>
              <w:rPr>
                <w:rFonts w:hint="eastAsia" w:ascii="宋体" w:hAnsi="宋体" w:eastAsia="仿宋" w:cs="宋体"/>
                <w:bCs/>
                <w:kern w:val="0"/>
                <w:sz w:val="24"/>
                <w:szCs w:val="28"/>
                <w:highlight w:val="none"/>
                <w:lang w:val="en-US" w:eastAsia="zh-CN" w:bidi="ar-SA"/>
              </w:rPr>
            </w:pPr>
            <w:r>
              <w:rPr>
                <w:rFonts w:hint="eastAsia" w:ascii="仿宋" w:hAnsi="仿宋" w:cs="仿宋"/>
                <w:color w:val="auto"/>
                <w:kern w:val="2"/>
                <w:sz w:val="21"/>
                <w:szCs w:val="21"/>
                <w:highlight w:val="none"/>
                <w:lang w:val="en-US" w:eastAsia="zh-CN" w:bidi="ar-SA"/>
              </w:rPr>
              <w:t>（10）</w:t>
            </w:r>
          </w:p>
        </w:tc>
        <w:tc>
          <w:tcPr>
            <w:tcW w:w="5864" w:type="dxa"/>
            <w:vAlign w:val="center"/>
          </w:tcPr>
          <w:p>
            <w:pPr>
              <w:pStyle w:val="35"/>
              <w:spacing w:line="240" w:lineRule="auto"/>
              <w:rPr>
                <w:rFonts w:hint="eastAsia" w:ascii="仿宋" w:hAnsi="仿宋" w:eastAsia="仿宋" w:cs="仿宋"/>
                <w:color w:val="auto"/>
                <w:spacing w:val="-2"/>
                <w:kern w:val="2"/>
                <w:sz w:val="21"/>
                <w:szCs w:val="21"/>
                <w:highlight w:val="none"/>
                <w:lang w:val="zh-CN" w:eastAsia="zh-CN" w:bidi="ar-SA"/>
              </w:rPr>
            </w:pPr>
            <w:r>
              <w:rPr>
                <w:rFonts w:hint="eastAsia" w:ascii="仿宋" w:hAnsi="仿宋" w:eastAsia="仿宋" w:cs="仿宋"/>
                <w:color w:val="auto"/>
                <w:spacing w:val="-2"/>
                <w:kern w:val="2"/>
                <w:sz w:val="21"/>
                <w:szCs w:val="21"/>
                <w:highlight w:val="none"/>
                <w:lang w:val="zh-CN" w:eastAsia="zh-CN" w:bidi="ar-SA"/>
              </w:rPr>
              <w:t>投标人需提供符合采购人实际工作协助管理方案，根据服务方案详实度、组织周密度、可行性程度</w:t>
            </w:r>
            <w:r>
              <w:rPr>
                <w:rFonts w:hint="eastAsia" w:ascii="仿宋" w:hAnsi="仿宋" w:eastAsia="仿宋" w:cs="仿宋"/>
                <w:color w:val="auto"/>
                <w:spacing w:val="-2"/>
                <w:kern w:val="2"/>
                <w:sz w:val="21"/>
                <w:szCs w:val="21"/>
                <w:highlight w:val="none"/>
                <w:lang w:val="en-US" w:eastAsia="zh-CN" w:bidi="ar-SA"/>
              </w:rPr>
              <w:t>进行综合评分：</w:t>
            </w:r>
            <w:r>
              <w:rPr>
                <w:rFonts w:hint="eastAsia" w:ascii="仿宋" w:hAnsi="仿宋" w:eastAsia="仿宋" w:cs="仿宋"/>
                <w:color w:val="auto"/>
                <w:kern w:val="2"/>
                <w:sz w:val="21"/>
                <w:szCs w:val="21"/>
                <w:highlight w:val="none"/>
                <w:lang w:val="en-US" w:eastAsia="zh-CN" w:bidi="ar-SA"/>
              </w:rPr>
              <w:t>售后服务方案较好得7-10分，一般得3-6分，差得0-2分</w:t>
            </w:r>
          </w:p>
        </w:tc>
      </w:tr>
    </w:tbl>
    <w:p>
      <w:pPr>
        <w:pStyle w:val="10"/>
        <w:rPr>
          <w:rFonts w:hint="eastAsia"/>
          <w:highlight w:val="none"/>
          <w:lang w:val="en-US" w:eastAsia="zh-CN"/>
        </w:rPr>
      </w:pPr>
    </w:p>
    <w:sectPr>
      <w:headerReference r:id="rId7" w:type="default"/>
      <w:footerReference r:id="rId8"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仿宋"/>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0" w:firstLineChars="2000"/>
      <w:rPr>
        <w:rFonts w:hint="default"/>
      </w:rPr>
    </w:pPr>
    <w:r>
      <w:rPr>
        <w:rFonts w:hint="default"/>
        <w:kern w:val="0"/>
      </w:rPr>
      <w:t xml:space="preserve">                                                        </w:t>
    </w:r>
    <w:r>
      <w:rPr>
        <w:rFonts w:hint="defaul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71BB4B"/>
    <w:multiLevelType w:val="singleLevel"/>
    <w:tmpl w:val="BA71BB4B"/>
    <w:lvl w:ilvl="0" w:tentative="0">
      <w:start w:val="1"/>
      <w:numFmt w:val="decimal"/>
      <w:lvlText w:val="(%1)"/>
      <w:lvlJc w:val="left"/>
      <w:pPr>
        <w:tabs>
          <w:tab w:val="left" w:pos="0"/>
        </w:tabs>
        <w:ind w:left="425" w:hanging="425"/>
      </w:pPr>
      <w:rPr>
        <w:rFonts w:hint="default"/>
      </w:rPr>
    </w:lvl>
  </w:abstractNum>
  <w:abstractNum w:abstractNumId="2">
    <w:nsid w:val="CB953798"/>
    <w:multiLevelType w:val="singleLevel"/>
    <w:tmpl w:val="CB953798"/>
    <w:lvl w:ilvl="0" w:tentative="0">
      <w:start w:val="21"/>
      <w:numFmt w:val="decimal"/>
      <w:suff w:val="space"/>
      <w:lvlText w:val="%1."/>
      <w:lvlJc w:val="left"/>
    </w:lvl>
  </w:abstractNum>
  <w:abstractNum w:abstractNumId="3">
    <w:nsid w:val="DC2D0C16"/>
    <w:multiLevelType w:val="singleLevel"/>
    <w:tmpl w:val="DC2D0C16"/>
    <w:lvl w:ilvl="0" w:tentative="0">
      <w:start w:val="1"/>
      <w:numFmt w:val="decimal"/>
      <w:suff w:val="nothing"/>
      <w:lvlText w:val="%1．"/>
      <w:lvlJc w:val="left"/>
    </w:lvl>
  </w:abstractNum>
  <w:abstractNum w:abstractNumId="4">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5">
    <w:nsid w:val="F21B5EF6"/>
    <w:multiLevelType w:val="singleLevel"/>
    <w:tmpl w:val="F21B5EF6"/>
    <w:lvl w:ilvl="0" w:tentative="0">
      <w:start w:val="1"/>
      <w:numFmt w:val="decimal"/>
      <w:suff w:val="nothing"/>
      <w:lvlText w:val="（%1）"/>
      <w:lvlJc w:val="left"/>
    </w:lvl>
  </w:abstractNum>
  <w:abstractNum w:abstractNumId="6">
    <w:nsid w:val="FA0E9661"/>
    <w:multiLevelType w:val="singleLevel"/>
    <w:tmpl w:val="FA0E9661"/>
    <w:lvl w:ilvl="0" w:tentative="0">
      <w:start w:val="1"/>
      <w:numFmt w:val="decimal"/>
      <w:lvlText w:val="%1."/>
      <w:lvlJc w:val="left"/>
      <w:pPr>
        <w:tabs>
          <w:tab w:val="left" w:pos="420"/>
        </w:tabs>
        <w:ind w:left="845" w:hanging="425"/>
      </w:pPr>
      <w:rPr>
        <w:rFonts w:hint="default"/>
      </w:rPr>
    </w:lvl>
  </w:abstractNum>
  <w:abstractNum w:abstractNumId="7">
    <w:nsid w:val="0FF8525E"/>
    <w:multiLevelType w:val="singleLevel"/>
    <w:tmpl w:val="0FF8525E"/>
    <w:lvl w:ilvl="0" w:tentative="0">
      <w:start w:val="3"/>
      <w:numFmt w:val="decimal"/>
      <w:suff w:val="nothing"/>
      <w:lvlText w:val="%1、"/>
      <w:lvlJc w:val="left"/>
    </w:lvl>
  </w:abstractNum>
  <w:abstractNum w:abstractNumId="8">
    <w:nsid w:val="222107B4"/>
    <w:multiLevelType w:val="multilevel"/>
    <w:tmpl w:val="222107B4"/>
    <w:lvl w:ilvl="0" w:tentative="0">
      <w:start w:val="1"/>
      <w:numFmt w:val="chineseCountingThousand"/>
      <w:pStyle w:val="4"/>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D4DD6B"/>
    <w:multiLevelType w:val="singleLevel"/>
    <w:tmpl w:val="22D4DD6B"/>
    <w:lvl w:ilvl="0" w:tentative="0">
      <w:start w:val="1"/>
      <w:numFmt w:val="decimal"/>
      <w:suff w:val="nothing"/>
      <w:lvlText w:val="（%1）"/>
      <w:lvlJc w:val="left"/>
    </w:lvl>
  </w:abstractNum>
  <w:abstractNum w:abstractNumId="10">
    <w:nsid w:val="4F7C76B3"/>
    <w:multiLevelType w:val="singleLevel"/>
    <w:tmpl w:val="4F7C76B3"/>
    <w:lvl w:ilvl="0" w:tentative="0">
      <w:start w:val="2"/>
      <w:numFmt w:val="chineseCounting"/>
      <w:suff w:val="nothing"/>
      <w:lvlText w:val="（%1）"/>
      <w:lvlJc w:val="left"/>
      <w:rPr>
        <w:rFonts w:hint="eastAsia"/>
      </w:rPr>
    </w:lvl>
  </w:abstractNum>
  <w:abstractNum w:abstractNumId="11">
    <w:nsid w:val="6E49BC2A"/>
    <w:multiLevelType w:val="multilevel"/>
    <w:tmpl w:val="6E49BC2A"/>
    <w:lvl w:ilvl="0" w:tentative="0">
      <w:start w:val="1"/>
      <w:numFmt w:val="chineseCountingThousand"/>
      <w:pStyle w:val="43"/>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70F43A51"/>
    <w:multiLevelType w:val="singleLevel"/>
    <w:tmpl w:val="70F43A51"/>
    <w:lvl w:ilvl="0" w:tentative="0">
      <w:start w:val="1"/>
      <w:numFmt w:val="decimal"/>
      <w:suff w:val="space"/>
      <w:lvlText w:val="%1."/>
      <w:lvlJc w:val="left"/>
    </w:lvl>
  </w:abstractNum>
  <w:abstractNum w:abstractNumId="13">
    <w:nsid w:val="723F64D1"/>
    <w:multiLevelType w:val="singleLevel"/>
    <w:tmpl w:val="723F64D1"/>
    <w:lvl w:ilvl="0" w:tentative="0">
      <w:start w:val="1"/>
      <w:numFmt w:val="decimal"/>
      <w:lvlText w:val="(%1)"/>
      <w:lvlJc w:val="left"/>
      <w:pPr>
        <w:tabs>
          <w:tab w:val="left" w:pos="420"/>
        </w:tabs>
        <w:ind w:left="845" w:hanging="425"/>
      </w:pPr>
      <w:rPr>
        <w:rFonts w:hint="default"/>
      </w:rPr>
    </w:lvl>
  </w:abstractNum>
  <w:num w:numId="1">
    <w:abstractNumId w:val="8"/>
  </w:num>
  <w:num w:numId="2">
    <w:abstractNumId w:val="11"/>
  </w:num>
  <w:num w:numId="3">
    <w:abstractNumId w:val="0"/>
  </w:num>
  <w:num w:numId="4">
    <w:abstractNumId w:val="6"/>
  </w:num>
  <w:num w:numId="5">
    <w:abstractNumId w:val="13"/>
  </w:num>
  <w:num w:numId="6">
    <w:abstractNumId w:val="1"/>
  </w:num>
  <w:num w:numId="7">
    <w:abstractNumId w:val="3"/>
  </w:num>
  <w:num w:numId="8">
    <w:abstractNumId w:val="9"/>
  </w:num>
  <w:num w:numId="9">
    <w:abstractNumId w:val="5"/>
  </w:num>
  <w:num w:numId="10">
    <w:abstractNumId w:val="7"/>
  </w:num>
  <w:num w:numId="11">
    <w:abstractNumId w:val="2"/>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NmNTJiNTNhOGI3YzZhODE3ODdlNjNjMjNlNGEifQ=="/>
  </w:docVars>
  <w:rsids>
    <w:rsidRoot w:val="2FB71898"/>
    <w:rsid w:val="00265FEA"/>
    <w:rsid w:val="00481283"/>
    <w:rsid w:val="006E2C58"/>
    <w:rsid w:val="007B77E8"/>
    <w:rsid w:val="007E5EBA"/>
    <w:rsid w:val="00BC757B"/>
    <w:rsid w:val="00E84814"/>
    <w:rsid w:val="01121891"/>
    <w:rsid w:val="016D6AC7"/>
    <w:rsid w:val="017D1F02"/>
    <w:rsid w:val="018B248D"/>
    <w:rsid w:val="018E7B86"/>
    <w:rsid w:val="01A4698D"/>
    <w:rsid w:val="01DC65FE"/>
    <w:rsid w:val="02380E83"/>
    <w:rsid w:val="02501A64"/>
    <w:rsid w:val="028916DF"/>
    <w:rsid w:val="028D7421"/>
    <w:rsid w:val="02CB7F49"/>
    <w:rsid w:val="02D768EE"/>
    <w:rsid w:val="02EE5303"/>
    <w:rsid w:val="02F70D3E"/>
    <w:rsid w:val="03516A45"/>
    <w:rsid w:val="037B4B15"/>
    <w:rsid w:val="03B12EC7"/>
    <w:rsid w:val="03D96696"/>
    <w:rsid w:val="03F82FC0"/>
    <w:rsid w:val="040550C3"/>
    <w:rsid w:val="0422003D"/>
    <w:rsid w:val="04344818"/>
    <w:rsid w:val="043F299D"/>
    <w:rsid w:val="0453738C"/>
    <w:rsid w:val="045A1DC6"/>
    <w:rsid w:val="04602913"/>
    <w:rsid w:val="046069FE"/>
    <w:rsid w:val="047E690D"/>
    <w:rsid w:val="04974587"/>
    <w:rsid w:val="04B769D7"/>
    <w:rsid w:val="04BB2016"/>
    <w:rsid w:val="04C81581"/>
    <w:rsid w:val="05031C1C"/>
    <w:rsid w:val="0508107A"/>
    <w:rsid w:val="051E4730"/>
    <w:rsid w:val="05492252"/>
    <w:rsid w:val="05553469"/>
    <w:rsid w:val="05646EE5"/>
    <w:rsid w:val="05810D93"/>
    <w:rsid w:val="060043AE"/>
    <w:rsid w:val="066C559F"/>
    <w:rsid w:val="068C4FEE"/>
    <w:rsid w:val="06C7385B"/>
    <w:rsid w:val="06F2533E"/>
    <w:rsid w:val="06F36E52"/>
    <w:rsid w:val="07101279"/>
    <w:rsid w:val="07635520"/>
    <w:rsid w:val="076B1CFB"/>
    <w:rsid w:val="07BE53C7"/>
    <w:rsid w:val="07F27D26"/>
    <w:rsid w:val="081415B7"/>
    <w:rsid w:val="08460192"/>
    <w:rsid w:val="085E53BC"/>
    <w:rsid w:val="08897181"/>
    <w:rsid w:val="088A61B1"/>
    <w:rsid w:val="08AB6853"/>
    <w:rsid w:val="08D5567E"/>
    <w:rsid w:val="08F1713F"/>
    <w:rsid w:val="0929337E"/>
    <w:rsid w:val="092B4563"/>
    <w:rsid w:val="092D54BA"/>
    <w:rsid w:val="09945539"/>
    <w:rsid w:val="09CA7455"/>
    <w:rsid w:val="09E46037"/>
    <w:rsid w:val="09F14739"/>
    <w:rsid w:val="0A0655BF"/>
    <w:rsid w:val="0A2F0219"/>
    <w:rsid w:val="0A39280F"/>
    <w:rsid w:val="0A7916DA"/>
    <w:rsid w:val="0A9E290F"/>
    <w:rsid w:val="0AC0160E"/>
    <w:rsid w:val="0B0110D7"/>
    <w:rsid w:val="0B291CB1"/>
    <w:rsid w:val="0B460AB5"/>
    <w:rsid w:val="0B705B32"/>
    <w:rsid w:val="0B84338B"/>
    <w:rsid w:val="0B966CA4"/>
    <w:rsid w:val="0BBE689D"/>
    <w:rsid w:val="0BED0F30"/>
    <w:rsid w:val="0C2A3F33"/>
    <w:rsid w:val="0C581519"/>
    <w:rsid w:val="0C7C16FC"/>
    <w:rsid w:val="0C7E7446"/>
    <w:rsid w:val="0C9D6863"/>
    <w:rsid w:val="0CEF255C"/>
    <w:rsid w:val="0D1E3CD2"/>
    <w:rsid w:val="0D41698F"/>
    <w:rsid w:val="0D552A3E"/>
    <w:rsid w:val="0D961154"/>
    <w:rsid w:val="0D985EB0"/>
    <w:rsid w:val="0DAD4E1B"/>
    <w:rsid w:val="0DBC505E"/>
    <w:rsid w:val="0DCE6F95"/>
    <w:rsid w:val="0DFE5677"/>
    <w:rsid w:val="0E1C7049"/>
    <w:rsid w:val="0E516BD6"/>
    <w:rsid w:val="0E653000"/>
    <w:rsid w:val="0E6A098F"/>
    <w:rsid w:val="0E6B152D"/>
    <w:rsid w:val="0EA87391"/>
    <w:rsid w:val="0F0B5D2E"/>
    <w:rsid w:val="0F1862C4"/>
    <w:rsid w:val="0F442D8D"/>
    <w:rsid w:val="0F662CE2"/>
    <w:rsid w:val="0F786D63"/>
    <w:rsid w:val="1021389E"/>
    <w:rsid w:val="103532AC"/>
    <w:rsid w:val="10392A02"/>
    <w:rsid w:val="104F3F68"/>
    <w:rsid w:val="10516984"/>
    <w:rsid w:val="105B5392"/>
    <w:rsid w:val="10796E21"/>
    <w:rsid w:val="10D73F5D"/>
    <w:rsid w:val="114D6D0B"/>
    <w:rsid w:val="115534F9"/>
    <w:rsid w:val="117B3BCF"/>
    <w:rsid w:val="11C664AC"/>
    <w:rsid w:val="11E20E0C"/>
    <w:rsid w:val="11E52F0D"/>
    <w:rsid w:val="11E76422"/>
    <w:rsid w:val="12103BCB"/>
    <w:rsid w:val="1226519C"/>
    <w:rsid w:val="122D0E8D"/>
    <w:rsid w:val="123258EF"/>
    <w:rsid w:val="124F5306"/>
    <w:rsid w:val="12785620"/>
    <w:rsid w:val="129C545E"/>
    <w:rsid w:val="12B4189F"/>
    <w:rsid w:val="13A36B8D"/>
    <w:rsid w:val="13CE1647"/>
    <w:rsid w:val="13D80CF1"/>
    <w:rsid w:val="13EE1CEA"/>
    <w:rsid w:val="14357918"/>
    <w:rsid w:val="14531B4D"/>
    <w:rsid w:val="145533A6"/>
    <w:rsid w:val="145558C5"/>
    <w:rsid w:val="147E12BF"/>
    <w:rsid w:val="147F4AAC"/>
    <w:rsid w:val="14802DE2"/>
    <w:rsid w:val="149E2FB0"/>
    <w:rsid w:val="14EA6DE2"/>
    <w:rsid w:val="15155645"/>
    <w:rsid w:val="153C6A85"/>
    <w:rsid w:val="155913E5"/>
    <w:rsid w:val="15A22D8C"/>
    <w:rsid w:val="15E74C42"/>
    <w:rsid w:val="15F03D40"/>
    <w:rsid w:val="15FF01DE"/>
    <w:rsid w:val="16001DC0"/>
    <w:rsid w:val="16043A1B"/>
    <w:rsid w:val="16076D94"/>
    <w:rsid w:val="162F6427"/>
    <w:rsid w:val="167D1103"/>
    <w:rsid w:val="16CB6435"/>
    <w:rsid w:val="16DE7DF3"/>
    <w:rsid w:val="17034227"/>
    <w:rsid w:val="17035AAC"/>
    <w:rsid w:val="17476DC5"/>
    <w:rsid w:val="17536943"/>
    <w:rsid w:val="17EE4066"/>
    <w:rsid w:val="1807337A"/>
    <w:rsid w:val="183E51DD"/>
    <w:rsid w:val="183F66D6"/>
    <w:rsid w:val="1862744F"/>
    <w:rsid w:val="18773984"/>
    <w:rsid w:val="18A961DF"/>
    <w:rsid w:val="18B15ACD"/>
    <w:rsid w:val="1940240E"/>
    <w:rsid w:val="19937CC3"/>
    <w:rsid w:val="19B01DC9"/>
    <w:rsid w:val="19FF69FF"/>
    <w:rsid w:val="1A1C3315"/>
    <w:rsid w:val="1A3432C2"/>
    <w:rsid w:val="1A7343D2"/>
    <w:rsid w:val="1A7F5449"/>
    <w:rsid w:val="1A8707A2"/>
    <w:rsid w:val="1AEB593E"/>
    <w:rsid w:val="1B0A74B1"/>
    <w:rsid w:val="1B0B4F2F"/>
    <w:rsid w:val="1B3100EF"/>
    <w:rsid w:val="1B59367F"/>
    <w:rsid w:val="1B920893"/>
    <w:rsid w:val="1B9C5F55"/>
    <w:rsid w:val="1BBB776C"/>
    <w:rsid w:val="1BC17CE4"/>
    <w:rsid w:val="1BC95A7E"/>
    <w:rsid w:val="1BCB1647"/>
    <w:rsid w:val="1BE0460E"/>
    <w:rsid w:val="1BF15DCA"/>
    <w:rsid w:val="1C4C1CA3"/>
    <w:rsid w:val="1C730B7F"/>
    <w:rsid w:val="1C8A2BDE"/>
    <w:rsid w:val="1CA76EDA"/>
    <w:rsid w:val="1CE27F12"/>
    <w:rsid w:val="1D0E157D"/>
    <w:rsid w:val="1D2D5631"/>
    <w:rsid w:val="1D464944"/>
    <w:rsid w:val="1D540E0F"/>
    <w:rsid w:val="1D7C3EC2"/>
    <w:rsid w:val="1DA91A6B"/>
    <w:rsid w:val="1DB418AE"/>
    <w:rsid w:val="1DDD2891"/>
    <w:rsid w:val="1DF00599"/>
    <w:rsid w:val="1DF32929"/>
    <w:rsid w:val="1DFB55DD"/>
    <w:rsid w:val="1E39096C"/>
    <w:rsid w:val="1E5A048F"/>
    <w:rsid w:val="1E85324A"/>
    <w:rsid w:val="1E8C282B"/>
    <w:rsid w:val="1EBA7398"/>
    <w:rsid w:val="1EC43D73"/>
    <w:rsid w:val="1EDF295B"/>
    <w:rsid w:val="1EEE0272"/>
    <w:rsid w:val="1EFC2878"/>
    <w:rsid w:val="1FD46E59"/>
    <w:rsid w:val="1FEC48D3"/>
    <w:rsid w:val="1FFE1506"/>
    <w:rsid w:val="203C360B"/>
    <w:rsid w:val="205B0E05"/>
    <w:rsid w:val="206210A1"/>
    <w:rsid w:val="207035BF"/>
    <w:rsid w:val="2079293B"/>
    <w:rsid w:val="20B72AF8"/>
    <w:rsid w:val="20D9162C"/>
    <w:rsid w:val="20F20A14"/>
    <w:rsid w:val="21023621"/>
    <w:rsid w:val="21221225"/>
    <w:rsid w:val="21494A03"/>
    <w:rsid w:val="217557F8"/>
    <w:rsid w:val="217B5198"/>
    <w:rsid w:val="21AA1873"/>
    <w:rsid w:val="21D118C9"/>
    <w:rsid w:val="21D30974"/>
    <w:rsid w:val="21FC7CC7"/>
    <w:rsid w:val="22212FA6"/>
    <w:rsid w:val="227368B6"/>
    <w:rsid w:val="22877591"/>
    <w:rsid w:val="22947F00"/>
    <w:rsid w:val="22BD1205"/>
    <w:rsid w:val="22E04EF3"/>
    <w:rsid w:val="232E7BA6"/>
    <w:rsid w:val="23783011"/>
    <w:rsid w:val="23AC6A02"/>
    <w:rsid w:val="23E97DD8"/>
    <w:rsid w:val="240B5FA0"/>
    <w:rsid w:val="248A5117"/>
    <w:rsid w:val="248E2DE1"/>
    <w:rsid w:val="24B959FC"/>
    <w:rsid w:val="253B27E5"/>
    <w:rsid w:val="255D409B"/>
    <w:rsid w:val="25B53A5B"/>
    <w:rsid w:val="25DD4AD6"/>
    <w:rsid w:val="262275D1"/>
    <w:rsid w:val="263D6290"/>
    <w:rsid w:val="26607DAF"/>
    <w:rsid w:val="26B64F55"/>
    <w:rsid w:val="26F74440"/>
    <w:rsid w:val="271E5FEA"/>
    <w:rsid w:val="27315DD3"/>
    <w:rsid w:val="275E288B"/>
    <w:rsid w:val="276B56D3"/>
    <w:rsid w:val="2771383C"/>
    <w:rsid w:val="27A40BE5"/>
    <w:rsid w:val="27AB3D22"/>
    <w:rsid w:val="27BD67A8"/>
    <w:rsid w:val="27E5331B"/>
    <w:rsid w:val="27EC0CE3"/>
    <w:rsid w:val="28090723"/>
    <w:rsid w:val="28282F4D"/>
    <w:rsid w:val="284A2EB1"/>
    <w:rsid w:val="285443B9"/>
    <w:rsid w:val="28BB337D"/>
    <w:rsid w:val="2900009D"/>
    <w:rsid w:val="29707F5B"/>
    <w:rsid w:val="29716DA9"/>
    <w:rsid w:val="29F6324E"/>
    <w:rsid w:val="2A491627"/>
    <w:rsid w:val="2A513ECF"/>
    <w:rsid w:val="2A6D3510"/>
    <w:rsid w:val="2A783C63"/>
    <w:rsid w:val="2ACA0963"/>
    <w:rsid w:val="2AE70A21"/>
    <w:rsid w:val="2AED3214"/>
    <w:rsid w:val="2B2A31B0"/>
    <w:rsid w:val="2B7470A5"/>
    <w:rsid w:val="2BDB094E"/>
    <w:rsid w:val="2C1856FE"/>
    <w:rsid w:val="2C513B81"/>
    <w:rsid w:val="2C960362"/>
    <w:rsid w:val="2CAE1A8C"/>
    <w:rsid w:val="2CBA410B"/>
    <w:rsid w:val="2CE324F5"/>
    <w:rsid w:val="2D2202DF"/>
    <w:rsid w:val="2D2D7E99"/>
    <w:rsid w:val="2D2E0C20"/>
    <w:rsid w:val="2D3E1194"/>
    <w:rsid w:val="2D6E3085"/>
    <w:rsid w:val="2D825525"/>
    <w:rsid w:val="2DEA131C"/>
    <w:rsid w:val="2E03505B"/>
    <w:rsid w:val="2E1A575D"/>
    <w:rsid w:val="2E3875B6"/>
    <w:rsid w:val="2E7438E5"/>
    <w:rsid w:val="2E936B8B"/>
    <w:rsid w:val="2EA119DB"/>
    <w:rsid w:val="2EEE0998"/>
    <w:rsid w:val="2F236894"/>
    <w:rsid w:val="2F294338"/>
    <w:rsid w:val="2F650C5A"/>
    <w:rsid w:val="2FAF45CB"/>
    <w:rsid w:val="2FB71898"/>
    <w:rsid w:val="2FE94AE6"/>
    <w:rsid w:val="305A3EEF"/>
    <w:rsid w:val="3094742E"/>
    <w:rsid w:val="30BD4AC6"/>
    <w:rsid w:val="312672A5"/>
    <w:rsid w:val="31624854"/>
    <w:rsid w:val="318779ED"/>
    <w:rsid w:val="32292413"/>
    <w:rsid w:val="322C2D57"/>
    <w:rsid w:val="322F554F"/>
    <w:rsid w:val="325B2C7D"/>
    <w:rsid w:val="325D2288"/>
    <w:rsid w:val="32680BB3"/>
    <w:rsid w:val="328C4750"/>
    <w:rsid w:val="329A6E6D"/>
    <w:rsid w:val="32A23F73"/>
    <w:rsid w:val="32C42361"/>
    <w:rsid w:val="32D305D1"/>
    <w:rsid w:val="333202A7"/>
    <w:rsid w:val="333746BC"/>
    <w:rsid w:val="33B03F3F"/>
    <w:rsid w:val="33CA3782"/>
    <w:rsid w:val="34022B77"/>
    <w:rsid w:val="34691C96"/>
    <w:rsid w:val="34C80299"/>
    <w:rsid w:val="34FA1BBB"/>
    <w:rsid w:val="3518362C"/>
    <w:rsid w:val="35B71AE4"/>
    <w:rsid w:val="35B77D36"/>
    <w:rsid w:val="35EB3E83"/>
    <w:rsid w:val="36767BF1"/>
    <w:rsid w:val="36820344"/>
    <w:rsid w:val="36BF0745"/>
    <w:rsid w:val="36D260DF"/>
    <w:rsid w:val="36D87F64"/>
    <w:rsid w:val="374E0505"/>
    <w:rsid w:val="37574B34"/>
    <w:rsid w:val="376C2B12"/>
    <w:rsid w:val="378C0D4E"/>
    <w:rsid w:val="37DD09A1"/>
    <w:rsid w:val="38090DB7"/>
    <w:rsid w:val="38111241"/>
    <w:rsid w:val="38156F95"/>
    <w:rsid w:val="382A5BF2"/>
    <w:rsid w:val="384E55E9"/>
    <w:rsid w:val="385E6B8E"/>
    <w:rsid w:val="38906A99"/>
    <w:rsid w:val="39106E64"/>
    <w:rsid w:val="391F631E"/>
    <w:rsid w:val="394368B9"/>
    <w:rsid w:val="39A72A32"/>
    <w:rsid w:val="39E37174"/>
    <w:rsid w:val="3A022290"/>
    <w:rsid w:val="3A0860BC"/>
    <w:rsid w:val="3AB331C1"/>
    <w:rsid w:val="3ACF78CF"/>
    <w:rsid w:val="3B0532F1"/>
    <w:rsid w:val="3B2D44E6"/>
    <w:rsid w:val="3B5E4280"/>
    <w:rsid w:val="3B9E6191"/>
    <w:rsid w:val="3BFE3EA6"/>
    <w:rsid w:val="3C3C1F52"/>
    <w:rsid w:val="3C6504EB"/>
    <w:rsid w:val="3CB60D47"/>
    <w:rsid w:val="3CC64D02"/>
    <w:rsid w:val="3CD27F98"/>
    <w:rsid w:val="3D3F6F8E"/>
    <w:rsid w:val="3D723C25"/>
    <w:rsid w:val="3D820C03"/>
    <w:rsid w:val="3D8D69A3"/>
    <w:rsid w:val="3DC254CA"/>
    <w:rsid w:val="3DDF607B"/>
    <w:rsid w:val="3E012496"/>
    <w:rsid w:val="3E015FF2"/>
    <w:rsid w:val="3E0738E2"/>
    <w:rsid w:val="3E543BED"/>
    <w:rsid w:val="3E5F0F6A"/>
    <w:rsid w:val="3EC3033B"/>
    <w:rsid w:val="3EC51715"/>
    <w:rsid w:val="3EF30AC2"/>
    <w:rsid w:val="3EFE0783"/>
    <w:rsid w:val="3F79605C"/>
    <w:rsid w:val="3F9F3D14"/>
    <w:rsid w:val="3FC217B1"/>
    <w:rsid w:val="3FFD0A3B"/>
    <w:rsid w:val="400F07A1"/>
    <w:rsid w:val="40160806"/>
    <w:rsid w:val="40593003"/>
    <w:rsid w:val="40630F8D"/>
    <w:rsid w:val="408F6A49"/>
    <w:rsid w:val="40C8729B"/>
    <w:rsid w:val="40EA7211"/>
    <w:rsid w:val="418256E1"/>
    <w:rsid w:val="41EC0D67"/>
    <w:rsid w:val="422D7327"/>
    <w:rsid w:val="42674891"/>
    <w:rsid w:val="428E0070"/>
    <w:rsid w:val="42B15B0D"/>
    <w:rsid w:val="42BB20B1"/>
    <w:rsid w:val="42C817D4"/>
    <w:rsid w:val="42E163F2"/>
    <w:rsid w:val="42F44377"/>
    <w:rsid w:val="431F37D9"/>
    <w:rsid w:val="43397FDC"/>
    <w:rsid w:val="435766B4"/>
    <w:rsid w:val="438374A9"/>
    <w:rsid w:val="438F3402"/>
    <w:rsid w:val="439B162A"/>
    <w:rsid w:val="43B104BA"/>
    <w:rsid w:val="43C57AC2"/>
    <w:rsid w:val="43EF0FE2"/>
    <w:rsid w:val="43FE4D82"/>
    <w:rsid w:val="44441786"/>
    <w:rsid w:val="447137A5"/>
    <w:rsid w:val="449A5D63"/>
    <w:rsid w:val="457C0654"/>
    <w:rsid w:val="457E67CF"/>
    <w:rsid w:val="45FB7CEC"/>
    <w:rsid w:val="46164604"/>
    <w:rsid w:val="461C4723"/>
    <w:rsid w:val="46205483"/>
    <w:rsid w:val="463B406B"/>
    <w:rsid w:val="46625A9C"/>
    <w:rsid w:val="466435C2"/>
    <w:rsid w:val="46A902D3"/>
    <w:rsid w:val="46B766BA"/>
    <w:rsid w:val="46E13C61"/>
    <w:rsid w:val="471E7C15"/>
    <w:rsid w:val="472C7F1C"/>
    <w:rsid w:val="47411B55"/>
    <w:rsid w:val="47680E90"/>
    <w:rsid w:val="477A1300"/>
    <w:rsid w:val="477C780F"/>
    <w:rsid w:val="47A76D05"/>
    <w:rsid w:val="47B02837"/>
    <w:rsid w:val="47C357D6"/>
    <w:rsid w:val="480E6A5C"/>
    <w:rsid w:val="48111527"/>
    <w:rsid w:val="48164D90"/>
    <w:rsid w:val="488A6A97"/>
    <w:rsid w:val="48AE4FC8"/>
    <w:rsid w:val="48DE348E"/>
    <w:rsid w:val="48F41770"/>
    <w:rsid w:val="4924528A"/>
    <w:rsid w:val="49575B2E"/>
    <w:rsid w:val="49A82C35"/>
    <w:rsid w:val="4A08695A"/>
    <w:rsid w:val="4A4611D5"/>
    <w:rsid w:val="4A5E6069"/>
    <w:rsid w:val="4A985F30"/>
    <w:rsid w:val="4AE03433"/>
    <w:rsid w:val="4B042693"/>
    <w:rsid w:val="4B1569D7"/>
    <w:rsid w:val="4B3A65C3"/>
    <w:rsid w:val="4B3C2D5F"/>
    <w:rsid w:val="4B7122DD"/>
    <w:rsid w:val="4B78366B"/>
    <w:rsid w:val="4B8D3D6B"/>
    <w:rsid w:val="4BC3391C"/>
    <w:rsid w:val="4BFD0F3F"/>
    <w:rsid w:val="4C137A41"/>
    <w:rsid w:val="4C4A3EEE"/>
    <w:rsid w:val="4C7B603F"/>
    <w:rsid w:val="4C93708C"/>
    <w:rsid w:val="4D187FC0"/>
    <w:rsid w:val="4D1A2C2C"/>
    <w:rsid w:val="4D1A7301"/>
    <w:rsid w:val="4D374A4E"/>
    <w:rsid w:val="4D484547"/>
    <w:rsid w:val="4D4D2858"/>
    <w:rsid w:val="4D583754"/>
    <w:rsid w:val="4D67080C"/>
    <w:rsid w:val="4D6D377D"/>
    <w:rsid w:val="4D7164BA"/>
    <w:rsid w:val="4D924C82"/>
    <w:rsid w:val="4D924EB8"/>
    <w:rsid w:val="4DAD54A5"/>
    <w:rsid w:val="4DAE15C6"/>
    <w:rsid w:val="4DB54F8B"/>
    <w:rsid w:val="4DC808DA"/>
    <w:rsid w:val="4E1A1B54"/>
    <w:rsid w:val="4E4953E3"/>
    <w:rsid w:val="4E6C395B"/>
    <w:rsid w:val="4F0F2539"/>
    <w:rsid w:val="4F735774"/>
    <w:rsid w:val="4FAC2659"/>
    <w:rsid w:val="4FB74A0E"/>
    <w:rsid w:val="4FF140EA"/>
    <w:rsid w:val="500259E5"/>
    <w:rsid w:val="50446212"/>
    <w:rsid w:val="505B3C87"/>
    <w:rsid w:val="50880BD9"/>
    <w:rsid w:val="50953002"/>
    <w:rsid w:val="50A43B2D"/>
    <w:rsid w:val="50B25872"/>
    <w:rsid w:val="50E13A61"/>
    <w:rsid w:val="50EA57CF"/>
    <w:rsid w:val="510D4856"/>
    <w:rsid w:val="514522B7"/>
    <w:rsid w:val="51856AE2"/>
    <w:rsid w:val="518E3CBC"/>
    <w:rsid w:val="51901536"/>
    <w:rsid w:val="519D5BA2"/>
    <w:rsid w:val="51BF63E8"/>
    <w:rsid w:val="51C25640"/>
    <w:rsid w:val="51CB10C5"/>
    <w:rsid w:val="51D13AD5"/>
    <w:rsid w:val="51ED634E"/>
    <w:rsid w:val="51F85506"/>
    <w:rsid w:val="52020133"/>
    <w:rsid w:val="520B5239"/>
    <w:rsid w:val="52102850"/>
    <w:rsid w:val="52195BA8"/>
    <w:rsid w:val="521D4F6D"/>
    <w:rsid w:val="52214A5D"/>
    <w:rsid w:val="524424F9"/>
    <w:rsid w:val="52734B8D"/>
    <w:rsid w:val="528079D5"/>
    <w:rsid w:val="52833022"/>
    <w:rsid w:val="52F061DD"/>
    <w:rsid w:val="530F48B5"/>
    <w:rsid w:val="531E0F9C"/>
    <w:rsid w:val="53350E5B"/>
    <w:rsid w:val="533D62D3"/>
    <w:rsid w:val="53557C46"/>
    <w:rsid w:val="53CF453C"/>
    <w:rsid w:val="54047E50"/>
    <w:rsid w:val="54300F87"/>
    <w:rsid w:val="543A648F"/>
    <w:rsid w:val="54505185"/>
    <w:rsid w:val="549922CD"/>
    <w:rsid w:val="549E0B9F"/>
    <w:rsid w:val="54A37966"/>
    <w:rsid w:val="54AD25D8"/>
    <w:rsid w:val="54C94F38"/>
    <w:rsid w:val="54E029AD"/>
    <w:rsid w:val="54E63D3C"/>
    <w:rsid w:val="559266D3"/>
    <w:rsid w:val="560964BA"/>
    <w:rsid w:val="56156687"/>
    <w:rsid w:val="5621327D"/>
    <w:rsid w:val="562B360A"/>
    <w:rsid w:val="56505911"/>
    <w:rsid w:val="569D1575"/>
    <w:rsid w:val="56C63FA1"/>
    <w:rsid w:val="571C1EF8"/>
    <w:rsid w:val="572172AD"/>
    <w:rsid w:val="57311684"/>
    <w:rsid w:val="5790175B"/>
    <w:rsid w:val="57A6268A"/>
    <w:rsid w:val="57C24573"/>
    <w:rsid w:val="57F14F89"/>
    <w:rsid w:val="585600F5"/>
    <w:rsid w:val="58D5293F"/>
    <w:rsid w:val="59170968"/>
    <w:rsid w:val="59352B9C"/>
    <w:rsid w:val="59814033"/>
    <w:rsid w:val="598B72DF"/>
    <w:rsid w:val="598D212C"/>
    <w:rsid w:val="59A85A64"/>
    <w:rsid w:val="59C339BE"/>
    <w:rsid w:val="59C97EB4"/>
    <w:rsid w:val="5A13386E"/>
    <w:rsid w:val="5A6279C1"/>
    <w:rsid w:val="5AC5138E"/>
    <w:rsid w:val="5AEB20AC"/>
    <w:rsid w:val="5B061518"/>
    <w:rsid w:val="5B2479CD"/>
    <w:rsid w:val="5B476268"/>
    <w:rsid w:val="5B540F34"/>
    <w:rsid w:val="5BB47213"/>
    <w:rsid w:val="5BE8230B"/>
    <w:rsid w:val="5C3D458D"/>
    <w:rsid w:val="5C5B25F2"/>
    <w:rsid w:val="5C7834CB"/>
    <w:rsid w:val="5C7B35AB"/>
    <w:rsid w:val="5CA95D7B"/>
    <w:rsid w:val="5CB941C4"/>
    <w:rsid w:val="5D0607CD"/>
    <w:rsid w:val="5D076885"/>
    <w:rsid w:val="5D2D2508"/>
    <w:rsid w:val="5D810890"/>
    <w:rsid w:val="5D8510BF"/>
    <w:rsid w:val="5D997B9D"/>
    <w:rsid w:val="5E3577AE"/>
    <w:rsid w:val="5E79177D"/>
    <w:rsid w:val="5E8428DD"/>
    <w:rsid w:val="5EFF443C"/>
    <w:rsid w:val="5F0266A5"/>
    <w:rsid w:val="5F25327F"/>
    <w:rsid w:val="5FA43E6F"/>
    <w:rsid w:val="5FBC6FBB"/>
    <w:rsid w:val="600D6620"/>
    <w:rsid w:val="6065020A"/>
    <w:rsid w:val="607E4984"/>
    <w:rsid w:val="60843F56"/>
    <w:rsid w:val="60A01243"/>
    <w:rsid w:val="60DE739B"/>
    <w:rsid w:val="60E80F1B"/>
    <w:rsid w:val="61033096"/>
    <w:rsid w:val="610712C2"/>
    <w:rsid w:val="610C0686"/>
    <w:rsid w:val="611A79C2"/>
    <w:rsid w:val="6126799A"/>
    <w:rsid w:val="618A1849"/>
    <w:rsid w:val="618B1EF3"/>
    <w:rsid w:val="619F38DC"/>
    <w:rsid w:val="61A02E51"/>
    <w:rsid w:val="61BE5E24"/>
    <w:rsid w:val="61D04CEA"/>
    <w:rsid w:val="61D45648"/>
    <w:rsid w:val="61EF253F"/>
    <w:rsid w:val="61F93300"/>
    <w:rsid w:val="62275704"/>
    <w:rsid w:val="624219DD"/>
    <w:rsid w:val="627029F7"/>
    <w:rsid w:val="63276DF7"/>
    <w:rsid w:val="633376A7"/>
    <w:rsid w:val="63456658"/>
    <w:rsid w:val="63D17CE2"/>
    <w:rsid w:val="63FE3188"/>
    <w:rsid w:val="6408782B"/>
    <w:rsid w:val="646066A0"/>
    <w:rsid w:val="646B1B68"/>
    <w:rsid w:val="64A16418"/>
    <w:rsid w:val="64A565FB"/>
    <w:rsid w:val="64AA6B34"/>
    <w:rsid w:val="64F920B9"/>
    <w:rsid w:val="656071F2"/>
    <w:rsid w:val="65B22539"/>
    <w:rsid w:val="66284E41"/>
    <w:rsid w:val="665C68CF"/>
    <w:rsid w:val="66776028"/>
    <w:rsid w:val="668272C8"/>
    <w:rsid w:val="66BE68C6"/>
    <w:rsid w:val="66C62D20"/>
    <w:rsid w:val="66DC0AFB"/>
    <w:rsid w:val="66ED2D08"/>
    <w:rsid w:val="66F016F9"/>
    <w:rsid w:val="67981871"/>
    <w:rsid w:val="67A55390"/>
    <w:rsid w:val="67D30150"/>
    <w:rsid w:val="67EA10C7"/>
    <w:rsid w:val="682B3AE8"/>
    <w:rsid w:val="682E05BC"/>
    <w:rsid w:val="68330BEE"/>
    <w:rsid w:val="686B660F"/>
    <w:rsid w:val="687E6E09"/>
    <w:rsid w:val="689A5EF2"/>
    <w:rsid w:val="68A8338A"/>
    <w:rsid w:val="68D15B28"/>
    <w:rsid w:val="68F24043"/>
    <w:rsid w:val="698E4C21"/>
    <w:rsid w:val="69B72903"/>
    <w:rsid w:val="69BD4C13"/>
    <w:rsid w:val="69D72179"/>
    <w:rsid w:val="69EC72A7"/>
    <w:rsid w:val="6A49294B"/>
    <w:rsid w:val="6A505BEF"/>
    <w:rsid w:val="6AAA3288"/>
    <w:rsid w:val="6AF042AC"/>
    <w:rsid w:val="6B427AC6"/>
    <w:rsid w:val="6B4F21E3"/>
    <w:rsid w:val="6B736FC6"/>
    <w:rsid w:val="6B797260"/>
    <w:rsid w:val="6B856401"/>
    <w:rsid w:val="6B8A57A4"/>
    <w:rsid w:val="6BA32C54"/>
    <w:rsid w:val="6C580C23"/>
    <w:rsid w:val="6C865790"/>
    <w:rsid w:val="6C9205D9"/>
    <w:rsid w:val="6C9F4259"/>
    <w:rsid w:val="6CD96208"/>
    <w:rsid w:val="6CE637B9"/>
    <w:rsid w:val="6D4225A4"/>
    <w:rsid w:val="6D827D2B"/>
    <w:rsid w:val="6DE035C6"/>
    <w:rsid w:val="6E1510FE"/>
    <w:rsid w:val="6E251368"/>
    <w:rsid w:val="6E837E8E"/>
    <w:rsid w:val="6EE43D75"/>
    <w:rsid w:val="6F3620D6"/>
    <w:rsid w:val="6F5A4CB2"/>
    <w:rsid w:val="6F886897"/>
    <w:rsid w:val="6F991C7F"/>
    <w:rsid w:val="6FAC19B2"/>
    <w:rsid w:val="6FAE40AE"/>
    <w:rsid w:val="6FFD3FBC"/>
    <w:rsid w:val="701D453F"/>
    <w:rsid w:val="70657DB3"/>
    <w:rsid w:val="70876228"/>
    <w:rsid w:val="70877D29"/>
    <w:rsid w:val="70B56644"/>
    <w:rsid w:val="71502811"/>
    <w:rsid w:val="717C7162"/>
    <w:rsid w:val="71EA67C2"/>
    <w:rsid w:val="723A2045"/>
    <w:rsid w:val="724E0824"/>
    <w:rsid w:val="72712A3F"/>
    <w:rsid w:val="727A7B45"/>
    <w:rsid w:val="72D2048F"/>
    <w:rsid w:val="73644352"/>
    <w:rsid w:val="737C5B3F"/>
    <w:rsid w:val="739B6C81"/>
    <w:rsid w:val="73A04C22"/>
    <w:rsid w:val="73A82490"/>
    <w:rsid w:val="73C90FC0"/>
    <w:rsid w:val="73FF760C"/>
    <w:rsid w:val="74464015"/>
    <w:rsid w:val="745E6FF3"/>
    <w:rsid w:val="7487654A"/>
    <w:rsid w:val="74B35814"/>
    <w:rsid w:val="74B84955"/>
    <w:rsid w:val="74BA6F8A"/>
    <w:rsid w:val="74CC145C"/>
    <w:rsid w:val="74CF151E"/>
    <w:rsid w:val="750D2EF3"/>
    <w:rsid w:val="75263FB5"/>
    <w:rsid w:val="754F09DB"/>
    <w:rsid w:val="75640268"/>
    <w:rsid w:val="758D7B90"/>
    <w:rsid w:val="75C722E6"/>
    <w:rsid w:val="761B33ED"/>
    <w:rsid w:val="764861AD"/>
    <w:rsid w:val="764F3097"/>
    <w:rsid w:val="76992564"/>
    <w:rsid w:val="76C45833"/>
    <w:rsid w:val="77DA2E34"/>
    <w:rsid w:val="77E93077"/>
    <w:rsid w:val="7815719B"/>
    <w:rsid w:val="782F2414"/>
    <w:rsid w:val="786A065C"/>
    <w:rsid w:val="786C6E8A"/>
    <w:rsid w:val="78743289"/>
    <w:rsid w:val="79181E66"/>
    <w:rsid w:val="7922228B"/>
    <w:rsid w:val="794310DE"/>
    <w:rsid w:val="797F3C93"/>
    <w:rsid w:val="79800EF9"/>
    <w:rsid w:val="79DA711C"/>
    <w:rsid w:val="79E42378"/>
    <w:rsid w:val="79ED50A1"/>
    <w:rsid w:val="7A6115EB"/>
    <w:rsid w:val="7A6A3710"/>
    <w:rsid w:val="7A6D6859"/>
    <w:rsid w:val="7A922E92"/>
    <w:rsid w:val="7AD67CB1"/>
    <w:rsid w:val="7AF35895"/>
    <w:rsid w:val="7AFB559C"/>
    <w:rsid w:val="7B156F4B"/>
    <w:rsid w:val="7B5D0004"/>
    <w:rsid w:val="7B7A2964"/>
    <w:rsid w:val="7B835697"/>
    <w:rsid w:val="7BE10C35"/>
    <w:rsid w:val="7BF070CA"/>
    <w:rsid w:val="7C077F70"/>
    <w:rsid w:val="7C7A659F"/>
    <w:rsid w:val="7C835F24"/>
    <w:rsid w:val="7C846278"/>
    <w:rsid w:val="7CAD41E9"/>
    <w:rsid w:val="7CC54FDF"/>
    <w:rsid w:val="7D642A0B"/>
    <w:rsid w:val="7DA27C62"/>
    <w:rsid w:val="7DAE3D9D"/>
    <w:rsid w:val="7DE20C95"/>
    <w:rsid w:val="7E19039E"/>
    <w:rsid w:val="7E292823"/>
    <w:rsid w:val="7E2F12D7"/>
    <w:rsid w:val="7E5E656D"/>
    <w:rsid w:val="7E7538B7"/>
    <w:rsid w:val="7EA21DFD"/>
    <w:rsid w:val="7EFD0E60"/>
    <w:rsid w:val="7F29157D"/>
    <w:rsid w:val="7F6E05FC"/>
    <w:rsid w:val="7F71407E"/>
    <w:rsid w:val="7F7719A8"/>
    <w:rsid w:val="7F964BF5"/>
    <w:rsid w:val="7FA23452"/>
    <w:rsid w:val="7FBC66B7"/>
    <w:rsid w:val="7FFA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0" w:firstLineChars="0"/>
    </w:pPr>
    <w:rPr>
      <w:rFonts w:ascii="仿宋" w:hAnsi="仿宋" w:eastAsia="仿宋" w:cs="Times New Roman"/>
      <w:kern w:val="2"/>
      <w:sz w:val="24"/>
      <w:szCs w:val="28"/>
      <w:lang w:val="en-US" w:eastAsia="zh-CN" w:bidi="ar-SA"/>
    </w:rPr>
  </w:style>
  <w:style w:type="paragraph" w:styleId="3">
    <w:name w:val="heading 1"/>
    <w:basedOn w:val="1"/>
    <w:next w:val="1"/>
    <w:link w:val="44"/>
    <w:autoRedefine/>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4">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5">
    <w:name w:val="heading 3"/>
    <w:basedOn w:val="1"/>
    <w:next w:val="6"/>
    <w:autoRedefine/>
    <w:qFormat/>
    <w:uiPriority w:val="0"/>
    <w:pPr>
      <w:keepNext/>
      <w:keepLines/>
      <w:spacing w:before="260" w:after="260" w:line="416" w:lineRule="auto"/>
      <w:outlineLvl w:val="2"/>
    </w:pPr>
    <w:rPr>
      <w:b/>
      <w:bCs/>
      <w:kern w:val="0"/>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adjustRightInd w:val="0"/>
      <w:snapToGrid w:val="0"/>
      <w:spacing w:line="360" w:lineRule="auto"/>
      <w:jc w:val="center"/>
    </w:pPr>
    <w:rPr>
      <w:rFonts w:ascii="宋体" w:hAnsi="宋体" w:cs="宋体"/>
      <w:bCs/>
      <w:kern w:val="0"/>
    </w:rPr>
  </w:style>
  <w:style w:type="paragraph" w:styleId="6">
    <w:name w:val="Normal Indent"/>
    <w:basedOn w:val="1"/>
    <w:autoRedefine/>
    <w:qFormat/>
    <w:uiPriority w:val="99"/>
    <w:pPr>
      <w:ind w:firstLine="420"/>
    </w:pPr>
    <w:rPr>
      <w:rFonts w:ascii="Arial Unicode MS" w:hAnsi="Arial Unicode MS" w:eastAsia="仿宋_GB2312"/>
      <w:sz w:val="32"/>
    </w:rPr>
  </w:style>
  <w:style w:type="paragraph" w:styleId="7">
    <w:name w:val="Body Text 3"/>
    <w:basedOn w:val="1"/>
    <w:autoRedefine/>
    <w:qFormat/>
    <w:uiPriority w:val="0"/>
    <w:rPr>
      <w:rFonts w:ascii="宋体"/>
      <w:sz w:val="24"/>
      <w:szCs w:val="20"/>
    </w:rPr>
  </w:style>
  <w:style w:type="paragraph" w:styleId="8">
    <w:name w:val="Body Text"/>
    <w:basedOn w:val="1"/>
    <w:autoRedefine/>
    <w:qFormat/>
    <w:uiPriority w:val="0"/>
    <w:pPr>
      <w:spacing w:after="120" w:afterLines="0"/>
    </w:pPr>
  </w:style>
  <w:style w:type="paragraph" w:styleId="9">
    <w:name w:val="Body Text Indent"/>
    <w:basedOn w:val="1"/>
    <w:next w:val="1"/>
    <w:autoRedefine/>
    <w:qFormat/>
    <w:uiPriority w:val="0"/>
    <w:pPr>
      <w:spacing w:after="120" w:afterLines="0"/>
      <w:ind w:left="420" w:leftChars="200"/>
    </w:pPr>
  </w:style>
  <w:style w:type="paragraph" w:styleId="10">
    <w:name w:val="Plain Text"/>
    <w:basedOn w:val="1"/>
    <w:autoRedefine/>
    <w:qFormat/>
    <w:uiPriority w:val="0"/>
    <w:rPr>
      <w:rFonts w:ascii="宋体" w:hAnsi="Courier New"/>
      <w:szCs w:val="21"/>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b/>
      <w:bCs/>
      <w:caps/>
      <w:sz w:val="20"/>
      <w:szCs w:val="20"/>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7">
    <w:name w:val="Body Text First Indent"/>
    <w:basedOn w:val="8"/>
    <w:next w:val="1"/>
    <w:autoRedefine/>
    <w:qFormat/>
    <w:uiPriority w:val="0"/>
    <w:pPr>
      <w:spacing w:line="312" w:lineRule="auto"/>
      <w:ind w:firstLine="420"/>
    </w:pPr>
  </w:style>
  <w:style w:type="paragraph" w:styleId="18">
    <w:name w:val="Body Text First Indent 2"/>
    <w:basedOn w:val="9"/>
    <w:next w:val="1"/>
    <w:autoRedefine/>
    <w:unhideWhenUsed/>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basedOn w:val="21"/>
    <w:autoRedefine/>
    <w:qFormat/>
    <w:uiPriority w:val="0"/>
    <w:rPr>
      <w:rFonts w:eastAsia="宋体"/>
      <w:lang w:val="en-US" w:eastAsia="zh-CN" w:bidi="ar-SA"/>
    </w:rPr>
  </w:style>
  <w:style w:type="character" w:styleId="24">
    <w:name w:val="FollowedHyperlink"/>
    <w:basedOn w:val="21"/>
    <w:autoRedefine/>
    <w:qFormat/>
    <w:uiPriority w:val="0"/>
    <w:rPr>
      <w:color w:val="333333"/>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333333"/>
      <w:u w:val="none"/>
    </w:rPr>
  </w:style>
  <w:style w:type="character" w:styleId="31">
    <w:name w:val="HTML Code"/>
    <w:basedOn w:val="21"/>
    <w:autoRedefine/>
    <w:qFormat/>
    <w:uiPriority w:val="0"/>
    <w:rPr>
      <w:rFonts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6">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7">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8">
    <w:name w:val="默认段落字体 Para Char"/>
    <w:basedOn w:val="1"/>
    <w:next w:val="1"/>
    <w:autoRedefine/>
    <w:qFormat/>
    <w:uiPriority w:val="0"/>
    <w:pPr>
      <w:adjustRightInd/>
      <w:snapToGrid/>
    </w:pPr>
    <w:rPr>
      <w:rFonts w:ascii="宋体" w:hAnsi="宋体" w:cs="宋体"/>
      <w:sz w:val="24"/>
    </w:rPr>
  </w:style>
  <w:style w:type="character" w:customStyle="1" w:styleId="39">
    <w:name w:val="font101"/>
    <w:basedOn w:val="21"/>
    <w:autoRedefine/>
    <w:qFormat/>
    <w:uiPriority w:val="0"/>
    <w:rPr>
      <w:rFonts w:hint="eastAsia" w:ascii="宋体" w:hAnsi="宋体" w:eastAsia="宋体" w:cs="宋体"/>
      <w:color w:val="000000"/>
      <w:sz w:val="20"/>
      <w:szCs w:val="20"/>
      <w:u w:val="none"/>
    </w:rPr>
  </w:style>
  <w:style w:type="paragraph" w:customStyle="1" w:styleId="40">
    <w:name w:val="样式 样式 标题 1 + 仿宋_GB2312 三号 左侧:  1 字符 首行缩进:  2 字符 右侧:  1 字符 行距: ....."/>
    <w:basedOn w:val="41"/>
    <w:autoRedefine/>
    <w:qFormat/>
    <w:uiPriority w:val="0"/>
    <w:pPr>
      <w:ind w:firstLine="100" w:firstLineChars="100"/>
    </w:pPr>
  </w:style>
  <w:style w:type="paragraph" w:customStyle="1" w:styleId="41">
    <w:name w:val="样式 标题 1 + 仿宋_GB2312 三号 左侧:  1 字符 首行缩进:  2 字符 右侧:  1 字符 行距: ..."/>
    <w:basedOn w:val="3"/>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2">
    <w:name w:val="须知 标题"/>
    <w:basedOn w:val="4"/>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3">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 w:type="character" w:customStyle="1" w:styleId="44">
    <w:name w:val="标题 1 Char"/>
    <w:link w:val="3"/>
    <w:autoRedefine/>
    <w:qFormat/>
    <w:uiPriority w:val="0"/>
    <w:rPr>
      <w:rFonts w:eastAsia="仿宋"/>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33065</Words>
  <Characters>34979</Characters>
  <Lines>0</Lines>
  <Paragraphs>0</Paragraphs>
  <TotalTime>209</TotalTime>
  <ScaleCrop>false</ScaleCrop>
  <LinksUpToDate>false</LinksUpToDate>
  <CharactersWithSpaces>37507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杨光普</cp:lastModifiedBy>
  <dcterms:modified xsi:type="dcterms:W3CDTF">2024-04-01T06:25:46Z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07C5A4BDAA1D4466807D5C8AD6E9C65B_13</vt:lpwstr>
  </property>
</Properties>
</file>