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hint="eastAsia"/>
          <w:color w:val="auto"/>
          <w:highlight w:val="none"/>
          <w:lang w:val="en-US" w:eastAsia="zh-CN"/>
        </w:rPr>
      </w:pPr>
    </w:p>
    <w:p>
      <w:pPr>
        <w:pStyle w:val="4"/>
        <w:rPr>
          <w:rFonts w:hint="eastAsia"/>
          <w:color w:val="auto"/>
          <w:highlight w:val="none"/>
          <w:lang w:val="en-US" w:eastAsia="zh-CN"/>
        </w:rPr>
      </w:pPr>
      <w:r>
        <w:rPr>
          <w:rFonts w:hint="eastAsia" w:ascii="宋体" w:hAnsi="宋体" w:cs="宋体"/>
          <w:b/>
          <w:bCs/>
          <w:color w:val="auto"/>
          <w:kern w:val="2"/>
          <w:sz w:val="56"/>
          <w:szCs w:val="56"/>
          <w:highlight w:val="none"/>
          <w:lang w:val="en-US" w:eastAsia="zh-CN" w:bidi="ar-SA"/>
        </w:rPr>
        <w:t>2023年吉林市龙潭区第二实验小学幼儿园园舍维修工程（二次）</w:t>
      </w:r>
    </w:p>
    <w:p>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84"/>
          <w:szCs w:val="84"/>
          <w:highlight w:val="none"/>
          <w:lang w:eastAsia="zh-CN"/>
        </w:rPr>
        <w:t>磋</w:t>
      </w:r>
      <w:r>
        <w:rPr>
          <w:rFonts w:hint="eastAsia" w:ascii="宋体" w:hAnsi="宋体" w:eastAsia="宋体" w:cs="宋体"/>
          <w:b/>
          <w:color w:val="auto"/>
          <w:sz w:val="84"/>
          <w:szCs w:val="84"/>
          <w:highlight w:val="none"/>
          <w:lang w:val="en-US" w:eastAsia="zh-CN"/>
        </w:rPr>
        <w:t xml:space="preserve"> </w:t>
      </w:r>
      <w:r>
        <w:rPr>
          <w:rFonts w:hint="eastAsia" w:ascii="宋体" w:hAnsi="宋体" w:eastAsia="宋体" w:cs="宋体"/>
          <w:b/>
          <w:color w:val="auto"/>
          <w:sz w:val="84"/>
          <w:szCs w:val="84"/>
          <w:highlight w:val="none"/>
          <w:lang w:eastAsia="zh-CN"/>
        </w:rPr>
        <w:t>商</w:t>
      </w:r>
      <w:r>
        <w:rPr>
          <w:rFonts w:hint="eastAsia" w:ascii="宋体" w:hAnsi="宋体" w:eastAsia="宋体" w:cs="宋体"/>
          <w:b/>
          <w:color w:val="auto"/>
          <w:sz w:val="84"/>
          <w:szCs w:val="84"/>
          <w:highlight w:val="none"/>
        </w:rPr>
        <w:t xml:space="preserve"> 文 件</w:t>
      </w:r>
    </w:p>
    <w:p>
      <w:pPr>
        <w:jc w:val="center"/>
        <w:rPr>
          <w:rFonts w:hint="eastAsia"/>
          <w:color w:val="auto"/>
          <w:highlight w:val="none"/>
          <w:lang w:eastAsia="zh-CN"/>
        </w:rPr>
      </w:pPr>
      <w:r>
        <w:rPr>
          <w:rFonts w:hint="eastAsia" w:ascii="宋体" w:hAnsi="宋体" w:eastAsia="宋体" w:cs="宋体"/>
          <w:b/>
          <w:color w:val="auto"/>
          <w:sz w:val="28"/>
          <w:szCs w:val="28"/>
          <w:highlight w:val="none"/>
        </w:rPr>
        <w:t>项目编号：</w:t>
      </w:r>
      <w:r>
        <w:rPr>
          <w:rFonts w:hint="eastAsia" w:ascii="宋体" w:hAnsi="宋体" w:cs="宋体"/>
          <w:b/>
          <w:color w:val="auto"/>
          <w:sz w:val="28"/>
          <w:szCs w:val="28"/>
          <w:highlight w:val="none"/>
          <w:lang w:eastAsia="zh-CN"/>
        </w:rPr>
        <w:t>采购计划-[202</w:t>
      </w:r>
      <w:r>
        <w:rPr>
          <w:rFonts w:hint="eastAsia" w:ascii="宋体" w:hAnsi="宋体" w:cs="宋体"/>
          <w:b/>
          <w:color w:val="auto"/>
          <w:sz w:val="28"/>
          <w:szCs w:val="28"/>
          <w:highlight w:val="none"/>
          <w:lang w:val="en-US" w:eastAsia="zh-CN"/>
        </w:rPr>
        <w:t>4</w:t>
      </w:r>
      <w:r>
        <w:rPr>
          <w:rFonts w:hint="eastAsia" w:ascii="宋体" w:hAnsi="宋体" w:cs="宋体"/>
          <w:b/>
          <w:color w:val="auto"/>
          <w:sz w:val="28"/>
          <w:szCs w:val="28"/>
          <w:highlight w:val="none"/>
          <w:lang w:eastAsia="zh-CN"/>
        </w:rPr>
        <w:t>]-000</w:t>
      </w:r>
      <w:r>
        <w:rPr>
          <w:rFonts w:hint="eastAsia" w:ascii="宋体" w:hAnsi="宋体" w:cs="宋体"/>
          <w:b/>
          <w:color w:val="auto"/>
          <w:sz w:val="28"/>
          <w:szCs w:val="28"/>
          <w:highlight w:val="none"/>
          <w:lang w:val="en-US" w:eastAsia="zh-CN"/>
        </w:rPr>
        <w:t>09</w:t>
      </w:r>
      <w:r>
        <w:rPr>
          <w:rFonts w:hint="eastAsia" w:ascii="宋体" w:hAnsi="宋体" w:cs="宋体"/>
          <w:b/>
          <w:color w:val="auto"/>
          <w:sz w:val="28"/>
          <w:szCs w:val="28"/>
          <w:highlight w:val="none"/>
          <w:lang w:eastAsia="zh-CN"/>
        </w:rPr>
        <w:t>号-0000</w:t>
      </w:r>
      <w:r>
        <w:rPr>
          <w:rFonts w:hint="eastAsia" w:ascii="宋体" w:hAnsi="宋体" w:cs="宋体"/>
          <w:b/>
          <w:color w:val="auto"/>
          <w:sz w:val="28"/>
          <w:szCs w:val="28"/>
          <w:highlight w:val="none"/>
          <w:lang w:val="en-US" w:eastAsia="zh-CN"/>
        </w:rPr>
        <w:t>2</w:t>
      </w: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94"/>
        <w:jc w:val="center"/>
        <w:rPr>
          <w:rFonts w:hint="eastAsia" w:eastAsia="宋体"/>
          <w:color w:val="auto"/>
          <w:highlight w:val="none"/>
          <w:lang w:eastAsia="zh-CN"/>
        </w:rPr>
      </w:pPr>
    </w:p>
    <w:p>
      <w:pPr>
        <w:pStyle w:val="29"/>
        <w:rPr>
          <w:rFonts w:hint="eastAsia"/>
          <w:color w:val="auto"/>
          <w:highlight w:val="none"/>
          <w:lang w:eastAsia="zh-CN"/>
        </w:rPr>
      </w:pPr>
    </w:p>
    <w:p>
      <w:pPr>
        <w:spacing w:line="440" w:lineRule="exact"/>
        <w:jc w:val="both"/>
        <w:rPr>
          <w:rFonts w:hint="eastAsia" w:ascii="宋体" w:hAnsi="宋体" w:eastAsia="宋体" w:cs="宋体"/>
          <w:b/>
          <w:color w:val="auto"/>
          <w:sz w:val="32"/>
          <w:szCs w:val="32"/>
          <w:highlight w:val="none"/>
          <w:lang w:eastAsia="zh-CN"/>
        </w:rPr>
      </w:pPr>
    </w:p>
    <w:p>
      <w:pPr>
        <w:spacing w:line="440" w:lineRule="exact"/>
        <w:ind w:firstLine="321" w:firstLineChars="100"/>
        <w:jc w:val="both"/>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val="en-US" w:eastAsia="zh-CN"/>
        </w:rPr>
        <w:t>采购人：吉林市龙潭区第二实验小学校</w:t>
      </w:r>
      <w:r>
        <w:rPr>
          <w:rFonts w:hint="eastAsia" w:ascii="宋体" w:hAnsi="宋体" w:eastAsia="宋体" w:cs="宋体"/>
          <w:b/>
          <w:color w:val="auto"/>
          <w:sz w:val="32"/>
          <w:szCs w:val="32"/>
          <w:highlight w:val="none"/>
          <w:lang w:eastAsia="zh-CN"/>
        </w:rPr>
        <w:t>（盖章）</w:t>
      </w:r>
    </w:p>
    <w:p>
      <w:pPr>
        <w:spacing w:line="440" w:lineRule="exact"/>
        <w:ind w:firstLine="1108" w:firstLineChars="345"/>
        <w:rPr>
          <w:rFonts w:hint="eastAsia" w:ascii="宋体" w:hAnsi="宋体" w:eastAsia="宋体" w:cs="宋体"/>
          <w:b/>
          <w:color w:val="auto"/>
          <w:sz w:val="32"/>
          <w:szCs w:val="32"/>
          <w:highlight w:val="none"/>
        </w:rPr>
      </w:pPr>
    </w:p>
    <w:p>
      <w:pPr>
        <w:spacing w:line="440" w:lineRule="exact"/>
        <w:ind w:firstLine="1108" w:firstLineChars="345"/>
        <w:rPr>
          <w:rFonts w:hint="eastAsia" w:ascii="宋体" w:hAnsi="宋体" w:eastAsia="宋体" w:cs="宋体"/>
          <w:b/>
          <w:color w:val="auto"/>
          <w:sz w:val="32"/>
          <w:szCs w:val="32"/>
          <w:highlight w:val="none"/>
        </w:rPr>
      </w:pPr>
    </w:p>
    <w:p>
      <w:pPr>
        <w:spacing w:line="440" w:lineRule="exact"/>
        <w:ind w:firstLine="321" w:firstLineChars="100"/>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lang w:val="en-US" w:eastAsia="zh-CN"/>
        </w:rPr>
        <w:t>采购</w:t>
      </w:r>
      <w:r>
        <w:rPr>
          <w:rFonts w:hint="eastAsia" w:ascii="宋体" w:hAnsi="宋体" w:eastAsia="宋体" w:cs="宋体"/>
          <w:b/>
          <w:color w:val="auto"/>
          <w:sz w:val="32"/>
          <w:szCs w:val="32"/>
          <w:highlight w:val="none"/>
          <w:lang w:eastAsia="zh-CN"/>
        </w:rPr>
        <w:t>代理机构</w:t>
      </w:r>
      <w:r>
        <w:rPr>
          <w:rFonts w:hint="eastAsia" w:ascii="宋体" w:hAnsi="宋体" w:eastAsia="宋体" w:cs="宋体"/>
          <w:b/>
          <w:color w:val="auto"/>
          <w:sz w:val="32"/>
          <w:szCs w:val="32"/>
          <w:highlight w:val="none"/>
        </w:rPr>
        <w:t>：</w:t>
      </w:r>
      <w:r>
        <w:rPr>
          <w:rFonts w:hint="eastAsia" w:ascii="宋体" w:hAnsi="宋体" w:cs="宋体"/>
          <w:b/>
          <w:color w:val="auto"/>
          <w:sz w:val="32"/>
          <w:szCs w:val="32"/>
          <w:highlight w:val="none"/>
          <w:lang w:eastAsia="zh-CN"/>
        </w:rPr>
        <w:t>吉林省建兴工程管理咨询有限公司</w:t>
      </w:r>
      <w:r>
        <w:rPr>
          <w:rFonts w:hint="eastAsia" w:ascii="宋体" w:hAnsi="宋体" w:eastAsia="宋体" w:cs="宋体"/>
          <w:b/>
          <w:color w:val="auto"/>
          <w:sz w:val="32"/>
          <w:szCs w:val="32"/>
          <w:highlight w:val="none"/>
          <w:lang w:eastAsia="zh-CN"/>
        </w:rPr>
        <w:t>（盖章）</w:t>
      </w:r>
    </w:p>
    <w:p>
      <w:pPr>
        <w:spacing w:line="400" w:lineRule="exact"/>
        <w:jc w:val="both"/>
        <w:rPr>
          <w:rFonts w:hint="eastAsia" w:ascii="宋体" w:hAnsi="宋体" w:eastAsia="宋体" w:cs="宋体"/>
          <w:b/>
          <w:color w:val="auto"/>
          <w:sz w:val="32"/>
          <w:szCs w:val="32"/>
          <w:highlight w:val="none"/>
        </w:rPr>
      </w:pPr>
    </w:p>
    <w:p>
      <w:pPr>
        <w:spacing w:line="400" w:lineRule="exact"/>
        <w:jc w:val="center"/>
        <w:rPr>
          <w:rFonts w:hint="eastAsia" w:ascii="宋体" w:hAnsi="宋体" w:eastAsia="宋体" w:cs="宋体"/>
          <w:b/>
          <w:color w:val="auto"/>
          <w:sz w:val="32"/>
          <w:szCs w:val="32"/>
          <w:highlight w:val="none"/>
        </w:rPr>
      </w:pPr>
    </w:p>
    <w:p>
      <w:pPr>
        <w:spacing w:line="400" w:lineRule="exact"/>
        <w:jc w:val="center"/>
        <w:rPr>
          <w:rFonts w:hint="eastAsia" w:ascii="宋体" w:hAnsi="宋体" w:cs="黑体"/>
          <w:b/>
          <w:color w:val="auto"/>
          <w:kern w:val="0"/>
          <w:sz w:val="44"/>
          <w:szCs w:val="28"/>
          <w:highlight w:val="none"/>
        </w:rPr>
      </w:pPr>
      <w:r>
        <w:rPr>
          <w:rFonts w:hint="eastAsia" w:ascii="宋体" w:hAnsi="宋体" w:eastAsia="宋体" w:cs="宋体"/>
          <w:b/>
          <w:color w:val="auto"/>
          <w:sz w:val="32"/>
          <w:szCs w:val="32"/>
          <w:highlight w:val="none"/>
        </w:rPr>
        <w:t xml:space="preserve">日    期： </w:t>
      </w:r>
      <w:r>
        <w:rPr>
          <w:rFonts w:hint="eastAsia" w:ascii="宋体" w:hAnsi="宋体" w:eastAsia="宋体" w:cs="宋体"/>
          <w:b/>
          <w:color w:val="auto"/>
          <w:sz w:val="32"/>
          <w:szCs w:val="32"/>
          <w:highlight w:val="none"/>
          <w:lang w:eastAsia="zh-CN"/>
        </w:rPr>
        <w:t>二○二</w:t>
      </w:r>
      <w:r>
        <w:rPr>
          <w:rFonts w:hint="eastAsia" w:ascii="宋体" w:hAnsi="宋体" w:cs="宋体"/>
          <w:b/>
          <w:color w:val="auto"/>
          <w:sz w:val="32"/>
          <w:szCs w:val="32"/>
          <w:highlight w:val="none"/>
          <w:lang w:eastAsia="zh-CN"/>
        </w:rPr>
        <w:t>四</w:t>
      </w:r>
      <w:r>
        <w:rPr>
          <w:rFonts w:hint="eastAsia" w:ascii="宋体" w:hAnsi="宋体" w:eastAsia="宋体" w:cs="宋体"/>
          <w:b/>
          <w:color w:val="auto"/>
          <w:sz w:val="32"/>
          <w:szCs w:val="32"/>
          <w:highlight w:val="none"/>
          <w:lang w:eastAsia="zh-CN"/>
        </w:rPr>
        <w:t>年</w:t>
      </w:r>
      <w:r>
        <w:rPr>
          <w:rFonts w:hint="eastAsia" w:ascii="宋体" w:hAnsi="宋体" w:cs="宋体"/>
          <w:b/>
          <w:color w:val="auto"/>
          <w:sz w:val="32"/>
          <w:szCs w:val="32"/>
          <w:highlight w:val="none"/>
          <w:lang w:eastAsia="zh-CN"/>
        </w:rPr>
        <w:t>四</w:t>
      </w:r>
      <w:r>
        <w:rPr>
          <w:rFonts w:hint="eastAsia" w:ascii="宋体" w:hAnsi="宋体" w:eastAsia="宋体" w:cs="宋体"/>
          <w:b/>
          <w:color w:val="auto"/>
          <w:sz w:val="32"/>
          <w:szCs w:val="32"/>
          <w:highlight w:val="none"/>
          <w:lang w:eastAsia="zh-CN"/>
        </w:rPr>
        <w:t>月</w:t>
      </w:r>
    </w:p>
    <w:p>
      <w:pPr>
        <w:spacing w:line="480" w:lineRule="auto"/>
        <w:jc w:val="center"/>
        <w:rPr>
          <w:rFonts w:hint="eastAsia" w:ascii="宋体" w:hAnsi="宋体" w:cs="黑体"/>
          <w:b/>
          <w:color w:val="auto"/>
          <w:kern w:val="0"/>
          <w:sz w:val="44"/>
          <w:szCs w:val="28"/>
          <w:highlight w:val="none"/>
        </w:rPr>
      </w:pPr>
      <w:bookmarkStart w:id="0" w:name="_Toc138238325"/>
    </w:p>
    <w:p>
      <w:pPr>
        <w:spacing w:line="480" w:lineRule="auto"/>
        <w:jc w:val="center"/>
        <w:rPr>
          <w:rFonts w:ascii="宋体" w:hAnsi="宋体" w:cs="黑体"/>
          <w:b/>
          <w:color w:val="auto"/>
          <w:kern w:val="0"/>
          <w:sz w:val="44"/>
          <w:szCs w:val="28"/>
          <w:highlight w:val="none"/>
        </w:rPr>
      </w:pPr>
      <w:r>
        <w:rPr>
          <w:rFonts w:hint="eastAsia" w:ascii="宋体" w:hAnsi="宋体" w:cs="黑体"/>
          <w:b/>
          <w:color w:val="auto"/>
          <w:kern w:val="0"/>
          <w:sz w:val="44"/>
          <w:szCs w:val="28"/>
          <w:highlight w:val="none"/>
        </w:rPr>
        <w:t>目</w:t>
      </w:r>
      <w:r>
        <w:rPr>
          <w:rFonts w:ascii="宋体" w:hAnsi="宋体" w:cs="黑体"/>
          <w:b/>
          <w:color w:val="auto"/>
          <w:kern w:val="0"/>
          <w:sz w:val="44"/>
          <w:szCs w:val="28"/>
          <w:highlight w:val="none"/>
        </w:rPr>
        <w:t xml:space="preserve"> </w:t>
      </w:r>
      <w:r>
        <w:rPr>
          <w:rFonts w:hint="eastAsia" w:ascii="宋体" w:hAnsi="宋体" w:cs="黑体"/>
          <w:b/>
          <w:color w:val="auto"/>
          <w:kern w:val="0"/>
          <w:sz w:val="44"/>
          <w:szCs w:val="28"/>
          <w:highlight w:val="none"/>
        </w:rPr>
        <w:t xml:space="preserve"> 录</w:t>
      </w:r>
    </w:p>
    <w:p>
      <w:pPr>
        <w:pStyle w:val="31"/>
        <w:tabs>
          <w:tab w:val="right" w:leader="dot" w:pos="8306"/>
        </w:tabs>
        <w:rPr>
          <w:rFonts w:hint="eastAsia" w:ascii="宋体" w:hAnsi="宋体" w:eastAsia="宋体" w:cs="宋体"/>
          <w:color w:val="auto"/>
          <w:highlight w:val="none"/>
        </w:rPr>
      </w:pPr>
      <w:r>
        <w:rPr>
          <w:rFonts w:hint="eastAsia" w:ascii="宋体" w:hAnsi="宋体" w:eastAsia="宋体" w:cs="宋体"/>
          <w:b/>
          <w:bCs/>
          <w:color w:val="auto"/>
          <w:kern w:val="0"/>
          <w:sz w:val="28"/>
          <w:szCs w:val="28"/>
          <w:highlight w:val="none"/>
        </w:rPr>
        <w:fldChar w:fldCharType="begin"/>
      </w:r>
      <w:r>
        <w:rPr>
          <w:rFonts w:hint="eastAsia" w:ascii="宋体" w:hAnsi="宋体" w:eastAsia="宋体" w:cs="宋体"/>
          <w:b/>
          <w:bCs/>
          <w:color w:val="auto"/>
          <w:kern w:val="0"/>
          <w:sz w:val="28"/>
          <w:szCs w:val="28"/>
          <w:highlight w:val="none"/>
        </w:rPr>
        <w:instrText xml:space="preserve">TOC \o "1-1" \h \u </w:instrText>
      </w:r>
      <w:r>
        <w:rPr>
          <w:rFonts w:hint="eastAsia" w:ascii="宋体" w:hAnsi="宋体" w:eastAsia="宋体" w:cs="宋体"/>
          <w:b/>
          <w:bCs/>
          <w:color w:val="auto"/>
          <w:kern w:val="0"/>
          <w:sz w:val="28"/>
          <w:szCs w:val="28"/>
          <w:highlight w:val="none"/>
        </w:rPr>
        <w:fldChar w:fldCharType="separate"/>
      </w: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_Toc10048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第一章  竞争性磋商公告</w:t>
      </w:r>
      <w:r>
        <w:rPr>
          <w:rFonts w:hint="eastAsia" w:ascii="宋体" w:hAnsi="宋体" w:eastAsia="宋体" w:cs="宋体"/>
          <w:color w:val="auto"/>
          <w:highlight w:val="none"/>
        </w:rPr>
        <w:tab/>
      </w:r>
      <w:r>
        <w:rPr>
          <w:rFonts w:hint="eastAsia" w:cs="宋体"/>
          <w:color w:val="auto"/>
          <w:highlight w:val="none"/>
          <w:lang w:val="en-US" w:eastAsia="zh-CN"/>
        </w:rPr>
        <w:t>1</w:t>
      </w:r>
      <w:r>
        <w:rPr>
          <w:rFonts w:hint="eastAsia" w:ascii="宋体" w:hAnsi="宋体" w:eastAsia="宋体" w:cs="宋体"/>
          <w:bCs/>
          <w:color w:val="auto"/>
          <w:kern w:val="0"/>
          <w:szCs w:val="28"/>
          <w:highlight w:val="none"/>
        </w:rPr>
        <w:fldChar w:fldCharType="end"/>
      </w:r>
    </w:p>
    <w:p>
      <w:pPr>
        <w:pStyle w:val="31"/>
        <w:tabs>
          <w:tab w:val="right" w:leader="dot" w:pos="8306"/>
        </w:tabs>
        <w:rPr>
          <w:rFonts w:hint="eastAsia" w:ascii="宋体" w:hAnsi="宋体" w:eastAsia="宋体" w:cs="宋体"/>
          <w:color w:val="auto"/>
          <w:highlight w:val="none"/>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_Toc8625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lang w:val="zh-CN"/>
        </w:rPr>
        <w:t>第二章  供应商须知</w:t>
      </w:r>
      <w:r>
        <w:rPr>
          <w:rFonts w:hint="eastAsia" w:ascii="宋体" w:hAnsi="宋体" w:eastAsia="宋体" w:cs="宋体"/>
          <w:color w:val="auto"/>
          <w:highlight w:val="none"/>
        </w:rPr>
        <w:tab/>
      </w:r>
      <w:r>
        <w:rPr>
          <w:rFonts w:hint="eastAsia" w:cs="宋体"/>
          <w:color w:val="auto"/>
          <w:highlight w:val="none"/>
          <w:lang w:val="en-US" w:eastAsia="zh-CN"/>
        </w:rPr>
        <w:t>4</w:t>
      </w:r>
      <w:r>
        <w:rPr>
          <w:rFonts w:hint="eastAsia" w:ascii="宋体" w:hAnsi="宋体" w:eastAsia="宋体" w:cs="宋体"/>
          <w:bCs/>
          <w:color w:val="auto"/>
          <w:kern w:val="0"/>
          <w:szCs w:val="28"/>
          <w:highlight w:val="none"/>
        </w:rPr>
        <w:fldChar w:fldCharType="end"/>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_Toc6451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第三章  评标方法</w:t>
      </w:r>
      <w:r>
        <w:rPr>
          <w:rFonts w:hint="eastAsia" w:ascii="宋体" w:hAnsi="宋体" w:eastAsia="宋体" w:cs="宋体"/>
          <w:color w:val="auto"/>
          <w:highlight w:val="none"/>
        </w:rPr>
        <w:tab/>
      </w:r>
      <w:r>
        <w:rPr>
          <w:rFonts w:hint="eastAsia" w:ascii="宋体" w:hAnsi="宋体" w:eastAsia="宋体" w:cs="宋体"/>
          <w:bCs/>
          <w:color w:val="auto"/>
          <w:kern w:val="0"/>
          <w:szCs w:val="28"/>
          <w:highlight w:val="none"/>
        </w:rPr>
        <w:fldChar w:fldCharType="end"/>
      </w:r>
      <w:r>
        <w:rPr>
          <w:rFonts w:hint="eastAsia" w:ascii="宋体" w:hAnsi="宋体" w:eastAsia="宋体" w:cs="宋体"/>
          <w:bCs/>
          <w:color w:val="auto"/>
          <w:kern w:val="0"/>
          <w:szCs w:val="28"/>
          <w:highlight w:val="none"/>
          <w:lang w:val="en-US" w:eastAsia="zh-CN"/>
        </w:rPr>
        <w:t>40</w:t>
      </w:r>
    </w:p>
    <w:p>
      <w:pPr>
        <w:pStyle w:val="31"/>
        <w:tabs>
          <w:tab w:val="right" w:leader="dot" w:pos="8306"/>
        </w:tabs>
        <w:rPr>
          <w:rFonts w:hint="eastAsia"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_Toc4640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第四章  合同条款及格式</w:t>
      </w:r>
      <w:r>
        <w:rPr>
          <w:rFonts w:hint="eastAsia" w:ascii="宋体" w:hAnsi="宋体" w:eastAsia="宋体" w:cs="宋体"/>
          <w:color w:val="auto"/>
          <w:highlight w:val="none"/>
        </w:rPr>
        <w:tab/>
      </w:r>
      <w:r>
        <w:rPr>
          <w:rFonts w:hint="eastAsia" w:cs="宋体"/>
          <w:color w:val="auto"/>
          <w:highlight w:val="none"/>
          <w:lang w:val="en-US" w:eastAsia="zh-CN"/>
        </w:rPr>
        <w:t>5</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3</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_Toc7669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第五章  工程量清单</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51</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_Toc2947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第六章  图纸</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52</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_Toc12821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第七章  技术标准和要求</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53</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_Toc17373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第八章  响应文件格式</w:t>
      </w:r>
      <w:r>
        <w:rPr>
          <w:rFonts w:hint="eastAsia" w:ascii="宋体" w:hAnsi="宋体" w:eastAsia="宋体" w:cs="宋体"/>
          <w:color w:val="auto"/>
          <w:highlight w:val="none"/>
        </w:rPr>
        <w:tab/>
      </w:r>
      <w:r>
        <w:rPr>
          <w:rFonts w:hint="eastAsia"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cs="宋体"/>
          <w:bCs/>
          <w:color w:val="auto"/>
          <w:kern w:val="0"/>
          <w:szCs w:val="28"/>
          <w:highlight w:val="none"/>
          <w:lang w:val="en-US" w:eastAsia="zh-CN"/>
        </w:rPr>
        <w:t>54</w:t>
      </w:r>
    </w:p>
    <w:p>
      <w:pPr>
        <w:pStyle w:val="31"/>
        <w:tabs>
          <w:tab w:val="right" w:leader="dot" w:pos="8306"/>
        </w:tabs>
        <w:rPr>
          <w:rFonts w:hint="default" w:ascii="宋体" w:hAnsi="宋体" w:eastAsia="宋体" w:cs="宋体"/>
          <w:color w:val="auto"/>
          <w:highlight w:val="none"/>
          <w:lang w:val="en-US" w:eastAsia="zh-CN"/>
        </w:rPr>
      </w:pPr>
      <w:r>
        <w:rPr>
          <w:rFonts w:hint="eastAsia" w:ascii="宋体" w:hAnsi="宋体" w:eastAsia="宋体" w:cs="宋体"/>
          <w:bCs/>
          <w:color w:val="auto"/>
          <w:kern w:val="0"/>
          <w:szCs w:val="28"/>
          <w:highlight w:val="none"/>
        </w:rPr>
        <w:fldChar w:fldCharType="begin"/>
      </w:r>
      <w:r>
        <w:rPr>
          <w:rFonts w:hint="eastAsia" w:ascii="宋体" w:hAnsi="宋体" w:eastAsia="宋体" w:cs="宋体"/>
          <w:bCs/>
          <w:color w:val="auto"/>
          <w:kern w:val="0"/>
          <w:szCs w:val="28"/>
          <w:highlight w:val="none"/>
        </w:rPr>
        <w:instrText xml:space="preserve"> HYPERLINK \l _Toc32664 </w:instrText>
      </w:r>
      <w:r>
        <w:rPr>
          <w:rFonts w:hint="eastAsia" w:ascii="宋体" w:hAnsi="宋体" w:eastAsia="宋体" w:cs="宋体"/>
          <w:bCs/>
          <w:color w:val="auto"/>
          <w:kern w:val="0"/>
          <w:szCs w:val="28"/>
          <w:highlight w:val="none"/>
        </w:rPr>
        <w:fldChar w:fldCharType="separate"/>
      </w:r>
      <w:r>
        <w:rPr>
          <w:rFonts w:hint="eastAsia" w:ascii="宋体" w:hAnsi="宋体" w:eastAsia="宋体" w:cs="宋体"/>
          <w:color w:val="auto"/>
          <w:highlight w:val="none"/>
        </w:rPr>
        <w:t>第九章  附件</w:t>
      </w:r>
      <w:r>
        <w:rPr>
          <w:rFonts w:hint="eastAsia" w:ascii="宋体" w:hAnsi="宋体" w:eastAsia="宋体" w:cs="宋体"/>
          <w:color w:val="auto"/>
          <w:highlight w:val="none"/>
        </w:rPr>
        <w:tab/>
      </w:r>
      <w:r>
        <w:rPr>
          <w:rFonts w:hint="eastAsia" w:ascii="宋体" w:hAnsi="宋体" w:eastAsia="宋体" w:cs="宋体"/>
          <w:color w:val="auto"/>
          <w:highlight w:val="none"/>
          <w:lang w:val="en-US" w:eastAsia="zh-CN"/>
        </w:rPr>
        <w:t>1</w:t>
      </w:r>
      <w:r>
        <w:rPr>
          <w:rFonts w:hint="eastAsia" w:ascii="宋体" w:hAnsi="宋体" w:eastAsia="宋体" w:cs="宋体"/>
          <w:bCs/>
          <w:color w:val="auto"/>
          <w:kern w:val="0"/>
          <w:szCs w:val="28"/>
          <w:highlight w:val="none"/>
        </w:rPr>
        <w:fldChar w:fldCharType="end"/>
      </w:r>
      <w:r>
        <w:rPr>
          <w:rFonts w:hint="eastAsia" w:ascii="宋体" w:hAnsi="宋体" w:eastAsia="宋体" w:cs="宋体"/>
          <w:bCs/>
          <w:color w:val="auto"/>
          <w:kern w:val="0"/>
          <w:szCs w:val="28"/>
          <w:highlight w:val="none"/>
          <w:lang w:val="en-US" w:eastAsia="zh-CN"/>
        </w:rPr>
        <w:t>8</w:t>
      </w:r>
      <w:r>
        <w:rPr>
          <w:rFonts w:hint="eastAsia" w:cs="宋体"/>
          <w:bCs/>
          <w:color w:val="auto"/>
          <w:kern w:val="0"/>
          <w:szCs w:val="28"/>
          <w:highlight w:val="none"/>
          <w:lang w:val="en-US" w:eastAsia="zh-CN"/>
        </w:rPr>
        <w:t>0</w:t>
      </w:r>
    </w:p>
    <w:p>
      <w:pPr>
        <w:pStyle w:val="3"/>
        <w:rPr>
          <w:rFonts w:asciiTheme="minorEastAsia" w:hAnsiTheme="minorEastAsia" w:eastAsiaTheme="minorEastAsia"/>
          <w:color w:val="auto"/>
          <w:sz w:val="48"/>
          <w:szCs w:val="48"/>
          <w:highlight w:val="none"/>
        </w:rPr>
      </w:pPr>
      <w:r>
        <w:rPr>
          <w:rFonts w:hint="eastAsia" w:ascii="宋体" w:hAnsi="宋体" w:eastAsia="宋体" w:cs="宋体"/>
          <w:bCs/>
          <w:color w:val="auto"/>
          <w:kern w:val="0"/>
          <w:szCs w:val="28"/>
          <w:highlight w:val="none"/>
        </w:rPr>
        <w:fldChar w:fldCharType="end"/>
      </w:r>
      <w:bookmarkEnd w:id="0"/>
    </w:p>
    <w:p>
      <w:pPr>
        <w:spacing w:line="400" w:lineRule="exact"/>
        <w:jc w:val="center"/>
        <w:rPr>
          <w:rFonts w:hint="eastAsia" w:ascii="宋体" w:hAnsi="宋体" w:cs="宋体"/>
          <w:b/>
          <w:bCs/>
          <w:color w:val="auto"/>
          <w:sz w:val="32"/>
          <w:szCs w:val="32"/>
          <w:highlight w:val="none"/>
          <w:shd w:val="clear" w:color="auto" w:fill="FFFFFF"/>
          <w:lang w:val="en-US" w:eastAsia="zh-CN"/>
        </w:rPr>
      </w:pPr>
      <w:bookmarkStart w:id="1" w:name="OLE_LINK9"/>
      <w:bookmarkStart w:id="2" w:name="OLE_LINK10"/>
      <w:bookmarkStart w:id="3" w:name="OLE_LINK14"/>
      <w:bookmarkStart w:id="4" w:name="OLE_LINK8"/>
      <w:bookmarkStart w:id="5" w:name="OLE_LINK6"/>
      <w:bookmarkStart w:id="6" w:name="OLE_LINK3"/>
      <w:bookmarkStart w:id="7" w:name="OLE_LINK7"/>
      <w:bookmarkStart w:id="8" w:name="OLE_LINK2"/>
      <w:bookmarkStart w:id="9" w:name="OLE_LINK5"/>
      <w:bookmarkStart w:id="10" w:name="OLE_LINK12"/>
      <w:bookmarkStart w:id="11" w:name="OLE_LINK15"/>
      <w:bookmarkStart w:id="12" w:name="OLE_LINK13"/>
      <w:bookmarkStart w:id="13" w:name="OLE_LINK11"/>
      <w:bookmarkStart w:id="14" w:name="OLE_LINK4"/>
      <w:bookmarkStart w:id="15" w:name="OLE_LINK22"/>
      <w:bookmarkStart w:id="16" w:name="OLE_LINK18"/>
      <w:bookmarkStart w:id="17" w:name="OLE_LINK16"/>
      <w:bookmarkStart w:id="18" w:name="OLE_LINK19"/>
      <w:bookmarkStart w:id="19" w:name="OLE_LINK21"/>
      <w:bookmarkStart w:id="20" w:name="OLE_LINK20"/>
      <w:bookmarkStart w:id="21" w:name="OLE_LINK17"/>
      <w:bookmarkStart w:id="22" w:name="OLE_LINK23"/>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spacing w:line="400" w:lineRule="exact"/>
        <w:jc w:val="center"/>
        <w:rPr>
          <w:rFonts w:hint="eastAsia" w:ascii="宋体" w:hAnsi="宋体" w:cs="宋体"/>
          <w:b/>
          <w:bCs/>
          <w:color w:val="auto"/>
          <w:sz w:val="32"/>
          <w:szCs w:val="32"/>
          <w:highlight w:val="none"/>
          <w:shd w:val="clear" w:color="auto" w:fill="FFFFFF"/>
          <w:lang w:val="en-US" w:eastAsia="zh-CN"/>
        </w:rPr>
      </w:pPr>
    </w:p>
    <w:p>
      <w:pPr>
        <w:pStyle w:val="4"/>
        <w:rPr>
          <w:rFonts w:hint="eastAsia" w:asciiTheme="minorEastAsia" w:hAnsiTheme="minorEastAsia" w:eastAsiaTheme="minorEastAsia"/>
          <w:color w:val="auto"/>
          <w:highlight w:val="none"/>
        </w:rPr>
        <w:sectPr>
          <w:headerReference r:id="rId3" w:type="default"/>
          <w:pgSz w:w="11906" w:h="16838"/>
          <w:pgMar w:top="1418" w:right="1418" w:bottom="1418" w:left="1701" w:header="851" w:footer="992" w:gutter="0"/>
          <w:pgNumType w:fmt="decimal" w:start="1"/>
          <w:cols w:space="425" w:num="1"/>
          <w:docGrid w:type="lines" w:linePitch="312" w:charSpace="0"/>
        </w:sectPr>
      </w:pPr>
      <w:bookmarkStart w:id="23" w:name="_Toc138238326"/>
    </w:p>
    <w:p>
      <w:pPr>
        <w:pStyle w:val="4"/>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第一章  </w:t>
      </w:r>
      <w:r>
        <w:rPr>
          <w:rFonts w:hint="eastAsia" w:asciiTheme="minorEastAsia" w:hAnsiTheme="minorEastAsia" w:eastAsiaTheme="minorEastAsia"/>
          <w:color w:val="auto"/>
          <w:highlight w:val="none"/>
          <w:lang w:val="en-US" w:eastAsia="zh-CN"/>
        </w:rPr>
        <w:t>竞争性</w:t>
      </w:r>
      <w:r>
        <w:rPr>
          <w:rFonts w:hint="eastAsia" w:asciiTheme="minorEastAsia" w:hAnsiTheme="minorEastAsia" w:eastAsiaTheme="minorEastAsia"/>
          <w:color w:val="auto"/>
          <w:highlight w:val="none"/>
        </w:rPr>
        <w:t>磋商公告</w:t>
      </w:r>
      <w:bookmarkEnd w:id="23"/>
    </w:p>
    <w:p>
      <w:pPr>
        <w:spacing w:line="400" w:lineRule="exact"/>
        <w:jc w:val="center"/>
        <w:rPr>
          <w:rFonts w:asciiTheme="minorEastAsia" w:hAnsiTheme="minorEastAsia" w:eastAsiaTheme="minorEastAsia"/>
          <w:b/>
          <w:color w:val="auto"/>
          <w:sz w:val="24"/>
          <w:highlight w:val="none"/>
        </w:rPr>
      </w:pPr>
      <w:r>
        <w:rPr>
          <w:rFonts w:hint="eastAsia" w:ascii="宋体" w:hAnsi="宋体" w:cs="宋体"/>
          <w:b/>
          <w:bCs/>
          <w:color w:val="auto"/>
          <w:sz w:val="32"/>
          <w:szCs w:val="32"/>
          <w:highlight w:val="none"/>
          <w:shd w:val="clear" w:color="auto" w:fill="FFFFFF"/>
          <w:lang w:val="en-US" w:eastAsia="zh-CN"/>
        </w:rPr>
        <w:t>2023年吉林市龙潭区第二实验小学幼儿园园舍维修工程（二次）</w:t>
      </w:r>
      <w:r>
        <w:rPr>
          <w:rFonts w:hint="eastAsia" w:ascii="宋体" w:hAnsi="宋体" w:eastAsia="宋体" w:cs="宋体"/>
          <w:b/>
          <w:bCs/>
          <w:color w:val="auto"/>
          <w:sz w:val="32"/>
          <w:szCs w:val="32"/>
          <w:highlight w:val="none"/>
          <w:shd w:val="clear" w:color="auto" w:fill="FFFFFF"/>
          <w:lang w:val="en-US" w:eastAsia="zh-CN"/>
        </w:rPr>
        <w:t>竞争性磋商</w:t>
      </w:r>
      <w:r>
        <w:rPr>
          <w:rFonts w:hint="eastAsia" w:ascii="宋体" w:hAnsi="宋体" w:eastAsia="宋体" w:cs="宋体"/>
          <w:b/>
          <w:bCs/>
          <w:color w:val="auto"/>
          <w:sz w:val="32"/>
          <w:szCs w:val="32"/>
          <w:highlight w:val="none"/>
          <w:shd w:val="clear" w:color="auto" w:fill="FFFFFF"/>
        </w:rPr>
        <w:t>公告</w:t>
      </w:r>
    </w:p>
    <w:bookmarkEnd w:id="1"/>
    <w:bookmarkEnd w:id="2"/>
    <w:bookmarkEnd w:id="3"/>
    <w:bookmarkEnd w:id="4"/>
    <w:bookmarkEnd w:id="5"/>
    <w:bookmarkEnd w:id="6"/>
    <w:bookmarkEnd w:id="7"/>
    <w:bookmarkEnd w:id="8"/>
    <w:bookmarkEnd w:id="9"/>
    <w:bookmarkEnd w:id="10"/>
    <w:bookmarkEnd w:id="11"/>
    <w:bookmarkEnd w:id="12"/>
    <w:bookmarkEnd w:id="13"/>
    <w:bookmarkEnd w:id="14"/>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vAlign w:val="center"/>
          </w:tcPr>
          <w:p>
            <w:pPr>
              <w:spacing w:line="320" w:lineRule="exact"/>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rPr>
              <w:t>项目概况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5000" w:type="pct"/>
            <w:vAlign w:val="center"/>
          </w:tcPr>
          <w:p>
            <w:pPr>
              <w:spacing w:line="320" w:lineRule="exact"/>
              <w:ind w:firstLine="420" w:firstLineChars="200"/>
              <w:jc w:val="left"/>
              <w:rPr>
                <w:rFonts w:asciiTheme="majorEastAsia" w:hAnsiTheme="majorEastAsia" w:eastAsiaTheme="majorEastAsia"/>
                <w:color w:val="auto"/>
                <w:highlight w:val="none"/>
              </w:rPr>
            </w:pPr>
            <w:r>
              <w:rPr>
                <w:rFonts w:hint="eastAsia" w:asciiTheme="majorEastAsia" w:hAnsiTheme="majorEastAsia" w:eastAsiaTheme="majorEastAsia"/>
                <w:color w:val="auto"/>
                <w:highlight w:val="none"/>
                <w:lang w:eastAsia="zh-CN"/>
              </w:rPr>
              <w:t>2023年吉林市龙潭区第二实验小学幼儿园园舍维修工程（二次）</w:t>
            </w:r>
            <w:r>
              <w:rPr>
                <w:rFonts w:hint="eastAsia" w:asciiTheme="majorEastAsia" w:hAnsiTheme="majorEastAsia" w:eastAsiaTheme="majorEastAsia"/>
                <w:color w:val="auto"/>
                <w:highlight w:val="none"/>
              </w:rPr>
              <w:t>采购项目的潜在供应商应在“政采云”平台</w:t>
            </w:r>
            <w:r>
              <w:rPr>
                <w:rFonts w:hint="eastAsia" w:asciiTheme="majorEastAsia" w:hAnsiTheme="majorEastAsia" w:eastAsiaTheme="majorEastAsia"/>
                <w:color w:val="auto"/>
                <w:highlight w:val="none"/>
                <w:lang w:eastAsia="zh-CN"/>
              </w:rPr>
              <w:t>（https://www.zcygov.cn/）</w:t>
            </w:r>
            <w:r>
              <w:rPr>
                <w:rFonts w:hint="eastAsia" w:asciiTheme="majorEastAsia" w:hAnsiTheme="majorEastAsia" w:eastAsiaTheme="majorEastAsia"/>
                <w:color w:val="auto"/>
                <w:highlight w:val="none"/>
              </w:rPr>
              <w:t>获取</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下载</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磋商文件，并于</w:t>
            </w:r>
            <w:r>
              <w:rPr>
                <w:rFonts w:hint="eastAsia" w:asciiTheme="majorEastAsia" w:hAnsiTheme="majorEastAsia" w:eastAsiaTheme="majorEastAsia"/>
                <w:color w:val="auto"/>
                <w:highlight w:val="none"/>
                <w:lang w:eastAsia="zh-CN"/>
              </w:rPr>
              <w:t>202</w:t>
            </w:r>
            <w:r>
              <w:rPr>
                <w:rFonts w:hint="eastAsia" w:asciiTheme="majorEastAsia" w:hAnsiTheme="majorEastAsia" w:eastAsiaTheme="majorEastAsia"/>
                <w:color w:val="auto"/>
                <w:highlight w:val="none"/>
                <w:lang w:val="en-US" w:eastAsia="zh-CN"/>
              </w:rPr>
              <w:t>4</w:t>
            </w:r>
            <w:r>
              <w:rPr>
                <w:rFonts w:hint="eastAsia" w:asciiTheme="majorEastAsia" w:hAnsiTheme="majorEastAsia" w:eastAsiaTheme="majorEastAsia"/>
                <w:color w:val="auto"/>
                <w:highlight w:val="none"/>
                <w:lang w:eastAsia="zh-CN"/>
              </w:rPr>
              <w:t>年</w:t>
            </w:r>
            <w:r>
              <w:rPr>
                <w:rFonts w:hint="eastAsia" w:asciiTheme="majorEastAsia" w:hAnsiTheme="majorEastAsia" w:eastAsiaTheme="majorEastAsia"/>
                <w:color w:val="auto"/>
                <w:highlight w:val="none"/>
                <w:lang w:val="en-US" w:eastAsia="zh-CN"/>
              </w:rPr>
              <w:t>04</w:t>
            </w:r>
            <w:r>
              <w:rPr>
                <w:rFonts w:hint="eastAsia" w:asciiTheme="majorEastAsia" w:hAnsiTheme="majorEastAsia" w:eastAsiaTheme="majorEastAsia"/>
                <w:color w:val="auto"/>
                <w:highlight w:val="none"/>
                <w:lang w:eastAsia="zh-CN"/>
              </w:rPr>
              <w:t>月</w:t>
            </w:r>
            <w:r>
              <w:rPr>
                <w:rFonts w:hint="eastAsia" w:asciiTheme="majorEastAsia" w:hAnsiTheme="majorEastAsia" w:eastAsiaTheme="majorEastAsia"/>
                <w:color w:val="auto"/>
                <w:highlight w:val="none"/>
                <w:lang w:val="en-US" w:eastAsia="zh-CN"/>
              </w:rPr>
              <w:t>19</w:t>
            </w:r>
            <w:r>
              <w:rPr>
                <w:rFonts w:hint="eastAsia" w:asciiTheme="majorEastAsia" w:hAnsiTheme="majorEastAsia" w:eastAsiaTheme="majorEastAsia"/>
                <w:color w:val="auto"/>
                <w:highlight w:val="none"/>
                <w:lang w:eastAsia="zh-CN"/>
              </w:rPr>
              <w:t>日</w:t>
            </w:r>
            <w:r>
              <w:rPr>
                <w:rFonts w:hint="eastAsia" w:asciiTheme="majorEastAsia" w:hAnsiTheme="majorEastAsia" w:eastAsiaTheme="majorEastAsia"/>
                <w:color w:val="auto"/>
                <w:highlight w:val="none"/>
                <w:lang w:val="en-US" w:eastAsia="zh-CN"/>
              </w:rPr>
              <w:t>13</w:t>
            </w:r>
            <w:r>
              <w:rPr>
                <w:rFonts w:hint="eastAsia" w:asciiTheme="majorEastAsia" w:hAnsiTheme="majorEastAsia" w:eastAsiaTheme="majorEastAsia"/>
                <w:color w:val="auto"/>
                <w:highlight w:val="none"/>
                <w:lang w:eastAsia="zh-CN"/>
              </w:rPr>
              <w:t>时30分（</w:t>
            </w:r>
            <w:r>
              <w:rPr>
                <w:rFonts w:hint="eastAsia" w:asciiTheme="majorEastAsia" w:hAnsiTheme="majorEastAsia" w:eastAsiaTheme="majorEastAsia"/>
                <w:color w:val="auto"/>
                <w:highlight w:val="none"/>
              </w:rPr>
              <w:t>北京时间</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前递交</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上传</w:t>
            </w:r>
            <w:r>
              <w:rPr>
                <w:rFonts w:hint="eastAsia" w:asciiTheme="majorEastAsia" w:hAnsiTheme="majorEastAsia" w:eastAsiaTheme="majorEastAsia"/>
                <w:color w:val="auto"/>
                <w:highlight w:val="none"/>
                <w:lang w:eastAsia="zh-CN"/>
              </w:rPr>
              <w:t>）</w:t>
            </w:r>
            <w:r>
              <w:rPr>
                <w:rFonts w:hint="eastAsia" w:asciiTheme="majorEastAsia" w:hAnsiTheme="majorEastAsia" w:eastAsiaTheme="majorEastAsia"/>
                <w:color w:val="auto"/>
                <w:highlight w:val="none"/>
              </w:rPr>
              <w:t>响应文件。</w:t>
            </w:r>
          </w:p>
        </w:tc>
      </w:tr>
    </w:tbl>
    <w:p>
      <w:pPr>
        <w:spacing w:line="300" w:lineRule="exact"/>
        <w:rPr>
          <w:rFonts w:asciiTheme="minorEastAsia" w:hAnsiTheme="minorEastAsia"/>
          <w:b/>
          <w:color w:val="auto"/>
          <w:highlight w:val="none"/>
        </w:rPr>
      </w:pPr>
      <w:r>
        <w:rPr>
          <w:rFonts w:hint="eastAsia" w:asciiTheme="minorEastAsia" w:hAnsiTheme="minorEastAsia"/>
          <w:b/>
          <w:color w:val="auto"/>
          <w:highlight w:val="none"/>
        </w:rPr>
        <w:t>一、项目基本情况</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1、项目名称：</w:t>
      </w:r>
      <w:r>
        <w:rPr>
          <w:rFonts w:hint="eastAsia" w:asciiTheme="minorEastAsia" w:hAnsiTheme="minorEastAsia"/>
          <w:color w:val="auto"/>
          <w:highlight w:val="none"/>
          <w:lang w:eastAsia="zh-CN"/>
        </w:rPr>
        <w:t>2023年吉林市龙潭区第二实验小学幼儿园园舍维修工程（二次）</w:t>
      </w:r>
      <w:r>
        <w:rPr>
          <w:rFonts w:hint="eastAsia" w:asciiTheme="minorEastAsia" w:hAnsiTheme="minorEastAsia"/>
          <w:color w:val="auto"/>
          <w:highlight w:val="none"/>
        </w:rPr>
        <w:t>；</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2、项目编号：</w:t>
      </w:r>
      <w:r>
        <w:rPr>
          <w:rFonts w:hint="eastAsia" w:asciiTheme="minorEastAsia" w:hAnsiTheme="minorEastAsia"/>
          <w:color w:val="auto"/>
          <w:highlight w:val="none"/>
          <w:lang w:eastAsia="zh-CN"/>
        </w:rPr>
        <w:t>采购计划-[202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]-000</w:t>
      </w:r>
      <w:r>
        <w:rPr>
          <w:rFonts w:hint="eastAsia" w:asciiTheme="minorEastAsia" w:hAnsiTheme="minorEastAsia"/>
          <w:color w:val="auto"/>
          <w:highlight w:val="none"/>
          <w:lang w:val="en-US" w:eastAsia="zh-CN"/>
        </w:rPr>
        <w:t>09</w:t>
      </w:r>
      <w:r>
        <w:rPr>
          <w:rFonts w:hint="eastAsia" w:asciiTheme="minorEastAsia" w:hAnsiTheme="minorEastAsia"/>
          <w:color w:val="auto"/>
          <w:highlight w:val="none"/>
          <w:lang w:eastAsia="zh-CN"/>
        </w:rPr>
        <w:t>号-0000</w:t>
      </w:r>
      <w:r>
        <w:rPr>
          <w:rFonts w:hint="eastAsia" w:asciiTheme="minorEastAsia" w:hAnsiTheme="minorEastAsia"/>
          <w:color w:val="auto"/>
          <w:highlight w:val="none"/>
          <w:lang w:val="en-US" w:eastAsia="zh-CN"/>
        </w:rPr>
        <w:t>2</w:t>
      </w:r>
      <w:r>
        <w:rPr>
          <w:rFonts w:hint="eastAsia" w:asciiTheme="minorEastAsia" w:hAnsiTheme="minorEastAsia"/>
          <w:color w:val="auto"/>
          <w:highlight w:val="none"/>
        </w:rPr>
        <w:t>；</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3、采购方式：竞争性磋商；</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4、预算金额：</w:t>
      </w:r>
      <w:r>
        <w:rPr>
          <w:rFonts w:hint="eastAsia" w:asciiTheme="minorEastAsia" w:hAnsiTheme="minorEastAsia"/>
          <w:color w:val="auto"/>
          <w:highlight w:val="none"/>
          <w:lang w:val="en-US" w:eastAsia="zh-CN"/>
        </w:rPr>
        <w:t>140</w:t>
      </w:r>
      <w:r>
        <w:rPr>
          <w:rFonts w:hint="eastAsia" w:asciiTheme="minorEastAsia" w:hAnsiTheme="minorEastAsia"/>
          <w:color w:val="auto"/>
          <w:highlight w:val="none"/>
          <w:lang w:eastAsia="zh-CN"/>
        </w:rPr>
        <w:t>万元</w:t>
      </w:r>
      <w:r>
        <w:rPr>
          <w:rFonts w:hint="eastAsia" w:asciiTheme="minorEastAsia" w:hAnsiTheme="minorEastAsia"/>
          <w:color w:val="auto"/>
          <w:highlight w:val="none"/>
        </w:rPr>
        <w:t>（人民币）；</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5、最高限价：</w:t>
      </w:r>
      <w:bookmarkStart w:id="1608" w:name="_GoBack"/>
      <w:r>
        <w:rPr>
          <w:rFonts w:hint="eastAsia" w:asciiTheme="minorEastAsia" w:hAnsiTheme="minorEastAsia"/>
          <w:color w:val="auto"/>
          <w:highlight w:val="none"/>
          <w:lang w:val="en-US" w:eastAsia="zh-CN"/>
        </w:rPr>
        <w:t>138.08</w:t>
      </w:r>
      <w:bookmarkEnd w:id="1608"/>
      <w:r>
        <w:rPr>
          <w:rFonts w:hint="eastAsia" w:asciiTheme="minorEastAsia" w:hAnsiTheme="minorEastAsia"/>
          <w:color w:val="auto"/>
          <w:highlight w:val="none"/>
          <w:lang w:eastAsia="zh-CN"/>
        </w:rPr>
        <w:t>万元</w:t>
      </w:r>
      <w:r>
        <w:rPr>
          <w:rFonts w:hint="eastAsia" w:asciiTheme="minorEastAsia" w:hAnsiTheme="minorEastAsia"/>
          <w:color w:val="auto"/>
          <w:highlight w:val="none"/>
        </w:rPr>
        <w:t>（人民币）；</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6、采购需求：</w:t>
      </w:r>
      <w:r>
        <w:rPr>
          <w:rFonts w:hint="eastAsia" w:asciiTheme="minorEastAsia" w:hAnsiTheme="minorEastAsia"/>
          <w:color w:val="auto"/>
          <w:highlight w:val="none"/>
          <w:lang w:eastAsia="zh-CN"/>
        </w:rPr>
        <w:t>吉林市龙潭区第二实验小学幼儿园园舍维修工程</w:t>
      </w:r>
      <w:r>
        <w:rPr>
          <w:rFonts w:hint="eastAsia" w:asciiTheme="minorEastAsia" w:hAnsiTheme="minorEastAsia"/>
          <w:color w:val="auto"/>
          <w:highlight w:val="none"/>
        </w:rPr>
        <w:t>（详见磋商文件）；</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7、施工范围：工程量清单及施工图纸范围内的工程施工；</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8、资金来源：财政资金；</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9、质量</w:t>
      </w:r>
      <w:r>
        <w:rPr>
          <w:rFonts w:hint="eastAsia" w:asciiTheme="minorEastAsia" w:hAnsiTheme="minorEastAsia"/>
          <w:color w:val="auto"/>
          <w:highlight w:val="none"/>
          <w:lang w:val="en-US" w:eastAsia="zh-CN"/>
        </w:rPr>
        <w:t>标准</w:t>
      </w:r>
      <w:r>
        <w:rPr>
          <w:rFonts w:hint="eastAsia" w:asciiTheme="minorEastAsia" w:hAnsiTheme="minorEastAsia"/>
          <w:color w:val="auto"/>
          <w:highlight w:val="none"/>
        </w:rPr>
        <w:t>：符合国家现行相关工程质量验收标准的合格工程标准；</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10、计划工期：自合同签订之日起152日历日内</w:t>
      </w:r>
      <w:r>
        <w:rPr>
          <w:rFonts w:hint="eastAsia" w:asciiTheme="minorEastAsia" w:hAnsiTheme="minorEastAsia"/>
          <w:color w:val="auto"/>
          <w:highlight w:val="none"/>
          <w:lang w:eastAsia="zh-CN"/>
        </w:rPr>
        <w:t>完成</w:t>
      </w:r>
      <w:r>
        <w:rPr>
          <w:rFonts w:hint="eastAsia" w:asciiTheme="minorEastAsia" w:hAnsiTheme="minorEastAsia"/>
          <w:color w:val="auto"/>
          <w:highlight w:val="none"/>
        </w:rPr>
        <w:t>；</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11、建设地点：</w:t>
      </w:r>
      <w:r>
        <w:rPr>
          <w:rFonts w:hint="eastAsia" w:asciiTheme="minorEastAsia" w:hAnsiTheme="minorEastAsia"/>
          <w:color w:val="auto"/>
          <w:highlight w:val="none"/>
          <w:lang w:eastAsia="zh-CN"/>
        </w:rPr>
        <w:t>吉林市龙潭区第二实验小学幼儿园</w:t>
      </w:r>
      <w:r>
        <w:rPr>
          <w:rFonts w:hint="eastAsia" w:asciiTheme="minorEastAsia" w:hAnsiTheme="minorEastAsia"/>
          <w:color w:val="auto"/>
          <w:highlight w:val="none"/>
        </w:rPr>
        <w:t>；</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12、资格审查方式：资格后审；</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13、合同履行期限：自合同签订之日起至合同履行完毕；</w:t>
      </w:r>
    </w:p>
    <w:p>
      <w:pPr>
        <w:spacing w:line="300" w:lineRule="exact"/>
        <w:ind w:firstLine="210" w:firstLineChars="100"/>
        <w:rPr>
          <w:rFonts w:hint="eastAsia" w:asciiTheme="minorEastAsia" w:hAnsiTheme="minorEastAsia"/>
          <w:color w:val="auto"/>
          <w:highlight w:val="none"/>
        </w:rPr>
      </w:pPr>
      <w:r>
        <w:rPr>
          <w:rFonts w:hint="eastAsia" w:asciiTheme="minorEastAsia" w:hAnsiTheme="minorEastAsia"/>
          <w:color w:val="auto"/>
          <w:highlight w:val="none"/>
        </w:rPr>
        <w:t>14、本项目不接受联合体投标。</w:t>
      </w:r>
    </w:p>
    <w:p>
      <w:pPr>
        <w:spacing w:line="300" w:lineRule="exact"/>
        <w:rPr>
          <w:rFonts w:ascii="宋体"/>
          <w:b/>
          <w:color w:val="auto"/>
          <w:highlight w:val="none"/>
        </w:rPr>
      </w:pPr>
      <w:r>
        <w:rPr>
          <w:rFonts w:hint="eastAsia" w:ascii="宋体" w:hAnsi="宋体"/>
          <w:b/>
          <w:color w:val="auto"/>
          <w:highlight w:val="none"/>
        </w:rPr>
        <w:t>二</w:t>
      </w:r>
      <w:r>
        <w:rPr>
          <w:rFonts w:hint="eastAsia" w:ascii="宋体"/>
          <w:b/>
          <w:color w:val="auto"/>
          <w:highlight w:val="none"/>
        </w:rPr>
        <w:t>、</w:t>
      </w:r>
      <w:r>
        <w:rPr>
          <w:rFonts w:hint="eastAsia" w:ascii="宋体" w:hAnsi="宋体"/>
          <w:b/>
          <w:color w:val="auto"/>
          <w:highlight w:val="none"/>
        </w:rPr>
        <w:t>申请人的资格要求</w:t>
      </w:r>
    </w:p>
    <w:p>
      <w:pPr>
        <w:spacing w:line="300" w:lineRule="exact"/>
        <w:ind w:firstLine="420" w:firstLineChars="200"/>
        <w:rPr>
          <w:rFonts w:hint="eastAsia" w:eastAsia="宋体" w:asciiTheme="minorEastAsia" w:hAnsiTheme="minorEastAsia"/>
          <w:color w:val="auto"/>
          <w:highlight w:val="none"/>
          <w:lang w:eastAsia="zh-CN"/>
        </w:rPr>
      </w:pPr>
      <w:r>
        <w:rPr>
          <w:rFonts w:hint="eastAsia" w:ascii="宋体" w:hAnsi="宋体"/>
          <w:color w:val="auto"/>
          <w:highlight w:val="none"/>
        </w:rPr>
        <w:t>1、</w:t>
      </w:r>
      <w:r>
        <w:rPr>
          <w:rFonts w:hint="eastAsia" w:asciiTheme="minorEastAsia" w:hAnsiTheme="minorEastAsia"/>
          <w:color w:val="auto"/>
          <w:highlight w:val="none"/>
        </w:rPr>
        <w:t>满足《中华人民共和国政府采购法》第二十二条规定</w:t>
      </w:r>
      <w:r>
        <w:rPr>
          <w:rFonts w:hint="eastAsia" w:asciiTheme="minorEastAsia" w:hAnsiTheme="minorEastAsia"/>
          <w:color w:val="auto"/>
          <w:highlight w:val="none"/>
          <w:lang w:eastAsia="zh-CN"/>
        </w:rPr>
        <w:t>；</w:t>
      </w:r>
    </w:p>
    <w:p>
      <w:pPr>
        <w:spacing w:line="3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2、落实政府采购政策需满足的资格要求：</w:t>
      </w:r>
    </w:p>
    <w:p>
      <w:pPr>
        <w:spacing w:line="3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本项目专门面向中小企业采购，依据《政府采购促进中小企业发展管理办法》（财库﹝2020﹞46 号）、《关于政府采购支持监狱企业发展有关问题的通知》（财库〔2014〕68号）、《财政部 民政部 中国残疾人联合会关于促进残疾人就业政府采购政策的通知》（财库〔2017〕141号），供应商应为中型企业或小型企业或微型企业，残疾人福利性单位、监狱单位视同小型、微型企业，享受本项目专门面向中小企业采购的政策。本次采购活动对于满足国家采购政策要求的供应商按照相关规定的扶持政策执行</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具体详见采购文件；</w:t>
      </w:r>
    </w:p>
    <w:p>
      <w:pPr>
        <w:spacing w:line="300" w:lineRule="exact"/>
        <w:ind w:firstLine="420" w:firstLineChars="200"/>
        <w:rPr>
          <w:rFonts w:ascii="宋体" w:hAnsi="宋体"/>
          <w:color w:val="auto"/>
          <w:highlight w:val="none"/>
        </w:rPr>
      </w:pPr>
      <w:r>
        <w:rPr>
          <w:rFonts w:hint="eastAsia" w:asciiTheme="minorEastAsia" w:hAnsiTheme="minorEastAsia"/>
          <w:color w:val="auto"/>
          <w:highlight w:val="none"/>
        </w:rPr>
        <w:t>3、本项目的特定资格要求：</w:t>
      </w:r>
    </w:p>
    <w:p>
      <w:pPr>
        <w:spacing w:line="300" w:lineRule="exact"/>
        <w:ind w:firstLine="420" w:firstLineChars="200"/>
        <w:rPr>
          <w:rFonts w:ascii="宋体"/>
          <w:color w:val="auto"/>
          <w:highlight w:val="none"/>
        </w:rPr>
      </w:pPr>
      <w:r>
        <w:rPr>
          <w:rFonts w:hint="eastAsia" w:ascii="宋体" w:hAnsi="宋体"/>
          <w:color w:val="auto"/>
          <w:highlight w:val="none"/>
        </w:rPr>
        <w:t>（1）供应商须具备建筑工程施工总承包叁级及以上资质，并具备有效的安全生产许可证，在人员、设备、资金等方面具有相应的施工能力；</w:t>
      </w:r>
    </w:p>
    <w:p>
      <w:pPr>
        <w:spacing w:line="300" w:lineRule="exact"/>
        <w:ind w:firstLine="420" w:firstLineChars="200"/>
        <w:rPr>
          <w:rFonts w:ascii="宋体"/>
          <w:color w:val="auto"/>
          <w:highlight w:val="none"/>
        </w:rPr>
      </w:pPr>
      <w:r>
        <w:rPr>
          <w:rFonts w:hint="eastAsia" w:ascii="宋体" w:hAnsi="宋体"/>
          <w:color w:val="auto"/>
          <w:highlight w:val="none"/>
        </w:rPr>
        <w:t>（2）拟派出的项目经理须具备建筑工程专业二级及以上注册建造师执业资格，具备有效的安全生产考核合格证，且无在建工程；</w:t>
      </w:r>
    </w:p>
    <w:p>
      <w:pPr>
        <w:spacing w:line="300" w:lineRule="exact"/>
        <w:ind w:firstLine="420" w:firstLineChars="200"/>
        <w:rPr>
          <w:rFonts w:ascii="宋体"/>
          <w:color w:val="auto"/>
          <w:highlight w:val="none"/>
        </w:rPr>
      </w:pPr>
      <w:r>
        <w:rPr>
          <w:rFonts w:hint="eastAsia" w:ascii="宋体" w:hAnsi="宋体"/>
          <w:color w:val="auto"/>
          <w:highlight w:val="none"/>
        </w:rPr>
        <w:t>（3）外省入吉建筑企业应按照相关要求在“吉林省建筑市场监管公共服务平台”办理入吉企业信息登记后方可参加投标，凡在“吉林省建筑市场监管公共服务平台”查询不到的企业和管理人员，不得参与投标报名；</w:t>
      </w:r>
    </w:p>
    <w:p>
      <w:pPr>
        <w:spacing w:line="300" w:lineRule="exact"/>
        <w:ind w:firstLine="420" w:firstLineChars="200"/>
        <w:rPr>
          <w:rFonts w:ascii="宋体"/>
          <w:color w:val="auto"/>
          <w:highlight w:val="none"/>
        </w:rPr>
      </w:pPr>
      <w:r>
        <w:rPr>
          <w:rFonts w:hint="eastAsia" w:ascii="宋体" w:hAnsi="宋体"/>
          <w:color w:val="auto"/>
          <w:highlight w:val="none"/>
        </w:rPr>
        <w:t>（4）拒绝列入政府取消投标资格记录期间的企业或个人投标；</w:t>
      </w:r>
    </w:p>
    <w:p>
      <w:pPr>
        <w:spacing w:line="300" w:lineRule="exact"/>
        <w:ind w:firstLine="420" w:firstLineChars="200"/>
        <w:rPr>
          <w:rFonts w:hint="eastAsia" w:ascii="宋体" w:eastAsia="宋体"/>
          <w:color w:val="auto"/>
          <w:highlight w:val="none"/>
          <w:lang w:eastAsia="zh-CN"/>
        </w:rPr>
      </w:pPr>
      <w:r>
        <w:rPr>
          <w:rFonts w:hint="eastAsia" w:ascii="宋体" w:hAnsi="宋体"/>
          <w:color w:val="auto"/>
          <w:highlight w:val="none"/>
        </w:rPr>
        <w:t>（5）供应商须在“中国裁判文书网”（wenshu.court.gov.cn）无行贿犯罪记录：本单位（案由：单位行贿罪）和个人（指法定代表人）（案由：行贿罪）</w:t>
      </w:r>
      <w:r>
        <w:rPr>
          <w:rFonts w:hint="eastAsia" w:ascii="宋体" w:hAnsi="宋体"/>
          <w:color w:val="auto"/>
          <w:highlight w:val="none"/>
          <w:lang w:eastAsia="zh-CN"/>
        </w:rPr>
        <w:t>；</w:t>
      </w:r>
    </w:p>
    <w:p>
      <w:pPr>
        <w:spacing w:line="300" w:lineRule="exact"/>
        <w:ind w:firstLine="420" w:firstLineChars="200"/>
        <w:rPr>
          <w:rFonts w:ascii="宋体" w:hAnsi="宋体"/>
          <w:color w:val="auto"/>
          <w:highlight w:val="none"/>
        </w:rPr>
      </w:pPr>
      <w:r>
        <w:rPr>
          <w:rFonts w:hint="eastAsia" w:ascii="宋体" w:hAnsi="宋体"/>
          <w:color w:val="auto"/>
          <w:highlight w:val="none"/>
        </w:rPr>
        <w:t>（6）供应商</w:t>
      </w:r>
      <w:r>
        <w:rPr>
          <w:rFonts w:hint="eastAsia" w:ascii="宋体" w:hAnsi="宋体"/>
          <w:color w:val="auto"/>
          <w:highlight w:val="none"/>
          <w:lang w:eastAsia="zh-CN"/>
        </w:rPr>
        <w:t>未被“信用中国”（www.creditchina.gov.cn）、“中国政府采购网”（www.ccgp.gov.cn）列入“失信被执行人、重大税收违法失信主体、政府采购严重违法失信行为记录名单”；</w:t>
      </w:r>
    </w:p>
    <w:p>
      <w:pPr>
        <w:spacing w:line="300" w:lineRule="exact"/>
        <w:ind w:firstLine="420" w:firstLineChars="200"/>
        <w:rPr>
          <w:rFonts w:ascii="宋体" w:hAnsi="宋体"/>
          <w:color w:val="auto"/>
          <w:highlight w:val="none"/>
        </w:rPr>
      </w:pPr>
      <w:r>
        <w:rPr>
          <w:rFonts w:hint="eastAsia" w:ascii="宋体" w:hAnsi="宋体"/>
          <w:color w:val="auto"/>
          <w:highlight w:val="none"/>
        </w:rPr>
        <w:t>（7）</w:t>
      </w:r>
      <w:r>
        <w:rPr>
          <w:rFonts w:hint="eastAsia" w:ascii="宋体" w:hAnsi="宋体"/>
          <w:color w:val="auto"/>
          <w:highlight w:val="none"/>
          <w:lang w:eastAsia="zh-CN"/>
        </w:rPr>
        <w:t>单位负责人为同一人或者存在直接控股、管理关系的不同供应商，不得参加同一合同项下的政府采购活动</w:t>
      </w:r>
      <w:r>
        <w:rPr>
          <w:rFonts w:hint="eastAsia" w:ascii="宋体" w:hAnsi="宋体"/>
          <w:color w:val="auto"/>
          <w:highlight w:val="none"/>
        </w:rPr>
        <w:t>。</w:t>
      </w:r>
    </w:p>
    <w:p>
      <w:pPr>
        <w:spacing w:line="300" w:lineRule="exact"/>
        <w:rPr>
          <w:rFonts w:ascii="宋体"/>
          <w:b/>
          <w:color w:val="auto"/>
          <w:highlight w:val="none"/>
        </w:rPr>
      </w:pPr>
      <w:r>
        <w:rPr>
          <w:rFonts w:hint="eastAsia" w:ascii="宋体" w:hAnsi="宋体"/>
          <w:b/>
          <w:color w:val="auto"/>
          <w:highlight w:val="none"/>
        </w:rPr>
        <w:t>三、获取采购文件</w:t>
      </w:r>
    </w:p>
    <w:p>
      <w:pPr>
        <w:spacing w:line="300" w:lineRule="exact"/>
        <w:ind w:firstLine="525" w:firstLineChars="250"/>
        <w:rPr>
          <w:rFonts w:ascii="宋体" w:hAnsi="宋体"/>
          <w:color w:val="auto"/>
          <w:highlight w:val="none"/>
        </w:rPr>
      </w:pPr>
      <w:r>
        <w:rPr>
          <w:rFonts w:hint="eastAsia" w:ascii="宋体" w:hAnsi="宋体"/>
          <w:color w:val="auto"/>
          <w:highlight w:val="none"/>
        </w:rPr>
        <w:t>时间：</w:t>
      </w:r>
      <w:r>
        <w:rPr>
          <w:rFonts w:hint="eastAsia" w:ascii="宋体" w:hAnsi="宋体"/>
          <w:color w:val="auto"/>
          <w:highlight w:val="none"/>
          <w:lang w:eastAsia="zh-CN"/>
        </w:rPr>
        <w:t>202</w:t>
      </w:r>
      <w:r>
        <w:rPr>
          <w:rFonts w:hint="eastAsia" w:ascii="宋体" w:hAnsi="宋体"/>
          <w:color w:val="auto"/>
          <w:highlight w:val="none"/>
          <w:lang w:val="en-US" w:eastAsia="zh-CN"/>
        </w:rPr>
        <w:t>4</w:t>
      </w:r>
      <w:r>
        <w:rPr>
          <w:rFonts w:hint="eastAsia" w:ascii="宋体" w:hAnsi="宋体"/>
          <w:color w:val="auto"/>
          <w:highlight w:val="none"/>
          <w:lang w:eastAsia="zh-CN"/>
        </w:rPr>
        <w:t>年0</w:t>
      </w:r>
      <w:r>
        <w:rPr>
          <w:rFonts w:hint="eastAsia" w:ascii="宋体" w:hAnsi="宋体"/>
          <w:color w:val="auto"/>
          <w:highlight w:val="none"/>
          <w:lang w:val="en-US" w:eastAsia="zh-CN"/>
        </w:rPr>
        <w:t>4</w:t>
      </w:r>
      <w:r>
        <w:rPr>
          <w:rFonts w:hint="eastAsia" w:ascii="宋体" w:hAnsi="宋体"/>
          <w:color w:val="auto"/>
          <w:highlight w:val="none"/>
          <w:lang w:eastAsia="zh-CN"/>
        </w:rPr>
        <w:t>月</w:t>
      </w:r>
      <w:r>
        <w:rPr>
          <w:rFonts w:hint="eastAsia" w:ascii="宋体" w:hAnsi="宋体"/>
          <w:color w:val="auto"/>
          <w:highlight w:val="none"/>
          <w:lang w:val="en-US" w:eastAsia="zh-CN"/>
        </w:rPr>
        <w:t>03</w:t>
      </w:r>
      <w:r>
        <w:rPr>
          <w:rFonts w:hint="eastAsia" w:ascii="宋体" w:hAnsi="宋体"/>
          <w:color w:val="auto"/>
          <w:highlight w:val="none"/>
          <w:lang w:eastAsia="zh-CN"/>
        </w:rPr>
        <w:t>日至202</w:t>
      </w:r>
      <w:r>
        <w:rPr>
          <w:rFonts w:hint="eastAsia" w:ascii="宋体" w:hAnsi="宋体"/>
          <w:color w:val="auto"/>
          <w:highlight w:val="none"/>
          <w:lang w:val="en-US" w:eastAsia="zh-CN"/>
        </w:rPr>
        <w:t>4</w:t>
      </w:r>
      <w:r>
        <w:rPr>
          <w:rFonts w:hint="eastAsia" w:ascii="宋体" w:hAnsi="宋体"/>
          <w:color w:val="auto"/>
          <w:highlight w:val="none"/>
          <w:lang w:eastAsia="zh-CN"/>
        </w:rPr>
        <w:t>年0</w:t>
      </w:r>
      <w:r>
        <w:rPr>
          <w:rFonts w:hint="eastAsia" w:ascii="宋体" w:hAnsi="宋体"/>
          <w:color w:val="auto"/>
          <w:highlight w:val="none"/>
          <w:lang w:val="en-US" w:eastAsia="zh-CN"/>
        </w:rPr>
        <w:t>4</w:t>
      </w:r>
      <w:r>
        <w:rPr>
          <w:rFonts w:hint="eastAsia" w:ascii="宋体" w:hAnsi="宋体"/>
          <w:color w:val="auto"/>
          <w:highlight w:val="none"/>
          <w:lang w:eastAsia="zh-CN"/>
        </w:rPr>
        <w:t>月</w:t>
      </w:r>
      <w:r>
        <w:rPr>
          <w:rFonts w:hint="eastAsia" w:ascii="宋体" w:hAnsi="宋体"/>
          <w:color w:val="auto"/>
          <w:highlight w:val="none"/>
          <w:lang w:val="en-US" w:eastAsia="zh-CN"/>
        </w:rPr>
        <w:t>11</w:t>
      </w:r>
      <w:r>
        <w:rPr>
          <w:rFonts w:hint="eastAsia" w:ascii="宋体" w:hAnsi="宋体"/>
          <w:color w:val="auto"/>
          <w:highlight w:val="none"/>
          <w:lang w:eastAsia="zh-CN"/>
        </w:rPr>
        <w:t>日</w:t>
      </w:r>
      <w:r>
        <w:rPr>
          <w:rFonts w:hint="eastAsia" w:ascii="宋体" w:hAnsi="宋体"/>
          <w:color w:val="auto"/>
          <w:highlight w:val="none"/>
        </w:rPr>
        <w:t>16时00分止。</w:t>
      </w:r>
    </w:p>
    <w:p>
      <w:pPr>
        <w:spacing w:line="300" w:lineRule="exact"/>
        <w:ind w:firstLine="525" w:firstLineChars="250"/>
        <w:rPr>
          <w:rFonts w:hint="eastAsia" w:ascii="宋体" w:hAnsi="宋体"/>
          <w:color w:val="auto"/>
          <w:highlight w:val="none"/>
        </w:rPr>
      </w:pPr>
      <w:r>
        <w:rPr>
          <w:rFonts w:hint="eastAsia" w:ascii="宋体" w:hAnsi="宋体"/>
          <w:color w:val="auto"/>
          <w:highlight w:val="none"/>
        </w:rPr>
        <w:t>地点：政采云平台</w:t>
      </w:r>
      <w:r>
        <w:rPr>
          <w:rFonts w:hint="eastAsia" w:ascii="宋体" w:hAnsi="宋体"/>
          <w:color w:val="auto"/>
          <w:highlight w:val="none"/>
          <w:lang w:eastAsia="zh-CN"/>
        </w:rPr>
        <w:t>（</w:t>
      </w:r>
      <w:r>
        <w:rPr>
          <w:rFonts w:hint="eastAsia" w:ascii="宋体" w:hAnsi="宋体"/>
          <w:color w:val="auto"/>
          <w:highlight w:val="none"/>
        </w:rPr>
        <w:t>https://www.zcygov.cn/</w:t>
      </w:r>
      <w:r>
        <w:rPr>
          <w:rFonts w:hint="eastAsia" w:ascii="宋体" w:hAnsi="宋体"/>
          <w:color w:val="auto"/>
          <w:highlight w:val="none"/>
          <w:lang w:eastAsia="zh-CN"/>
        </w:rPr>
        <w:t>）</w:t>
      </w:r>
      <w:r>
        <w:rPr>
          <w:rFonts w:hint="eastAsia" w:ascii="宋体" w:hAnsi="宋体"/>
          <w:color w:val="auto"/>
          <w:highlight w:val="none"/>
        </w:rPr>
        <w:t>线上获取。</w:t>
      </w:r>
    </w:p>
    <w:p>
      <w:pPr>
        <w:spacing w:line="300" w:lineRule="exact"/>
        <w:ind w:firstLine="525" w:firstLineChars="250"/>
        <w:rPr>
          <w:rFonts w:ascii="宋体" w:hAnsi="宋体"/>
          <w:color w:val="auto"/>
          <w:highlight w:val="none"/>
        </w:rPr>
      </w:pPr>
      <w:r>
        <w:rPr>
          <w:rFonts w:hint="eastAsia" w:ascii="宋体" w:hAnsi="宋体"/>
          <w:color w:val="auto"/>
          <w:highlight w:val="none"/>
        </w:rPr>
        <w:t>方式：供应商登录政采云平台https://www.zcygov.cn/在线申请获取采购文件（进入“项目采购”应用，在获取采购文件菜单中选择项目，申请获取采购文件）</w:t>
      </w:r>
      <w:r>
        <w:rPr>
          <w:rFonts w:hint="eastAsia" w:ascii="宋体" w:hAnsi="宋体"/>
          <w:color w:val="auto"/>
          <w:highlight w:val="none"/>
          <w:lang w:eastAsia="zh-CN"/>
        </w:rPr>
        <w:t>，</w:t>
      </w:r>
      <w:r>
        <w:rPr>
          <w:rFonts w:hint="eastAsia" w:ascii="宋体" w:hAnsi="宋体"/>
          <w:color w:val="auto"/>
          <w:highlight w:val="none"/>
        </w:rPr>
        <w:t>其他途径获取的采购文件开标时一律按无效投标处理。</w:t>
      </w:r>
    </w:p>
    <w:p>
      <w:pPr>
        <w:spacing w:line="300" w:lineRule="exact"/>
        <w:ind w:firstLine="525" w:firstLineChars="250"/>
        <w:rPr>
          <w:rFonts w:ascii="宋体" w:hAnsi="宋体"/>
          <w:color w:val="auto"/>
          <w:highlight w:val="none"/>
        </w:rPr>
      </w:pPr>
      <w:r>
        <w:rPr>
          <w:rFonts w:hint="eastAsia" w:ascii="宋体" w:hAnsi="宋体"/>
          <w:color w:val="auto"/>
          <w:highlight w:val="none"/>
        </w:rPr>
        <w:t>售价：¥0.0元（人民币）</w:t>
      </w:r>
    </w:p>
    <w:p>
      <w:pPr>
        <w:spacing w:line="300" w:lineRule="exact"/>
        <w:rPr>
          <w:rFonts w:ascii="宋体"/>
          <w:b/>
          <w:color w:val="auto"/>
          <w:highlight w:val="none"/>
        </w:rPr>
      </w:pPr>
      <w:r>
        <w:rPr>
          <w:rFonts w:hint="eastAsia" w:ascii="宋体" w:hAnsi="宋体"/>
          <w:b/>
          <w:color w:val="auto"/>
          <w:highlight w:val="none"/>
        </w:rPr>
        <w:t>四</w:t>
      </w:r>
      <w:r>
        <w:rPr>
          <w:rFonts w:hint="eastAsia" w:ascii="宋体"/>
          <w:b/>
          <w:color w:val="auto"/>
          <w:highlight w:val="none"/>
        </w:rPr>
        <w:t>、</w:t>
      </w:r>
      <w:r>
        <w:rPr>
          <w:rFonts w:hint="eastAsia" w:ascii="宋体" w:hAnsi="宋体"/>
          <w:b/>
          <w:color w:val="auto"/>
          <w:highlight w:val="none"/>
        </w:rPr>
        <w:t>响应文件提交</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rPr>
        <w:t>截止时间：</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19</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Theme="minorEastAsia" w:hAnsiTheme="minorEastAsia"/>
          <w:color w:val="auto"/>
          <w:highlight w:val="none"/>
        </w:rPr>
        <w:t>（北京时间）</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rPr>
        <w:t>地点：“政采云”平台</w:t>
      </w:r>
      <w:r>
        <w:rPr>
          <w:rFonts w:hint="eastAsia" w:asciiTheme="minorEastAsia" w:hAnsiTheme="minorEastAsia"/>
          <w:color w:val="auto"/>
          <w:highlight w:val="none"/>
          <w:lang w:eastAsia="zh-CN"/>
        </w:rPr>
        <w:t>（https://www.zcygov.cn/）</w:t>
      </w:r>
      <w:r>
        <w:rPr>
          <w:rFonts w:hint="eastAsia" w:asciiTheme="minorEastAsia" w:hAnsiTheme="minorEastAsia"/>
          <w:color w:val="auto"/>
          <w:highlight w:val="none"/>
        </w:rPr>
        <w:t>，逾期未上传电子响应文件，将不予受理。</w:t>
      </w:r>
    </w:p>
    <w:p>
      <w:pPr>
        <w:spacing w:line="300" w:lineRule="exact"/>
        <w:rPr>
          <w:rFonts w:ascii="宋体" w:hAnsi="宋体"/>
          <w:b/>
          <w:color w:val="auto"/>
          <w:highlight w:val="none"/>
        </w:rPr>
      </w:pPr>
      <w:r>
        <w:rPr>
          <w:rFonts w:hint="eastAsia" w:ascii="宋体" w:hAnsi="宋体"/>
          <w:b/>
          <w:color w:val="auto"/>
          <w:highlight w:val="none"/>
        </w:rPr>
        <w:t>五、开启</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时间：</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19</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Theme="minorEastAsia" w:hAnsiTheme="minorEastAsia"/>
          <w:color w:val="auto"/>
          <w:highlight w:val="none"/>
          <w:lang w:val="en-US" w:eastAsia="zh-CN"/>
        </w:rPr>
        <w:t>（北京时间）。</w:t>
      </w:r>
    </w:p>
    <w:p>
      <w:pPr>
        <w:spacing w:line="300" w:lineRule="exact"/>
        <w:ind w:firstLine="420" w:firstLineChars="200"/>
        <w:rPr>
          <w:rFonts w:hint="eastAsia" w:eastAsia="宋体" w:cs="Times New Roman" w:asciiTheme="minorEastAsia" w:hAnsiTheme="minorEastAsia"/>
          <w:color w:val="auto"/>
          <w:highlight w:val="none"/>
        </w:rPr>
      </w:pPr>
      <w:r>
        <w:rPr>
          <w:rFonts w:hint="eastAsia" w:eastAsia="宋体" w:cs="Times New Roman" w:asciiTheme="minorEastAsia" w:hAnsiTheme="minorEastAsia"/>
          <w:color w:val="auto"/>
          <w:highlight w:val="none"/>
          <w:lang w:val="en-US" w:eastAsia="zh-CN"/>
        </w:rPr>
        <w:t>地点：</w:t>
      </w:r>
      <w:r>
        <w:rPr>
          <w:rFonts w:hint="eastAsia" w:eastAsia="宋体" w:cs="Times New Roman" w:asciiTheme="minorEastAsia" w:hAnsiTheme="minorEastAsia"/>
          <w:color w:val="auto"/>
          <w:highlight w:val="none"/>
          <w:lang w:eastAsia="zh-CN"/>
        </w:rPr>
        <w:t>政府采购云平台（本项目执行电子化招投标，投标人须通过政府采购云平台（https://www.zcygov.cn/）递交电子版投标文件，逾期未上传电子投标文件，将不予受理。）</w:t>
      </w:r>
    </w:p>
    <w:p>
      <w:pPr>
        <w:spacing w:line="300" w:lineRule="exact"/>
        <w:rPr>
          <w:rFonts w:ascii="宋体" w:hAnsi="宋体"/>
          <w:b/>
          <w:color w:val="auto"/>
          <w:highlight w:val="none"/>
        </w:rPr>
      </w:pPr>
      <w:r>
        <w:rPr>
          <w:rFonts w:hint="eastAsia" w:ascii="宋体" w:hAnsi="宋体"/>
          <w:b/>
          <w:color w:val="auto"/>
          <w:highlight w:val="none"/>
        </w:rPr>
        <w:t>六、公告期限</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rPr>
        <w:t>自本公告发布之日起5个工作日。</w:t>
      </w:r>
    </w:p>
    <w:p>
      <w:pPr>
        <w:spacing w:line="300" w:lineRule="exact"/>
        <w:rPr>
          <w:rFonts w:ascii="宋体" w:hAnsi="宋体"/>
          <w:b/>
          <w:color w:val="auto"/>
          <w:highlight w:val="none"/>
        </w:rPr>
      </w:pPr>
      <w:r>
        <w:rPr>
          <w:rFonts w:hint="eastAsia" w:ascii="宋体" w:hAnsi="宋体"/>
          <w:b/>
          <w:color w:val="auto"/>
          <w:highlight w:val="none"/>
        </w:rPr>
        <w:t>七、其它补充事宜</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1、供应商在政府采购云平台网注册入库成为正式供应商后，在平台上按《政府采购项目电子交易管理操作指南-供应商》进行投标操作。投标人须办理数字证书方可参加投标。</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2、收到CA锁以后在“政采云”登录界面，点击CA登录-CA驱动下载-下载并安装政采云投标客户端和CA驱动，账号绑定CA后才能进行响应文件制作。</w:t>
      </w:r>
    </w:p>
    <w:p>
      <w:pPr>
        <w:spacing w:line="300" w:lineRule="exact"/>
        <w:ind w:firstLine="420" w:firstLineChars="200"/>
        <w:rPr>
          <w:rFonts w:hint="eastAsia" w:asciiTheme="minorEastAsia" w:hAnsiTheme="minorEastAsia"/>
          <w:color w:val="auto"/>
          <w:highlight w:val="none"/>
          <w:lang w:val="en-US" w:eastAsia="zh-CN"/>
        </w:rPr>
      </w:pPr>
      <w:r>
        <w:rPr>
          <w:rFonts w:hint="eastAsia" w:asciiTheme="minorEastAsia" w:hAnsiTheme="minorEastAsia"/>
          <w:color w:val="auto"/>
          <w:highlight w:val="none"/>
          <w:lang w:val="en-US" w:eastAsia="zh-CN"/>
        </w:rPr>
        <w:t>3、若对项目采购电子交易系统操作有疑问，可登录“政采云”平台，点击右侧咨询小采，获取采小蜜智能服务管家帮助，或拨打政采云服务热线95763获取帮助。</w:t>
      </w:r>
    </w:p>
    <w:p>
      <w:pPr>
        <w:spacing w:line="300" w:lineRule="exact"/>
        <w:ind w:firstLine="420" w:firstLineChars="200"/>
        <w:rPr>
          <w:rFonts w:hint="eastAsia" w:eastAsia="宋体" w:asciiTheme="minorEastAsia" w:hAnsiTheme="minorEastAsia"/>
          <w:color w:val="auto"/>
          <w:highlight w:val="none"/>
          <w:lang w:eastAsia="zh-CN"/>
        </w:rPr>
      </w:pPr>
      <w:r>
        <w:rPr>
          <w:rFonts w:hint="eastAsia" w:asciiTheme="minorEastAsia" w:hAnsiTheme="minorEastAsia"/>
          <w:color w:val="auto"/>
          <w:highlight w:val="none"/>
          <w:lang w:val="en-US" w:eastAsia="zh-CN"/>
        </w:rPr>
        <w:t>4、</w:t>
      </w:r>
      <w:r>
        <w:rPr>
          <w:rFonts w:hint="eastAsia" w:asciiTheme="minorEastAsia" w:hAnsiTheme="minorEastAsia"/>
          <w:color w:val="auto"/>
          <w:highlight w:val="none"/>
        </w:rPr>
        <w:t>投标申请人在提交响应文件时，</w:t>
      </w:r>
      <w:r>
        <w:rPr>
          <w:rFonts w:hint="eastAsia" w:asciiTheme="minorEastAsia" w:hAnsiTheme="minorEastAsia"/>
          <w:color w:val="auto"/>
          <w:highlight w:val="none"/>
          <w:lang w:val="en-US" w:eastAsia="zh-CN"/>
        </w:rPr>
        <w:t>须</w:t>
      </w:r>
      <w:r>
        <w:rPr>
          <w:rFonts w:hint="eastAsia" w:asciiTheme="minorEastAsia" w:hAnsiTheme="minorEastAsia"/>
          <w:color w:val="auto"/>
          <w:highlight w:val="none"/>
        </w:rPr>
        <w:t>按照有关规定递交人民币</w:t>
      </w:r>
      <w:r>
        <w:rPr>
          <w:rFonts w:hint="eastAsia" w:asciiTheme="minorEastAsia" w:hAnsiTheme="minorEastAsia"/>
          <w:color w:val="auto"/>
          <w:highlight w:val="none"/>
          <w:lang w:val="en-US" w:eastAsia="zh-CN"/>
        </w:rPr>
        <w:t>28000</w:t>
      </w:r>
      <w:r>
        <w:rPr>
          <w:rFonts w:hint="eastAsia" w:asciiTheme="minorEastAsia" w:hAnsiTheme="minorEastAsia"/>
          <w:color w:val="auto"/>
          <w:highlight w:val="none"/>
        </w:rPr>
        <w:t>元保证金，必须从申请人基本账户转出；保证金交纳银行：</w:t>
      </w:r>
      <w:r>
        <w:rPr>
          <w:rFonts w:hint="eastAsia" w:ascii="宋体" w:hAnsi="宋体" w:eastAsia="宋体" w:cs="宋体"/>
          <w:color w:val="auto"/>
          <w:sz w:val="22"/>
          <w:szCs w:val="22"/>
          <w:highlight w:val="none"/>
        </w:rPr>
        <w:t>吉林环城农村商业银行股份有限公司政务服务中心支行</w:t>
      </w:r>
      <w:r>
        <w:rPr>
          <w:rFonts w:hint="eastAsia" w:asciiTheme="minorEastAsia" w:hAnsiTheme="minorEastAsia"/>
          <w:color w:val="auto"/>
          <w:highlight w:val="none"/>
        </w:rPr>
        <w:t>，账户名称：</w:t>
      </w:r>
      <w:r>
        <w:rPr>
          <w:rFonts w:hint="eastAsia" w:asciiTheme="minorEastAsia" w:hAnsiTheme="minorEastAsia"/>
          <w:color w:val="auto"/>
          <w:highlight w:val="none"/>
          <w:lang w:eastAsia="zh-CN"/>
        </w:rPr>
        <w:t>吉林省建兴工程管理咨询有限公司</w:t>
      </w:r>
      <w:r>
        <w:rPr>
          <w:rFonts w:hint="eastAsia" w:asciiTheme="minorEastAsia" w:hAnsiTheme="minorEastAsia"/>
          <w:color w:val="auto"/>
          <w:highlight w:val="none"/>
        </w:rPr>
        <w:t>，账号：</w:t>
      </w:r>
      <w:r>
        <w:rPr>
          <w:rFonts w:hint="eastAsia" w:ascii="宋体" w:hAnsi="宋体" w:eastAsia="宋体" w:cs="宋体"/>
          <w:color w:val="auto"/>
          <w:sz w:val="22"/>
          <w:szCs w:val="22"/>
          <w:highlight w:val="none"/>
          <w:lang w:val="en-US" w:eastAsia="zh-CN"/>
        </w:rPr>
        <w:t>0720 6220 1101 5200 0009 53</w:t>
      </w:r>
      <w:r>
        <w:rPr>
          <w:rFonts w:hint="eastAsia" w:asciiTheme="minorEastAsia" w:hAnsiTheme="minorEastAsia"/>
          <w:color w:val="auto"/>
          <w:highlight w:val="none"/>
          <w:lang w:eastAsia="zh-CN"/>
        </w:rPr>
        <w:t>。</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lang w:val="en-US" w:eastAsia="zh-CN"/>
        </w:rPr>
        <w:t>5</w:t>
      </w:r>
      <w:r>
        <w:rPr>
          <w:rFonts w:hint="eastAsia" w:asciiTheme="minorEastAsia" w:hAnsiTheme="minorEastAsia"/>
          <w:color w:val="auto"/>
          <w:highlight w:val="none"/>
        </w:rPr>
        <w:t>、</w:t>
      </w:r>
      <w:r>
        <w:rPr>
          <w:rFonts w:hint="eastAsia"/>
          <w:color w:val="auto"/>
          <w:highlight w:val="none"/>
        </w:rPr>
        <w:t>有效投标人不足三家时，采购人另行组织采购。</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lang w:val="en-US" w:eastAsia="zh-CN"/>
        </w:rPr>
        <w:t>6</w:t>
      </w:r>
      <w:r>
        <w:rPr>
          <w:rFonts w:hint="eastAsia" w:asciiTheme="minorEastAsia" w:hAnsiTheme="minorEastAsia"/>
          <w:color w:val="auto"/>
          <w:highlight w:val="none"/>
        </w:rPr>
        <w:t>、当</w:t>
      </w:r>
      <w:r>
        <w:rPr>
          <w:rFonts w:hint="eastAsia" w:asciiTheme="minorEastAsia" w:hAnsiTheme="minorEastAsia"/>
          <w:color w:val="auto"/>
          <w:highlight w:val="none"/>
          <w:lang w:eastAsia="zh-CN"/>
        </w:rPr>
        <w:t>响应供应商</w:t>
      </w:r>
      <w:r>
        <w:rPr>
          <w:rFonts w:hint="eastAsia" w:asciiTheme="minorEastAsia" w:hAnsiTheme="minorEastAsia"/>
          <w:color w:val="auto"/>
          <w:highlight w:val="none"/>
        </w:rPr>
        <w:t>的有效投标报价超出采购人设定的控制价时，该投标报价视为无效报价。</w:t>
      </w:r>
    </w:p>
    <w:p>
      <w:pPr>
        <w:spacing w:line="300" w:lineRule="exact"/>
        <w:ind w:firstLine="420" w:firstLineChars="200"/>
        <w:rPr>
          <w:rFonts w:asciiTheme="minorEastAsia" w:hAnsiTheme="minorEastAsia"/>
          <w:color w:val="auto"/>
          <w:highlight w:val="none"/>
        </w:rPr>
      </w:pPr>
      <w:r>
        <w:rPr>
          <w:rFonts w:hint="eastAsia" w:asciiTheme="minorEastAsia" w:hAnsiTheme="minorEastAsia"/>
          <w:color w:val="auto"/>
          <w:highlight w:val="none"/>
          <w:lang w:val="en-US" w:eastAsia="zh-CN"/>
        </w:rPr>
        <w:t>7</w:t>
      </w:r>
      <w:r>
        <w:rPr>
          <w:rFonts w:hint="eastAsia" w:asciiTheme="minorEastAsia" w:hAnsiTheme="minorEastAsia"/>
          <w:color w:val="auto"/>
          <w:highlight w:val="none"/>
        </w:rPr>
        <w:t>、本次竞争性磋商公告在“政采云”平台</w:t>
      </w:r>
      <w:r>
        <w:rPr>
          <w:rFonts w:hint="eastAsia" w:asciiTheme="minorEastAsia" w:hAnsiTheme="minorEastAsia"/>
          <w:color w:val="auto"/>
          <w:highlight w:val="none"/>
          <w:lang w:eastAsia="zh-CN"/>
        </w:rPr>
        <w:t>（https://www.zcygov.cn/）（同步推送到吉林省政府采购网）</w:t>
      </w:r>
      <w:r>
        <w:rPr>
          <w:rFonts w:hint="eastAsia" w:asciiTheme="minorEastAsia" w:hAnsiTheme="minorEastAsia"/>
          <w:color w:val="auto"/>
          <w:highlight w:val="none"/>
        </w:rPr>
        <w:t>、中国政府采购网、中国招标投标公共服务平台上同时发布。</w:t>
      </w:r>
    </w:p>
    <w:p>
      <w:pPr>
        <w:spacing w:line="300" w:lineRule="exact"/>
        <w:rPr>
          <w:rFonts w:ascii="宋体"/>
          <w:b/>
          <w:color w:val="auto"/>
          <w:highlight w:val="none"/>
        </w:rPr>
      </w:pPr>
      <w:r>
        <w:rPr>
          <w:rFonts w:hint="eastAsia" w:ascii="宋体" w:hAnsi="宋体"/>
          <w:b/>
          <w:color w:val="auto"/>
          <w:highlight w:val="none"/>
        </w:rPr>
        <w:t>八</w:t>
      </w:r>
      <w:r>
        <w:rPr>
          <w:rFonts w:ascii="宋体"/>
          <w:b/>
          <w:color w:val="auto"/>
          <w:highlight w:val="none"/>
        </w:rPr>
        <w:t>.</w:t>
      </w:r>
      <w:r>
        <w:rPr>
          <w:rFonts w:hint="eastAsia" w:asciiTheme="minorEastAsia" w:hAnsiTheme="minorEastAsia"/>
          <w:b/>
          <w:color w:val="auto"/>
          <w:highlight w:val="none"/>
        </w:rPr>
        <w:t>凡对本次采购提出询问，请按以下方式联系</w:t>
      </w:r>
    </w:p>
    <w:p>
      <w:pPr>
        <w:spacing w:line="300" w:lineRule="exact"/>
        <w:ind w:firstLine="420" w:firstLineChars="200"/>
        <w:rPr>
          <w:rFonts w:ascii="宋体" w:hAnsi="宋体"/>
          <w:color w:val="auto"/>
          <w:highlight w:val="none"/>
        </w:rPr>
      </w:pPr>
      <w:r>
        <w:rPr>
          <w:rFonts w:hint="eastAsia" w:ascii="宋体" w:hAnsi="宋体"/>
          <w:color w:val="auto"/>
          <w:highlight w:val="none"/>
        </w:rPr>
        <w:t>1.采购人信息</w:t>
      </w:r>
    </w:p>
    <w:bookmarkEnd w:id="15"/>
    <w:bookmarkEnd w:id="16"/>
    <w:bookmarkEnd w:id="17"/>
    <w:bookmarkEnd w:id="18"/>
    <w:bookmarkEnd w:id="19"/>
    <w:bookmarkEnd w:id="20"/>
    <w:bookmarkEnd w:id="21"/>
    <w:bookmarkEnd w:id="22"/>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名  称：吉林市龙潭区第二实验小学校</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地    址：吉林市龙潭区扬州街41号</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联系方式：王旭东 0432-63069170　</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2.采购代理机构信息</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名  称：吉林省建兴工程管理咨询有限公司</w:t>
      </w:r>
    </w:p>
    <w:p>
      <w:pPr>
        <w:spacing w:line="300" w:lineRule="exact"/>
        <w:ind w:firstLine="420" w:firstLineChars="200"/>
        <w:rPr>
          <w:rFonts w:hint="eastAsia" w:ascii="宋体" w:hAnsi="宋体" w:eastAsia="宋体" w:cs="Times New Roman"/>
          <w:color w:val="auto"/>
          <w:highlight w:val="none"/>
          <w:lang w:val="zh-CN" w:eastAsia="zh-CN"/>
        </w:rPr>
      </w:pPr>
      <w:r>
        <w:rPr>
          <w:rFonts w:hint="eastAsia" w:ascii="宋体" w:hAnsi="宋体" w:eastAsia="宋体" w:cs="Times New Roman"/>
          <w:color w:val="auto"/>
          <w:highlight w:val="none"/>
          <w:lang w:eastAsia="zh-CN"/>
        </w:rPr>
        <w:t>地  址：</w:t>
      </w:r>
      <w:r>
        <w:rPr>
          <w:rFonts w:hint="eastAsia" w:ascii="宋体" w:hAnsi="宋体" w:eastAsia="宋体" w:cs="Times New Roman"/>
          <w:color w:val="auto"/>
          <w:highlight w:val="none"/>
          <w:lang w:val="zh-CN" w:eastAsia="zh-CN"/>
        </w:rPr>
        <w:t>吉林船营智慧大厦 11楼1108室</w:t>
      </w:r>
    </w:p>
    <w:p>
      <w:pPr>
        <w:spacing w:line="300" w:lineRule="exact"/>
        <w:ind w:firstLine="420" w:firstLineChars="200"/>
        <w:rPr>
          <w:rFonts w:hint="default" w:ascii="宋体" w:hAnsi="宋体" w:eastAsia="宋体" w:cs="Times New Roman"/>
          <w:color w:val="auto"/>
          <w:highlight w:val="none"/>
          <w:lang w:val="en-US" w:eastAsia="zh-CN"/>
        </w:rPr>
      </w:pPr>
      <w:r>
        <w:rPr>
          <w:rFonts w:hint="eastAsia" w:ascii="宋体" w:hAnsi="宋体" w:eastAsia="宋体" w:cs="Times New Roman"/>
          <w:color w:val="auto"/>
          <w:highlight w:val="none"/>
          <w:lang w:eastAsia="zh-CN"/>
        </w:rPr>
        <w:t>联系方式：沈恩驰</w:t>
      </w:r>
      <w:r>
        <w:rPr>
          <w:rFonts w:hint="eastAsia" w:ascii="宋体" w:hAnsi="宋体" w:eastAsia="宋体" w:cs="Times New Roman"/>
          <w:color w:val="auto"/>
          <w:highlight w:val="none"/>
          <w:lang w:val="en-US" w:eastAsia="zh-CN"/>
        </w:rPr>
        <w:t xml:space="preserve"> 13596084098</w:t>
      </w:r>
    </w:p>
    <w:p>
      <w:pPr>
        <w:spacing w:line="300" w:lineRule="exact"/>
        <w:ind w:firstLine="420" w:firstLineChars="200"/>
        <w:rPr>
          <w:rFonts w:hint="eastAsia" w:ascii="宋体" w:hAnsi="宋体" w:eastAsia="宋体" w:cs="Times New Roman"/>
          <w:color w:val="auto"/>
          <w:highlight w:val="none"/>
          <w:lang w:eastAsia="zh-CN"/>
        </w:rPr>
      </w:pPr>
      <w:r>
        <w:rPr>
          <w:rFonts w:hint="eastAsia" w:ascii="宋体" w:hAnsi="宋体" w:eastAsia="宋体" w:cs="Times New Roman"/>
          <w:color w:val="auto"/>
          <w:highlight w:val="none"/>
          <w:lang w:eastAsia="zh-CN"/>
        </w:rPr>
        <w:t>3.项目联系方式</w:t>
      </w:r>
    </w:p>
    <w:p>
      <w:pPr>
        <w:spacing w:line="300" w:lineRule="exact"/>
        <w:ind w:firstLine="420" w:firstLineChars="200"/>
        <w:rPr>
          <w:rFonts w:hint="eastAsia" w:ascii="宋体" w:hAnsi="宋体"/>
          <w:color w:val="auto"/>
          <w:highlight w:val="none"/>
        </w:rPr>
      </w:pPr>
      <w:r>
        <w:rPr>
          <w:rFonts w:hint="eastAsia" w:ascii="宋体" w:hAnsi="宋体"/>
          <w:color w:val="auto"/>
          <w:highlight w:val="none"/>
        </w:rPr>
        <w:t>项目联系人：</w:t>
      </w:r>
      <w:r>
        <w:rPr>
          <w:rFonts w:hint="eastAsia" w:ascii="宋体" w:hAnsi="宋体"/>
          <w:color w:val="auto"/>
          <w:highlight w:val="none"/>
          <w:lang w:eastAsia="zh-CN"/>
        </w:rPr>
        <w:t>沈恩驰</w:t>
      </w:r>
      <w:r>
        <w:rPr>
          <w:rFonts w:hint="eastAsia" w:ascii="宋体" w:hAnsi="宋体"/>
          <w:color w:val="auto"/>
          <w:highlight w:val="none"/>
        </w:rPr>
        <w:t xml:space="preserve">    </w:t>
      </w:r>
    </w:p>
    <w:p>
      <w:pPr>
        <w:spacing w:line="300" w:lineRule="exact"/>
        <w:ind w:firstLine="420" w:firstLineChars="200"/>
        <w:rPr>
          <w:rFonts w:hint="eastAsia" w:ascii="宋体" w:hAnsi="宋体" w:eastAsia="宋体"/>
          <w:color w:val="auto"/>
          <w:highlight w:val="none"/>
          <w:lang w:eastAsia="zh-CN"/>
        </w:rPr>
      </w:pPr>
      <w:r>
        <w:rPr>
          <w:rFonts w:hint="eastAsia" w:ascii="宋体" w:hAnsi="宋体"/>
          <w:color w:val="auto"/>
          <w:highlight w:val="none"/>
        </w:rPr>
        <w:t>联系电话：</w:t>
      </w:r>
      <w:r>
        <w:rPr>
          <w:rFonts w:hint="eastAsia" w:ascii="宋体" w:hAnsi="宋体"/>
          <w:color w:val="auto"/>
          <w:highlight w:val="none"/>
          <w:lang w:val="en-US" w:eastAsia="zh-CN"/>
        </w:rPr>
        <w:t>13596084098</w:t>
      </w:r>
    </w:p>
    <w:p>
      <w:pPr>
        <w:spacing w:line="300" w:lineRule="exact"/>
        <w:ind w:firstLine="420" w:firstLineChars="200"/>
        <w:jc w:val="left"/>
        <w:rPr>
          <w:rFonts w:hint="eastAsia" w:asciiTheme="minorEastAsia" w:hAnsiTheme="minorEastAsia"/>
          <w:color w:val="auto"/>
          <w:highlight w:val="none"/>
        </w:rPr>
      </w:pPr>
    </w:p>
    <w:p>
      <w:pPr>
        <w:spacing w:line="300" w:lineRule="exact"/>
        <w:ind w:firstLine="420" w:firstLineChars="200"/>
        <w:jc w:val="left"/>
        <w:rPr>
          <w:rFonts w:hint="eastAsia" w:asciiTheme="minorEastAsia" w:hAnsiTheme="minorEastAsia"/>
          <w:color w:val="auto"/>
          <w:highlight w:val="none"/>
        </w:rPr>
      </w:pPr>
    </w:p>
    <w:p>
      <w:pPr>
        <w:spacing w:line="300" w:lineRule="exact"/>
        <w:ind w:firstLine="420" w:firstLineChars="200"/>
        <w:jc w:val="right"/>
        <w:rPr>
          <w:rFonts w:asciiTheme="minorEastAsia" w:hAnsiTheme="minorEastAsia"/>
          <w:color w:val="auto"/>
          <w:highlight w:val="none"/>
        </w:rPr>
      </w:pPr>
      <w:r>
        <w:rPr>
          <w:rFonts w:asciiTheme="minorEastAsia" w:hAnsiTheme="minorEastAsia" w:eastAsiaTheme="minorEastAsia"/>
          <w:color w:val="auto"/>
          <w:highlight w:val="none"/>
        </w:rPr>
        <w:br w:type="page"/>
      </w:r>
    </w:p>
    <w:p>
      <w:pPr>
        <w:pStyle w:val="4"/>
        <w:jc w:val="center"/>
        <w:rPr>
          <w:rFonts w:hint="eastAsia" w:asciiTheme="minorEastAsia" w:hAnsiTheme="minorEastAsia" w:eastAsiaTheme="minorEastAsia"/>
          <w:color w:val="auto"/>
          <w:highlight w:val="none"/>
          <w:lang w:eastAsia="zh-CN"/>
        </w:rPr>
      </w:pPr>
      <w:bookmarkStart w:id="24" w:name="_Toc138238327"/>
      <w:r>
        <w:rPr>
          <w:rFonts w:hint="eastAsia" w:asciiTheme="minorEastAsia" w:hAnsiTheme="minorEastAsia" w:eastAsiaTheme="minorEastAsia"/>
          <w:color w:val="auto"/>
          <w:highlight w:val="none"/>
        </w:rPr>
        <w:t xml:space="preserve">第二章  </w:t>
      </w:r>
      <w:bookmarkEnd w:id="24"/>
      <w:r>
        <w:rPr>
          <w:rFonts w:hint="eastAsia" w:asciiTheme="minorEastAsia" w:hAnsiTheme="minorEastAsia" w:eastAsiaTheme="minorEastAsia"/>
          <w:color w:val="auto"/>
          <w:highlight w:val="none"/>
          <w:lang w:eastAsia="zh-CN"/>
        </w:rPr>
        <w:t>供应商须知</w:t>
      </w:r>
    </w:p>
    <w:p>
      <w:pPr>
        <w:pStyle w:val="5"/>
        <w:rPr>
          <w:color w:val="auto"/>
          <w:kern w:val="0"/>
          <w:highlight w:val="none"/>
        </w:rPr>
      </w:pPr>
      <w:bookmarkStart w:id="25" w:name="_Toc138238328"/>
      <w:r>
        <w:rPr>
          <w:rFonts w:hint="eastAsia"/>
          <w:color w:val="auto"/>
          <w:kern w:val="0"/>
          <w:highlight w:val="none"/>
          <w:lang w:eastAsia="zh-CN"/>
        </w:rPr>
        <w:t>供应商须知</w:t>
      </w:r>
      <w:r>
        <w:rPr>
          <w:rFonts w:hint="eastAsia"/>
          <w:color w:val="auto"/>
          <w:kern w:val="0"/>
          <w:highlight w:val="none"/>
        </w:rPr>
        <w:t>前附表</w:t>
      </w:r>
      <w:bookmarkEnd w:id="25"/>
    </w:p>
    <w:tbl>
      <w:tblPr>
        <w:tblStyle w:val="47"/>
        <w:tblW w:w="4940"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42"/>
        <w:gridCol w:w="111"/>
        <w:gridCol w:w="416"/>
        <w:gridCol w:w="1512"/>
        <w:gridCol w:w="5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条款号</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条款名称</w:t>
            </w:r>
          </w:p>
        </w:tc>
        <w:tc>
          <w:tcPr>
            <w:tcW w:w="3286"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w:t>
            </w:r>
          </w:p>
        </w:tc>
        <w:tc>
          <w:tcPr>
            <w:tcW w:w="3286" w:type="pct"/>
            <w:vAlign w:val="center"/>
          </w:tcPr>
          <w:p>
            <w:pPr>
              <w:topLinePunct/>
              <w:adjustRightInd w:val="0"/>
              <w:snapToGrid w:val="0"/>
              <w:spacing w:line="360" w:lineRule="exact"/>
              <w:rPr>
                <w:rFonts w:hint="eastAsia" w:ascii="宋体" w:hAnsi="宋体" w:eastAsia="宋体" w:cs="宋体"/>
                <w:bCs/>
                <w:snapToGrid w:val="0"/>
                <w:color w:val="auto"/>
                <w:kern w:val="24"/>
                <w:sz w:val="21"/>
                <w:szCs w:val="21"/>
                <w:highlight w:val="none"/>
                <w:lang w:val="en-US" w:eastAsia="zh-CN"/>
              </w:rPr>
            </w:pPr>
            <w:r>
              <w:rPr>
                <w:rFonts w:hint="eastAsia" w:ascii="宋体" w:hAnsi="宋体" w:eastAsia="宋体" w:cs="宋体"/>
                <w:bCs/>
                <w:snapToGrid w:val="0"/>
                <w:color w:val="auto"/>
                <w:kern w:val="24"/>
                <w:sz w:val="21"/>
                <w:szCs w:val="21"/>
                <w:highlight w:val="none"/>
                <w:lang w:val="en-US" w:eastAsia="zh-CN"/>
              </w:rPr>
              <w:t>名    称：</w:t>
            </w:r>
            <w:r>
              <w:rPr>
                <w:rFonts w:hint="eastAsia" w:ascii="宋体" w:hAnsi="宋体" w:cs="宋体"/>
                <w:color w:val="auto"/>
                <w:sz w:val="21"/>
                <w:szCs w:val="21"/>
                <w:highlight w:val="none"/>
                <w:lang w:eastAsia="zh-CN"/>
              </w:rPr>
              <w:t>吉林市龙潭区第二实验小学校</w:t>
            </w:r>
          </w:p>
          <w:p>
            <w:pPr>
              <w:topLinePunct/>
              <w:adjustRightInd w:val="0"/>
              <w:snapToGrid w:val="0"/>
              <w:spacing w:line="360" w:lineRule="exact"/>
              <w:rPr>
                <w:rFonts w:hint="eastAsia" w:ascii="宋体" w:hAnsi="宋体" w:cs="宋体"/>
                <w:color w:val="auto"/>
                <w:kern w:val="0"/>
                <w:sz w:val="21"/>
                <w:szCs w:val="21"/>
                <w:highlight w:val="none"/>
                <w:lang w:eastAsia="zh-CN"/>
              </w:rPr>
            </w:pPr>
            <w:r>
              <w:rPr>
                <w:rFonts w:hint="eastAsia" w:ascii="宋体" w:hAnsi="宋体" w:eastAsia="宋体" w:cs="宋体"/>
                <w:bCs/>
                <w:snapToGrid w:val="0"/>
                <w:color w:val="auto"/>
                <w:kern w:val="24"/>
                <w:sz w:val="21"/>
                <w:szCs w:val="21"/>
                <w:highlight w:val="none"/>
                <w:lang w:val="en-US" w:eastAsia="zh-CN"/>
              </w:rPr>
              <w:t>地    址：</w:t>
            </w:r>
            <w:r>
              <w:rPr>
                <w:rFonts w:hint="eastAsia" w:ascii="宋体" w:hAnsi="宋体" w:cs="宋体"/>
                <w:color w:val="auto"/>
                <w:kern w:val="0"/>
                <w:sz w:val="21"/>
                <w:szCs w:val="21"/>
                <w:highlight w:val="none"/>
                <w:lang w:eastAsia="zh-CN"/>
              </w:rPr>
              <w:t>吉林市龙潭区扬州街41号</w:t>
            </w:r>
          </w:p>
          <w:p>
            <w:pPr>
              <w:topLinePunct/>
              <w:adjustRightInd w:val="0"/>
              <w:snapToGrid w:val="0"/>
              <w:spacing w:line="360" w:lineRule="exact"/>
              <w:rPr>
                <w:rFonts w:hint="eastAsia" w:ascii="宋体" w:hAnsi="宋体" w:eastAsia="宋体" w:cs="宋体"/>
                <w:bCs/>
                <w:snapToGrid w:val="0"/>
                <w:color w:val="auto"/>
                <w:kern w:val="24"/>
                <w:sz w:val="21"/>
                <w:szCs w:val="21"/>
                <w:highlight w:val="none"/>
                <w:lang w:val="en-US" w:eastAsia="zh-CN"/>
              </w:rPr>
            </w:pPr>
            <w:r>
              <w:rPr>
                <w:rFonts w:hint="eastAsia" w:ascii="宋体" w:hAnsi="宋体" w:eastAsia="宋体" w:cs="宋体"/>
                <w:bCs/>
                <w:snapToGrid w:val="0"/>
                <w:color w:val="auto"/>
                <w:kern w:val="24"/>
                <w:sz w:val="21"/>
                <w:szCs w:val="21"/>
                <w:highlight w:val="none"/>
                <w:lang w:val="en-US" w:eastAsia="zh-CN"/>
              </w:rPr>
              <w:t>联系人：王旭东</w:t>
            </w:r>
          </w:p>
          <w:p>
            <w:pPr>
              <w:topLinePunct/>
              <w:adjustRightInd w:val="0"/>
              <w:snapToGrid w:val="0"/>
              <w:spacing w:line="360" w:lineRule="exact"/>
              <w:rPr>
                <w:color w:val="auto"/>
                <w:highlight w:val="none"/>
              </w:rPr>
            </w:pPr>
            <w:r>
              <w:rPr>
                <w:rFonts w:hint="eastAsia" w:ascii="宋体" w:hAnsi="宋体" w:eastAsia="宋体" w:cs="宋体"/>
                <w:bCs/>
                <w:snapToGrid w:val="0"/>
                <w:color w:val="auto"/>
                <w:kern w:val="24"/>
                <w:sz w:val="21"/>
                <w:szCs w:val="21"/>
                <w:highlight w:val="none"/>
                <w:lang w:val="en-US" w:eastAsia="zh-CN"/>
              </w:rPr>
              <w:t>联系电话：0432-63069170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1.1.3</w:t>
            </w:r>
          </w:p>
        </w:tc>
        <w:tc>
          <w:tcPr>
            <w:tcW w:w="1144" w:type="pct"/>
            <w:gridSpan w:val="2"/>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采购代理机构</w:t>
            </w:r>
          </w:p>
        </w:tc>
        <w:tc>
          <w:tcPr>
            <w:tcW w:w="3286" w:type="pct"/>
            <w:vAlign w:val="center"/>
          </w:tcPr>
          <w:p>
            <w:pPr>
              <w:topLinePunct/>
              <w:adjustRightInd w:val="0"/>
              <w:snapToGrid w:val="0"/>
              <w:spacing w:line="360" w:lineRule="exact"/>
              <w:rPr>
                <w:rFonts w:hint="eastAsia" w:ascii="宋体" w:hAnsi="宋体" w:cs="宋体"/>
                <w:bCs/>
                <w:snapToGrid w:val="0"/>
                <w:color w:val="auto"/>
                <w:kern w:val="24"/>
                <w:sz w:val="21"/>
                <w:szCs w:val="21"/>
                <w:highlight w:val="none"/>
                <w:lang w:val="zh-CN"/>
              </w:rPr>
            </w:pPr>
            <w:r>
              <w:rPr>
                <w:rFonts w:hint="eastAsia" w:ascii="宋体" w:hAnsi="宋体" w:eastAsia="宋体" w:cs="宋体"/>
                <w:bCs/>
                <w:snapToGrid w:val="0"/>
                <w:color w:val="auto"/>
                <w:kern w:val="24"/>
                <w:sz w:val="21"/>
                <w:szCs w:val="21"/>
                <w:highlight w:val="none"/>
                <w:lang w:val="en-US" w:eastAsia="zh-CN"/>
              </w:rPr>
              <w:t>采购</w:t>
            </w:r>
            <w:r>
              <w:rPr>
                <w:rFonts w:hint="eastAsia" w:ascii="宋体" w:hAnsi="宋体" w:eastAsia="宋体" w:cs="宋体"/>
                <w:bCs/>
                <w:snapToGrid w:val="0"/>
                <w:color w:val="auto"/>
                <w:kern w:val="24"/>
                <w:sz w:val="21"/>
                <w:szCs w:val="21"/>
                <w:highlight w:val="none"/>
                <w:lang w:val="zh-CN"/>
              </w:rPr>
              <w:t>代理机构：</w:t>
            </w:r>
            <w:r>
              <w:rPr>
                <w:rFonts w:hint="eastAsia" w:ascii="宋体" w:hAnsi="宋体" w:cs="宋体"/>
                <w:bCs/>
                <w:snapToGrid w:val="0"/>
                <w:color w:val="auto"/>
                <w:kern w:val="24"/>
                <w:sz w:val="21"/>
                <w:szCs w:val="21"/>
                <w:highlight w:val="none"/>
                <w:lang w:val="zh-CN"/>
              </w:rPr>
              <w:t>吉林省建兴工程管理咨询有限公司</w:t>
            </w:r>
          </w:p>
          <w:p>
            <w:pPr>
              <w:topLinePunct/>
              <w:adjustRightInd w:val="0"/>
              <w:snapToGrid w:val="0"/>
              <w:spacing w:line="360" w:lineRule="exact"/>
              <w:rPr>
                <w:rFonts w:hint="eastAsia" w:ascii="宋体" w:hAnsi="宋体" w:eastAsia="宋体" w:cs="Times New Roman"/>
                <w:color w:val="auto"/>
                <w:highlight w:val="none"/>
                <w:lang w:val="zh-CN" w:eastAsia="zh-CN"/>
              </w:rPr>
            </w:pPr>
            <w:r>
              <w:rPr>
                <w:rFonts w:hint="eastAsia" w:ascii="宋体" w:hAnsi="宋体" w:eastAsia="宋体" w:cs="宋体"/>
                <w:bCs/>
                <w:snapToGrid w:val="0"/>
                <w:color w:val="auto"/>
                <w:kern w:val="24"/>
                <w:sz w:val="21"/>
                <w:szCs w:val="21"/>
                <w:highlight w:val="none"/>
                <w:lang w:val="zh-CN" w:eastAsia="zh-CN"/>
              </w:rPr>
              <w:t>代理机构地址：</w:t>
            </w:r>
            <w:r>
              <w:rPr>
                <w:rFonts w:hint="eastAsia" w:ascii="宋体" w:hAnsi="宋体" w:eastAsia="宋体" w:cs="Times New Roman"/>
                <w:color w:val="auto"/>
                <w:highlight w:val="none"/>
                <w:lang w:val="zh-CN" w:eastAsia="zh-CN"/>
              </w:rPr>
              <w:t>吉林船营智慧大厦 11楼1108室</w:t>
            </w:r>
          </w:p>
          <w:p>
            <w:pPr>
              <w:topLinePunct/>
              <w:adjustRightInd w:val="0"/>
              <w:snapToGrid w:val="0"/>
              <w:spacing w:line="360" w:lineRule="exact"/>
              <w:rPr>
                <w:rFonts w:hint="eastAsia" w:ascii="宋体" w:hAnsi="宋体" w:eastAsia="宋体" w:cs="宋体"/>
                <w:bCs/>
                <w:snapToGrid w:val="0"/>
                <w:color w:val="auto"/>
                <w:kern w:val="24"/>
                <w:sz w:val="21"/>
                <w:szCs w:val="21"/>
                <w:highlight w:val="none"/>
                <w:lang w:val="en-US" w:eastAsia="zh-CN"/>
              </w:rPr>
            </w:pPr>
            <w:r>
              <w:rPr>
                <w:rFonts w:hint="eastAsia" w:ascii="宋体" w:hAnsi="宋体" w:eastAsia="宋体" w:cs="宋体"/>
                <w:bCs/>
                <w:snapToGrid w:val="0"/>
                <w:color w:val="auto"/>
                <w:kern w:val="24"/>
                <w:sz w:val="21"/>
                <w:szCs w:val="21"/>
                <w:highlight w:val="none"/>
                <w:lang w:val="zh-CN" w:eastAsia="zh-CN"/>
              </w:rPr>
              <w:t>联系人</w:t>
            </w:r>
            <w:r>
              <w:rPr>
                <w:rFonts w:hint="eastAsia" w:ascii="宋体" w:hAnsi="宋体" w:cs="宋体"/>
                <w:bCs/>
                <w:snapToGrid w:val="0"/>
                <w:color w:val="auto"/>
                <w:kern w:val="24"/>
                <w:sz w:val="21"/>
                <w:szCs w:val="21"/>
                <w:highlight w:val="none"/>
                <w:lang w:val="zh-CN" w:eastAsia="zh-CN"/>
              </w:rPr>
              <w:t>：</w:t>
            </w:r>
            <w:r>
              <w:rPr>
                <w:rFonts w:hint="eastAsia" w:ascii="宋体" w:hAnsi="宋体"/>
                <w:color w:val="auto"/>
                <w:highlight w:val="none"/>
                <w:lang w:eastAsia="zh-CN"/>
              </w:rPr>
              <w:t>沈恩驰</w:t>
            </w:r>
          </w:p>
          <w:p>
            <w:pPr>
              <w:spacing w:line="300" w:lineRule="exact"/>
              <w:rPr>
                <w:color w:val="auto"/>
                <w:highlight w:val="none"/>
              </w:rPr>
            </w:pPr>
            <w:r>
              <w:rPr>
                <w:rFonts w:hint="eastAsia" w:ascii="宋体" w:hAnsi="宋体" w:eastAsia="宋体" w:cs="宋体"/>
                <w:bCs/>
                <w:snapToGrid w:val="0"/>
                <w:color w:val="auto"/>
                <w:kern w:val="24"/>
                <w:sz w:val="21"/>
                <w:szCs w:val="21"/>
                <w:highlight w:val="none"/>
                <w:lang w:val="zh-CN" w:eastAsia="zh-CN"/>
              </w:rPr>
              <w:t>联系电话</w:t>
            </w:r>
            <w:r>
              <w:rPr>
                <w:rFonts w:hint="eastAsia" w:ascii="宋体" w:hAnsi="宋体" w:cs="宋体"/>
                <w:bCs/>
                <w:snapToGrid w:val="0"/>
                <w:color w:val="auto"/>
                <w:kern w:val="24"/>
                <w:sz w:val="21"/>
                <w:szCs w:val="21"/>
                <w:highlight w:val="none"/>
                <w:lang w:val="zh-CN" w:eastAsia="zh-CN"/>
              </w:rPr>
              <w:t>：</w:t>
            </w:r>
            <w:r>
              <w:rPr>
                <w:rFonts w:hint="eastAsia" w:ascii="宋体" w:hAnsi="宋体"/>
                <w:color w:val="auto"/>
                <w:highlight w:val="none"/>
                <w:lang w:val="en-US" w:eastAsia="zh-CN"/>
              </w:rPr>
              <w:t>13596084098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1.1.4</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项目名称</w:t>
            </w:r>
          </w:p>
        </w:tc>
        <w:tc>
          <w:tcPr>
            <w:tcW w:w="3286" w:type="pct"/>
            <w:vAlign w:val="center"/>
          </w:tcPr>
          <w:p>
            <w:pPr>
              <w:rPr>
                <w:rFonts w:ascii="宋体" w:hAnsi="宋体"/>
                <w:color w:val="auto"/>
                <w:highlight w:val="none"/>
              </w:rPr>
            </w:pPr>
            <w:r>
              <w:rPr>
                <w:rFonts w:hint="eastAsia" w:ascii="宋体" w:hAnsi="宋体" w:cs="宋体"/>
                <w:bCs/>
                <w:color w:val="auto"/>
                <w:kern w:val="24"/>
                <w:sz w:val="21"/>
                <w:szCs w:val="21"/>
                <w:highlight w:val="none"/>
                <w:lang w:val="en-US" w:eastAsia="zh-CN" w:bidi="ar-SA"/>
              </w:rPr>
              <w:t>2023年吉林市龙潭区第二实验小学幼儿园园舍维修工程（二次）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1.1.5</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建设地点</w:t>
            </w:r>
          </w:p>
        </w:tc>
        <w:tc>
          <w:tcPr>
            <w:tcW w:w="3286" w:type="pct"/>
            <w:vAlign w:val="center"/>
          </w:tcPr>
          <w:p>
            <w:pPr>
              <w:topLinePunct/>
              <w:adjustRightInd w:val="0"/>
              <w:snapToGrid w:val="0"/>
              <w:spacing w:line="360" w:lineRule="exact"/>
              <w:jc w:val="left"/>
              <w:rPr>
                <w:rFonts w:ascii="宋体" w:hAnsi="宋体"/>
                <w:color w:val="auto"/>
                <w:highlight w:val="none"/>
              </w:rPr>
            </w:pPr>
            <w:r>
              <w:rPr>
                <w:rFonts w:hint="eastAsia" w:ascii="宋体" w:hAnsi="宋体" w:cs="宋体"/>
                <w:b w:val="0"/>
                <w:bCs w:val="0"/>
                <w:color w:val="auto"/>
                <w:sz w:val="21"/>
                <w:szCs w:val="21"/>
                <w:highlight w:val="none"/>
                <w:lang w:val="en-US" w:eastAsia="zh-CN"/>
              </w:rPr>
              <w:t>吉林市龙潭区第二实验小学幼儿园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1.2.1</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资金来源</w:t>
            </w:r>
          </w:p>
        </w:tc>
        <w:tc>
          <w:tcPr>
            <w:tcW w:w="3286" w:type="pct"/>
            <w:vAlign w:val="center"/>
          </w:tcPr>
          <w:p>
            <w:pPr>
              <w:topLinePunct/>
              <w:adjustRightInd w:val="0"/>
              <w:snapToGrid w:val="0"/>
              <w:spacing w:line="360" w:lineRule="exact"/>
              <w:jc w:val="left"/>
              <w:rPr>
                <w:color w:val="auto"/>
                <w:highlight w:val="none"/>
              </w:rPr>
            </w:pPr>
            <w:r>
              <w:rPr>
                <w:rFonts w:hint="eastAsia" w:ascii="宋体" w:hAnsi="宋体" w:eastAsia="宋体" w:cs="宋体"/>
                <w:bCs/>
                <w:color w:val="auto"/>
                <w:kern w:val="24"/>
                <w:sz w:val="21"/>
                <w:szCs w:val="21"/>
                <w:highlight w:val="none"/>
                <w:lang w:val="zh-CN" w:eastAsia="zh-CN" w:bidi="ar-SA"/>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出资比例</w:t>
            </w:r>
          </w:p>
        </w:tc>
        <w:tc>
          <w:tcPr>
            <w:tcW w:w="3286" w:type="pct"/>
            <w:vAlign w:val="center"/>
          </w:tcPr>
          <w:p>
            <w:pPr>
              <w:topLinePunct/>
              <w:adjustRightInd w:val="0"/>
              <w:snapToGrid w:val="0"/>
              <w:spacing w:line="360" w:lineRule="exact"/>
              <w:jc w:val="left"/>
              <w:rPr>
                <w:color w:val="auto"/>
                <w:highlight w:val="none"/>
              </w:rPr>
            </w:pPr>
            <w:r>
              <w:rPr>
                <w:rFonts w:hint="eastAsia" w:ascii="宋体" w:hAnsi="宋体" w:eastAsia="宋体" w:cs="宋体"/>
                <w:bCs/>
                <w:color w:val="auto"/>
                <w:kern w:val="24"/>
                <w:sz w:val="21"/>
                <w:szCs w:val="21"/>
                <w:highlight w:val="no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1.2.3</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资金落实情况</w:t>
            </w:r>
          </w:p>
        </w:tc>
        <w:tc>
          <w:tcPr>
            <w:tcW w:w="3286" w:type="pct"/>
            <w:vAlign w:val="center"/>
          </w:tcPr>
          <w:p>
            <w:pPr>
              <w:topLinePunct/>
              <w:adjustRightInd w:val="0"/>
              <w:snapToGrid w:val="0"/>
              <w:spacing w:line="360" w:lineRule="exact"/>
              <w:rPr>
                <w:color w:val="auto"/>
                <w:highlight w:val="none"/>
              </w:rPr>
            </w:pPr>
            <w:r>
              <w:rPr>
                <w:rFonts w:hint="eastAsia" w:ascii="宋体" w:hAnsi="宋体" w:eastAsia="宋体" w:cs="宋体"/>
                <w:bCs/>
                <w:color w:val="auto"/>
                <w:kern w:val="24"/>
                <w:sz w:val="21"/>
                <w:szCs w:val="21"/>
                <w:highlight w:val="none"/>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1.3.1</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建设规模及施工范围</w:t>
            </w:r>
          </w:p>
        </w:tc>
        <w:tc>
          <w:tcPr>
            <w:tcW w:w="3286" w:type="pct"/>
            <w:vAlign w:val="center"/>
          </w:tcPr>
          <w:p>
            <w:pPr>
              <w:numPr>
                <w:ilvl w:val="0"/>
                <w:numId w:val="0"/>
              </w:numPr>
              <w:spacing w:line="380" w:lineRule="exact"/>
              <w:ind w:left="0" w:leftChars="0" w:firstLine="0" w:firstLineChars="0"/>
              <w:rPr>
                <w:rFonts w:cs="宋体" w:asciiTheme="minorEastAsia" w:hAnsiTheme="minorEastAsia" w:eastAsiaTheme="minorEastAsia"/>
                <w:color w:val="auto"/>
                <w:szCs w:val="21"/>
                <w:highlight w:val="none"/>
              </w:rPr>
            </w:pPr>
            <w:r>
              <w:rPr>
                <w:rFonts w:hint="eastAsia" w:ascii="宋体" w:hAnsi="宋体" w:cs="宋体"/>
                <w:bCs/>
                <w:color w:val="auto"/>
                <w:kern w:val="24"/>
                <w:sz w:val="21"/>
                <w:szCs w:val="21"/>
                <w:highlight w:val="none"/>
                <w:lang w:val="en-US" w:eastAsia="zh-CN"/>
              </w:rPr>
              <w:t>吉林市龙潭区第二实验小学幼儿园园舍维修工程</w:t>
            </w:r>
            <w:r>
              <w:rPr>
                <w:rFonts w:hint="eastAsia" w:ascii="宋体" w:hAnsi="宋体" w:eastAsia="宋体" w:cs="宋体"/>
                <w:bCs/>
                <w:color w:val="auto"/>
                <w:kern w:val="24"/>
                <w:sz w:val="21"/>
                <w:szCs w:val="21"/>
                <w:highlight w:val="none"/>
                <w:lang w:val="en-US" w:eastAsia="zh-CN"/>
              </w:rPr>
              <w:t>；工程量清单及施工图纸范围内的工程施工。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计划工期</w:t>
            </w:r>
          </w:p>
        </w:tc>
        <w:tc>
          <w:tcPr>
            <w:tcW w:w="3286" w:type="pct"/>
            <w:vAlign w:val="center"/>
          </w:tcPr>
          <w:p>
            <w:pPr>
              <w:topLinePunct/>
              <w:adjustRightInd w:val="0"/>
              <w:snapToGrid w:val="0"/>
              <w:spacing w:line="360" w:lineRule="exact"/>
              <w:jc w:val="left"/>
              <w:rPr>
                <w:rFonts w:hint="default" w:cs="宋体" w:asciiTheme="minorEastAsia" w:hAnsiTheme="minorEastAsia" w:eastAsiaTheme="minorEastAsia"/>
                <w:color w:val="auto"/>
                <w:szCs w:val="21"/>
                <w:highlight w:val="none"/>
                <w:lang w:val="en-US"/>
              </w:rPr>
            </w:pPr>
            <w:r>
              <w:rPr>
                <w:rFonts w:hint="eastAsia" w:asciiTheme="minorEastAsia" w:hAnsiTheme="minorEastAsia"/>
                <w:color w:val="auto"/>
                <w:highlight w:val="none"/>
              </w:rPr>
              <w:t>自合同签订之日起152日历日内</w:t>
            </w:r>
            <w:r>
              <w:rPr>
                <w:rFonts w:hint="eastAsia" w:asciiTheme="minorEastAsia" w:hAnsiTheme="minorEastAsia"/>
                <w:color w:val="auto"/>
                <w:highlight w:val="none"/>
                <w:lang w:eastAsia="zh-CN"/>
              </w:rPr>
              <w:t>完成</w:t>
            </w:r>
            <w:r>
              <w:rPr>
                <w:rFonts w:hint="eastAsia" w:asciiTheme="minorEastAsia" w:hAnsiTheme="minorEastAsia"/>
                <w:color w:val="auto"/>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1.3.3</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质量标准</w:t>
            </w:r>
          </w:p>
        </w:tc>
        <w:tc>
          <w:tcPr>
            <w:tcW w:w="3286" w:type="pct"/>
            <w:vAlign w:val="center"/>
          </w:tcPr>
          <w:p>
            <w:pPr>
              <w:topLinePunct/>
              <w:adjustRightInd w:val="0"/>
              <w:snapToGrid w:val="0"/>
              <w:spacing w:line="360" w:lineRule="exact"/>
              <w:rPr>
                <w:rFonts w:asciiTheme="minorEastAsia" w:hAnsiTheme="minorEastAsia" w:eastAsiaTheme="minorEastAsia"/>
                <w:color w:val="auto"/>
                <w:szCs w:val="21"/>
                <w:highlight w:val="none"/>
              </w:rPr>
            </w:pPr>
            <w:r>
              <w:rPr>
                <w:rFonts w:hint="eastAsia" w:ascii="宋体" w:hAnsi="宋体" w:eastAsia="宋体" w:cs="宋体"/>
                <w:bCs/>
                <w:color w:val="auto"/>
                <w:kern w:val="24"/>
                <w:sz w:val="21"/>
                <w:szCs w:val="21"/>
                <w:highlight w:val="none"/>
                <w:lang w:val="en-US" w:eastAsia="zh-CN"/>
              </w:rPr>
              <w:t>符合国家现行相关工程质量验收标准的合格工程标准。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1.4.1</w:t>
            </w:r>
          </w:p>
        </w:tc>
        <w:tc>
          <w:tcPr>
            <w:tcW w:w="1144" w:type="pct"/>
            <w:gridSpan w:val="2"/>
            <w:vAlign w:val="center"/>
          </w:tcPr>
          <w:p>
            <w:pPr>
              <w:topLinePunct/>
              <w:adjustRightInd w:val="0"/>
              <w:snapToGri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kern w:val="24"/>
                <w:sz w:val="21"/>
                <w:szCs w:val="21"/>
                <w:highlight w:val="none"/>
                <w:lang w:val="en-US" w:eastAsia="zh-CN"/>
              </w:rPr>
              <w:t>供应商</w:t>
            </w:r>
            <w:r>
              <w:rPr>
                <w:rFonts w:hint="eastAsia" w:ascii="宋体" w:hAnsi="宋体" w:eastAsia="宋体" w:cs="宋体"/>
                <w:bCs/>
                <w:color w:val="auto"/>
                <w:kern w:val="24"/>
                <w:sz w:val="21"/>
                <w:szCs w:val="21"/>
                <w:highlight w:val="none"/>
                <w:lang w:val="zh-CN"/>
              </w:rPr>
              <w:t>资质条件、能力和信誉</w:t>
            </w:r>
          </w:p>
        </w:tc>
        <w:tc>
          <w:tcPr>
            <w:tcW w:w="3286" w:type="pct"/>
            <w:vAlign w:val="center"/>
          </w:tcPr>
          <w:p>
            <w:pPr>
              <w:topLinePunct/>
              <w:adjustRightInd w:val="0"/>
              <w:snapToGrid w:val="0"/>
              <w:spacing w:line="360" w:lineRule="exact"/>
              <w:rPr>
                <w:rFonts w:hint="eastAsia" w:ascii="宋体" w:hAnsi="宋体" w:eastAsia="宋体" w:cs="宋体"/>
                <w:bCs/>
                <w:color w:val="auto"/>
                <w:kern w:val="24"/>
                <w:sz w:val="21"/>
                <w:szCs w:val="21"/>
                <w:highlight w:val="none"/>
                <w:lang w:val="en-US" w:eastAsia="zh-CN"/>
              </w:rPr>
            </w:pPr>
            <w:r>
              <w:rPr>
                <w:rFonts w:hint="eastAsia" w:ascii="宋体" w:hAnsi="宋体" w:eastAsia="宋体" w:cs="宋体"/>
                <w:b/>
                <w:color w:val="auto"/>
                <w:sz w:val="21"/>
                <w:szCs w:val="21"/>
                <w:highlight w:val="none"/>
                <w:lang w:val="en-US" w:eastAsia="zh-CN"/>
              </w:rPr>
              <w:t>1、</w:t>
            </w:r>
            <w:r>
              <w:rPr>
                <w:rFonts w:hint="eastAsia" w:ascii="宋体" w:hAnsi="宋体" w:eastAsia="宋体" w:cs="宋体"/>
                <w:b/>
                <w:color w:val="auto"/>
                <w:sz w:val="21"/>
                <w:szCs w:val="21"/>
                <w:highlight w:val="none"/>
                <w:lang w:val="zh-CN"/>
              </w:rPr>
              <w:t>资质条件</w:t>
            </w:r>
            <w:r>
              <w:rPr>
                <w:rFonts w:hint="eastAsia" w:ascii="宋体" w:hAnsi="宋体" w:eastAsia="宋体" w:cs="宋体"/>
                <w:bCs/>
                <w:color w:val="auto"/>
                <w:sz w:val="21"/>
                <w:szCs w:val="21"/>
                <w:highlight w:val="none"/>
                <w:lang w:val="zh-CN"/>
              </w:rPr>
              <w:t>：</w:t>
            </w:r>
            <w:r>
              <w:rPr>
                <w:rFonts w:hint="eastAsia" w:ascii="宋体" w:hAnsi="宋体" w:eastAsia="宋体" w:cs="宋体"/>
                <w:bCs/>
                <w:color w:val="auto"/>
                <w:kern w:val="24"/>
                <w:sz w:val="21"/>
                <w:szCs w:val="21"/>
                <w:highlight w:val="none"/>
                <w:lang w:val="en-US" w:eastAsia="zh-CN"/>
              </w:rPr>
              <w:t>具备建设主管部门颁发的</w:t>
            </w:r>
            <w:r>
              <w:rPr>
                <w:rFonts w:hint="eastAsia" w:ascii="宋体" w:hAnsi="宋体" w:cs="宋体"/>
                <w:b w:val="0"/>
                <w:bCs w:val="0"/>
                <w:color w:val="auto"/>
                <w:sz w:val="21"/>
                <w:szCs w:val="21"/>
                <w:highlight w:val="none"/>
                <w:lang w:val="en-US" w:eastAsia="zh-CN"/>
              </w:rPr>
              <w:t>建筑工程施工总承包叁级</w:t>
            </w:r>
            <w:r>
              <w:rPr>
                <w:rFonts w:hint="eastAsia" w:ascii="宋体" w:hAnsi="宋体" w:eastAsia="宋体" w:cs="宋体"/>
                <w:b w:val="0"/>
                <w:bCs w:val="0"/>
                <w:color w:val="auto"/>
                <w:sz w:val="21"/>
                <w:szCs w:val="21"/>
                <w:highlight w:val="none"/>
                <w:lang w:val="en-US" w:eastAsia="zh-CN"/>
              </w:rPr>
              <w:t>及以上资质</w:t>
            </w:r>
            <w:r>
              <w:rPr>
                <w:rFonts w:hint="eastAsia" w:ascii="宋体" w:hAnsi="宋体" w:eastAsia="宋体" w:cs="宋体"/>
                <w:bCs/>
                <w:color w:val="auto"/>
                <w:kern w:val="24"/>
                <w:sz w:val="21"/>
                <w:szCs w:val="21"/>
                <w:highlight w:val="none"/>
                <w:lang w:val="en-US" w:eastAsia="zh-CN"/>
              </w:rPr>
              <w:t>，并具备有效的安全生产许可证，在人员、设备、资金等方面具有相应的施工能力。</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color w:val="auto"/>
                <w:kern w:val="24"/>
                <w:sz w:val="21"/>
                <w:szCs w:val="21"/>
                <w:highlight w:val="none"/>
              </w:rPr>
              <w:t>2、财务要求：</w:t>
            </w:r>
            <w:r>
              <w:rPr>
                <w:rFonts w:hint="eastAsia" w:ascii="宋体" w:hAnsi="宋体" w:eastAsia="宋体" w:cs="宋体"/>
                <w:b w:val="0"/>
                <w:bCs w:val="0"/>
                <w:color w:val="auto"/>
                <w:sz w:val="21"/>
                <w:szCs w:val="21"/>
                <w:highlight w:val="none"/>
                <w:lang w:val="en-US" w:eastAsia="zh-CN"/>
              </w:rPr>
              <w:t>提供近三年（</w:t>
            </w:r>
            <w:r>
              <w:rPr>
                <w:rFonts w:hint="eastAsia" w:ascii="宋体" w:hAnsi="宋体" w:cs="宋体"/>
                <w:b w:val="0"/>
                <w:bCs w:val="0"/>
                <w:color w:val="auto"/>
                <w:sz w:val="21"/>
                <w:szCs w:val="21"/>
                <w:highlight w:val="none"/>
                <w:lang w:val="en-US" w:eastAsia="zh-CN"/>
              </w:rPr>
              <w:t>2021 年、2022 年、2023</w:t>
            </w:r>
            <w:r>
              <w:rPr>
                <w:rFonts w:hint="eastAsia" w:ascii="宋体" w:hAnsi="宋体" w:eastAsia="宋体" w:cs="宋体"/>
                <w:b w:val="0"/>
                <w:bCs w:val="0"/>
                <w:color w:val="auto"/>
                <w:sz w:val="21"/>
                <w:szCs w:val="21"/>
                <w:highlight w:val="none"/>
                <w:lang w:val="en-US" w:eastAsia="zh-CN"/>
              </w:rPr>
              <w:t>年）</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公司财务报表或财务审计报告，供应商的成立时间少于规</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定年份的，应提供成立以来至 202</w:t>
            </w: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年的公司财务报表或财务审计报告</w:t>
            </w:r>
            <w:r>
              <w:rPr>
                <w:rFonts w:hint="eastAsia" w:ascii="宋体" w:hAnsi="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202</w:t>
            </w:r>
            <w:r>
              <w:rPr>
                <w:rFonts w:hint="eastAsia" w:ascii="宋体" w:hAnsi="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val="en-US" w:eastAsia="zh-CN"/>
              </w:rPr>
              <w:t>年之后新成立企业需提供银行出具的公司资信证明；近</w:t>
            </w: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个月</w:t>
            </w:r>
            <w:r>
              <w:rPr>
                <w:rFonts w:hint="eastAsia" w:ascii="宋体" w:hAnsi="宋体" w:cs="宋体"/>
                <w:b w:val="0"/>
                <w:bCs w:val="0"/>
                <w:color w:val="auto"/>
                <w:sz w:val="21"/>
                <w:szCs w:val="21"/>
                <w:highlight w:val="none"/>
                <w:lang w:val="en-US" w:eastAsia="zh-CN"/>
              </w:rPr>
              <w:t>（2024年01月-2024年03月）</w:t>
            </w:r>
            <w:r>
              <w:rPr>
                <w:rFonts w:hint="eastAsia" w:ascii="宋体" w:hAnsi="宋体" w:eastAsia="宋体" w:cs="宋体"/>
                <w:b w:val="0"/>
                <w:bCs w:val="0"/>
                <w:color w:val="auto"/>
                <w:sz w:val="21"/>
                <w:szCs w:val="21"/>
                <w:highlight w:val="none"/>
                <w:lang w:val="en-US" w:eastAsia="zh-CN"/>
              </w:rPr>
              <w:t>（任意一个月即可）依法缴纳税收和社会保障资金的相关材料，依法免税或不需要缴纳社会保障资金的供应商，应提供相应文件证明其依法免税或不需要缴纳社会保障资金。</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bCs/>
                <w:color w:val="auto"/>
                <w:sz w:val="21"/>
                <w:szCs w:val="21"/>
                <w:highlight w:val="none"/>
              </w:rPr>
              <w:t>3、信誉要求：</w:t>
            </w:r>
            <w:r>
              <w:rPr>
                <w:rFonts w:hint="eastAsia" w:ascii="宋体" w:hAnsi="宋体" w:eastAsia="宋体" w:cs="宋体"/>
                <w:bCs/>
                <w:color w:val="auto"/>
                <w:kern w:val="24"/>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val="zh-CN" w:eastAsia="zh-CN"/>
              </w:rPr>
              <w:t>）拒绝列入政府取消投标资格记录期间的企业或个人投标，过去三年内，</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没有骗取中标或严重违约以及发生重大工程质量事故等问题，须出具有法定代表人签署并加盖公章的承诺书</w:t>
            </w:r>
            <w:r>
              <w:rPr>
                <w:rFonts w:hint="eastAsia" w:ascii="宋体" w:hAnsi="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zh-CN" w:eastAsia="zh-CN"/>
              </w:rPr>
              <w:t>）投标企业（含本地、外埠投标企业）需提供</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自行出具的企业诚信证明承诺；</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zh-CN" w:eastAsia="zh-CN"/>
              </w:rPr>
              <w:t>）投标</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须在“中国裁判文书网”自行查询近三年（</w:t>
            </w:r>
            <w:r>
              <w:rPr>
                <w:rFonts w:hint="eastAsia" w:ascii="宋体" w:hAnsi="宋体" w:cs="宋体"/>
                <w:b w:val="0"/>
                <w:bCs w:val="0"/>
                <w:color w:val="auto"/>
                <w:sz w:val="21"/>
                <w:szCs w:val="21"/>
                <w:highlight w:val="none"/>
                <w:lang w:val="zh-CN" w:eastAsia="zh-CN"/>
              </w:rPr>
              <w:t>202</w:t>
            </w:r>
            <w:r>
              <w:rPr>
                <w:rFonts w:hint="eastAsia" w:ascii="宋体" w:hAnsi="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val="zh-CN" w:eastAsia="zh-CN"/>
              </w:rPr>
              <w:t>年0</w:t>
            </w:r>
            <w:r>
              <w:rPr>
                <w:rFonts w:hint="eastAsia" w:ascii="宋体" w:hAnsi="宋体" w:cs="宋体"/>
                <w:b w:val="0"/>
                <w:bCs w:val="0"/>
                <w:color w:val="auto"/>
                <w:sz w:val="21"/>
                <w:szCs w:val="21"/>
                <w:highlight w:val="none"/>
                <w:lang w:val="en-US" w:eastAsia="zh-CN"/>
              </w:rPr>
              <w:t>3</w:t>
            </w:r>
            <w:r>
              <w:rPr>
                <w:rFonts w:hint="eastAsia" w:ascii="宋体" w:hAnsi="宋体" w:cs="宋体"/>
                <w:b w:val="0"/>
                <w:bCs w:val="0"/>
                <w:color w:val="auto"/>
                <w:sz w:val="21"/>
                <w:szCs w:val="21"/>
                <w:highlight w:val="none"/>
                <w:lang w:val="zh-CN" w:eastAsia="zh-CN"/>
              </w:rPr>
              <w:t>月01日—磋商公告发布之日</w:t>
            </w:r>
            <w:r>
              <w:rPr>
                <w:rFonts w:hint="eastAsia" w:ascii="宋体" w:hAnsi="宋体" w:eastAsia="宋体" w:cs="宋体"/>
                <w:b w:val="0"/>
                <w:bCs w:val="0"/>
                <w:color w:val="auto"/>
                <w:sz w:val="21"/>
                <w:szCs w:val="21"/>
                <w:highlight w:val="none"/>
                <w:lang w:val="zh-CN" w:eastAsia="zh-CN"/>
              </w:rPr>
              <w:t>至开标之日期间任意一天）无行贿犯罪记录：本单位（案由：单位行贿罪）和个人（指法定代表人）（案由：行贿罪），且提供查询页面无行贿记录的截图并加盖公章作为无行贿犯罪记录证明；</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val="zh-CN" w:eastAsia="zh-CN"/>
              </w:rPr>
              <w:t>）按照《财政部关于在政府采购活动中查询及使用信用</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记录有关问题的通知》（财库〔2016〕125 号）的要求，</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对列入失信被执行人、重大税收违法失信主体、政府采购</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严重违法失信行为记录名单及其他不符合《中华人民共和</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国政府采购法》第二十二条规定条件的供应商,应当拒绝其</w:t>
            </w:r>
          </w:p>
          <w:p>
            <w:pPr>
              <w:topLinePunct/>
              <w:adjustRightInd w:val="0"/>
              <w:snapToGrid w:val="0"/>
              <w:spacing w:line="360" w:lineRule="exact"/>
              <w:rPr>
                <w:rFonts w:hint="eastAsia" w:ascii="宋体" w:hAnsi="宋体" w:eastAsia="宋体" w:cs="宋体"/>
                <w:b w:val="0"/>
                <w:bCs w:val="0"/>
                <w:color w:val="auto"/>
                <w:sz w:val="21"/>
                <w:szCs w:val="21"/>
                <w:highlight w:val="none"/>
                <w:lang w:val="zh-CN" w:eastAsia="zh-CN"/>
              </w:rPr>
            </w:pPr>
            <w:r>
              <w:rPr>
                <w:rFonts w:hint="eastAsia" w:ascii="宋体" w:hAnsi="宋体" w:eastAsia="宋体" w:cs="宋体"/>
                <w:b w:val="0"/>
                <w:bCs w:val="0"/>
                <w:color w:val="auto"/>
                <w:sz w:val="21"/>
                <w:szCs w:val="21"/>
                <w:highlight w:val="none"/>
                <w:lang w:val="zh-CN" w:eastAsia="zh-CN"/>
              </w:rPr>
              <w:t>参加政府采购活动；</w:t>
            </w:r>
          </w:p>
          <w:p>
            <w:pPr>
              <w:topLinePunct/>
              <w:adjustRightInd w:val="0"/>
              <w:snapToGri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zh-CN" w:eastAsia="zh-CN"/>
              </w:rPr>
              <w:t>（</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val="zh-CN" w:eastAsia="zh-CN"/>
              </w:rPr>
              <w:t>）投标</w:t>
            </w: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zh-CN" w:eastAsia="zh-CN"/>
              </w:rPr>
              <w:t>须提供不参与涉黑涉恶承诺书并加盖公章。</w:t>
            </w:r>
          </w:p>
          <w:p>
            <w:pPr>
              <w:autoSpaceDE w:val="0"/>
              <w:autoSpaceDN w:val="0"/>
              <w:adjustRightInd w:val="0"/>
              <w:snapToGrid w:val="0"/>
              <w:spacing w:line="340" w:lineRule="exact"/>
              <w:jc w:val="left"/>
              <w:rPr>
                <w:rFonts w:hint="eastAsia" w:ascii="宋体" w:hAnsi="宋体" w:eastAsia="宋体" w:cs="宋体"/>
                <w:bCs/>
                <w:color w:val="auto"/>
                <w:kern w:val="24"/>
                <w:sz w:val="21"/>
                <w:szCs w:val="21"/>
                <w:highlight w:val="none"/>
                <w:lang w:eastAsia="zh-CN"/>
              </w:rPr>
            </w:pPr>
            <w:r>
              <w:rPr>
                <w:rFonts w:hint="eastAsia" w:ascii="宋体" w:hAnsi="宋体" w:eastAsia="宋体" w:cs="宋体"/>
                <w:b/>
                <w:bCs/>
                <w:color w:val="auto"/>
                <w:sz w:val="21"/>
                <w:szCs w:val="21"/>
                <w:highlight w:val="none"/>
              </w:rPr>
              <w:t>4、项目经理（建造师）资格：</w:t>
            </w:r>
            <w:r>
              <w:rPr>
                <w:rFonts w:hint="eastAsia" w:ascii="宋体" w:hAnsi="宋体" w:eastAsia="宋体" w:cs="宋体"/>
                <w:bCs/>
                <w:color w:val="auto"/>
                <w:kern w:val="24"/>
                <w:sz w:val="21"/>
                <w:szCs w:val="21"/>
                <w:highlight w:val="none"/>
              </w:rPr>
              <w:t>具备</w:t>
            </w:r>
            <w:r>
              <w:rPr>
                <w:rFonts w:hint="eastAsia" w:ascii="宋体" w:hAnsi="宋体" w:cs="宋体"/>
                <w:color w:val="auto"/>
                <w:kern w:val="2"/>
                <w:sz w:val="21"/>
                <w:szCs w:val="21"/>
                <w:highlight w:val="none"/>
                <w:lang w:val="en-US" w:eastAsia="zh-CN" w:bidi="ar-SA"/>
              </w:rPr>
              <w:t>建筑工程专业二级</w:t>
            </w:r>
            <w:r>
              <w:rPr>
                <w:rFonts w:hint="eastAsia" w:ascii="宋体" w:hAnsi="宋体" w:eastAsia="宋体" w:cs="宋体"/>
                <w:i w:val="0"/>
                <w:iCs w:val="0"/>
                <w:caps w:val="0"/>
                <w:color w:val="auto"/>
                <w:spacing w:val="0"/>
                <w:sz w:val="21"/>
                <w:szCs w:val="21"/>
                <w:highlight w:val="none"/>
                <w:shd w:val="clear" w:color="auto" w:fill="FFFFFF"/>
                <w:lang w:eastAsia="zh-CN"/>
              </w:rPr>
              <w:t>及以上</w:t>
            </w:r>
            <w:r>
              <w:rPr>
                <w:rFonts w:hint="eastAsia" w:ascii="宋体" w:hAnsi="宋体" w:eastAsia="宋体" w:cs="宋体"/>
                <w:bCs/>
                <w:color w:val="auto"/>
                <w:kern w:val="24"/>
                <w:sz w:val="21"/>
                <w:szCs w:val="21"/>
                <w:highlight w:val="none"/>
              </w:rPr>
              <w:t>注册建造师资格</w:t>
            </w:r>
            <w:r>
              <w:rPr>
                <w:rFonts w:hint="eastAsia" w:ascii="宋体" w:hAnsi="宋体" w:eastAsia="宋体" w:cs="宋体"/>
                <w:bCs/>
                <w:color w:val="auto"/>
                <w:kern w:val="24"/>
                <w:sz w:val="21"/>
                <w:szCs w:val="21"/>
                <w:highlight w:val="none"/>
                <w:lang w:eastAsia="zh-CN"/>
              </w:rPr>
              <w:t>（</w:t>
            </w:r>
            <w:r>
              <w:rPr>
                <w:rFonts w:hint="eastAsia" w:ascii="宋体" w:hAnsi="宋体" w:eastAsia="宋体" w:cs="宋体"/>
                <w:bCs/>
                <w:color w:val="auto"/>
                <w:kern w:val="24"/>
                <w:sz w:val="21"/>
                <w:szCs w:val="21"/>
                <w:highlight w:val="none"/>
                <w:lang w:val="en-US" w:eastAsia="zh-CN"/>
              </w:rPr>
              <w:t>须在本单位注册</w:t>
            </w:r>
            <w:r>
              <w:rPr>
                <w:rFonts w:hint="eastAsia" w:ascii="宋体" w:hAnsi="宋体" w:eastAsia="宋体" w:cs="宋体"/>
                <w:bCs/>
                <w:color w:val="auto"/>
                <w:kern w:val="24"/>
                <w:sz w:val="21"/>
                <w:szCs w:val="21"/>
                <w:highlight w:val="none"/>
                <w:lang w:eastAsia="zh-CN"/>
              </w:rPr>
              <w:t>）</w:t>
            </w:r>
            <w:r>
              <w:rPr>
                <w:rFonts w:hint="eastAsia" w:ascii="宋体" w:hAnsi="宋体" w:eastAsia="宋体" w:cs="宋体"/>
                <w:bCs/>
                <w:color w:val="auto"/>
                <w:kern w:val="24"/>
                <w:sz w:val="21"/>
                <w:szCs w:val="21"/>
                <w:highlight w:val="none"/>
              </w:rPr>
              <w:t>，并具备有效的安全生产考核合格证书，且无在建工程</w:t>
            </w:r>
            <w:r>
              <w:rPr>
                <w:rFonts w:hint="eastAsia" w:ascii="宋体" w:hAnsi="宋体" w:eastAsia="宋体" w:cs="宋体"/>
                <w:bCs/>
                <w:color w:val="auto"/>
                <w:kern w:val="24"/>
                <w:sz w:val="21"/>
                <w:szCs w:val="21"/>
                <w:highlight w:val="none"/>
                <w:lang w:eastAsia="zh-CN"/>
              </w:rPr>
              <w:t>；</w:t>
            </w:r>
          </w:p>
          <w:p>
            <w:pPr>
              <w:autoSpaceDE w:val="0"/>
              <w:autoSpaceDN w:val="0"/>
              <w:adjustRightInd w:val="0"/>
              <w:snapToGrid w:val="0"/>
              <w:spacing w:line="340" w:lineRule="exact"/>
              <w:jc w:val="left"/>
              <w:rPr>
                <w:rFonts w:hint="eastAsia" w:ascii="宋体" w:hAnsi="宋体" w:cs="宋体" w:eastAsiaTheme="minorEastAsia"/>
                <w:b w:val="0"/>
                <w:bCs/>
                <w:color w:val="auto"/>
                <w:sz w:val="21"/>
                <w:szCs w:val="21"/>
                <w:highlight w:val="none"/>
                <w:lang w:eastAsia="zh-CN"/>
              </w:rPr>
            </w:pPr>
            <w:r>
              <w:rPr>
                <w:rFonts w:hint="eastAsia" w:ascii="宋体" w:hAnsi="宋体" w:eastAsia="宋体" w:cs="宋体"/>
                <w:b/>
                <w:bCs/>
                <w:color w:val="auto"/>
                <w:sz w:val="21"/>
                <w:szCs w:val="21"/>
                <w:highlight w:val="none"/>
              </w:rPr>
              <w:t>5、</w:t>
            </w:r>
            <w:r>
              <w:rPr>
                <w:rFonts w:hint="eastAsia" w:ascii="宋体" w:hAnsi="宋体" w:eastAsia="宋体" w:cs="宋体"/>
                <w:b/>
                <w:color w:val="auto"/>
                <w:sz w:val="21"/>
                <w:szCs w:val="21"/>
                <w:highlight w:val="none"/>
              </w:rPr>
              <w:t>项目管理机构</w:t>
            </w:r>
            <w:r>
              <w:rPr>
                <w:rFonts w:hint="eastAsia" w:ascii="宋体" w:hAnsi="宋体" w:eastAsia="宋体" w:cs="宋体"/>
                <w:b/>
                <w:color w:val="auto"/>
                <w:sz w:val="21"/>
                <w:szCs w:val="21"/>
                <w:highlight w:val="none"/>
                <w:lang w:val="en-US" w:eastAsia="zh-CN"/>
              </w:rPr>
              <w:t>其他人员</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技术负责人、</w:t>
            </w:r>
            <w:r>
              <w:rPr>
                <w:rFonts w:hint="eastAsia" w:ascii="宋体" w:hAnsi="宋体" w:eastAsia="宋体" w:cs="宋体"/>
                <w:b/>
                <w:color w:val="auto"/>
                <w:sz w:val="21"/>
                <w:szCs w:val="21"/>
                <w:highlight w:val="none"/>
              </w:rPr>
              <w:t>施工员、质量员、安全员</w:t>
            </w:r>
            <w:r>
              <w:rPr>
                <w:rFonts w:hint="eastAsia" w:ascii="宋体" w:hAnsi="宋体" w:eastAsia="宋体" w:cs="宋体"/>
                <w:b/>
                <w:color w:val="auto"/>
                <w:sz w:val="21"/>
                <w:szCs w:val="21"/>
                <w:highlight w:val="none"/>
                <w:lang w:val="en-US" w:eastAsia="zh-CN"/>
              </w:rPr>
              <w:t>等</w:t>
            </w:r>
            <w:r>
              <w:rPr>
                <w:rFonts w:hint="eastAsia" w:ascii="宋体" w:hAnsi="宋体" w:eastAsia="宋体" w:cs="宋体"/>
                <w:b/>
                <w:color w:val="auto"/>
                <w:sz w:val="21"/>
                <w:szCs w:val="21"/>
                <w:highlight w:val="none"/>
              </w:rPr>
              <w:t>）配备齐全</w:t>
            </w:r>
            <w:r>
              <w:rPr>
                <w:rFonts w:hint="eastAsia" w:ascii="宋体" w:hAnsi="宋体" w:eastAsia="宋体" w:cs="宋体"/>
                <w:b/>
                <w:color w:val="auto"/>
                <w:sz w:val="21"/>
                <w:szCs w:val="21"/>
                <w:highlight w:val="none"/>
                <w:lang w:eastAsia="zh-CN"/>
              </w:rPr>
              <w:t>。</w:t>
            </w:r>
            <w:r>
              <w:rPr>
                <w:rFonts w:hint="eastAsia" w:ascii="宋体" w:hAnsi="宋体" w:eastAsia="宋体" w:cs="宋体"/>
                <w:b w:val="0"/>
                <w:bCs/>
                <w:color w:val="auto"/>
                <w:sz w:val="21"/>
                <w:szCs w:val="21"/>
                <w:highlight w:val="none"/>
              </w:rPr>
              <w:t>除项目</w:t>
            </w:r>
            <w:r>
              <w:rPr>
                <w:rFonts w:hint="eastAsia" w:ascii="宋体" w:hAnsi="宋体" w:eastAsia="宋体" w:cs="宋体"/>
                <w:b w:val="0"/>
                <w:bCs/>
                <w:color w:val="auto"/>
                <w:sz w:val="21"/>
                <w:szCs w:val="21"/>
                <w:highlight w:val="none"/>
                <w:lang w:val="en-US" w:eastAsia="zh-CN"/>
              </w:rPr>
              <w:t>经理</w:t>
            </w:r>
            <w:r>
              <w:rPr>
                <w:rFonts w:hint="eastAsia" w:ascii="宋体" w:hAnsi="宋体" w:eastAsia="宋体" w:cs="宋体"/>
                <w:b w:val="0"/>
                <w:bCs/>
                <w:color w:val="auto"/>
                <w:sz w:val="21"/>
                <w:szCs w:val="21"/>
                <w:highlight w:val="none"/>
              </w:rPr>
              <w:t>外，最少应配备技术负责人1人，施工员1人、质量员1人、专职安全员1人</w:t>
            </w:r>
            <w:r>
              <w:rPr>
                <w:rFonts w:hint="eastAsia" w:ascii="宋体" w:hAnsi="宋体" w:cs="宋体"/>
                <w:b w:val="0"/>
                <w:bCs/>
                <w:color w:val="auto"/>
                <w:sz w:val="21"/>
                <w:szCs w:val="21"/>
                <w:highlight w:val="none"/>
                <w:lang w:eastAsia="zh-CN"/>
              </w:rPr>
              <w:t>，</w:t>
            </w:r>
            <w:r>
              <w:rPr>
                <w:rFonts w:hint="eastAsia" w:asciiTheme="minorEastAsia" w:hAnsiTheme="minorEastAsia" w:eastAsiaTheme="minorEastAsia"/>
                <w:color w:val="auto"/>
                <w:szCs w:val="21"/>
                <w:highlight w:val="none"/>
              </w:rPr>
              <w:t>需提供上岗证或职称证</w:t>
            </w:r>
            <w:r>
              <w:rPr>
                <w:rFonts w:hint="eastAsia" w:asciiTheme="minorEastAsia" w:hAnsiTheme="minorEastAsia" w:eastAsiaTheme="minorEastAsia"/>
                <w:color w:val="auto"/>
                <w:szCs w:val="21"/>
                <w:highlight w:val="none"/>
                <w:lang w:eastAsia="zh-CN"/>
              </w:rPr>
              <w:t>。</w:t>
            </w:r>
          </w:p>
          <w:p>
            <w:pPr>
              <w:autoSpaceDE w:val="0"/>
              <w:autoSpaceDN w:val="0"/>
              <w:adjustRightInd w:val="0"/>
              <w:snapToGrid w:val="0"/>
              <w:spacing w:line="340" w:lineRule="exact"/>
              <w:jc w:val="lef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6、</w:t>
            </w:r>
            <w:r>
              <w:rPr>
                <w:rFonts w:hint="eastAsia" w:ascii="宋体" w:hAnsi="宋体" w:eastAsia="宋体" w:cs="宋体"/>
                <w:b/>
                <w:bCs/>
                <w:color w:val="auto"/>
                <w:sz w:val="21"/>
                <w:szCs w:val="21"/>
                <w:highlight w:val="none"/>
              </w:rPr>
              <w:t>技术负责人资格：</w:t>
            </w:r>
            <w:r>
              <w:rPr>
                <w:rFonts w:hint="eastAsia" w:ascii="宋体" w:hAnsi="宋体" w:eastAsia="宋体" w:cs="宋体"/>
                <w:color w:val="auto"/>
                <w:sz w:val="21"/>
                <w:szCs w:val="21"/>
                <w:highlight w:val="none"/>
              </w:rPr>
              <w:t>具有相关专业中级及以上职称；</w:t>
            </w:r>
          </w:p>
          <w:p>
            <w:pPr>
              <w:autoSpaceDE w:val="0"/>
              <w:autoSpaceDN w:val="0"/>
              <w:adjustRightInd w:val="0"/>
              <w:snapToGrid w:val="0"/>
              <w:spacing w:line="340" w:lineRule="exact"/>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7、其他要求：</w:t>
            </w:r>
          </w:p>
          <w:p>
            <w:pPr>
              <w:topLinePunct/>
              <w:adjustRightInd w:val="0"/>
              <w:snapToGrid w:val="0"/>
              <w:spacing w:line="360" w:lineRule="exact"/>
              <w:rPr>
                <w:rFonts w:hint="eastAsia" w:ascii="宋体" w:hAnsi="宋体" w:eastAsia="宋体" w:cs="宋体"/>
                <w:b w:val="0"/>
                <w:bCs/>
                <w:color w:val="auto"/>
                <w:kern w:val="24"/>
                <w:sz w:val="21"/>
                <w:szCs w:val="21"/>
                <w:highlight w:val="none"/>
                <w:lang w:val="en-US" w:eastAsia="zh-CN"/>
              </w:rPr>
            </w:pPr>
            <w:r>
              <w:rPr>
                <w:rFonts w:hint="eastAsia" w:ascii="宋体" w:hAnsi="宋体" w:eastAsia="宋体" w:cs="宋体"/>
                <w:b w:val="0"/>
                <w:bCs/>
                <w:color w:val="auto"/>
                <w:kern w:val="24"/>
                <w:sz w:val="21"/>
                <w:szCs w:val="21"/>
                <w:highlight w:val="none"/>
                <w:lang w:val="en-US" w:eastAsia="zh-CN"/>
              </w:rPr>
              <w:t>1.</w:t>
            </w:r>
            <w:r>
              <w:rPr>
                <w:rFonts w:hint="eastAsia" w:ascii="宋体" w:hAnsi="宋体" w:eastAsia="宋体" w:cs="宋体"/>
                <w:b w:val="0"/>
                <w:bCs/>
                <w:color w:val="auto"/>
                <w:kern w:val="24"/>
                <w:sz w:val="21"/>
                <w:szCs w:val="21"/>
                <w:highlight w:val="none"/>
                <w:lang w:val="zh-CN"/>
              </w:rPr>
              <w:t>本项目专门面向中小企业采购</w:t>
            </w:r>
            <w:r>
              <w:rPr>
                <w:rFonts w:hint="eastAsia" w:ascii="宋体" w:hAnsi="宋体" w:eastAsia="宋体" w:cs="宋体"/>
                <w:b w:val="0"/>
                <w:bCs/>
                <w:color w:val="auto"/>
                <w:kern w:val="24"/>
                <w:sz w:val="21"/>
                <w:szCs w:val="21"/>
                <w:highlight w:val="none"/>
                <w:lang w:val="zh-CN" w:eastAsia="zh-CN"/>
              </w:rPr>
              <w:t>。</w:t>
            </w:r>
          </w:p>
          <w:p>
            <w:pPr>
              <w:topLinePunct/>
              <w:adjustRightInd w:val="0"/>
              <w:snapToGri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bCs/>
                <w:color w:val="auto"/>
                <w:kern w:val="24"/>
                <w:sz w:val="21"/>
                <w:szCs w:val="21"/>
                <w:highlight w:val="none"/>
                <w:lang w:val="zh-CN"/>
              </w:rPr>
              <w:t>.凡在《吉林省建筑市场监管公共服务平台》查询不到企业和管理人员，不得参与投标报名。</w:t>
            </w:r>
          </w:p>
          <w:p>
            <w:pPr>
              <w:topLinePunct/>
              <w:adjustRightInd w:val="0"/>
              <w:snapToGri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en-US" w:eastAsia="zh-CN"/>
              </w:rPr>
              <w:t>3</w:t>
            </w:r>
            <w:r>
              <w:rPr>
                <w:rFonts w:hint="eastAsia" w:ascii="宋体" w:hAnsi="宋体" w:eastAsia="宋体" w:cs="宋体"/>
                <w:bCs/>
                <w:color w:val="auto"/>
                <w:kern w:val="24"/>
                <w:sz w:val="21"/>
                <w:szCs w:val="21"/>
                <w:highlight w:val="none"/>
                <w:lang w:val="zh-CN"/>
              </w:rPr>
              <w:t>.项目管理机构人员必须为本企业的专职人员并缴纳社会保险，具有有效的岗位资格证书。</w:t>
            </w:r>
          </w:p>
          <w:p>
            <w:pPr>
              <w:topLinePunct/>
              <w:adjustRightInd w:val="0"/>
              <w:snapToGrid w:val="0"/>
              <w:spacing w:line="360" w:lineRule="exact"/>
              <w:rPr>
                <w:rFonts w:asciiTheme="minorEastAsia" w:hAnsiTheme="minorEastAsia" w:eastAsiaTheme="minorEastAsia"/>
                <w:color w:val="auto"/>
                <w:highlight w:val="none"/>
              </w:rPr>
            </w:pPr>
            <w:r>
              <w:rPr>
                <w:rFonts w:hint="eastAsia" w:ascii="宋体" w:hAnsi="宋体" w:eastAsia="宋体" w:cs="宋体"/>
                <w:bCs/>
                <w:color w:val="auto"/>
                <w:kern w:val="24"/>
                <w:sz w:val="21"/>
                <w:szCs w:val="21"/>
                <w:highlight w:val="none"/>
                <w:lang w:val="en-US" w:eastAsia="zh-CN"/>
              </w:rPr>
              <w:t>4</w:t>
            </w:r>
            <w:r>
              <w:rPr>
                <w:rFonts w:hint="eastAsia" w:ascii="宋体" w:hAnsi="宋体" w:eastAsia="宋体" w:cs="宋体"/>
                <w:bCs/>
                <w:color w:val="auto"/>
                <w:kern w:val="24"/>
                <w:sz w:val="21"/>
                <w:szCs w:val="21"/>
                <w:highlight w:val="none"/>
                <w:lang w:val="zh-CN"/>
              </w:rPr>
              <w:t>. 项目管理人员应满足本项目实施需求，拟投入本项目的项目管理机构所配备的不同岗位，其任职人员不得重复。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是否接受联合体投标</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踏勘现场</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投标预备会</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提出问题的截止时间</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投标截止时间5日前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1.10.3</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采购人书面澄清的时间</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投标截止时间至少5日前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分  包</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不允许分包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偏  离</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构成磋商文件的其他材料</w:t>
            </w:r>
          </w:p>
        </w:tc>
        <w:tc>
          <w:tcPr>
            <w:tcW w:w="3286" w:type="pct"/>
            <w:vAlign w:val="center"/>
          </w:tcPr>
          <w:p>
            <w:pPr>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①工程量清单电子文档、施工图纸；</w:t>
            </w:r>
          </w:p>
          <w:p>
            <w:pPr>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②磋商文件的澄清、修改、补充文件，以补遗文件形式发送。（如有）</w:t>
            </w:r>
          </w:p>
          <w:p>
            <w:pPr>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注：采购代理机构将上述内容以补遗文件形式发送到</w:t>
            </w:r>
            <w:r>
              <w:rPr>
                <w:rFonts w:hint="eastAsia" w:asciiTheme="minorEastAsia" w:hAnsiTheme="minorEastAsia"/>
                <w:color w:val="auto"/>
                <w:highlight w:val="none"/>
              </w:rPr>
              <w:t>“政采云”平台</w:t>
            </w:r>
            <w:r>
              <w:rPr>
                <w:rFonts w:hint="eastAsia" w:asciiTheme="minorEastAsia" w:hAnsiTheme="minorEastAsia" w:eastAsiaTheme="minorEastAsia"/>
                <w:color w:val="auto"/>
                <w:highlight w:val="none"/>
              </w:rPr>
              <w:t>答疑文件中，投标供应商须在供应商系统中自行下载答疑文件。</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如果投标人未收到相应文件，请及时与采购代理机构联系，否则采购人和采购代理机构不承担任何责任。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要求澄清磋商文件的截止时间</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投标截止时间至少5日前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2.2.2</w:t>
            </w:r>
          </w:p>
        </w:tc>
        <w:tc>
          <w:tcPr>
            <w:tcW w:w="1144" w:type="pct"/>
            <w:gridSpan w:val="2"/>
            <w:vAlign w:val="center"/>
          </w:tcPr>
          <w:p>
            <w:pPr>
              <w:autoSpaceDE w:val="0"/>
              <w:autoSpaceDN w:val="0"/>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响应截止时间</w:t>
            </w:r>
          </w:p>
        </w:tc>
        <w:tc>
          <w:tcPr>
            <w:tcW w:w="3286" w:type="pct"/>
            <w:vAlign w:val="center"/>
          </w:tcPr>
          <w:p>
            <w:pPr>
              <w:autoSpaceDE w:val="0"/>
              <w:autoSpaceDN w:val="0"/>
              <w:adjustRightInd w:val="0"/>
              <w:spacing w:line="360" w:lineRule="exact"/>
              <w:jc w:val="left"/>
              <w:rPr>
                <w:rFonts w:asciiTheme="minorEastAsia" w:hAnsiTheme="minorEastAsia" w:eastAsiaTheme="minorEastAsia"/>
                <w:color w:val="auto"/>
                <w:highlight w:val="none"/>
              </w:rPr>
            </w:pP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19</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宋体" w:hAnsi="宋体" w:eastAsia="宋体" w:cs="宋体"/>
                <w:bCs/>
                <w:color w:val="auto"/>
                <w:kern w:val="15"/>
                <w:sz w:val="21"/>
                <w:szCs w:val="21"/>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3.1.1</w:t>
            </w:r>
          </w:p>
        </w:tc>
        <w:tc>
          <w:tcPr>
            <w:tcW w:w="1144" w:type="pct"/>
            <w:gridSpan w:val="2"/>
            <w:vAlign w:val="center"/>
          </w:tcPr>
          <w:p>
            <w:pPr>
              <w:topLinePunct/>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kern w:val="24"/>
                <w:sz w:val="21"/>
                <w:szCs w:val="21"/>
                <w:highlight w:val="none"/>
                <w:lang w:val="zh-CN"/>
              </w:rPr>
              <w:t>构成响应文件的材料</w:t>
            </w:r>
          </w:p>
        </w:tc>
        <w:tc>
          <w:tcPr>
            <w:tcW w:w="3286" w:type="pct"/>
            <w:vAlign w:val="center"/>
          </w:tcPr>
          <w:p>
            <w:pPr>
              <w:rPr>
                <w:rFonts w:hint="eastAsia" w:ascii="宋体" w:hAnsi="宋体" w:eastAsia="宋体" w:cs="宋体"/>
                <w:b/>
                <w:bCs/>
                <w:color w:val="auto"/>
                <w:sz w:val="21"/>
                <w:szCs w:val="21"/>
                <w:highlight w:val="none"/>
              </w:rPr>
            </w:pPr>
            <w:r>
              <w:rPr>
                <w:rFonts w:hint="eastAsia" w:asciiTheme="minorEastAsia" w:hAnsiTheme="minorEastAsia" w:eastAsiaTheme="minorEastAsia"/>
                <w:color w:val="auto"/>
                <w:highlight w:val="none"/>
              </w:rPr>
              <w:t>下列材料彩色复印</w:t>
            </w:r>
            <w:r>
              <w:rPr>
                <w:rFonts w:hint="eastAsia" w:asciiTheme="minorEastAsia" w:hAnsiTheme="minorEastAsia" w:eastAsiaTheme="minorEastAsia"/>
                <w:color w:val="auto"/>
                <w:highlight w:val="none"/>
                <w:lang w:val="en-US" w:eastAsia="zh-CN"/>
              </w:rPr>
              <w:t>件</w:t>
            </w:r>
            <w:r>
              <w:rPr>
                <w:rFonts w:hint="eastAsia" w:asciiTheme="minorEastAsia" w:hAnsiTheme="minorEastAsia" w:eastAsiaTheme="minorEastAsia"/>
                <w:color w:val="auto"/>
                <w:highlight w:val="none"/>
              </w:rPr>
              <w:t>附于</w:t>
            </w:r>
            <w:r>
              <w:rPr>
                <w:rFonts w:hint="eastAsia" w:asciiTheme="minorEastAsia" w:hAnsiTheme="minorEastAsia" w:eastAsiaTheme="minorEastAsia"/>
                <w:color w:val="auto"/>
                <w:highlight w:val="none"/>
                <w:lang w:val="en-US" w:eastAsia="zh-CN"/>
              </w:rPr>
              <w:t>电子</w:t>
            </w:r>
            <w:r>
              <w:rPr>
                <w:rFonts w:hint="eastAsia" w:asciiTheme="minorEastAsia" w:hAnsiTheme="minorEastAsia" w:eastAsiaTheme="minorEastAsia"/>
                <w:color w:val="auto"/>
                <w:highlight w:val="none"/>
                <w:lang w:eastAsia="zh-CN"/>
              </w:rPr>
              <w:t>响应文件</w:t>
            </w:r>
            <w:r>
              <w:rPr>
                <w:rFonts w:hint="eastAsia" w:asciiTheme="minorEastAsia" w:hAnsiTheme="minorEastAsia" w:eastAsiaTheme="minorEastAsia"/>
                <w:color w:val="auto"/>
                <w:highlight w:val="none"/>
              </w:rPr>
              <w:t>内</w:t>
            </w:r>
            <w:r>
              <w:rPr>
                <w:rFonts w:hint="eastAsia" w:ascii="宋体" w:hAnsi="宋体" w:eastAsia="宋体" w:cs="宋体"/>
                <w:b/>
                <w:bCs/>
                <w:color w:val="auto"/>
                <w:sz w:val="21"/>
                <w:szCs w:val="21"/>
                <w:highlight w:val="none"/>
              </w:rPr>
              <w:t>：</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1、</w:t>
            </w:r>
            <w:r>
              <w:rPr>
                <w:rFonts w:hint="eastAsia" w:ascii="宋体" w:hAnsi="宋体" w:cs="宋体"/>
                <w:bCs/>
                <w:color w:val="auto"/>
                <w:sz w:val="21"/>
                <w:szCs w:val="21"/>
                <w:highlight w:val="none"/>
                <w:lang w:val="zh-CN"/>
              </w:rPr>
              <w:t>响应供应商</w:t>
            </w:r>
            <w:r>
              <w:rPr>
                <w:rFonts w:hint="eastAsia" w:ascii="宋体" w:hAnsi="宋体" w:eastAsia="宋体" w:cs="宋体"/>
                <w:bCs/>
                <w:color w:val="auto"/>
                <w:sz w:val="21"/>
                <w:szCs w:val="21"/>
                <w:highlight w:val="none"/>
                <w:lang w:val="zh-CN"/>
              </w:rPr>
              <w:t>法人或者其他组织的营业执照等证明文件、自然人的身份证明（上传扫描件需要加盖公章）；</w:t>
            </w:r>
          </w:p>
          <w:p>
            <w:pPr>
              <w:autoSpaceDE w:val="0"/>
              <w:autoSpaceDN w:val="0"/>
              <w:adjustRightInd w:val="0"/>
              <w:spacing w:line="340" w:lineRule="exact"/>
              <w:jc w:val="lef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2、</w:t>
            </w:r>
            <w:r>
              <w:rPr>
                <w:rFonts w:hint="eastAsia" w:ascii="宋体" w:hAnsi="宋体" w:eastAsia="宋体" w:cs="宋体"/>
                <w:bCs/>
                <w:color w:val="auto"/>
                <w:sz w:val="21"/>
                <w:szCs w:val="21"/>
                <w:highlight w:val="none"/>
                <w:lang w:val="zh-CN"/>
              </w:rPr>
              <w:t>企业资质证书（上传扫描件需要加盖公章）；</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3、</w:t>
            </w:r>
            <w:r>
              <w:rPr>
                <w:rFonts w:hint="eastAsia" w:ascii="宋体" w:hAnsi="宋体" w:eastAsia="宋体" w:cs="宋体"/>
                <w:bCs/>
                <w:color w:val="auto"/>
                <w:sz w:val="21"/>
                <w:szCs w:val="21"/>
                <w:highlight w:val="none"/>
                <w:lang w:val="zh-CN"/>
              </w:rPr>
              <w:t>安全生产许可证（上传扫描件需要加盖公章）；</w:t>
            </w:r>
          </w:p>
          <w:p>
            <w:pPr>
              <w:autoSpaceDE w:val="0"/>
              <w:autoSpaceDN w:val="0"/>
              <w:adjustRightInd w:val="0"/>
              <w:spacing w:line="34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kern w:val="24"/>
                <w:sz w:val="21"/>
                <w:szCs w:val="21"/>
                <w:highlight w:val="none"/>
                <w:lang w:val="zh-CN"/>
              </w:rPr>
              <w:t>4、</w:t>
            </w:r>
            <w:r>
              <w:rPr>
                <w:rFonts w:hint="eastAsia" w:ascii="宋体" w:hAnsi="宋体" w:eastAsia="宋体" w:cs="宋体"/>
                <w:bCs/>
                <w:color w:val="auto"/>
                <w:sz w:val="21"/>
                <w:szCs w:val="21"/>
                <w:highlight w:val="none"/>
                <w:lang w:val="zh-CN"/>
              </w:rPr>
              <w:t>项目经理注册建造师证书、有效的安全生产考核合格证及</w:t>
            </w:r>
            <w:r>
              <w:rPr>
                <w:rFonts w:hint="eastAsia" w:ascii="宋体" w:hAnsi="宋体" w:eastAsia="宋体" w:cs="宋体"/>
                <w:color w:val="auto"/>
                <w:kern w:val="15"/>
                <w:sz w:val="21"/>
                <w:szCs w:val="21"/>
                <w:highlight w:val="none"/>
              </w:rPr>
              <w:t>具有类似工程</w:t>
            </w:r>
            <w:r>
              <w:rPr>
                <w:rFonts w:hint="eastAsia" w:ascii="宋体" w:hAnsi="宋体" w:eastAsia="宋体" w:cs="宋体"/>
                <w:color w:val="auto"/>
                <w:sz w:val="21"/>
                <w:szCs w:val="21"/>
                <w:highlight w:val="none"/>
                <w:lang w:val="zh-CN"/>
              </w:rPr>
              <w:t>业绩证明文件（如有须提供中标通知书或施工合</w:t>
            </w:r>
            <w:r>
              <w:rPr>
                <w:rFonts w:hint="eastAsia" w:ascii="宋体" w:hAnsi="宋体" w:eastAsia="宋体" w:cs="宋体"/>
                <w:color w:val="auto"/>
                <w:kern w:val="15"/>
                <w:sz w:val="21"/>
                <w:szCs w:val="21"/>
                <w:highlight w:val="none"/>
              </w:rPr>
              <w:t>同）（上传扫描件需要加盖公章）；</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lang w:val="zh-CN"/>
              </w:rPr>
              <w:t>5、</w:t>
            </w:r>
            <w:r>
              <w:rPr>
                <w:rFonts w:hint="eastAsia" w:ascii="宋体" w:hAnsi="宋体" w:eastAsia="宋体" w:cs="宋体"/>
                <w:bCs/>
                <w:color w:val="auto"/>
                <w:sz w:val="21"/>
                <w:szCs w:val="21"/>
                <w:highlight w:val="none"/>
                <w:lang w:val="zh-CN"/>
              </w:rPr>
              <w:t>技术负责人职称证</w:t>
            </w:r>
            <w:r>
              <w:rPr>
                <w:rFonts w:hint="eastAsia" w:ascii="宋体" w:hAnsi="宋体" w:eastAsia="宋体" w:cs="宋体"/>
                <w:color w:val="auto"/>
                <w:kern w:val="15"/>
                <w:sz w:val="21"/>
                <w:szCs w:val="21"/>
                <w:highlight w:val="none"/>
              </w:rPr>
              <w:t>（上传扫描件需要加盖公章）</w:t>
            </w:r>
            <w:r>
              <w:rPr>
                <w:rFonts w:hint="eastAsia" w:ascii="宋体" w:hAnsi="宋体" w:eastAsia="宋体" w:cs="宋体"/>
                <w:bCs/>
                <w:color w:val="auto"/>
                <w:sz w:val="21"/>
                <w:szCs w:val="21"/>
                <w:highlight w:val="none"/>
                <w:lang w:val="zh-CN"/>
              </w:rPr>
              <w:t>；</w:t>
            </w:r>
          </w:p>
          <w:p>
            <w:pPr>
              <w:topLinePunct/>
              <w:adjustRightInd w:val="0"/>
              <w:spacing w:line="360" w:lineRule="exact"/>
              <w:rPr>
                <w:rFonts w:hint="eastAsia" w:ascii="宋体" w:hAnsi="宋体" w:eastAsia="宋体" w:cs="宋体"/>
                <w:bCs/>
                <w:color w:val="auto"/>
                <w:kern w:val="24"/>
                <w:sz w:val="21"/>
                <w:szCs w:val="21"/>
                <w:highlight w:val="none"/>
                <w:lang w:val="zh-CN"/>
              </w:rPr>
            </w:pPr>
            <w:r>
              <w:rPr>
                <w:rFonts w:hint="eastAsia" w:ascii="宋体" w:hAnsi="宋体" w:eastAsia="宋体" w:cs="宋体"/>
                <w:bCs/>
                <w:color w:val="auto"/>
                <w:kern w:val="24"/>
                <w:sz w:val="21"/>
                <w:szCs w:val="21"/>
                <w:highlight w:val="none"/>
              </w:rPr>
              <w:t>6</w:t>
            </w:r>
            <w:r>
              <w:rPr>
                <w:rFonts w:hint="eastAsia" w:ascii="宋体" w:hAnsi="宋体" w:eastAsia="宋体" w:cs="宋体"/>
                <w:bCs/>
                <w:color w:val="auto"/>
                <w:kern w:val="24"/>
                <w:sz w:val="21"/>
                <w:szCs w:val="21"/>
                <w:highlight w:val="none"/>
                <w:lang w:val="zh-CN"/>
              </w:rPr>
              <w:t>、</w:t>
            </w:r>
            <w:r>
              <w:rPr>
                <w:rFonts w:hint="eastAsia" w:ascii="宋体" w:hAnsi="宋体" w:cs="宋体"/>
                <w:color w:val="auto"/>
                <w:kern w:val="24"/>
                <w:sz w:val="21"/>
                <w:szCs w:val="21"/>
                <w:highlight w:val="none"/>
                <w:lang w:val="en-US" w:eastAsia="zh-CN"/>
              </w:rPr>
              <w:t>2021年03月01日至磋商公告发布之日</w:t>
            </w:r>
            <w:r>
              <w:rPr>
                <w:rFonts w:hint="eastAsia" w:ascii="宋体" w:hAnsi="宋体" w:eastAsia="宋体" w:cs="宋体"/>
                <w:color w:val="auto"/>
                <w:kern w:val="24"/>
                <w:sz w:val="21"/>
                <w:szCs w:val="21"/>
                <w:highlight w:val="none"/>
                <w:lang w:val="en-US" w:eastAsia="zh-CN"/>
              </w:rPr>
              <w:t>类似项目经验业绩证明文件（如有须提供中标通知书、合同）（上传扫描件需要加盖公章）</w:t>
            </w:r>
            <w:r>
              <w:rPr>
                <w:rFonts w:hint="eastAsia" w:ascii="宋体" w:hAnsi="宋体" w:eastAsia="宋体" w:cs="宋体"/>
                <w:color w:val="auto"/>
                <w:kern w:val="24"/>
                <w:sz w:val="21"/>
                <w:szCs w:val="21"/>
                <w:highlight w:val="none"/>
              </w:rPr>
              <w:t>；</w:t>
            </w:r>
          </w:p>
          <w:p>
            <w:pPr>
              <w:numPr>
                <w:ilvl w:val="0"/>
                <w:numId w:val="1"/>
              </w:numPr>
              <w:topLinePunct/>
              <w:spacing w:line="360" w:lineRule="exact"/>
              <w:rPr>
                <w:rFonts w:hint="eastAsia" w:ascii="宋体" w:hAnsi="宋体" w:eastAsia="宋体" w:cs="宋体"/>
                <w:color w:val="auto"/>
                <w:kern w:val="15"/>
                <w:sz w:val="21"/>
                <w:szCs w:val="21"/>
                <w:highlight w:val="none"/>
              </w:rPr>
            </w:pPr>
            <w:r>
              <w:rPr>
                <w:rFonts w:hint="eastAsia" w:ascii="宋体" w:hAnsi="宋体" w:eastAsia="宋体" w:cs="宋体"/>
                <w:color w:val="auto"/>
                <w:kern w:val="15"/>
                <w:sz w:val="21"/>
                <w:szCs w:val="21"/>
                <w:highlight w:val="none"/>
              </w:rPr>
              <w:t>提供近三年（</w:t>
            </w:r>
            <w:r>
              <w:rPr>
                <w:rFonts w:hint="eastAsia" w:ascii="宋体" w:hAnsi="宋体" w:cs="宋体"/>
                <w:color w:val="auto"/>
                <w:kern w:val="15"/>
                <w:sz w:val="21"/>
                <w:szCs w:val="21"/>
                <w:highlight w:val="none"/>
                <w:lang w:eastAsia="zh-CN"/>
              </w:rPr>
              <w:t>202</w:t>
            </w:r>
            <w:r>
              <w:rPr>
                <w:rFonts w:hint="eastAsia" w:ascii="宋体" w:hAnsi="宋体" w:cs="宋体"/>
                <w:color w:val="auto"/>
                <w:kern w:val="15"/>
                <w:sz w:val="21"/>
                <w:szCs w:val="21"/>
                <w:highlight w:val="none"/>
                <w:lang w:val="en-US" w:eastAsia="zh-CN"/>
              </w:rPr>
              <w:t>1</w:t>
            </w:r>
            <w:r>
              <w:rPr>
                <w:rFonts w:hint="eastAsia" w:ascii="宋体" w:hAnsi="宋体" w:cs="宋体"/>
                <w:color w:val="auto"/>
                <w:kern w:val="15"/>
                <w:sz w:val="21"/>
                <w:szCs w:val="21"/>
                <w:highlight w:val="none"/>
                <w:lang w:eastAsia="zh-CN"/>
              </w:rPr>
              <w:t>年、202</w:t>
            </w:r>
            <w:r>
              <w:rPr>
                <w:rFonts w:hint="eastAsia" w:ascii="宋体" w:hAnsi="宋体" w:cs="宋体"/>
                <w:color w:val="auto"/>
                <w:kern w:val="15"/>
                <w:sz w:val="21"/>
                <w:szCs w:val="21"/>
                <w:highlight w:val="none"/>
                <w:lang w:val="en-US" w:eastAsia="zh-CN"/>
              </w:rPr>
              <w:t>2</w:t>
            </w:r>
            <w:r>
              <w:rPr>
                <w:rFonts w:hint="eastAsia" w:ascii="宋体" w:hAnsi="宋体" w:cs="宋体"/>
                <w:color w:val="auto"/>
                <w:kern w:val="15"/>
                <w:sz w:val="21"/>
                <w:szCs w:val="21"/>
                <w:highlight w:val="none"/>
                <w:lang w:eastAsia="zh-CN"/>
              </w:rPr>
              <w:t>年、202</w:t>
            </w:r>
            <w:r>
              <w:rPr>
                <w:rFonts w:hint="eastAsia" w:ascii="宋体" w:hAnsi="宋体" w:cs="宋体"/>
                <w:color w:val="auto"/>
                <w:kern w:val="15"/>
                <w:sz w:val="21"/>
                <w:szCs w:val="21"/>
                <w:highlight w:val="none"/>
                <w:lang w:val="en-US" w:eastAsia="zh-CN"/>
              </w:rPr>
              <w:t>3</w:t>
            </w:r>
            <w:r>
              <w:rPr>
                <w:rFonts w:hint="eastAsia" w:ascii="宋体" w:hAnsi="宋体" w:cs="宋体"/>
                <w:color w:val="auto"/>
                <w:kern w:val="15"/>
                <w:sz w:val="21"/>
                <w:szCs w:val="21"/>
                <w:highlight w:val="none"/>
                <w:lang w:eastAsia="zh-CN"/>
              </w:rPr>
              <w:t>年</w:t>
            </w:r>
            <w:r>
              <w:rPr>
                <w:rFonts w:hint="eastAsia" w:ascii="宋体" w:hAnsi="宋体" w:eastAsia="宋体" w:cs="宋体"/>
                <w:color w:val="auto"/>
                <w:kern w:val="15"/>
                <w:sz w:val="21"/>
                <w:szCs w:val="21"/>
                <w:highlight w:val="none"/>
              </w:rPr>
              <w:t>）公司财务报表或财务审计报告（包括资产负债表、现金流量表、利润表和财务情况说明书），202</w:t>
            </w:r>
            <w:r>
              <w:rPr>
                <w:rFonts w:hint="eastAsia" w:ascii="宋体" w:hAnsi="宋体" w:cs="宋体"/>
                <w:color w:val="auto"/>
                <w:kern w:val="15"/>
                <w:sz w:val="21"/>
                <w:szCs w:val="21"/>
                <w:highlight w:val="none"/>
                <w:lang w:val="en-US" w:eastAsia="zh-CN"/>
              </w:rPr>
              <w:t>4</w:t>
            </w:r>
            <w:r>
              <w:rPr>
                <w:rFonts w:hint="eastAsia" w:ascii="宋体" w:hAnsi="宋体" w:eastAsia="宋体" w:cs="宋体"/>
                <w:color w:val="auto"/>
                <w:kern w:val="15"/>
                <w:sz w:val="21"/>
                <w:szCs w:val="21"/>
                <w:highlight w:val="none"/>
              </w:rPr>
              <w:t>年之后新成立企业需提供银行出具的公司资信证明（上传扫描件需要加盖公章）；</w:t>
            </w:r>
          </w:p>
          <w:p>
            <w:pPr>
              <w:topLinePunct/>
              <w:spacing w:line="360" w:lineRule="exact"/>
              <w:rPr>
                <w:rFonts w:hint="eastAsia" w:ascii="宋体" w:hAnsi="宋体" w:eastAsia="宋体" w:cs="宋体"/>
                <w:color w:val="auto"/>
                <w:kern w:val="24"/>
                <w:sz w:val="21"/>
                <w:szCs w:val="21"/>
                <w:highlight w:val="none"/>
              </w:rPr>
            </w:pPr>
            <w:r>
              <w:rPr>
                <w:rFonts w:hint="eastAsia" w:ascii="宋体" w:hAnsi="宋体" w:eastAsia="宋体" w:cs="宋体"/>
                <w:color w:val="auto"/>
                <w:kern w:val="24"/>
                <w:sz w:val="21"/>
                <w:szCs w:val="21"/>
                <w:highlight w:val="none"/>
              </w:rPr>
              <w:t>8、磋商保证金缴纳凭证</w:t>
            </w:r>
            <w:r>
              <w:rPr>
                <w:rFonts w:hint="eastAsia" w:ascii="宋体" w:hAnsi="宋体" w:eastAsia="宋体" w:cs="宋体"/>
                <w:bCs/>
                <w:color w:val="auto"/>
                <w:kern w:val="24"/>
                <w:sz w:val="21"/>
                <w:szCs w:val="21"/>
                <w:highlight w:val="none"/>
              </w:rPr>
              <w:t>加盖公章或财务章</w:t>
            </w:r>
            <w:r>
              <w:rPr>
                <w:rFonts w:hint="eastAsia" w:ascii="宋体" w:hAnsi="宋体" w:eastAsia="宋体" w:cs="宋体"/>
                <w:color w:val="auto"/>
                <w:kern w:val="24"/>
                <w:sz w:val="21"/>
                <w:szCs w:val="21"/>
                <w:highlight w:val="none"/>
              </w:rPr>
              <w:t>；</w:t>
            </w:r>
          </w:p>
          <w:p>
            <w:pPr>
              <w:spacing w:line="340" w:lineRule="exact"/>
              <w:rPr>
                <w:rFonts w:hint="eastAsia" w:ascii="宋体" w:hAnsi="宋体" w:eastAsia="宋体" w:cs="宋体"/>
                <w:color w:val="auto"/>
                <w:kern w:val="15"/>
                <w:sz w:val="21"/>
                <w:szCs w:val="21"/>
                <w:highlight w:val="none"/>
              </w:rPr>
            </w:pPr>
            <w:r>
              <w:rPr>
                <w:rFonts w:hint="eastAsia" w:ascii="宋体" w:hAnsi="宋体" w:eastAsia="宋体" w:cs="宋体"/>
                <w:color w:val="auto"/>
                <w:kern w:val="24"/>
                <w:sz w:val="21"/>
                <w:szCs w:val="21"/>
                <w:highlight w:val="none"/>
              </w:rPr>
              <w:t>9、</w:t>
            </w:r>
            <w:r>
              <w:rPr>
                <w:rFonts w:hint="eastAsia" w:ascii="宋体" w:hAnsi="宋体" w:eastAsia="宋体" w:cs="宋体"/>
                <w:color w:val="auto"/>
                <w:kern w:val="15"/>
                <w:sz w:val="21"/>
                <w:szCs w:val="21"/>
                <w:highlight w:val="none"/>
              </w:rPr>
              <w:t xml:space="preserve">基本账户开户许可证 </w:t>
            </w:r>
            <w:r>
              <w:rPr>
                <w:rFonts w:hint="eastAsia" w:ascii="宋体" w:hAnsi="宋体" w:cs="宋体"/>
                <w:color w:val="auto"/>
                <w:kern w:val="15"/>
                <w:sz w:val="21"/>
                <w:szCs w:val="21"/>
                <w:highlight w:val="none"/>
                <w:lang w:eastAsia="zh-CN"/>
              </w:rPr>
              <w:t>（</w:t>
            </w:r>
            <w:r>
              <w:rPr>
                <w:rFonts w:hint="eastAsia" w:ascii="宋体" w:hAnsi="宋体" w:eastAsia="宋体" w:cs="宋体"/>
                <w:color w:val="auto"/>
                <w:kern w:val="15"/>
                <w:sz w:val="21"/>
                <w:szCs w:val="21"/>
                <w:highlight w:val="none"/>
              </w:rPr>
              <w:t>或基本存款账户信息</w:t>
            </w:r>
            <w:r>
              <w:rPr>
                <w:rFonts w:hint="eastAsia" w:ascii="宋体" w:hAnsi="宋体" w:cs="宋体"/>
                <w:color w:val="auto"/>
                <w:kern w:val="15"/>
                <w:sz w:val="21"/>
                <w:szCs w:val="21"/>
                <w:highlight w:val="none"/>
                <w:lang w:eastAsia="zh-CN"/>
              </w:rPr>
              <w:t>）</w:t>
            </w:r>
            <w:r>
              <w:rPr>
                <w:rFonts w:hint="eastAsia" w:ascii="宋体" w:hAnsi="宋体" w:eastAsia="宋体" w:cs="宋体"/>
                <w:color w:val="auto"/>
                <w:kern w:val="15"/>
                <w:sz w:val="21"/>
                <w:szCs w:val="21"/>
                <w:highlight w:val="none"/>
              </w:rPr>
              <w:t>；</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10、项目管理机构</w:t>
            </w:r>
            <w:r>
              <w:rPr>
                <w:rFonts w:hint="eastAsia" w:ascii="宋体" w:hAnsi="宋体" w:eastAsia="宋体" w:cs="宋体"/>
                <w:bCs/>
                <w:color w:val="auto"/>
                <w:sz w:val="21"/>
                <w:szCs w:val="21"/>
                <w:highlight w:val="none"/>
                <w:lang w:val="en-US" w:eastAsia="zh-CN"/>
              </w:rPr>
              <w:t>其他人员</w:t>
            </w:r>
            <w:r>
              <w:rPr>
                <w:rFonts w:hint="eastAsia" w:ascii="宋体" w:hAnsi="宋体" w:eastAsia="宋体" w:cs="宋体"/>
                <w:bCs/>
                <w:color w:val="auto"/>
                <w:sz w:val="21"/>
                <w:szCs w:val="21"/>
                <w:highlight w:val="none"/>
                <w:lang w:eastAsia="zh-CN"/>
              </w:rPr>
              <w:t>：施</w:t>
            </w:r>
            <w:r>
              <w:rPr>
                <w:rFonts w:hint="eastAsia" w:ascii="宋体" w:hAnsi="宋体" w:eastAsia="宋体" w:cs="宋体"/>
                <w:bCs/>
                <w:color w:val="auto"/>
                <w:sz w:val="21"/>
                <w:szCs w:val="21"/>
                <w:highlight w:val="none"/>
              </w:rPr>
              <w:t>工员、质量员</w:t>
            </w:r>
            <w:r>
              <w:rPr>
                <w:rFonts w:hint="eastAsia" w:ascii="宋体" w:hAnsi="宋体" w:eastAsia="宋体" w:cs="宋体"/>
                <w:bCs/>
                <w:color w:val="auto"/>
                <w:sz w:val="21"/>
                <w:szCs w:val="21"/>
                <w:highlight w:val="none"/>
                <w:lang w:val="en-US" w:eastAsia="zh-CN"/>
              </w:rPr>
              <w:t>等的</w:t>
            </w:r>
            <w:r>
              <w:rPr>
                <w:rFonts w:hint="eastAsia" w:ascii="宋体" w:hAnsi="宋体" w:eastAsia="宋体" w:cs="宋体"/>
                <w:bCs/>
                <w:color w:val="auto"/>
                <w:sz w:val="21"/>
                <w:szCs w:val="21"/>
                <w:highlight w:val="none"/>
              </w:rPr>
              <w:t>岗位证书</w:t>
            </w:r>
            <w:r>
              <w:rPr>
                <w:rFonts w:hint="eastAsia" w:ascii="宋体" w:hAnsi="宋体" w:eastAsia="宋体" w:cs="宋体"/>
                <w:bCs/>
                <w:color w:val="auto"/>
                <w:sz w:val="21"/>
                <w:szCs w:val="21"/>
                <w:highlight w:val="none"/>
                <w:lang w:eastAsia="zh-CN"/>
              </w:rPr>
              <w:t>，专职安全员的安全生产资格证书</w:t>
            </w:r>
            <w:r>
              <w:rPr>
                <w:rFonts w:hint="eastAsia" w:ascii="宋体" w:hAnsi="宋体" w:eastAsia="宋体" w:cs="宋体"/>
                <w:bCs/>
                <w:color w:val="auto"/>
                <w:sz w:val="21"/>
                <w:szCs w:val="21"/>
                <w:highlight w:val="none"/>
              </w:rPr>
              <w:t xml:space="preserve">； </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近 6 个月（</w:t>
            </w:r>
            <w:r>
              <w:rPr>
                <w:rFonts w:hint="eastAsia" w:ascii="宋体" w:hAnsi="宋体" w:cs="宋体"/>
                <w:bCs/>
                <w:color w:val="auto"/>
                <w:sz w:val="21"/>
                <w:szCs w:val="21"/>
                <w:highlight w:val="none"/>
                <w:lang w:eastAsia="zh-CN"/>
              </w:rPr>
              <w:t>2023年0</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lang w:eastAsia="zh-CN"/>
              </w:rPr>
              <w:t>月-2023年</w:t>
            </w:r>
            <w:r>
              <w:rPr>
                <w:rFonts w:hint="eastAsia" w:ascii="宋体" w:hAnsi="宋体" w:cs="宋体"/>
                <w:bCs/>
                <w:color w:val="auto"/>
                <w:sz w:val="21"/>
                <w:szCs w:val="21"/>
                <w:highlight w:val="none"/>
                <w:lang w:val="en-US" w:eastAsia="zh-CN"/>
              </w:rPr>
              <w:t>12</w:t>
            </w:r>
            <w:r>
              <w:rPr>
                <w:rFonts w:hint="eastAsia" w:ascii="宋体" w:hAnsi="宋体" w:cs="宋体"/>
                <w:bCs/>
                <w:color w:val="auto"/>
                <w:sz w:val="21"/>
                <w:szCs w:val="21"/>
                <w:highlight w:val="none"/>
                <w:lang w:eastAsia="zh-CN"/>
              </w:rPr>
              <w:t>月</w:t>
            </w:r>
            <w:r>
              <w:rPr>
                <w:rFonts w:hint="eastAsia" w:ascii="宋体" w:hAnsi="宋体" w:eastAsia="宋体" w:cs="宋体"/>
                <w:bCs/>
                <w:color w:val="auto"/>
                <w:sz w:val="21"/>
                <w:szCs w:val="21"/>
                <w:highlight w:val="none"/>
              </w:rPr>
              <w:t>）（任意一个月即可）项目管理机构人员个人（须是带二维码的参保证明）及</w:t>
            </w:r>
            <w:r>
              <w:rPr>
                <w:rFonts w:hint="eastAsia" w:ascii="宋体" w:hAnsi="宋体" w:eastAsia="宋体" w:cs="宋体"/>
                <w:bCs/>
                <w:color w:val="auto"/>
                <w:sz w:val="21"/>
                <w:szCs w:val="21"/>
                <w:highlight w:val="none"/>
                <w:lang w:val="en-US" w:eastAsia="zh-CN"/>
              </w:rPr>
              <w:t>单位</w:t>
            </w:r>
            <w:r>
              <w:rPr>
                <w:rFonts w:hint="eastAsia" w:ascii="宋体" w:hAnsi="宋体" w:eastAsia="宋体" w:cs="宋体"/>
                <w:bCs/>
                <w:color w:val="auto"/>
                <w:sz w:val="21"/>
                <w:szCs w:val="21"/>
                <w:highlight w:val="none"/>
              </w:rPr>
              <w:t>的参保证明材料，参保单位必须为</w:t>
            </w:r>
            <w:r>
              <w:rPr>
                <w:rFonts w:hint="eastAsia" w:ascii="宋体" w:hAnsi="宋体" w:cs="宋体"/>
                <w:bCs/>
                <w:color w:val="auto"/>
                <w:sz w:val="21"/>
                <w:szCs w:val="21"/>
                <w:highlight w:val="none"/>
                <w:lang w:eastAsia="zh-CN"/>
              </w:rPr>
              <w:t>响应供应商</w:t>
            </w:r>
            <w:r>
              <w:rPr>
                <w:rFonts w:hint="eastAsia" w:ascii="宋体" w:hAnsi="宋体" w:eastAsia="宋体" w:cs="宋体"/>
                <w:bCs/>
                <w:color w:val="auto"/>
                <w:sz w:val="21"/>
                <w:szCs w:val="21"/>
                <w:highlight w:val="none"/>
              </w:rPr>
              <w:t>；</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12、磋商公告发布之日至开标之日期间任意一天查询的“中国裁判文书网”近三年投标人无行贿犯罪记录：本单位（案由：单位行贿罪）和个人（指法定代表人）（案由：行贿罪）查询界面的无行贿犯罪记录的官网彩色截图；</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13、磋商公告发布之日至开标之日期间的任意一天的</w:t>
            </w:r>
            <w:r>
              <w:rPr>
                <w:rFonts w:hint="eastAsia" w:ascii="宋体" w:hAnsi="宋体"/>
                <w:color w:val="auto"/>
                <w:highlight w:val="none"/>
                <w:lang w:eastAsia="zh-CN"/>
              </w:rPr>
              <w:t>“信用中国”（www.creditchina.gov.cn）、“中国政府采购网”（www.ccgp.gov.cn）</w:t>
            </w:r>
            <w:r>
              <w:rPr>
                <w:rFonts w:hint="eastAsia" w:ascii="宋体" w:hAnsi="宋体" w:eastAsia="宋体" w:cs="宋体"/>
                <w:bCs/>
                <w:color w:val="auto"/>
                <w:sz w:val="21"/>
                <w:szCs w:val="21"/>
                <w:highlight w:val="none"/>
              </w:rPr>
              <w:t>未列入“①失信被执行人②重大税收违法失信主体</w:t>
            </w:r>
            <w:r>
              <w:rPr>
                <w:rFonts w:hint="eastAsia" w:ascii="宋体" w:hAnsi="宋体" w:cs="宋体"/>
                <w:bCs/>
                <w:color w:val="auto"/>
                <w:sz w:val="21"/>
                <w:szCs w:val="21"/>
                <w:highlight w:val="none"/>
                <w:lang w:val="en-US" w:eastAsia="zh-CN"/>
              </w:rPr>
              <w:t>③</w:t>
            </w:r>
            <w:r>
              <w:rPr>
                <w:rFonts w:hint="eastAsia" w:ascii="宋体" w:hAnsi="宋体" w:eastAsia="宋体" w:cs="宋体"/>
                <w:bCs/>
                <w:color w:val="auto"/>
                <w:sz w:val="21"/>
                <w:szCs w:val="21"/>
                <w:highlight w:val="none"/>
              </w:rPr>
              <w:t>政府采购严重违法失信行为记录名单”的官网彩色截图并加盖公章；</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（以上截图或拍照内容要完整清晰，应包括网站网址、查</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询内容、电脑截屏时间。）</w:t>
            </w:r>
          </w:p>
          <w:p>
            <w:pPr>
              <w:numPr>
                <w:ilvl w:val="0"/>
                <w:numId w:val="2"/>
              </w:num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在</w:t>
            </w:r>
            <w:r>
              <w:rPr>
                <w:rFonts w:hint="eastAsia" w:ascii="宋体" w:hAnsi="宋体" w:cs="宋体"/>
                <w:bCs/>
                <w:color w:val="auto"/>
                <w:sz w:val="21"/>
                <w:szCs w:val="21"/>
                <w:highlight w:val="none"/>
                <w:lang w:eastAsia="zh-CN"/>
              </w:rPr>
              <w:t>“</w:t>
            </w:r>
            <w:r>
              <w:rPr>
                <w:rFonts w:hint="eastAsia" w:ascii="宋体" w:hAnsi="宋体" w:eastAsia="宋体" w:cs="宋体"/>
                <w:bCs/>
                <w:color w:val="auto"/>
                <w:sz w:val="21"/>
                <w:szCs w:val="21"/>
                <w:highlight w:val="none"/>
              </w:rPr>
              <w:t>吉林省建筑市场监管公共服务平台</w:t>
            </w:r>
            <w:r>
              <w:rPr>
                <w:rFonts w:hint="eastAsia" w:ascii="宋体" w:hAnsi="宋体" w:cs="宋体"/>
                <w:bCs/>
                <w:color w:val="auto"/>
                <w:sz w:val="21"/>
                <w:szCs w:val="21"/>
                <w:highlight w:val="none"/>
                <w:lang w:eastAsia="zh-CN"/>
              </w:rPr>
              <w:t>”</w:t>
            </w:r>
            <w:r>
              <w:rPr>
                <w:rFonts w:hint="eastAsia" w:ascii="宋体" w:hAnsi="宋体" w:eastAsia="宋体" w:cs="宋体"/>
                <w:bCs/>
                <w:color w:val="auto"/>
                <w:sz w:val="21"/>
                <w:szCs w:val="21"/>
                <w:highlight w:val="none"/>
              </w:rPr>
              <w:t>能查询到企业和管理人员的网站截图；</w:t>
            </w:r>
          </w:p>
          <w:p>
            <w:pPr>
              <w:numPr>
                <w:ilvl w:val="0"/>
                <w:numId w:val="2"/>
              </w:num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中小企业声明函或监狱企业的证明文件或残疾人福利性单位声明函；</w:t>
            </w:r>
          </w:p>
          <w:p>
            <w:pPr>
              <w:autoSpaceDE w:val="0"/>
              <w:autoSpaceDN w:val="0"/>
              <w:adjustRightInd w:val="0"/>
              <w:spacing w:line="340" w:lineRule="exact"/>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val="en-US" w:eastAsia="zh-CN"/>
              </w:rPr>
              <w:t>6</w:t>
            </w:r>
            <w:r>
              <w:rPr>
                <w:rFonts w:hint="eastAsia" w:ascii="宋体" w:hAnsi="宋体" w:eastAsia="宋体" w:cs="宋体"/>
                <w:bCs/>
                <w:color w:val="auto"/>
                <w:sz w:val="21"/>
                <w:szCs w:val="21"/>
                <w:highlight w:val="none"/>
              </w:rPr>
              <w:t>、磋商文件要求的其他</w:t>
            </w:r>
            <w:r>
              <w:rPr>
                <w:rFonts w:hint="eastAsia" w:ascii="宋体" w:hAnsi="宋体" w:eastAsia="宋体" w:cs="宋体"/>
                <w:bCs/>
                <w:color w:val="auto"/>
                <w:sz w:val="21"/>
                <w:szCs w:val="21"/>
                <w:highlight w:val="none"/>
                <w:lang w:val="en-US" w:eastAsia="zh-CN"/>
              </w:rPr>
              <w:t>材料</w:t>
            </w:r>
            <w:r>
              <w:rPr>
                <w:rFonts w:hint="eastAsia" w:ascii="宋体" w:hAnsi="宋体" w:eastAsia="宋体" w:cs="宋体"/>
                <w:bCs/>
                <w:color w:val="auto"/>
                <w:sz w:val="21"/>
                <w:szCs w:val="21"/>
                <w:highlight w:val="none"/>
              </w:rPr>
              <w:t>。</w:t>
            </w:r>
          </w:p>
          <w:p>
            <w:pPr>
              <w:adjustRightInd w:val="0"/>
              <w:snapToGrid w:val="0"/>
              <w:spacing w:line="36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注：</w:t>
            </w:r>
          </w:p>
          <w:p>
            <w:pPr>
              <w:adjustRightInd w:val="0"/>
              <w:snapToGrid w:val="0"/>
              <w:spacing w:line="36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1、上述证件应在</w:t>
            </w:r>
            <w:r>
              <w:rPr>
                <w:rFonts w:hint="eastAsia" w:ascii="宋体" w:hAnsi="宋体" w:eastAsia="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文件其他材料中上传彩色扫描件并加盖</w:t>
            </w:r>
            <w:r>
              <w:rPr>
                <w:rFonts w:hint="eastAsia" w:ascii="宋体" w:hAnsi="宋体" w:eastAsia="宋体" w:cs="宋体"/>
                <w:b/>
                <w:bCs/>
                <w:color w:val="auto"/>
                <w:sz w:val="21"/>
                <w:szCs w:val="21"/>
                <w:highlight w:val="none"/>
                <w:lang w:val="en-US" w:eastAsia="zh-CN"/>
              </w:rPr>
              <w:t>供应商</w:t>
            </w:r>
            <w:r>
              <w:rPr>
                <w:rFonts w:hint="eastAsia" w:ascii="宋体" w:hAnsi="宋体" w:eastAsia="宋体" w:cs="宋体"/>
                <w:b/>
                <w:bCs/>
                <w:color w:val="auto"/>
                <w:sz w:val="21"/>
                <w:szCs w:val="21"/>
                <w:highlight w:val="none"/>
              </w:rPr>
              <w:t>公章；</w:t>
            </w:r>
          </w:p>
          <w:p>
            <w:pPr>
              <w:wordWrap w:val="0"/>
              <w:adjustRightInd w:val="0"/>
              <w:snapToGrid w:val="0"/>
              <w:spacing w:line="380" w:lineRule="exact"/>
              <w:rPr>
                <w:rFonts w:asciiTheme="minorEastAsia" w:hAnsiTheme="minorEastAsia" w:eastAsiaTheme="minorEastAsia"/>
                <w:color w:val="auto"/>
                <w:highlight w:val="none"/>
              </w:rPr>
            </w:pPr>
            <w:r>
              <w:rPr>
                <w:rFonts w:hint="eastAsia" w:ascii="宋体" w:hAnsi="宋体" w:eastAsia="宋体" w:cs="宋体"/>
                <w:b/>
                <w:bCs/>
                <w:color w:val="auto"/>
                <w:sz w:val="21"/>
                <w:szCs w:val="21"/>
                <w:highlight w:val="none"/>
              </w:rPr>
              <w:t>2.未按照</w:t>
            </w:r>
            <w:r>
              <w:rPr>
                <w:rFonts w:hint="eastAsia" w:ascii="宋体" w:hAnsi="宋体" w:eastAsia="宋体" w:cs="宋体"/>
                <w:b/>
                <w:bCs/>
                <w:color w:val="auto"/>
                <w:sz w:val="21"/>
                <w:szCs w:val="21"/>
                <w:highlight w:val="none"/>
                <w:lang w:val="en-US" w:eastAsia="zh-CN"/>
              </w:rPr>
              <w:t>采购</w:t>
            </w:r>
            <w:r>
              <w:rPr>
                <w:rFonts w:hint="eastAsia" w:ascii="宋体" w:hAnsi="宋体" w:eastAsia="宋体" w:cs="宋体"/>
                <w:b/>
                <w:bCs/>
                <w:color w:val="auto"/>
                <w:sz w:val="21"/>
                <w:szCs w:val="21"/>
                <w:highlight w:val="none"/>
              </w:rPr>
              <w:t>文件要求上传，由此引发的后果和责任由</w:t>
            </w:r>
            <w:r>
              <w:rPr>
                <w:rFonts w:hint="eastAsia" w:ascii="宋体" w:hAnsi="宋体" w:eastAsia="宋体" w:cs="宋体"/>
                <w:b/>
                <w:bCs/>
                <w:color w:val="auto"/>
                <w:sz w:val="21"/>
                <w:szCs w:val="21"/>
                <w:highlight w:val="none"/>
                <w:lang w:val="en-US" w:eastAsia="zh-CN"/>
              </w:rPr>
              <w:t>供应商</w:t>
            </w:r>
            <w:r>
              <w:rPr>
                <w:rFonts w:hint="eastAsia" w:ascii="宋体" w:hAnsi="宋体" w:eastAsia="宋体" w:cs="宋体"/>
                <w:b/>
                <w:bCs/>
                <w:color w:val="auto"/>
                <w:sz w:val="21"/>
                <w:szCs w:val="21"/>
                <w:highlight w:val="none"/>
              </w:rPr>
              <w:t>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投标有效期</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90天（自投标截止之日期计算）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3.4.1</w:t>
            </w:r>
          </w:p>
        </w:tc>
        <w:tc>
          <w:tcPr>
            <w:tcW w:w="1144" w:type="pct"/>
            <w:gridSpan w:val="2"/>
            <w:vAlign w:val="center"/>
          </w:tcPr>
          <w:p>
            <w:pPr>
              <w:autoSpaceDE w:val="0"/>
              <w:autoSpaceDN w:val="0"/>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磋商保证金</w:t>
            </w:r>
          </w:p>
        </w:tc>
        <w:tc>
          <w:tcPr>
            <w:tcW w:w="3286" w:type="pct"/>
            <w:vAlign w:val="top"/>
          </w:tcPr>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磋商保证金的形式：其形式包括现金、现金支票、保兑支票、银行汇票、银行本票、银行保函或者担保公司保函。</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磋商保证金的金额：</w:t>
            </w:r>
            <w:r>
              <w:rPr>
                <w:rFonts w:hint="eastAsia" w:ascii="宋体" w:hAnsi="宋体" w:cs="宋体"/>
                <w:bCs/>
                <w:color w:val="auto"/>
                <w:sz w:val="21"/>
                <w:szCs w:val="21"/>
                <w:highlight w:val="none"/>
                <w:lang w:val="en-US" w:eastAsia="zh-CN"/>
              </w:rPr>
              <w:t>¥28000.00</w:t>
            </w:r>
            <w:r>
              <w:rPr>
                <w:rFonts w:hint="eastAsia" w:ascii="宋体" w:hAnsi="宋体" w:eastAsia="宋体" w:cs="宋体"/>
                <w:bCs/>
                <w:color w:val="auto"/>
                <w:sz w:val="21"/>
                <w:szCs w:val="21"/>
                <w:highlight w:val="none"/>
                <w:lang w:val="en-US" w:eastAsia="zh-CN"/>
              </w:rPr>
              <w:t>（人民币</w:t>
            </w:r>
            <w:r>
              <w:rPr>
                <w:rFonts w:hint="eastAsia" w:ascii="宋体" w:hAnsi="宋体" w:cs="宋体"/>
                <w:bCs/>
                <w:color w:val="auto"/>
                <w:sz w:val="21"/>
                <w:szCs w:val="21"/>
                <w:highlight w:val="none"/>
                <w:lang w:val="en-US" w:eastAsia="zh-CN"/>
              </w:rPr>
              <w:t>贰万捌仟</w:t>
            </w:r>
            <w:r>
              <w:rPr>
                <w:rFonts w:hint="eastAsia" w:ascii="宋体" w:hAnsi="宋体" w:eastAsia="宋体" w:cs="宋体"/>
                <w:bCs/>
                <w:color w:val="auto"/>
                <w:sz w:val="21"/>
                <w:szCs w:val="21"/>
                <w:highlight w:val="none"/>
                <w:lang w:val="en-US" w:eastAsia="zh-CN"/>
              </w:rPr>
              <w:t>元整）。</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其他要求：</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cs="宋体"/>
                <w:color w:val="auto"/>
                <w:sz w:val="22"/>
                <w:szCs w:val="22"/>
                <w:highlight w:val="none"/>
              </w:rPr>
              <w:t>递交截止时间</w:t>
            </w:r>
            <w:r>
              <w:rPr>
                <w:rFonts w:hint="eastAsia" w:ascii="宋体" w:hAnsi="宋体" w:eastAsia="宋体" w:cs="宋体"/>
                <w:bCs/>
                <w:color w:val="auto"/>
                <w:sz w:val="21"/>
                <w:szCs w:val="21"/>
                <w:highlight w:val="none"/>
                <w:lang w:val="en-US" w:eastAsia="zh-CN"/>
              </w:rPr>
              <w:t>：</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19</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宋体" w:hAnsi="宋体" w:eastAsia="宋体" w:cs="宋体"/>
                <w:bCs/>
                <w:color w:val="auto"/>
                <w:sz w:val="21"/>
                <w:szCs w:val="21"/>
                <w:highlight w:val="none"/>
                <w:lang w:val="en-US" w:eastAsia="zh-CN"/>
              </w:rPr>
              <w:t>（注：周六周日银行不办理对公业务）。</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保证金交纳银行：吉林环城农村商业银行股份有限公司政务服务中心支行。</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账户名称：</w:t>
            </w:r>
            <w:r>
              <w:rPr>
                <w:rFonts w:hint="eastAsia" w:ascii="宋体" w:hAnsi="宋体" w:cs="宋体"/>
                <w:bCs/>
                <w:color w:val="auto"/>
                <w:sz w:val="21"/>
                <w:szCs w:val="21"/>
                <w:highlight w:val="none"/>
                <w:lang w:val="en-US" w:eastAsia="zh-CN"/>
              </w:rPr>
              <w:t>吉林省建兴工程管理咨询有限公司</w:t>
            </w:r>
            <w:r>
              <w:rPr>
                <w:rFonts w:hint="eastAsia" w:ascii="宋体" w:hAnsi="宋体" w:eastAsia="宋体" w:cs="宋体"/>
                <w:bCs/>
                <w:color w:val="auto"/>
                <w:sz w:val="21"/>
                <w:szCs w:val="21"/>
                <w:highlight w:val="none"/>
                <w:lang w:val="en-US" w:eastAsia="zh-CN"/>
              </w:rPr>
              <w:t>。</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账号：</w:t>
            </w:r>
            <w:r>
              <w:rPr>
                <w:rFonts w:hint="eastAsia" w:ascii="宋体" w:hAnsi="宋体" w:eastAsia="宋体" w:cs="宋体"/>
                <w:color w:val="auto"/>
                <w:sz w:val="22"/>
                <w:szCs w:val="22"/>
                <w:highlight w:val="none"/>
                <w:lang w:val="en-US" w:eastAsia="zh-CN"/>
              </w:rPr>
              <w:t>0720 6220 1101 5200 0009 53</w:t>
            </w:r>
            <w:r>
              <w:rPr>
                <w:rFonts w:hint="eastAsia" w:ascii="宋体" w:hAnsi="宋体" w:eastAsia="宋体" w:cs="宋体"/>
                <w:bCs/>
                <w:color w:val="auto"/>
                <w:sz w:val="21"/>
                <w:szCs w:val="21"/>
                <w:highlight w:val="none"/>
                <w:lang w:val="en-US" w:eastAsia="zh-CN"/>
              </w:rPr>
              <w:t>。</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联系人：</w:t>
            </w:r>
            <w:r>
              <w:rPr>
                <w:rFonts w:hint="eastAsia" w:ascii="宋体" w:hAnsi="宋体" w:cs="宋体"/>
                <w:bCs/>
                <w:color w:val="auto"/>
                <w:sz w:val="21"/>
                <w:szCs w:val="21"/>
                <w:highlight w:val="none"/>
                <w:lang w:val="en-US" w:eastAsia="zh-CN"/>
              </w:rPr>
              <w:t>沈恩驰</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联系电话：</w:t>
            </w:r>
            <w:r>
              <w:rPr>
                <w:rFonts w:hint="eastAsia" w:ascii="宋体" w:hAnsi="宋体" w:cs="宋体"/>
                <w:bCs/>
                <w:color w:val="auto"/>
                <w:sz w:val="21"/>
                <w:szCs w:val="21"/>
                <w:highlight w:val="none"/>
                <w:lang w:val="en-US" w:eastAsia="zh-CN"/>
              </w:rPr>
              <w:t>13596084098</w:t>
            </w:r>
            <w:r>
              <w:rPr>
                <w:rFonts w:hint="eastAsia" w:ascii="宋体" w:hAnsi="宋体" w:eastAsia="宋体" w:cs="宋体"/>
                <w:bCs/>
                <w:color w:val="auto"/>
                <w:sz w:val="21"/>
                <w:szCs w:val="21"/>
                <w:highlight w:val="none"/>
                <w:lang w:val="en-US" w:eastAsia="zh-CN"/>
              </w:rPr>
              <w:t xml:space="preserve"> </w:t>
            </w:r>
          </w:p>
          <w:p>
            <w:pPr>
              <w:autoSpaceDE w:val="0"/>
              <w:autoSpaceDN w:val="0"/>
              <w:adjustRightInd w:val="0"/>
              <w:spacing w:line="360" w:lineRule="exact"/>
              <w:jc w:val="left"/>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注：1.</w:t>
            </w:r>
            <w:r>
              <w:rPr>
                <w:rFonts w:hint="eastAsia" w:ascii="宋体" w:hAnsi="宋体" w:cs="宋体"/>
                <w:bCs/>
                <w:color w:val="auto"/>
                <w:sz w:val="21"/>
                <w:szCs w:val="21"/>
                <w:highlight w:val="none"/>
                <w:lang w:val="en-US" w:eastAsia="zh-CN"/>
              </w:rPr>
              <w:t>响应供应商</w:t>
            </w:r>
            <w:r>
              <w:rPr>
                <w:rFonts w:hint="eastAsia" w:ascii="宋体" w:hAnsi="宋体" w:eastAsia="宋体" w:cs="宋体"/>
                <w:bCs/>
                <w:color w:val="auto"/>
                <w:sz w:val="21"/>
                <w:szCs w:val="21"/>
                <w:highlight w:val="none"/>
                <w:lang w:val="en-US" w:eastAsia="zh-CN"/>
              </w:rPr>
              <w:t>应在汇款时认真核对收款单位、开户行名称、账号准确无误，确保保证金按时到账，否则后果自负。递交方式：投标人提交磋商保证金当从投标人基本账户转出，磋商保证金存入采购代理机构指定账户，银行进账单或电汇凭证等凭证上应明确用途、投标项目名称、投标人名称、联系人及电话，以便核对查实。</w:t>
            </w:r>
          </w:p>
          <w:p>
            <w:pPr>
              <w:rPr>
                <w:rFonts w:asciiTheme="minorEastAsia" w:hAnsiTheme="minorEastAsia" w:eastAsiaTheme="minorEastAsia"/>
                <w:color w:val="auto"/>
                <w:szCs w:val="21"/>
                <w:highlight w:val="none"/>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color w:val="auto"/>
                <w:sz w:val="21"/>
                <w:szCs w:val="21"/>
                <w:highlight w:val="none"/>
              </w:rPr>
              <w:t>若采用保函方式递交的，投标人可以采用经资信良好的银行及偿付能力较强的担保机构，出具保函。保函必须提供查询渠道及主要查询信息，且保证招标代理机构在不通过任何授权的情况下可以从公开的公众平台或网络查询到此保函的真伪，并将保函扫描件在保证金递交截止时间前发送至</w:t>
            </w:r>
            <w:r>
              <w:rPr>
                <w:rFonts w:hint="eastAsia" w:ascii="宋体" w:hAnsi="宋体" w:cs="宋体"/>
                <w:color w:val="auto"/>
                <w:sz w:val="21"/>
                <w:szCs w:val="21"/>
                <w:highlight w:val="none"/>
                <w:lang w:val="en-US" w:eastAsia="zh-CN"/>
              </w:rPr>
              <w:t>2487634307</w:t>
            </w:r>
            <w:r>
              <w:rPr>
                <w:rFonts w:hint="eastAsia" w:ascii="宋体" w:hAnsi="宋体" w:eastAsia="宋体" w:cs="宋体"/>
                <w:color w:val="auto"/>
                <w:sz w:val="21"/>
                <w:szCs w:val="21"/>
                <w:highlight w:val="none"/>
              </w:rPr>
              <w:t>@qq.com邮箱。未按以上要求缴纳的保证金将不被视为本次投标使用。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近年财务状况的年份要求</w:t>
            </w:r>
          </w:p>
        </w:tc>
        <w:tc>
          <w:tcPr>
            <w:tcW w:w="3286" w:type="pct"/>
            <w:vAlign w:val="center"/>
          </w:tcPr>
          <w:p>
            <w:pPr>
              <w:jc w:val="left"/>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en-US" w:eastAsia="zh-CN"/>
              </w:rPr>
              <w:t>202</w:t>
            </w: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lang w:val="en-US" w:eastAsia="zh-CN"/>
              </w:rPr>
              <w:t>-202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年，指</w:t>
            </w:r>
            <w:r>
              <w:rPr>
                <w:rFonts w:hint="eastAsia" w:ascii="宋体" w:hAnsi="宋体" w:cs="宋体"/>
                <w:bCs/>
                <w:color w:val="auto"/>
                <w:sz w:val="21"/>
                <w:szCs w:val="21"/>
                <w:highlight w:val="none"/>
                <w:lang w:val="en-US" w:eastAsia="zh-CN"/>
              </w:rPr>
              <w:t>2021</w:t>
            </w:r>
            <w:r>
              <w:rPr>
                <w:rFonts w:hint="eastAsia" w:ascii="宋体" w:hAnsi="宋体" w:eastAsia="宋体" w:cs="宋体"/>
                <w:bCs/>
                <w:color w:val="auto"/>
                <w:sz w:val="21"/>
                <w:szCs w:val="21"/>
                <w:highlight w:val="none"/>
                <w:lang w:val="en-US" w:eastAsia="zh-CN"/>
              </w:rPr>
              <w:t>年</w:t>
            </w:r>
            <w:r>
              <w:rPr>
                <w:rFonts w:hint="eastAsia" w:ascii="宋体" w:hAnsi="宋体" w:cs="宋体"/>
                <w:bCs/>
                <w:color w:val="auto"/>
                <w:sz w:val="21"/>
                <w:szCs w:val="21"/>
                <w:highlight w:val="none"/>
                <w:lang w:val="en-US" w:eastAsia="zh-CN"/>
              </w:rPr>
              <w:t>01</w:t>
            </w:r>
            <w:r>
              <w:rPr>
                <w:rFonts w:hint="eastAsia" w:ascii="宋体" w:hAnsi="宋体" w:eastAsia="宋体" w:cs="宋体"/>
                <w:bCs/>
                <w:color w:val="auto"/>
                <w:sz w:val="21"/>
                <w:szCs w:val="21"/>
                <w:highlight w:val="none"/>
                <w:lang w:val="en-US" w:eastAsia="zh-CN"/>
              </w:rPr>
              <w:t>月</w:t>
            </w:r>
            <w:r>
              <w:rPr>
                <w:rFonts w:hint="eastAsia" w:ascii="宋体" w:hAnsi="宋体" w:cs="宋体"/>
                <w:bCs/>
                <w:color w:val="auto"/>
                <w:sz w:val="21"/>
                <w:szCs w:val="21"/>
                <w:highlight w:val="none"/>
                <w:lang w:val="en-US" w:eastAsia="zh-CN"/>
              </w:rPr>
              <w:t>01</w:t>
            </w:r>
            <w:r>
              <w:rPr>
                <w:rFonts w:hint="eastAsia" w:ascii="宋体" w:hAnsi="宋体" w:eastAsia="宋体" w:cs="宋体"/>
                <w:bCs/>
                <w:color w:val="auto"/>
                <w:sz w:val="21"/>
                <w:szCs w:val="21"/>
                <w:highlight w:val="none"/>
                <w:lang w:val="en-US" w:eastAsia="zh-CN"/>
              </w:rPr>
              <w:t>日起至 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年</w:t>
            </w:r>
            <w:r>
              <w:rPr>
                <w:rFonts w:hint="eastAsia" w:ascii="宋体" w:hAnsi="宋体" w:cs="宋体"/>
                <w:bCs/>
                <w:color w:val="auto"/>
                <w:sz w:val="21"/>
                <w:szCs w:val="21"/>
                <w:highlight w:val="none"/>
                <w:lang w:val="en-US" w:eastAsia="zh-CN"/>
              </w:rPr>
              <w:t>12</w:t>
            </w:r>
            <w:r>
              <w:rPr>
                <w:rFonts w:hint="eastAsia" w:ascii="宋体" w:hAnsi="宋体" w:eastAsia="宋体" w:cs="宋体"/>
                <w:bCs/>
                <w:color w:val="auto"/>
                <w:sz w:val="21"/>
                <w:szCs w:val="21"/>
                <w:highlight w:val="none"/>
                <w:lang w:val="en-US" w:eastAsia="zh-CN"/>
              </w:rPr>
              <w:t>月</w:t>
            </w:r>
            <w:r>
              <w:rPr>
                <w:rFonts w:hint="eastAsia" w:ascii="宋体" w:hAnsi="宋体" w:cs="宋体"/>
                <w:bCs/>
                <w:color w:val="auto"/>
                <w:sz w:val="21"/>
                <w:szCs w:val="21"/>
                <w:highlight w:val="none"/>
                <w:lang w:val="en-US" w:eastAsia="zh-CN"/>
              </w:rPr>
              <w:t>31</w:t>
            </w:r>
            <w:r>
              <w:rPr>
                <w:rFonts w:hint="eastAsia" w:ascii="宋体" w:hAnsi="宋体" w:eastAsia="宋体" w:cs="宋体"/>
                <w:bCs/>
                <w:color w:val="auto"/>
                <w:sz w:val="21"/>
                <w:szCs w:val="21"/>
                <w:highlight w:val="none"/>
                <w:lang w:val="en-US" w:eastAsia="zh-CN"/>
              </w:rPr>
              <w:t>日止。（投标人的成立时间少于规定年份的，应提供成立以来至202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年的财务报表或财务审计报告；202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val="en-US" w:eastAsia="zh-CN"/>
              </w:rPr>
              <w:t>年新成立企业需提供银行出具的公司资信证明）。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3.5.3</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近年完成的类似项目的年份要求</w:t>
            </w:r>
          </w:p>
        </w:tc>
        <w:tc>
          <w:tcPr>
            <w:tcW w:w="3286" w:type="pct"/>
            <w:vAlign w:val="center"/>
          </w:tcPr>
          <w:p>
            <w:pPr>
              <w:jc w:val="left"/>
              <w:rPr>
                <w:rFonts w:asciiTheme="minorEastAsia" w:hAnsiTheme="minorEastAsia" w:eastAsiaTheme="minorEastAsia"/>
                <w:color w:val="auto"/>
                <w:highlight w:val="none"/>
              </w:rPr>
            </w:pPr>
            <w:r>
              <w:rPr>
                <w:rFonts w:hint="eastAsia" w:ascii="宋体" w:hAnsi="宋体" w:cs="宋体"/>
                <w:bCs/>
                <w:color w:val="auto"/>
                <w:sz w:val="21"/>
                <w:szCs w:val="21"/>
                <w:highlight w:val="none"/>
                <w:lang w:val="en-US" w:eastAsia="zh-CN"/>
              </w:rPr>
              <w:t>近三年，</w:t>
            </w:r>
            <w:r>
              <w:rPr>
                <w:rFonts w:hint="eastAsia" w:ascii="宋体" w:hAnsi="宋体" w:eastAsia="宋体" w:cs="宋体"/>
                <w:bCs/>
                <w:color w:val="auto"/>
                <w:sz w:val="21"/>
                <w:szCs w:val="21"/>
                <w:highlight w:val="none"/>
                <w:lang w:val="en-US" w:eastAsia="zh-CN"/>
              </w:rPr>
              <w:t>指</w:t>
            </w:r>
            <w:r>
              <w:rPr>
                <w:rFonts w:hint="eastAsia" w:ascii="宋体" w:hAnsi="宋体" w:cs="宋体"/>
                <w:bCs/>
                <w:color w:val="auto"/>
                <w:sz w:val="21"/>
                <w:szCs w:val="21"/>
                <w:highlight w:val="none"/>
                <w:lang w:val="en-US" w:eastAsia="zh-CN"/>
              </w:rPr>
              <w:t>2021年03月01日至磋商公告发布之日</w:t>
            </w:r>
            <w:r>
              <w:rPr>
                <w:rFonts w:hint="eastAsia" w:ascii="宋体" w:hAnsi="宋体" w:eastAsia="宋体" w:cs="宋体"/>
                <w:bCs/>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3.5.5</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近年发生的诉讼及仲裁情况的年份要求</w:t>
            </w:r>
          </w:p>
        </w:tc>
        <w:tc>
          <w:tcPr>
            <w:tcW w:w="3286" w:type="pct"/>
            <w:vAlign w:val="center"/>
          </w:tcPr>
          <w:p>
            <w:pPr>
              <w:jc w:val="left"/>
              <w:rPr>
                <w:rFonts w:asciiTheme="minorEastAsia" w:hAnsiTheme="minorEastAsia" w:eastAsiaTheme="minorEastAsia"/>
                <w:color w:val="auto"/>
                <w:highlight w:val="none"/>
              </w:rPr>
            </w:pPr>
            <w:r>
              <w:rPr>
                <w:rFonts w:hint="eastAsia" w:ascii="宋体" w:hAnsi="宋体" w:cs="宋体"/>
                <w:bCs/>
                <w:color w:val="auto"/>
                <w:sz w:val="21"/>
                <w:szCs w:val="21"/>
                <w:highlight w:val="none"/>
                <w:lang w:val="en-US" w:eastAsia="zh-CN"/>
              </w:rPr>
              <w:t>近三年，</w:t>
            </w:r>
            <w:r>
              <w:rPr>
                <w:rFonts w:hint="eastAsia" w:ascii="宋体" w:hAnsi="宋体" w:eastAsia="宋体" w:cs="宋体"/>
                <w:bCs/>
                <w:color w:val="auto"/>
                <w:sz w:val="21"/>
                <w:szCs w:val="21"/>
                <w:highlight w:val="none"/>
                <w:lang w:val="en-US" w:eastAsia="zh-CN"/>
              </w:rPr>
              <w:t>指</w:t>
            </w:r>
            <w:r>
              <w:rPr>
                <w:rFonts w:hint="eastAsia" w:ascii="宋体" w:hAnsi="宋体" w:cs="宋体"/>
                <w:bCs/>
                <w:color w:val="auto"/>
                <w:sz w:val="21"/>
                <w:szCs w:val="21"/>
                <w:highlight w:val="none"/>
                <w:lang w:val="en-US" w:eastAsia="zh-CN"/>
              </w:rPr>
              <w:t>2021年03月01日至磋商公告发布之日</w:t>
            </w:r>
            <w:r>
              <w:rPr>
                <w:rFonts w:hint="eastAsia" w:ascii="宋体" w:hAnsi="宋体" w:eastAsia="宋体" w:cs="宋体"/>
                <w:bCs/>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3.6</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是否允许递交备选投标方案</w:t>
            </w:r>
          </w:p>
        </w:tc>
        <w:tc>
          <w:tcPr>
            <w:tcW w:w="3286" w:type="pct"/>
            <w:vAlign w:val="center"/>
          </w:tcPr>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3.7.3</w:t>
            </w:r>
          </w:p>
        </w:tc>
        <w:tc>
          <w:tcPr>
            <w:tcW w:w="1144" w:type="pct"/>
            <w:gridSpan w:val="2"/>
            <w:vAlign w:val="center"/>
          </w:tcPr>
          <w:p>
            <w:pPr>
              <w:topLinePunct/>
              <w:adjustRightInd w:val="0"/>
              <w:snapToGri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签字和（或）盖章要求</w:t>
            </w:r>
          </w:p>
        </w:tc>
        <w:tc>
          <w:tcPr>
            <w:tcW w:w="3286" w:type="pct"/>
            <w:vAlign w:val="top"/>
          </w:tcPr>
          <w:p>
            <w:pPr>
              <w:autoSpaceDE w:val="0"/>
              <w:autoSpaceDN w:val="0"/>
              <w:adjustRightInd w:val="0"/>
              <w:spacing w:line="36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（1）所有要求签字的地方都应用不褪色的墨水或签字笔由本人亲笔手写签字（包括姓和名），不得用盖章（如签名章、签字章等）代替，也不得由他人代签。</w:t>
            </w:r>
          </w:p>
          <w:p>
            <w:pPr>
              <w:autoSpaceDE w:val="0"/>
              <w:autoSpaceDN w:val="0"/>
              <w:adjustRightInd w:val="0"/>
              <w:spacing w:line="360" w:lineRule="exact"/>
              <w:jc w:val="lef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（2）所有要求盖章的地方都应按照</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lang w:val="zh-CN"/>
              </w:rPr>
              <w:t>文件的规定加盖与投标人名称全称相一致的标准公章，不得使用彩喷或者彩印的印章、不可使用专用章（如合同专用章、投标专用章等）代替。</w:t>
            </w:r>
          </w:p>
          <w:p>
            <w:pPr>
              <w:autoSpaceDE w:val="0"/>
              <w:autoSpaceDN w:val="0"/>
              <w:adjustRightInd w:val="0"/>
              <w:spacing w:line="360" w:lineRule="exact"/>
              <w:jc w:val="left"/>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（3）</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文件格式中要求</w:t>
            </w:r>
            <w:r>
              <w:rPr>
                <w:rFonts w:hint="eastAsia" w:ascii="宋体" w:hAnsi="宋体" w:eastAsia="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“法定代表人或其委托代理人”签字的，如法定代表人亲自</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val="zh-CN"/>
              </w:rPr>
              <w:t>而不委托代理人</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val="zh-CN"/>
              </w:rPr>
              <w:t>，由法定代表人签字；如法定代表人授权委托代理人</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val="zh-CN"/>
              </w:rPr>
              <w:t>，由委托代理人签字。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3.7.4</w:t>
            </w:r>
          </w:p>
        </w:tc>
        <w:tc>
          <w:tcPr>
            <w:tcW w:w="1144" w:type="pct"/>
            <w:gridSpan w:val="2"/>
            <w:vAlign w:val="center"/>
          </w:tcPr>
          <w:p>
            <w:pPr>
              <w:topLinePunct/>
              <w:adjustRightInd w:val="0"/>
              <w:snapToGrid w:val="0"/>
              <w:spacing w:line="360" w:lineRule="exact"/>
              <w:jc w:val="center"/>
              <w:rPr>
                <w:rFonts w:asciiTheme="minorEastAsia" w:hAnsiTheme="minorEastAsia" w:eastAsiaTheme="minorEastAsia"/>
                <w:color w:val="auto"/>
                <w:highlight w:val="none"/>
              </w:rPr>
            </w:pPr>
            <w:r>
              <w:rPr>
                <w:rFonts w:hint="eastAsia" w:ascii="宋体" w:hAnsi="宋体" w:cs="宋体"/>
                <w:bCs/>
                <w:color w:val="auto"/>
                <w:sz w:val="21"/>
                <w:szCs w:val="21"/>
                <w:highlight w:val="none"/>
                <w:lang w:val="zh-CN"/>
              </w:rPr>
              <w:t>响应文件</w:t>
            </w:r>
            <w:r>
              <w:rPr>
                <w:rFonts w:hint="eastAsia" w:ascii="宋体" w:hAnsi="宋体" w:eastAsia="宋体" w:cs="宋体"/>
                <w:bCs/>
                <w:color w:val="auto"/>
                <w:sz w:val="21"/>
                <w:szCs w:val="21"/>
                <w:highlight w:val="none"/>
                <w:lang w:val="zh-CN"/>
              </w:rPr>
              <w:t>份数</w:t>
            </w:r>
          </w:p>
        </w:tc>
        <w:tc>
          <w:tcPr>
            <w:tcW w:w="3286" w:type="pct"/>
            <w:vAlign w:val="top"/>
          </w:tcPr>
          <w:p>
            <w:pPr>
              <w:spacing w:line="44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注：</w:t>
            </w:r>
            <w:r>
              <w:rPr>
                <w:rFonts w:hint="eastAsia" w:ascii="宋体" w:hAnsi="宋体" w:cs="宋体"/>
                <w:b w:val="0"/>
                <w:bCs w:val="0"/>
                <w:color w:val="auto"/>
                <w:sz w:val="22"/>
                <w:szCs w:val="22"/>
                <w:highlight w:val="none"/>
              </w:rPr>
              <w:t>本项目采取网上招标、网上投标和远程不见面开标。</w:t>
            </w:r>
            <w:r>
              <w:rPr>
                <w:rFonts w:hint="eastAsia" w:ascii="宋体" w:hAnsi="宋体" w:cs="宋体"/>
                <w:color w:val="auto"/>
                <w:sz w:val="22"/>
                <w:szCs w:val="22"/>
                <w:highlight w:val="none"/>
              </w:rPr>
              <w:t>投标单位</w:t>
            </w:r>
            <w:r>
              <w:rPr>
                <w:rFonts w:hint="eastAsia" w:ascii="宋体" w:hAnsi="宋体" w:cs="宋体"/>
                <w:color w:val="auto"/>
                <w:sz w:val="22"/>
                <w:szCs w:val="22"/>
                <w:highlight w:val="none"/>
                <w:lang w:val="en-US" w:eastAsia="zh-CN"/>
              </w:rPr>
              <w:t>须</w:t>
            </w:r>
            <w:r>
              <w:rPr>
                <w:rFonts w:hint="eastAsia" w:ascii="宋体" w:hAnsi="宋体" w:cs="宋体"/>
                <w:color w:val="auto"/>
                <w:sz w:val="22"/>
                <w:szCs w:val="22"/>
                <w:highlight w:val="none"/>
              </w:rPr>
              <w:t>在开标前将政采云电子投标客户端</w:t>
            </w:r>
            <w:r>
              <w:rPr>
                <w:rFonts w:hint="eastAsia" w:ascii="宋体" w:hAnsi="宋体" w:eastAsia="宋体" w:cs="宋体"/>
                <w:color w:val="auto"/>
                <w:sz w:val="22"/>
                <w:szCs w:val="22"/>
                <w:highlight w:val="none"/>
              </w:rPr>
              <w:t>生成的加密文件上传到</w:t>
            </w:r>
            <w:r>
              <w:rPr>
                <w:rFonts w:hint="eastAsia" w:ascii="宋体" w:hAnsi="宋体" w:eastAsia="宋体" w:cs="宋体"/>
                <w:color w:val="auto"/>
                <w:sz w:val="22"/>
                <w:szCs w:val="22"/>
                <w:highlight w:val="none"/>
                <w:lang w:eastAsia="zh-CN"/>
              </w:rPr>
              <w:t>“政采云”平台（https://www.zcygov.cn/）</w:t>
            </w:r>
            <w:r>
              <w:rPr>
                <w:rFonts w:hint="eastAsia" w:ascii="宋体" w:hAnsi="宋体" w:eastAsia="宋体" w:cs="宋体"/>
                <w:color w:val="auto"/>
                <w:sz w:val="22"/>
                <w:szCs w:val="22"/>
                <w:highlight w:val="none"/>
              </w:rPr>
              <w:t>。</w:t>
            </w:r>
          </w:p>
          <w:p>
            <w:pPr>
              <w:pStyle w:val="243"/>
              <w:ind w:left="0" w:leftChars="0" w:firstLine="0" w:firstLineChars="0"/>
              <w:rPr>
                <w:rFonts w:asciiTheme="minorEastAsia" w:hAnsiTheme="minorEastAsia" w:eastAsiaTheme="minorEastAsia"/>
                <w:color w:val="auto"/>
                <w:highlight w:val="none"/>
              </w:rPr>
            </w:pPr>
            <w:r>
              <w:rPr>
                <w:rFonts w:hint="eastAsia" w:ascii="宋体" w:hAnsi="宋体" w:eastAsia="宋体" w:cs="宋体"/>
                <w:color w:val="auto"/>
                <w:sz w:val="22"/>
                <w:szCs w:val="22"/>
                <w:highlight w:val="none"/>
              </w:rPr>
              <w:t>开标结束后，自中标结果公示之日起三日内要求中标单位将与政采云投标客户端生成的电子版一致的纸质版</w:t>
            </w:r>
            <w:r>
              <w:rPr>
                <w:rFonts w:hint="eastAsia" w:ascii="宋体" w:hAnsi="宋体" w:eastAsia="宋体" w:cs="宋体"/>
                <w:color w:val="auto"/>
                <w:sz w:val="22"/>
                <w:szCs w:val="22"/>
                <w:highlight w:val="none"/>
                <w:lang w:eastAsia="zh-CN"/>
              </w:rPr>
              <w:t>投标文件（</w:t>
            </w:r>
            <w:r>
              <w:rPr>
                <w:rFonts w:hint="eastAsia" w:ascii="宋体" w:hAnsi="宋体" w:cs="宋体"/>
                <w:color w:val="auto"/>
                <w:sz w:val="22"/>
                <w:szCs w:val="22"/>
                <w:highlight w:val="none"/>
              </w:rPr>
              <w:t>正本 1 份，副本 2 份</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及电子</w:t>
            </w:r>
            <w:r>
              <w:rPr>
                <w:rFonts w:hint="eastAsia" w:ascii="宋体" w:hAnsi="宋体" w:eastAsia="宋体" w:cs="宋体"/>
                <w:color w:val="auto"/>
                <w:sz w:val="22"/>
                <w:szCs w:val="22"/>
                <w:highlight w:val="none"/>
                <w:lang w:val="en-US" w:eastAsia="zh-CN"/>
              </w:rPr>
              <w:t>版</w:t>
            </w:r>
            <w:r>
              <w:rPr>
                <w:rFonts w:hint="eastAsia" w:ascii="宋体" w:hAnsi="宋体" w:eastAsia="宋体" w:cs="宋体"/>
                <w:color w:val="auto"/>
                <w:sz w:val="22"/>
                <w:szCs w:val="22"/>
                <w:highlight w:val="none"/>
              </w:rPr>
              <w:t>U盘</w:t>
            </w:r>
            <w:r>
              <w:rPr>
                <w:rFonts w:hint="eastAsia" w:ascii="宋体" w:hAnsi="宋体" w:eastAsia="宋体" w:cs="宋体"/>
                <w:color w:val="auto"/>
                <w:sz w:val="22"/>
                <w:szCs w:val="22"/>
                <w:highlight w:val="none"/>
                <w:lang w:val="en-US" w:eastAsia="zh-CN"/>
              </w:rPr>
              <w:t>2份（</w:t>
            </w:r>
            <w:r>
              <w:rPr>
                <w:rFonts w:hint="eastAsia" w:ascii="宋体" w:hAnsi="宋体" w:cs="宋体"/>
                <w:color w:val="auto"/>
                <w:sz w:val="22"/>
                <w:szCs w:val="22"/>
                <w:highlight w:val="none"/>
              </w:rPr>
              <w:t>政采云电子投标客户端生成的电子版</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包括加密文件</w:t>
            </w:r>
            <w:r>
              <w:rPr>
                <w:rFonts w:hint="eastAsia" w:ascii="宋体" w:hAnsi="宋体" w:cs="宋体"/>
                <w:color w:val="auto"/>
                <w:sz w:val="22"/>
                <w:szCs w:val="22"/>
                <w:highlight w:val="none"/>
                <w:lang w:eastAsia="zh-CN"/>
              </w:rPr>
              <w:t>BFBS</w:t>
            </w:r>
            <w:r>
              <w:rPr>
                <w:rFonts w:hint="eastAsia" w:ascii="宋体" w:hAnsi="宋体" w:cs="宋体"/>
                <w:color w:val="auto"/>
                <w:sz w:val="22"/>
                <w:szCs w:val="22"/>
                <w:highlight w:val="none"/>
              </w:rPr>
              <w:t>格式</w:t>
            </w:r>
            <w:r>
              <w:rPr>
                <w:rFonts w:hint="eastAsia" w:ascii="宋体" w:hAnsi="宋体" w:cs="宋体"/>
                <w:color w:val="auto"/>
                <w:sz w:val="22"/>
                <w:szCs w:val="22"/>
                <w:highlight w:val="none"/>
                <w:lang w:val="en-US" w:eastAsia="zh-CN"/>
              </w:rPr>
              <w:t>及</w:t>
            </w:r>
            <w:r>
              <w:rPr>
                <w:rFonts w:hint="eastAsia" w:ascii="宋体" w:hAnsi="宋体" w:cs="宋体"/>
                <w:color w:val="auto"/>
                <w:sz w:val="22"/>
                <w:szCs w:val="22"/>
                <w:highlight w:val="none"/>
              </w:rPr>
              <w:t>pdf格式或Word格式。</w:t>
            </w: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sz w:val="22"/>
                <w:szCs w:val="22"/>
                <w:highlight w:val="none"/>
              </w:rPr>
              <w:t>邮寄或送至采购代理机构</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用于存档</w:t>
            </w:r>
            <w:r>
              <w:rPr>
                <w:rFonts w:hint="eastAsia" w:ascii="宋体" w:hAnsi="宋体" w:eastAsia="宋体" w:cs="宋体"/>
                <w:color w:val="auto"/>
                <w:sz w:val="22"/>
                <w:szCs w:val="22"/>
                <w:highlight w:val="none"/>
              </w:rPr>
              <w:t>：</w:t>
            </w:r>
            <w:r>
              <w:rPr>
                <w:rFonts w:hint="eastAsia" w:ascii="宋体" w:hAnsi="宋体" w:cs="宋体"/>
                <w:color w:val="auto"/>
                <w:sz w:val="22"/>
                <w:szCs w:val="22"/>
                <w:highlight w:val="none"/>
                <w:lang w:eastAsia="zh-CN"/>
              </w:rPr>
              <w:t>吉林省建兴工程管理咨询有限公司</w:t>
            </w:r>
            <w:r>
              <w:rPr>
                <w:rFonts w:hint="eastAsia" w:ascii="宋体" w:hAnsi="宋体" w:eastAsia="宋体" w:cs="宋体"/>
                <w:color w:val="auto"/>
                <w:sz w:val="22"/>
                <w:szCs w:val="22"/>
                <w:highlight w:val="none"/>
              </w:rPr>
              <w:t>（吉林省</w:t>
            </w:r>
            <w:r>
              <w:rPr>
                <w:rFonts w:hint="eastAsia" w:ascii="宋体" w:hAnsi="宋体" w:cs="宋体"/>
                <w:color w:val="auto"/>
                <w:sz w:val="22"/>
                <w:szCs w:val="22"/>
                <w:highlight w:val="none"/>
                <w:lang w:eastAsia="zh-CN"/>
              </w:rPr>
              <w:t>长春市朝阳区卫星路</w:t>
            </w:r>
            <w:r>
              <w:rPr>
                <w:rFonts w:hint="eastAsia" w:ascii="宋体" w:hAnsi="宋体" w:cs="宋体"/>
                <w:color w:val="auto"/>
                <w:sz w:val="22"/>
                <w:szCs w:val="22"/>
                <w:highlight w:val="none"/>
                <w:lang w:val="en-US" w:eastAsia="zh-CN"/>
              </w:rPr>
              <w:t>7440号</w:t>
            </w:r>
            <w:r>
              <w:rPr>
                <w:rFonts w:hint="eastAsia" w:ascii="宋体" w:hAnsi="宋体" w:cs="宋体"/>
                <w:color w:val="auto"/>
                <w:sz w:val="22"/>
                <w:szCs w:val="22"/>
                <w:highlight w:val="none"/>
                <w:lang w:eastAsia="zh-CN"/>
              </w:rPr>
              <w:t>远创国际</w:t>
            </w:r>
            <w:r>
              <w:rPr>
                <w:rFonts w:hint="eastAsia" w:ascii="宋体" w:hAnsi="宋体" w:cs="宋体"/>
                <w:color w:val="auto"/>
                <w:sz w:val="22"/>
                <w:szCs w:val="22"/>
                <w:highlight w:val="none"/>
                <w:lang w:val="en-US" w:eastAsia="zh-CN"/>
              </w:rPr>
              <w:t>1704室</w:t>
            </w:r>
            <w:r>
              <w:rPr>
                <w:rFonts w:hint="eastAsia" w:ascii="宋体" w:hAnsi="宋体" w:eastAsia="宋体" w:cs="宋体"/>
                <w:color w:val="auto"/>
                <w:sz w:val="22"/>
                <w:szCs w:val="22"/>
                <w:highlight w:val="none"/>
              </w:rPr>
              <w:t>，收件人：</w:t>
            </w:r>
            <w:r>
              <w:rPr>
                <w:rFonts w:hint="eastAsia" w:ascii="宋体" w:hAnsi="宋体" w:cs="宋体"/>
                <w:color w:val="auto"/>
                <w:sz w:val="22"/>
                <w:szCs w:val="22"/>
                <w:highlight w:val="none"/>
                <w:lang w:eastAsia="zh-CN"/>
              </w:rPr>
              <w:t>沈恩驰</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联系电话：</w:t>
            </w:r>
            <w:r>
              <w:rPr>
                <w:rFonts w:hint="eastAsia" w:ascii="宋体" w:hAnsi="宋体" w:cs="宋体"/>
                <w:color w:val="auto"/>
                <w:sz w:val="22"/>
                <w:szCs w:val="22"/>
                <w:highlight w:val="none"/>
                <w:lang w:val="en-US" w:eastAsia="zh-CN"/>
              </w:rPr>
              <w:t>13596084098</w:t>
            </w:r>
            <w:r>
              <w:rPr>
                <w:rFonts w:hint="eastAsia" w:ascii="宋体" w:hAnsi="宋体" w:eastAsia="宋体" w:cs="宋体"/>
                <w:color w:val="auto"/>
                <w:sz w:val="22"/>
                <w:szCs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3.7.5</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装订要求</w:t>
            </w:r>
          </w:p>
        </w:tc>
        <w:tc>
          <w:tcPr>
            <w:tcW w:w="3286" w:type="pct"/>
            <w:vAlign w:val="center"/>
          </w:tcPr>
          <w:p>
            <w:pPr>
              <w:rPr>
                <w:rFonts w:asciiTheme="minorEastAsia" w:hAnsiTheme="minorEastAsia" w:eastAsiaTheme="minorEastAsia"/>
                <w:color w:val="auto"/>
                <w:highlight w:val="none"/>
                <w:u w:val="single"/>
              </w:rPr>
            </w:pPr>
            <w:r>
              <w:rPr>
                <w:rFonts w:hint="eastAsia" w:cs="Times New Roman" w:asciiTheme="minorEastAsia" w:hAnsiTheme="minorEastAsia" w:eastAsiaTheme="minorEastAsia"/>
                <w:color w:val="auto"/>
                <w:highlight w:val="none"/>
                <w:lang w:val="zh-CN" w:eastAsia="zh-CN"/>
              </w:rPr>
              <w:t>响应文件</w:t>
            </w:r>
            <w:r>
              <w:rPr>
                <w:rFonts w:hint="eastAsia" w:cs="Times New Roman" w:asciiTheme="minorEastAsia" w:hAnsiTheme="minorEastAsia" w:eastAsiaTheme="minorEastAsia"/>
                <w:color w:val="auto"/>
                <w:highlight w:val="none"/>
                <w:lang w:val="zh-CN"/>
              </w:rPr>
              <w:t>的其中一份为正本并标记，其余为副本。响应文件的正本与副本应分别装订成册，不得采用活页夹。响应文件应编制目录，并且逐页标注连续页码，</w:t>
            </w:r>
            <w:r>
              <w:rPr>
                <w:rFonts w:hint="eastAsia" w:cs="Times New Roman" w:asciiTheme="minorEastAsia" w:hAnsiTheme="minorEastAsia" w:eastAsiaTheme="minorEastAsia"/>
                <w:color w:val="auto"/>
                <w:highlight w:val="none"/>
                <w:lang w:val="en-US" w:eastAsia="zh-CN"/>
              </w:rPr>
              <w:t>响应供应商应当对响应文件进行装订成册，对未经装订的响应文件可能发生的文件散落或缺损，由此造成的后果和责任由响应供应商承担。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4.1.2</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封套上写明</w:t>
            </w:r>
          </w:p>
        </w:tc>
        <w:tc>
          <w:tcPr>
            <w:tcW w:w="3286" w:type="pct"/>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包封内容：响应文件</w:t>
            </w:r>
            <w:r>
              <w:rPr>
                <w:rFonts w:hint="eastAsia" w:cs="Times New Roman" w:asciiTheme="minorEastAsia" w:hAnsiTheme="minorEastAsia" w:eastAsiaTheme="minorEastAsia"/>
                <w:color w:val="auto"/>
                <w:szCs w:val="21"/>
                <w:highlight w:val="none"/>
              </w:rPr>
              <w:t>/</w:t>
            </w:r>
            <w:r>
              <w:rPr>
                <w:rFonts w:hint="eastAsia" w:cs="Times New Roman" w:asciiTheme="minorEastAsia" w:hAnsiTheme="minorEastAsia" w:eastAsiaTheme="minorEastAsia"/>
                <w:color w:val="auto"/>
                <w:szCs w:val="21"/>
                <w:highlight w:val="none"/>
                <w:lang w:val="en-US" w:eastAsia="zh-CN"/>
              </w:rPr>
              <w:t>电子介质</w:t>
            </w:r>
            <w:r>
              <w:rPr>
                <w:rFonts w:hint="eastAsia" w:asciiTheme="minorEastAsia" w:hAnsiTheme="minorEastAsia" w:eastAsiaTheme="minorEastAsia"/>
                <w:color w:val="auto"/>
                <w:szCs w:val="21"/>
                <w:highlight w:val="none"/>
              </w:rPr>
              <w:t>（分别包封）</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val="en-US" w:eastAsia="zh-CN"/>
              </w:rPr>
              <w:t>项目编号</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val="en-US" w:eastAsia="zh-CN"/>
              </w:rPr>
              <w:t>项目名称</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地址：</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联系人：</w:t>
            </w:r>
            <w:r>
              <w:rPr>
                <w:rFonts w:hint="eastAsia"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联系电话：</w:t>
            </w:r>
            <w:r>
              <w:rPr>
                <w:rFonts w:hint="eastAsia" w:asciiTheme="minorEastAsia" w:hAnsiTheme="minorEastAsia" w:eastAsiaTheme="minorEastAsia"/>
                <w:color w:val="auto"/>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4.2.2</w:t>
            </w:r>
          </w:p>
        </w:tc>
        <w:tc>
          <w:tcPr>
            <w:tcW w:w="1144" w:type="pct"/>
            <w:gridSpan w:val="2"/>
            <w:vAlign w:val="center"/>
          </w:tcPr>
          <w:p>
            <w:pPr>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递交</w:t>
            </w:r>
            <w:r>
              <w:rPr>
                <w:rFonts w:hint="eastAsia" w:cs="Times New Roman" w:asciiTheme="minorEastAsia" w:hAnsiTheme="minorEastAsia" w:eastAsiaTheme="minorEastAsia"/>
                <w:color w:val="auto"/>
                <w:highlight w:val="none"/>
                <w:lang w:val="en-US" w:eastAsia="zh-CN"/>
              </w:rPr>
              <w:t>响应</w:t>
            </w:r>
            <w:r>
              <w:rPr>
                <w:rFonts w:hint="eastAsia" w:cs="Times New Roman" w:asciiTheme="minorEastAsia" w:hAnsiTheme="minorEastAsia" w:eastAsiaTheme="minorEastAsia"/>
                <w:color w:val="auto"/>
                <w:highlight w:val="none"/>
              </w:rPr>
              <w:t>文件地点</w:t>
            </w:r>
          </w:p>
        </w:tc>
        <w:tc>
          <w:tcPr>
            <w:tcW w:w="3286" w:type="pct"/>
            <w:vAlign w:val="center"/>
          </w:tcPr>
          <w:p>
            <w:pPr>
              <w:rPr>
                <w:rFonts w:hint="eastAsia" w:asciiTheme="minorEastAsia" w:hAnsiTheme="minorEastAsia" w:eastAsiaTheme="minorEastAsia"/>
                <w:color w:val="auto"/>
                <w:highlight w:val="none"/>
              </w:rPr>
            </w:pPr>
            <w:r>
              <w:rPr>
                <w:rFonts w:hint="eastAsia" w:cs="Times New Roman" w:asciiTheme="minorEastAsia" w:hAnsiTheme="minorEastAsia" w:eastAsiaTheme="minorEastAsia"/>
                <w:b/>
                <w:bCs/>
                <w:color w:val="auto"/>
                <w:highlight w:val="none"/>
              </w:rPr>
              <w:t>电子版</w:t>
            </w:r>
            <w:r>
              <w:rPr>
                <w:rFonts w:hint="eastAsia" w:cs="Times New Roman" w:asciiTheme="minorEastAsia" w:hAnsiTheme="minorEastAsia" w:eastAsiaTheme="minorEastAsia"/>
                <w:b/>
                <w:bCs/>
                <w:color w:val="auto"/>
                <w:highlight w:val="none"/>
                <w:lang w:val="en-US" w:eastAsia="zh-CN"/>
              </w:rPr>
              <w:t>响应</w:t>
            </w:r>
            <w:r>
              <w:rPr>
                <w:rFonts w:hint="eastAsia" w:cs="Times New Roman" w:asciiTheme="minorEastAsia" w:hAnsiTheme="minorEastAsia" w:eastAsiaTheme="minorEastAsia"/>
                <w:b/>
                <w:bCs/>
                <w:color w:val="auto"/>
                <w:highlight w:val="none"/>
              </w:rPr>
              <w:t>文件：</w:t>
            </w:r>
            <w:r>
              <w:rPr>
                <w:rFonts w:hint="eastAsia" w:cs="Times New Roman" w:asciiTheme="minorEastAsia" w:hAnsiTheme="minorEastAsia" w:eastAsiaTheme="minorEastAsia"/>
                <w:color w:val="auto"/>
                <w:highlight w:val="none"/>
              </w:rPr>
              <w:t>网上递交。电子</w:t>
            </w:r>
            <w:r>
              <w:rPr>
                <w:rFonts w:hint="eastAsia" w:cs="Times New Roman" w:asciiTheme="minorEastAsia" w:hAnsiTheme="minorEastAsia" w:eastAsiaTheme="minorEastAsia"/>
                <w:color w:val="auto"/>
                <w:highlight w:val="none"/>
                <w:lang w:eastAsia="zh-CN"/>
              </w:rPr>
              <w:t>响应文件</w:t>
            </w:r>
            <w:r>
              <w:rPr>
                <w:rFonts w:hint="eastAsia" w:cs="Times New Roman" w:asciiTheme="minorEastAsia" w:hAnsiTheme="minorEastAsia" w:eastAsiaTheme="minorEastAsia"/>
                <w:color w:val="auto"/>
                <w:highlight w:val="none"/>
              </w:rPr>
              <w:t>在</w:t>
            </w:r>
            <w:r>
              <w:rPr>
                <w:rFonts w:hint="eastAsia" w:cs="Times New Roman" w:asciiTheme="minorEastAsia" w:hAnsiTheme="minorEastAsia" w:eastAsiaTheme="minorEastAsia"/>
                <w:color w:val="auto"/>
                <w:highlight w:val="none"/>
                <w:lang w:val="en-US" w:eastAsia="zh-CN"/>
              </w:rPr>
              <w:t>政采云</w:t>
            </w:r>
            <w:r>
              <w:rPr>
                <w:rFonts w:hint="eastAsia" w:cs="Times New Roman" w:asciiTheme="minorEastAsia" w:hAnsiTheme="minorEastAsia" w:eastAsiaTheme="minorEastAsia"/>
                <w:color w:val="auto"/>
                <w:highlight w:val="none"/>
              </w:rPr>
              <w:t>平台上直接上传</w:t>
            </w:r>
            <w:r>
              <w:rPr>
                <w:rFonts w:hint="eastAsia" w:cs="Times New Roman" w:asciiTheme="minorEastAsia" w:hAnsiTheme="minorEastAsia" w:eastAsiaTheme="minorEastAsia"/>
                <w:color w:val="auto"/>
                <w:highlight w:val="none"/>
                <w:lang w:eastAsia="zh-CN"/>
              </w:rPr>
              <w:t>响应文件</w:t>
            </w:r>
            <w:r>
              <w:rPr>
                <w:rFonts w:hint="eastAsia" w:cs="Times New Roman" w:asciiTheme="minorEastAsia" w:hAnsiTheme="minorEastAsia" w:eastAsiaTheme="minorEastAsia"/>
                <w:color w:val="auto"/>
                <w:highlight w:val="none"/>
              </w:rPr>
              <w:t>。逾期未上传的</w:t>
            </w:r>
            <w:r>
              <w:rPr>
                <w:rFonts w:hint="eastAsia" w:cs="Times New Roman" w:asciiTheme="minorEastAsia" w:hAnsiTheme="minorEastAsia" w:eastAsiaTheme="minorEastAsia"/>
                <w:color w:val="auto"/>
                <w:highlight w:val="none"/>
                <w:lang w:eastAsia="zh-CN"/>
              </w:rPr>
              <w:t>响应文件</w:t>
            </w:r>
            <w:r>
              <w:rPr>
                <w:rFonts w:hint="eastAsia" w:cs="Times New Roman" w:asciiTheme="minorEastAsia" w:hAnsiTheme="minorEastAsia" w:eastAsiaTheme="minorEastAsia"/>
                <w:color w:val="auto"/>
                <w:highlight w:val="none"/>
              </w:rPr>
              <w:t>，</w:t>
            </w:r>
            <w:r>
              <w:rPr>
                <w:rFonts w:hint="eastAsia" w:cs="Times New Roman" w:asciiTheme="minorEastAsia" w:hAnsiTheme="minorEastAsia" w:eastAsiaTheme="minorEastAsia"/>
                <w:color w:val="auto"/>
                <w:highlight w:val="none"/>
                <w:lang w:eastAsia="zh-CN"/>
              </w:rPr>
              <w:t>采购人</w:t>
            </w:r>
            <w:r>
              <w:rPr>
                <w:rFonts w:hint="eastAsia" w:cs="Times New Roman" w:asciiTheme="minorEastAsia" w:hAnsiTheme="minorEastAsia" w:eastAsiaTheme="minorEastAsia"/>
                <w:color w:val="auto"/>
                <w:highlight w:val="none"/>
              </w:rPr>
              <w:t>不予受理。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4.2.3</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是否退还响应文件</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否，投标截止时间止已接收的响应文件将不予退还。各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自行做好备份工作。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5.1</w:t>
            </w:r>
          </w:p>
        </w:tc>
        <w:tc>
          <w:tcPr>
            <w:tcW w:w="1144" w:type="pct"/>
            <w:gridSpan w:val="2"/>
            <w:vAlign w:val="center"/>
          </w:tcPr>
          <w:p>
            <w:pPr>
              <w:autoSpaceDE w:val="0"/>
              <w:autoSpaceDN w:val="0"/>
              <w:adjustRightInd w:val="0"/>
              <w:spacing w:line="360" w:lineRule="exact"/>
              <w:jc w:val="center"/>
              <w:rPr>
                <w:rFonts w:asciiTheme="minorEastAsia" w:hAnsiTheme="minorEastAsia" w:eastAsiaTheme="minorEastAsia"/>
                <w:color w:val="auto"/>
                <w:highlight w:val="none"/>
              </w:rPr>
            </w:pPr>
            <w:r>
              <w:rPr>
                <w:rFonts w:hint="eastAsia" w:ascii="宋体" w:hAnsi="宋体" w:eastAsia="宋体" w:cs="宋体"/>
                <w:bCs/>
                <w:color w:val="auto"/>
                <w:sz w:val="21"/>
                <w:szCs w:val="21"/>
                <w:highlight w:val="none"/>
                <w:lang w:val="zh-CN"/>
              </w:rPr>
              <w:t>开标时间和地点</w:t>
            </w:r>
          </w:p>
        </w:tc>
        <w:tc>
          <w:tcPr>
            <w:tcW w:w="3286" w:type="pct"/>
            <w:vAlign w:val="center"/>
          </w:tcPr>
          <w:p>
            <w:pPr>
              <w:autoSpaceDE w:val="0"/>
              <w:autoSpaceDN w:val="0"/>
              <w:adjustRightInd w:val="0"/>
              <w:spacing w:line="360" w:lineRule="exact"/>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开标时间：</w:t>
            </w:r>
            <w:r>
              <w:rPr>
                <w:rFonts w:hint="eastAsia" w:asciiTheme="minorEastAsia" w:hAnsiTheme="minorEastAsia"/>
                <w:color w:val="auto"/>
                <w:highlight w:val="none"/>
                <w:lang w:eastAsia="zh-CN"/>
              </w:rPr>
              <w:t>202</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年0</w:t>
            </w:r>
            <w:r>
              <w:rPr>
                <w:rFonts w:hint="eastAsia" w:asciiTheme="minorEastAsia" w:hAnsiTheme="minorEastAsia"/>
                <w:color w:val="auto"/>
                <w:highlight w:val="none"/>
                <w:lang w:val="en-US" w:eastAsia="zh-CN"/>
              </w:rPr>
              <w:t>4</w:t>
            </w:r>
            <w:r>
              <w:rPr>
                <w:rFonts w:hint="eastAsia" w:asciiTheme="minorEastAsia" w:hAnsiTheme="minorEastAsia"/>
                <w:color w:val="auto"/>
                <w:highlight w:val="none"/>
                <w:lang w:eastAsia="zh-CN"/>
              </w:rPr>
              <w:t>月</w:t>
            </w:r>
            <w:r>
              <w:rPr>
                <w:rFonts w:hint="eastAsia" w:asciiTheme="minorEastAsia" w:hAnsiTheme="minorEastAsia"/>
                <w:color w:val="auto"/>
                <w:highlight w:val="none"/>
                <w:lang w:val="en-US" w:eastAsia="zh-CN"/>
              </w:rPr>
              <w:t>19</w:t>
            </w:r>
            <w:r>
              <w:rPr>
                <w:rFonts w:hint="eastAsia" w:asciiTheme="minorEastAsia" w:hAnsiTheme="minorEastAsia"/>
                <w:color w:val="auto"/>
                <w:highlight w:val="none"/>
                <w:lang w:eastAsia="zh-CN"/>
              </w:rPr>
              <w:t>日</w:t>
            </w:r>
            <w:r>
              <w:rPr>
                <w:rFonts w:hint="eastAsia" w:asciiTheme="minorEastAsia" w:hAnsiTheme="minorEastAsia"/>
                <w:color w:val="auto"/>
                <w:highlight w:val="none"/>
                <w:lang w:val="en-US" w:eastAsia="zh-CN"/>
              </w:rPr>
              <w:t>13</w:t>
            </w:r>
            <w:r>
              <w:rPr>
                <w:rFonts w:hint="eastAsia" w:asciiTheme="minorEastAsia" w:hAnsiTheme="minorEastAsia"/>
                <w:color w:val="auto"/>
                <w:highlight w:val="none"/>
                <w:lang w:eastAsia="zh-CN"/>
              </w:rPr>
              <w:t>时30分</w:t>
            </w:r>
            <w:r>
              <w:rPr>
                <w:rFonts w:hint="eastAsia" w:ascii="宋体" w:hAnsi="宋体" w:eastAsia="宋体" w:cs="宋体"/>
                <w:bCs/>
                <w:color w:val="auto"/>
                <w:sz w:val="21"/>
                <w:szCs w:val="21"/>
                <w:highlight w:val="none"/>
                <w:lang w:val="zh-CN"/>
              </w:rPr>
              <w:t>（北京时间）</w:t>
            </w:r>
          </w:p>
          <w:p>
            <w:pPr>
              <w:autoSpaceDE w:val="0"/>
              <w:autoSpaceDN w:val="0"/>
              <w:adjustRightInd w:val="0"/>
              <w:spacing w:line="360" w:lineRule="exact"/>
              <w:rPr>
                <w:rFonts w:asciiTheme="minorEastAsia" w:hAnsiTheme="minorEastAsia" w:eastAsiaTheme="minorEastAsia"/>
                <w:color w:val="auto"/>
                <w:highlight w:val="none"/>
              </w:rPr>
            </w:pPr>
            <w:r>
              <w:rPr>
                <w:rFonts w:hint="eastAsia" w:ascii="宋体" w:hAnsi="宋体" w:cs="宋体"/>
                <w:b/>
                <w:bCs/>
                <w:color w:val="auto"/>
                <w:sz w:val="22"/>
                <w:szCs w:val="22"/>
                <w:highlight w:val="none"/>
              </w:rPr>
              <w:t>本项目采取网上招标、网上投标和远程不见面开标</w:t>
            </w:r>
            <w:r>
              <w:rPr>
                <w:rFonts w:hint="eastAsia" w:ascii="宋体" w:hAnsi="宋体" w:cs="宋体"/>
                <w:b/>
                <w:bCs/>
                <w:color w:val="auto"/>
                <w:sz w:val="22"/>
                <w:szCs w:val="22"/>
                <w:highlight w:val="none"/>
                <w:lang w:eastAsia="zh-CN"/>
              </w:rPr>
              <w:t>，</w:t>
            </w:r>
            <w:r>
              <w:rPr>
                <w:rFonts w:hint="eastAsia" w:ascii="宋体" w:hAnsi="宋体" w:cs="宋体"/>
                <w:b/>
                <w:bCs/>
                <w:color w:val="auto"/>
                <w:sz w:val="22"/>
                <w:szCs w:val="22"/>
                <w:highlight w:val="none"/>
              </w:rPr>
              <w:t>在</w:t>
            </w:r>
            <w:r>
              <w:rPr>
                <w:rFonts w:hint="eastAsia" w:ascii="宋体" w:hAnsi="宋体" w:cs="宋体"/>
                <w:b/>
                <w:bCs/>
                <w:color w:val="auto"/>
                <w:sz w:val="22"/>
                <w:szCs w:val="22"/>
                <w:highlight w:val="none"/>
                <w:lang w:eastAsia="zh-CN"/>
              </w:rPr>
              <w:t>“政采云”平台（https://www.zcygov.cn/）</w:t>
            </w:r>
            <w:r>
              <w:rPr>
                <w:rFonts w:hint="eastAsia" w:ascii="宋体" w:hAnsi="宋体" w:eastAsia="宋体" w:cs="宋体"/>
                <w:b/>
                <w:bCs/>
                <w:color w:val="auto"/>
                <w:sz w:val="22"/>
                <w:szCs w:val="22"/>
                <w:highlight w:val="none"/>
                <w:lang w:val="en-US" w:eastAsia="zh-CN"/>
              </w:rPr>
              <w:t>上</w:t>
            </w:r>
            <w:r>
              <w:rPr>
                <w:rFonts w:hint="eastAsia" w:ascii="宋体" w:hAnsi="宋体" w:cs="宋体"/>
                <w:b/>
                <w:bCs/>
                <w:color w:val="auto"/>
                <w:sz w:val="22"/>
                <w:szCs w:val="22"/>
                <w:highlight w:val="none"/>
              </w:rPr>
              <w:t>传投标文件</w:t>
            </w:r>
            <w:r>
              <w:rPr>
                <w:rFonts w:hint="eastAsia" w:ascii="宋体" w:hAnsi="宋体" w:cs="宋体"/>
                <w:b/>
                <w:bCs/>
                <w:color w:val="auto"/>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5.2</w:t>
            </w:r>
          </w:p>
        </w:tc>
        <w:tc>
          <w:tcPr>
            <w:tcW w:w="1144"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开标程序</w:t>
            </w:r>
          </w:p>
        </w:tc>
        <w:tc>
          <w:tcPr>
            <w:tcW w:w="3286" w:type="pct"/>
            <w:vAlign w:val="center"/>
          </w:tcPr>
          <w:p>
            <w:pPr>
              <w:rPr>
                <w:rFonts w:hint="default" w:cs="Times New Roman" w:asciiTheme="minorEastAsia" w:hAnsiTheme="minorEastAsia" w:eastAsiaTheme="minorEastAsia"/>
                <w:color w:val="auto"/>
                <w:kern w:val="2"/>
                <w:sz w:val="21"/>
                <w:szCs w:val="24"/>
                <w:highlight w:val="none"/>
                <w:lang w:val="en-US" w:eastAsia="zh-CN" w:bidi="ar-SA"/>
              </w:rPr>
            </w:pPr>
            <w:r>
              <w:rPr>
                <w:rFonts w:hint="eastAsia" w:asciiTheme="minorEastAsia" w:hAnsiTheme="minorEastAsia" w:eastAsiaTheme="minorEastAsia"/>
                <w:color w:val="auto"/>
                <w:highlight w:val="none"/>
                <w:lang w:eastAsia="zh-CN"/>
              </w:rPr>
              <w:t>详见供应商须知</w:t>
            </w:r>
            <w:r>
              <w:rPr>
                <w:rFonts w:hint="eastAsia" w:asciiTheme="minorEastAsia" w:hAnsiTheme="minorEastAsia" w:eastAsiaTheme="minorEastAsia"/>
                <w:color w:val="auto"/>
                <w:highlight w:val="none"/>
                <w:lang w:val="en-US" w:eastAsia="zh-CN"/>
              </w:rPr>
              <w:t>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6.1.1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磋商小组的组建</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磋商小组构成：</w:t>
            </w:r>
            <w:r>
              <w:rPr>
                <w:rFonts w:hint="eastAsia" w:asciiTheme="minorEastAsia" w:hAnsiTheme="minorEastAsia" w:eastAsiaTheme="minorEastAsia"/>
                <w:color w:val="auto"/>
                <w:spacing w:val="-6"/>
                <w:highlight w:val="none"/>
                <w:u w:val="single"/>
              </w:rPr>
              <w:t xml:space="preserve">3 </w:t>
            </w:r>
            <w:r>
              <w:rPr>
                <w:rFonts w:hint="eastAsia" w:asciiTheme="minorEastAsia" w:hAnsiTheme="minorEastAsia" w:eastAsiaTheme="minorEastAsia"/>
                <w:color w:val="auto"/>
                <w:spacing w:val="-6"/>
                <w:highlight w:val="none"/>
              </w:rPr>
              <w:t>人，其中采购人代表</w:t>
            </w:r>
            <w:r>
              <w:rPr>
                <w:rFonts w:hint="eastAsia" w:asciiTheme="minorEastAsia" w:hAnsiTheme="minorEastAsia" w:eastAsiaTheme="minorEastAsia"/>
                <w:color w:val="auto"/>
                <w:spacing w:val="-6"/>
                <w:highlight w:val="none"/>
                <w:u w:val="single"/>
              </w:rPr>
              <w:t xml:space="preserve"> 0-1</w:t>
            </w:r>
            <w:r>
              <w:rPr>
                <w:rFonts w:hint="eastAsia" w:asciiTheme="minorEastAsia" w:hAnsiTheme="minorEastAsia" w:eastAsiaTheme="minorEastAsia"/>
                <w:color w:val="auto"/>
                <w:spacing w:val="-6"/>
                <w:highlight w:val="none"/>
              </w:rPr>
              <w:t>人，专家</w:t>
            </w:r>
            <w:r>
              <w:rPr>
                <w:rFonts w:hint="eastAsia" w:asciiTheme="minorEastAsia" w:hAnsiTheme="minorEastAsia" w:eastAsiaTheme="minorEastAsia"/>
                <w:color w:val="auto"/>
                <w:spacing w:val="-6"/>
                <w:highlight w:val="none"/>
                <w:u w:val="single"/>
                <w:lang w:val="en-US" w:eastAsia="zh-CN"/>
              </w:rPr>
              <w:t>3</w:t>
            </w:r>
            <w:r>
              <w:rPr>
                <w:rFonts w:hint="eastAsia" w:asciiTheme="minorEastAsia" w:hAnsiTheme="minorEastAsia" w:eastAsiaTheme="minorEastAsia"/>
                <w:color w:val="auto"/>
                <w:spacing w:val="-6"/>
                <w:highlight w:val="none"/>
                <w:u w:val="single"/>
              </w:rPr>
              <w:t>-</w:t>
            </w:r>
            <w:r>
              <w:rPr>
                <w:rFonts w:hint="eastAsia" w:asciiTheme="minorEastAsia" w:hAnsiTheme="minorEastAsia" w:eastAsiaTheme="minorEastAsia"/>
                <w:color w:val="auto"/>
                <w:spacing w:val="-6"/>
                <w:highlight w:val="none"/>
                <w:u w:val="single"/>
                <w:lang w:val="en-US" w:eastAsia="zh-CN"/>
              </w:rPr>
              <w:t>2</w:t>
            </w:r>
            <w:r>
              <w:rPr>
                <w:rFonts w:hint="eastAsia" w:asciiTheme="minorEastAsia" w:hAnsiTheme="minorEastAsia" w:eastAsiaTheme="minorEastAsia"/>
                <w:color w:val="auto"/>
                <w:spacing w:val="-6"/>
                <w:highlight w:val="none"/>
              </w:rPr>
              <w:t>人</w:t>
            </w:r>
            <w:r>
              <w:rPr>
                <w:rFonts w:hint="eastAsia" w:asciiTheme="minorEastAsia" w:hAnsiTheme="minorEastAsia" w:eastAsiaTheme="minorEastAsia"/>
                <w:color w:val="auto"/>
                <w:highlight w:val="none"/>
              </w:rPr>
              <w:t>；</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评标专家确定方式：</w:t>
            </w:r>
            <w:r>
              <w:rPr>
                <w:rFonts w:hint="eastAsia" w:ascii="宋体" w:hAnsi="宋体" w:eastAsia="宋体" w:cs="宋体"/>
                <w:bCs/>
                <w:color w:val="auto"/>
                <w:sz w:val="21"/>
                <w:szCs w:val="21"/>
                <w:highlight w:val="none"/>
                <w:u w:val="single"/>
                <w:lang w:val="zh-CN"/>
              </w:rPr>
              <w:t>由采购人在行政监督部门的监督下</w:t>
            </w:r>
            <w:r>
              <w:rPr>
                <w:rFonts w:hint="eastAsia" w:asciiTheme="minorEastAsia" w:hAnsiTheme="minorEastAsia" w:eastAsiaTheme="minorEastAsia"/>
                <w:color w:val="auto"/>
                <w:highlight w:val="none"/>
                <w:u w:val="single"/>
              </w:rPr>
              <w:t>在</w:t>
            </w:r>
            <w:r>
              <w:rPr>
                <w:rFonts w:hint="eastAsia" w:ascii="宋体" w:hAnsi="宋体" w:cs="宋体"/>
                <w:color w:val="auto"/>
                <w:sz w:val="22"/>
                <w:szCs w:val="22"/>
                <w:highlight w:val="none"/>
                <w:u w:val="single"/>
                <w:lang w:val="zh-CN"/>
              </w:rPr>
              <w:t>吉林市公共资源交易中心的专家库中随机抽取。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是否授权磋商小组确定中标人</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en-US" w:eastAsia="zh-CN"/>
              </w:rPr>
              <w:t>否</w:t>
            </w:r>
            <w:r>
              <w:rPr>
                <w:rFonts w:hint="eastAsia" w:asciiTheme="minorEastAsia" w:hAnsiTheme="minorEastAsia" w:eastAsiaTheme="minorEastAsia"/>
                <w:color w:val="auto"/>
                <w:highlight w:val="none"/>
              </w:rPr>
              <w:t>，推荐的成交候选人数：3人。磋商小组推荐初步评审合格，综合评审得分由高到低排名第一、第二、第三的投标供应商为成交候选人。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68" w:type="pct"/>
            <w:gridSpan w:val="3"/>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7.3.1</w:t>
            </w:r>
          </w:p>
        </w:tc>
        <w:tc>
          <w:tcPr>
            <w:tcW w:w="1144" w:type="pct"/>
            <w:gridSpan w:val="2"/>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履约担保</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sz w:val="24"/>
                <w:highlight w:val="none"/>
              </w:rPr>
            </w:pPr>
            <w:r>
              <w:rPr>
                <w:rFonts w:hint="eastAsia" w:asciiTheme="minorEastAsia" w:hAnsiTheme="minorEastAsia" w:eastAsiaTheme="minorEastAsia"/>
                <w:color w:val="auto"/>
                <w:highlight w:val="none"/>
              </w:rPr>
              <w:t>10.  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 词语定义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2" w:type="pct"/>
            <w:gridSpan w:val="2"/>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10.1.1</w:t>
            </w:r>
          </w:p>
        </w:tc>
        <w:tc>
          <w:tcPr>
            <w:tcW w:w="1210" w:type="pct"/>
            <w:gridSpan w:val="3"/>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类似项目</w:t>
            </w:r>
          </w:p>
        </w:tc>
        <w:tc>
          <w:tcPr>
            <w:tcW w:w="3286" w:type="pct"/>
            <w:vAlign w:val="center"/>
          </w:tcPr>
          <w:p>
            <w:pPr>
              <w:keepNext w:val="0"/>
              <w:keepLines w:val="0"/>
              <w:widowControl/>
              <w:suppressLineNumbers w:val="0"/>
              <w:jc w:val="left"/>
              <w:rPr>
                <w:rFonts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类似项目是指：</w:t>
            </w:r>
            <w:r>
              <w:rPr>
                <w:rFonts w:hint="eastAsia" w:cs="Times New Roman" w:asciiTheme="minorEastAsia" w:hAnsiTheme="minorEastAsia" w:eastAsiaTheme="minorEastAsia"/>
                <w:color w:val="auto"/>
                <w:highlight w:val="none"/>
                <w:lang w:val="en-US" w:eastAsia="zh-CN"/>
              </w:rPr>
              <w:t>同类工程业绩指工程规模、结构形式、施工工艺等符合项目的内容</w:t>
            </w:r>
            <w:r>
              <w:rPr>
                <w:rFonts w:hint="eastAsia" w:cs="Times New Roman" w:asciiTheme="minorEastAsia" w:hAnsiTheme="minorEastAsia" w:eastAsiaTheme="minorEastAsia"/>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2" w:type="pct"/>
            <w:gridSpan w:val="2"/>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10.1.2</w:t>
            </w:r>
          </w:p>
        </w:tc>
        <w:tc>
          <w:tcPr>
            <w:tcW w:w="1210" w:type="pct"/>
            <w:gridSpan w:val="3"/>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不良行为记录</w:t>
            </w:r>
          </w:p>
        </w:tc>
        <w:tc>
          <w:tcPr>
            <w:tcW w:w="3286" w:type="pct"/>
            <w:vAlign w:val="center"/>
          </w:tcPr>
          <w:p>
            <w:pPr>
              <w:spacing w:line="240" w:lineRule="atLeas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1、施工企业（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）在工程建设过程中违反有关工程的法律、法规、规章或强制性标准和执业行为规范，经县级以上建设行政主管部门或其委托的执法监督机构或财政部门以查实和行政处罚，形成的不良行为记录。</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2、信用信息需提供“信用中国”</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中国政府采购网</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及“中国裁判文书网”自行查询页面截图。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10.2  采购控制价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77" w:type="pct"/>
            <w:vAlign w:val="center"/>
          </w:tcPr>
          <w:p>
            <w:pPr>
              <w:rPr>
                <w:rFonts w:asciiTheme="minorEastAsia" w:hAnsiTheme="minorEastAsia" w:eastAsiaTheme="minorEastAsia"/>
                <w:color w:val="auto"/>
                <w:highlight w:val="none"/>
              </w:rPr>
            </w:pPr>
          </w:p>
        </w:tc>
        <w:tc>
          <w:tcPr>
            <w:tcW w:w="123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采购控制价</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人民币：</w:t>
            </w:r>
            <w:r>
              <w:rPr>
                <w:rFonts w:hint="eastAsia" w:asciiTheme="minorEastAsia" w:hAnsiTheme="minorEastAsia" w:eastAsiaTheme="minorEastAsia"/>
                <w:color w:val="auto"/>
                <w:highlight w:val="none"/>
                <w:u w:val="none"/>
                <w:lang w:val="en-US" w:eastAsia="zh-CN"/>
              </w:rPr>
              <w:t>138.08</w:t>
            </w:r>
            <w:r>
              <w:rPr>
                <w:rFonts w:hint="eastAsia" w:asciiTheme="minorEastAsia" w:hAnsiTheme="minorEastAsia" w:eastAsiaTheme="minorEastAsia"/>
                <w:color w:val="auto"/>
                <w:highlight w:val="none"/>
                <w:u w:val="none"/>
                <w:lang w:eastAsia="zh-CN"/>
              </w:rPr>
              <w:t>万元</w:t>
            </w:r>
            <w:r>
              <w:rPr>
                <w:rFonts w:hint="eastAsia" w:asciiTheme="minorEastAsia" w:hAnsiTheme="minorEastAsia" w:eastAsiaTheme="minorEastAsia"/>
                <w:color w:val="auto"/>
                <w:highlight w:val="none"/>
              </w:rPr>
              <w:t>，不得超过此价格，否则为废标。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10.3  “暗标”评审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713" w:type="pct"/>
            <w:gridSpan w:val="5"/>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施工组织设计是否采用“暗标”评审方式</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不采用。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10.4  响应文件电子版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713" w:type="pct"/>
            <w:gridSpan w:val="5"/>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是否要求</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在递交响应文件时，同时递交响应文件电子版</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是。介质为U盘，内容为响应文件全部内容，且必须包含“磋商报价Excel表格版本及计价软件版本全部内容”，份数为1份。密封标记同4.1.</w:t>
            </w:r>
            <w:r>
              <w:rPr>
                <w:rFonts w:hint="eastAsia" w:asciiTheme="minorEastAsia" w:hAnsiTheme="minorEastAsia" w:eastAsiaTheme="minorEastAsia"/>
                <w:color w:val="auto"/>
                <w:highlight w:val="none"/>
                <w:lang w:val="en-US" w:eastAsia="zh-CN"/>
              </w:rPr>
              <w:t>3</w:t>
            </w:r>
            <w:r>
              <w:rPr>
                <w:rFonts w:hint="eastAsia" w:asciiTheme="minorEastAsia" w:hAnsiTheme="minorEastAsia" w:eastAsiaTheme="minorEastAsia"/>
                <w:color w:val="auto"/>
                <w:highlight w:val="none"/>
              </w:rPr>
              <w:t>条要求，并注明“电子</w:t>
            </w:r>
            <w:r>
              <w:rPr>
                <w:rFonts w:hint="eastAsia" w:asciiTheme="minorEastAsia" w:hAnsiTheme="minorEastAsia" w:eastAsiaTheme="minorEastAsia"/>
                <w:color w:val="auto"/>
                <w:highlight w:val="none"/>
                <w:lang w:val="en-US" w:eastAsia="zh-CN"/>
              </w:rPr>
              <w:t>介质</w:t>
            </w:r>
            <w:r>
              <w:rPr>
                <w:rFonts w:hint="eastAsia" w:asciiTheme="minorEastAsia" w:hAnsiTheme="minorEastAsia" w:eastAsiaTheme="minorEastAsia"/>
                <w:color w:val="auto"/>
                <w:highlight w:val="none"/>
              </w:rPr>
              <w:t>”字样。</w:t>
            </w: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电子响应文件为纸质响应文件的完整电子版本。电子版U盘文件需单独以U盘形式独立密封在一个密封袋内递交，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必须保证其提供的U盘数据能够正常打开及阅读。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10.5  计算机辅助评标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713" w:type="pct"/>
            <w:gridSpan w:val="5"/>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是否实行计算机辅助评标</w:t>
            </w:r>
          </w:p>
        </w:tc>
        <w:tc>
          <w:tcPr>
            <w:tcW w:w="3286" w:type="pct"/>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是，评标过程中以电子标书为主。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6</w:t>
            </w:r>
            <w:r>
              <w:rPr>
                <w:rFonts w:hint="eastAsia" w:asciiTheme="minorEastAsia" w:hAnsiTheme="minorEastAsia" w:eastAsiaTheme="minorEastAsia"/>
                <w:color w:val="auto"/>
                <w:highlight w:val="none"/>
              </w:rPr>
              <w:t>中标公示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在成交通知书发出前，采购人将</w:t>
            </w:r>
            <w:r>
              <w:rPr>
                <w:rFonts w:hint="eastAsia" w:asciiTheme="minorEastAsia" w:hAnsiTheme="minorEastAsia" w:eastAsiaTheme="minorEastAsia"/>
                <w:color w:val="auto"/>
                <w:highlight w:val="none"/>
                <w:lang w:val="en-US" w:eastAsia="zh-CN"/>
              </w:rPr>
              <w:t>成交人</w:t>
            </w:r>
            <w:r>
              <w:rPr>
                <w:rFonts w:hint="eastAsia" w:asciiTheme="minorEastAsia" w:hAnsiTheme="minorEastAsia" w:eastAsiaTheme="minorEastAsia"/>
                <w:color w:val="auto"/>
                <w:highlight w:val="none"/>
              </w:rPr>
              <w:t>的情况在本采购项目磋商公告发布的同一媒介予以公示，公示期为1个工作日。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7</w:t>
            </w:r>
            <w:r>
              <w:rPr>
                <w:rFonts w:hint="eastAsia" w:asciiTheme="minorEastAsia" w:hAnsiTheme="minorEastAsia" w:eastAsiaTheme="minorEastAsia"/>
                <w:color w:val="auto"/>
                <w:highlight w:val="none"/>
              </w:rPr>
              <w:t>知识产权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构成本磋商文件各个组成部分的文件，未经采购人书面同意，</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不得擅自复印和用于非本采购项目所需的其他目的。采购人全部或者部分使用</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人响应文件中的技术成果或技术方案时，需征得其书面同意，并不得擅自复印或提供给第三人。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8</w:t>
            </w:r>
            <w:r>
              <w:rPr>
                <w:rFonts w:hint="eastAsia" w:asciiTheme="minorEastAsia" w:hAnsiTheme="minorEastAsia" w:eastAsiaTheme="minorEastAsia"/>
                <w:color w:val="auto"/>
                <w:highlight w:val="none"/>
              </w:rPr>
              <w:t>重新采购的其他情形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正文第8条规定的情形外，除非已经产生中标候选人，在投标有效期内同意延长投标有效期的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少于三个的，采购人应当依法重新采购。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w:t>
            </w:r>
            <w:r>
              <w:rPr>
                <w:rFonts w:hint="eastAsia" w:asciiTheme="minorEastAsia" w:hAnsiTheme="minorEastAsia" w:eastAsiaTheme="minorEastAsia"/>
                <w:color w:val="auto"/>
                <w:highlight w:val="none"/>
                <w:lang w:val="en-US" w:eastAsia="zh-CN"/>
              </w:rPr>
              <w:t>9</w:t>
            </w:r>
            <w:r>
              <w:rPr>
                <w:rFonts w:hint="eastAsia" w:asciiTheme="minorEastAsia" w:hAnsiTheme="minorEastAsia" w:eastAsiaTheme="minorEastAsia"/>
                <w:color w:val="auto"/>
                <w:highlight w:val="none"/>
              </w:rPr>
              <w:t>同义词语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构成磋商文件组成部分的“通用合同条款”、“专用合同条款”、“技术标准和要求”和“工程量清单”等章节中出现的措辞“发包人”和“承包人”，在采购投标阶段应当分别按“采购人”和“</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”进行理解。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w:t>
            </w:r>
            <w:r>
              <w:rPr>
                <w:rFonts w:hint="eastAsia" w:asciiTheme="minorEastAsia" w:hAnsiTheme="minorEastAsia" w:eastAsiaTheme="minorEastAsia"/>
                <w:color w:val="auto"/>
                <w:highlight w:val="none"/>
                <w:lang w:val="en-US" w:eastAsia="zh-CN"/>
              </w:rPr>
              <w:t>0</w:t>
            </w:r>
            <w:r>
              <w:rPr>
                <w:rFonts w:hint="eastAsia" w:asciiTheme="minorEastAsia" w:hAnsiTheme="minorEastAsia" w:eastAsiaTheme="minorEastAsia"/>
                <w:color w:val="auto"/>
                <w:highlight w:val="none"/>
              </w:rPr>
              <w:t>监  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本项目的采购投标活动及其相关当事人应当接受有管辖权的建设工程（</w:t>
            </w:r>
            <w:r>
              <w:rPr>
                <w:rFonts w:hint="eastAsia" w:ascii="宋体" w:hAnsi="宋体"/>
                <w:color w:val="auto"/>
                <w:highlight w:val="none"/>
                <w:lang w:eastAsia="zh-CN"/>
              </w:rPr>
              <w:t>政府采购管理办公室</w:t>
            </w:r>
            <w:r>
              <w:rPr>
                <w:rFonts w:hint="eastAsia" w:asciiTheme="minorEastAsia" w:hAnsiTheme="minorEastAsia" w:eastAsiaTheme="minorEastAsia"/>
                <w:color w:val="auto"/>
                <w:highlight w:val="none"/>
              </w:rPr>
              <w:t>）采购投标行政监督部门依法实施的监督。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left="210" w:hanging="210" w:hanging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w:t>
            </w:r>
            <w:r>
              <w:rPr>
                <w:rFonts w:hint="eastAsia" w:asciiTheme="minorEastAsia" w:hAnsiTheme="minorEastAsia" w:eastAsiaTheme="minorEastAsia"/>
                <w:color w:val="auto"/>
                <w:highlight w:val="none"/>
                <w:lang w:val="en-US" w:eastAsia="zh-CN"/>
              </w:rPr>
              <w:t>1</w:t>
            </w:r>
            <w:r>
              <w:rPr>
                <w:rFonts w:hint="eastAsia" w:asciiTheme="minorEastAsia" w:hAnsiTheme="minorEastAsia" w:eastAsiaTheme="minorEastAsia"/>
                <w:color w:val="auto"/>
                <w:highlight w:val="none"/>
              </w:rPr>
              <w:t>解释权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采购投标阶段的规定，按磋商公告（投标邀请书）、</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000" w:type="pct"/>
            <w:gridSpan w:val="6"/>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10.1</w:t>
            </w:r>
            <w:r>
              <w:rPr>
                <w:rFonts w:hint="eastAsia" w:asciiTheme="minorEastAsia" w:hAnsiTheme="minorEastAsia" w:eastAsiaTheme="minorEastAsia"/>
                <w:color w:val="auto"/>
                <w:highlight w:val="none"/>
                <w:lang w:val="en-US" w:eastAsia="zh-CN"/>
              </w:rPr>
              <w:t>2</w:t>
            </w:r>
            <w:r>
              <w:rPr>
                <w:rFonts w:hint="eastAsia" w:asciiTheme="minorEastAsia" w:hAnsiTheme="minorEastAsia" w:eastAsiaTheme="minorEastAsia"/>
                <w:color w:val="auto"/>
                <w:highlight w:val="none"/>
              </w:rPr>
              <w:t xml:space="preserve"> 采购人补充的共他内容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代理服务费</w:t>
            </w:r>
          </w:p>
        </w:tc>
        <w:tc>
          <w:tcPr>
            <w:tcW w:w="4184" w:type="pct"/>
            <w:gridSpan w:val="2"/>
            <w:vAlign w:val="center"/>
          </w:tcPr>
          <w:p>
            <w:pPr>
              <w:spacing w:line="360" w:lineRule="exact"/>
              <w:jc w:val="left"/>
              <w:rPr>
                <w:rFonts w:hint="eastAsia" w:ascii="宋体" w:hAnsi="宋体" w:eastAsia="宋体" w:cs="宋体"/>
                <w:bCs/>
                <w:color w:val="auto"/>
                <w:kern w:val="15"/>
                <w:sz w:val="21"/>
                <w:szCs w:val="21"/>
                <w:highlight w:val="none"/>
                <w:lang w:val="zh-CN"/>
              </w:rPr>
            </w:pPr>
            <w:r>
              <w:rPr>
                <w:rFonts w:hint="eastAsia" w:ascii="宋体" w:hAnsi="宋体" w:eastAsia="宋体" w:cs="宋体"/>
                <w:bCs/>
                <w:color w:val="auto"/>
                <w:kern w:val="15"/>
                <w:sz w:val="21"/>
                <w:szCs w:val="21"/>
                <w:highlight w:val="none"/>
                <w:lang w:val="zh-CN"/>
              </w:rPr>
              <w:t>收费依据：按照国家发展改革委“发改价格【2015】299号”文要求，按合同约定执行。</w:t>
            </w:r>
          </w:p>
          <w:p>
            <w:pPr>
              <w:spacing w:line="360" w:lineRule="exact"/>
              <w:jc w:val="left"/>
              <w:rPr>
                <w:rFonts w:hint="eastAsia" w:ascii="宋体" w:hAnsi="宋体" w:eastAsia="宋体" w:cs="宋体"/>
                <w:bCs/>
                <w:color w:val="auto"/>
                <w:kern w:val="15"/>
                <w:sz w:val="21"/>
                <w:szCs w:val="21"/>
                <w:highlight w:val="none"/>
                <w:lang w:val="zh-CN"/>
              </w:rPr>
            </w:pPr>
            <w:r>
              <w:rPr>
                <w:rFonts w:hint="eastAsia" w:ascii="宋体" w:hAnsi="宋体" w:eastAsia="宋体" w:cs="宋体"/>
                <w:bCs/>
                <w:color w:val="auto"/>
                <w:kern w:val="15"/>
                <w:sz w:val="21"/>
                <w:szCs w:val="21"/>
                <w:highlight w:val="none"/>
                <w:lang w:val="zh-CN"/>
              </w:rPr>
              <w:t>收取对象：向中标</w:t>
            </w:r>
            <w:r>
              <w:rPr>
                <w:rFonts w:hint="eastAsia" w:ascii="宋体" w:hAnsi="宋体" w:eastAsia="宋体" w:cs="宋体"/>
                <w:bCs/>
                <w:color w:val="auto"/>
                <w:kern w:val="15"/>
                <w:sz w:val="21"/>
                <w:szCs w:val="21"/>
                <w:highlight w:val="none"/>
                <w:lang w:val="en-US" w:eastAsia="zh-CN"/>
              </w:rPr>
              <w:t>/</w:t>
            </w:r>
            <w:r>
              <w:rPr>
                <w:rFonts w:hint="eastAsia" w:ascii="宋体" w:hAnsi="宋体" w:eastAsia="宋体" w:cs="宋体"/>
                <w:bCs/>
                <w:color w:val="auto"/>
                <w:kern w:val="15"/>
                <w:sz w:val="21"/>
                <w:szCs w:val="21"/>
                <w:highlight w:val="none"/>
                <w:lang w:val="zh-CN"/>
              </w:rPr>
              <w:t>成交供应商收取。</w:t>
            </w:r>
          </w:p>
          <w:p>
            <w:pPr>
              <w:rPr>
                <w:rFonts w:asciiTheme="minorEastAsia" w:hAnsiTheme="minorEastAsia" w:eastAsiaTheme="minorEastAsia"/>
                <w:color w:val="auto"/>
                <w:szCs w:val="21"/>
                <w:highlight w:val="none"/>
              </w:rPr>
            </w:pPr>
            <w:r>
              <w:rPr>
                <w:rFonts w:hint="eastAsia" w:ascii="宋体" w:hAnsi="宋体" w:eastAsia="宋体" w:cs="宋体"/>
                <w:bCs/>
                <w:color w:val="auto"/>
                <w:kern w:val="15"/>
                <w:sz w:val="21"/>
                <w:szCs w:val="21"/>
                <w:highlight w:val="none"/>
                <w:lang w:val="zh-CN"/>
              </w:rPr>
              <w:t>收费金额：预算价 * 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工程计价方式</w:t>
            </w:r>
          </w:p>
        </w:tc>
        <w:tc>
          <w:tcPr>
            <w:tcW w:w="4184" w:type="pct"/>
            <w:gridSpan w:val="2"/>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工程量清单计价方式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合同计价方式</w:t>
            </w:r>
          </w:p>
        </w:tc>
        <w:tc>
          <w:tcPr>
            <w:tcW w:w="4184" w:type="pct"/>
            <w:gridSpan w:val="2"/>
            <w:vAlign w:val="center"/>
          </w:tcPr>
          <w:p>
            <w:pPr>
              <w:rPr>
                <w:rFonts w:cs="宋体" w:asciiTheme="minorEastAsia" w:hAnsiTheme="minorEastAsia" w:eastAsiaTheme="minorEastAsia"/>
                <w:bCs/>
                <w:color w:val="auto"/>
                <w:szCs w:val="21"/>
                <w:highlight w:val="none"/>
              </w:rPr>
            </w:pPr>
            <w:r>
              <w:rPr>
                <w:rFonts w:hint="eastAsia" w:cs="宋体" w:asciiTheme="minorEastAsia" w:hAnsiTheme="minorEastAsia" w:eastAsiaTheme="minorEastAsia"/>
                <w:bCs/>
                <w:color w:val="auto"/>
                <w:szCs w:val="21"/>
                <w:highlight w:val="none"/>
              </w:rPr>
              <w:t>单价合同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评标方法</w:t>
            </w:r>
          </w:p>
        </w:tc>
        <w:tc>
          <w:tcPr>
            <w:tcW w:w="4184" w:type="pct"/>
            <w:gridSpan w:val="2"/>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综合评</w:t>
            </w:r>
            <w:r>
              <w:rPr>
                <w:rFonts w:hint="eastAsia" w:asciiTheme="minorEastAsia" w:hAnsiTheme="minorEastAsia" w:eastAsiaTheme="minorEastAsia"/>
                <w:color w:val="auto"/>
                <w:szCs w:val="21"/>
                <w:highlight w:val="none"/>
                <w:lang w:eastAsia="zh-CN"/>
              </w:rPr>
              <w:t>分</w:t>
            </w:r>
            <w:r>
              <w:rPr>
                <w:rFonts w:hint="eastAsia" w:asciiTheme="minorEastAsia" w:hAnsiTheme="minorEastAsia" w:eastAsiaTheme="minorEastAsia"/>
                <w:color w:val="auto"/>
                <w:szCs w:val="21"/>
                <w:highlight w:val="none"/>
              </w:rPr>
              <w:t>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en-US" w:eastAsia="zh-CN"/>
              </w:rPr>
              <w:t>质量保修期</w:t>
            </w:r>
          </w:p>
        </w:tc>
        <w:tc>
          <w:tcPr>
            <w:tcW w:w="4184" w:type="pct"/>
            <w:gridSpan w:val="2"/>
            <w:vAlign w:val="center"/>
          </w:tcPr>
          <w:p>
            <w:pPr>
              <w:spacing w:line="300" w:lineRule="exact"/>
              <w:rPr>
                <w:rFonts w:asciiTheme="minorEastAsia" w:hAnsiTheme="minorEastAsia" w:eastAsiaTheme="minorEastAsia"/>
                <w:color w:val="auto"/>
                <w:szCs w:val="21"/>
                <w:highlight w:val="none"/>
              </w:rPr>
            </w:pPr>
            <w:r>
              <w:rPr>
                <w:rFonts w:hint="eastAsia" w:ascii="宋体" w:hAnsi="宋体" w:eastAsia="宋体" w:cs="宋体"/>
                <w:color w:val="auto"/>
                <w:kern w:val="24"/>
                <w:sz w:val="21"/>
                <w:szCs w:val="21"/>
                <w:highlight w:val="none"/>
              </w:rPr>
              <w:t>符合国家有关规定。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rPr>
                <w:rFonts w:hint="eastAsia" w:cs="宋体" w:asciiTheme="minorEastAsia" w:hAnsiTheme="minorEastAsia" w:eastAsiaTheme="minorEastAsia"/>
                <w:bCs/>
                <w:color w:val="auto"/>
                <w:kern w:val="0"/>
                <w:szCs w:val="21"/>
                <w:highlight w:val="none"/>
              </w:rPr>
            </w:pPr>
            <w:r>
              <w:rPr>
                <w:rFonts w:hint="eastAsia" w:cs="宋体" w:asciiTheme="minorEastAsia" w:hAnsiTheme="minorEastAsia" w:eastAsiaTheme="minorEastAsia"/>
                <w:bCs/>
                <w:color w:val="auto"/>
                <w:kern w:val="0"/>
                <w:szCs w:val="21"/>
                <w:highlight w:val="none"/>
                <w:lang w:eastAsia="zh-CN"/>
              </w:rPr>
              <w:t>是否采用电子招投标</w:t>
            </w:r>
          </w:p>
        </w:tc>
        <w:tc>
          <w:tcPr>
            <w:tcW w:w="4184" w:type="pct"/>
            <w:gridSpan w:val="2"/>
            <w:vAlign w:val="top"/>
          </w:tcPr>
          <w:p>
            <w:pPr>
              <w:rPr>
                <w:rFonts w:hint="eastAsia" w:cs="宋体" w:asciiTheme="minorEastAsia" w:hAnsiTheme="minorEastAsia" w:eastAsiaTheme="minorEastAsia"/>
                <w:bCs/>
                <w:color w:val="auto"/>
                <w:kern w:val="0"/>
                <w:szCs w:val="21"/>
                <w:highlight w:val="none"/>
              </w:rPr>
            </w:pPr>
            <w:r>
              <w:rPr>
                <w:rFonts w:hint="eastAsia" w:cs="宋体" w:asciiTheme="minorEastAsia" w:hAnsiTheme="minorEastAsia" w:eastAsiaTheme="minorEastAsia"/>
                <w:bCs/>
                <w:color w:val="auto"/>
                <w:kern w:val="0"/>
                <w:szCs w:val="21"/>
                <w:highlight w:val="none"/>
              </w:rPr>
              <w:t>本次项目采用电子招投标形式，</w:t>
            </w:r>
            <w:r>
              <w:rPr>
                <w:rFonts w:hint="eastAsia" w:cs="宋体" w:asciiTheme="minorEastAsia" w:hAnsiTheme="minorEastAsia" w:eastAsiaTheme="minorEastAsia"/>
                <w:bCs/>
                <w:color w:val="auto"/>
                <w:kern w:val="0"/>
                <w:szCs w:val="21"/>
                <w:highlight w:val="none"/>
                <w:lang w:val="en-US" w:eastAsia="zh-CN"/>
              </w:rPr>
              <w:t>响应供应商</w:t>
            </w:r>
            <w:r>
              <w:rPr>
                <w:rFonts w:hint="eastAsia" w:cs="宋体" w:asciiTheme="minorEastAsia" w:hAnsiTheme="minorEastAsia" w:eastAsiaTheme="minorEastAsia"/>
                <w:bCs/>
                <w:color w:val="auto"/>
                <w:kern w:val="0"/>
                <w:szCs w:val="21"/>
                <w:highlight w:val="none"/>
              </w:rPr>
              <w:t>采用网上制作</w:t>
            </w:r>
            <w:r>
              <w:rPr>
                <w:rFonts w:hint="eastAsia" w:cs="宋体" w:asciiTheme="minorEastAsia" w:hAnsiTheme="minorEastAsia" w:eastAsiaTheme="minorEastAsia"/>
                <w:bCs/>
                <w:color w:val="auto"/>
                <w:kern w:val="0"/>
                <w:szCs w:val="21"/>
                <w:highlight w:val="none"/>
                <w:lang w:eastAsia="zh-CN"/>
              </w:rPr>
              <w:t>响应</w:t>
            </w:r>
            <w:r>
              <w:rPr>
                <w:rFonts w:hint="eastAsia" w:cs="宋体" w:asciiTheme="minorEastAsia" w:hAnsiTheme="minorEastAsia" w:eastAsiaTheme="minorEastAsia"/>
                <w:bCs/>
                <w:color w:val="auto"/>
                <w:kern w:val="0"/>
                <w:szCs w:val="21"/>
                <w:highlight w:val="none"/>
              </w:rPr>
              <w:t>文件并上传，</w:t>
            </w:r>
            <w:r>
              <w:rPr>
                <w:rFonts w:hint="eastAsia" w:cs="宋体" w:asciiTheme="minorEastAsia" w:hAnsiTheme="minorEastAsia" w:eastAsiaTheme="minorEastAsia"/>
                <w:bCs/>
                <w:color w:val="auto"/>
                <w:kern w:val="0"/>
                <w:szCs w:val="21"/>
                <w:highlight w:val="none"/>
                <w:lang w:eastAsia="zh-CN"/>
              </w:rPr>
              <w:t>参加</w:t>
            </w:r>
            <w:r>
              <w:rPr>
                <w:rFonts w:hint="eastAsia" w:cs="宋体" w:asciiTheme="minorEastAsia" w:hAnsiTheme="minorEastAsia" w:eastAsiaTheme="minorEastAsia"/>
                <w:bCs/>
                <w:color w:val="auto"/>
                <w:kern w:val="0"/>
                <w:szCs w:val="21"/>
                <w:highlight w:val="none"/>
              </w:rPr>
              <w:t>磋商会议</w:t>
            </w:r>
            <w:r>
              <w:rPr>
                <w:rFonts w:hint="eastAsia" w:cs="宋体" w:asciiTheme="minorEastAsia" w:hAnsiTheme="minorEastAsia" w:eastAsiaTheme="minorEastAsia"/>
                <w:bCs/>
                <w:color w:val="auto"/>
                <w:kern w:val="0"/>
                <w:szCs w:val="21"/>
                <w:highlight w:val="none"/>
                <w:lang w:eastAsia="zh-CN"/>
              </w:rPr>
              <w:t>时</w:t>
            </w:r>
            <w:r>
              <w:rPr>
                <w:rFonts w:hint="eastAsia" w:cs="宋体" w:asciiTheme="minorEastAsia" w:hAnsiTheme="minorEastAsia" w:eastAsiaTheme="minorEastAsia"/>
                <w:bCs/>
                <w:color w:val="auto"/>
                <w:kern w:val="0"/>
                <w:szCs w:val="21"/>
                <w:highlight w:val="none"/>
                <w:lang w:val="en-US" w:eastAsia="zh-CN"/>
              </w:rPr>
              <w:t>响应供应商</w:t>
            </w:r>
            <w:r>
              <w:rPr>
                <w:rFonts w:hint="eastAsia" w:cs="宋体" w:asciiTheme="minorEastAsia" w:hAnsiTheme="minorEastAsia" w:eastAsiaTheme="minorEastAsia"/>
                <w:bCs/>
                <w:color w:val="auto"/>
                <w:kern w:val="0"/>
                <w:szCs w:val="21"/>
                <w:highlight w:val="none"/>
              </w:rPr>
              <w:t>必须携带</w:t>
            </w:r>
            <w:r>
              <w:rPr>
                <w:rFonts w:hint="eastAsia" w:cs="宋体" w:asciiTheme="minorEastAsia" w:hAnsiTheme="minorEastAsia" w:eastAsiaTheme="minorEastAsia"/>
                <w:bCs/>
                <w:color w:val="auto"/>
                <w:kern w:val="0"/>
                <w:szCs w:val="21"/>
                <w:highlight w:val="none"/>
                <w:lang w:val="en-US" w:eastAsia="zh-CN"/>
              </w:rPr>
              <w:t>本单位政采云平台CA锁</w:t>
            </w:r>
            <w:r>
              <w:rPr>
                <w:rFonts w:hint="eastAsia" w:cs="宋体" w:asciiTheme="minorEastAsia" w:hAnsiTheme="minorEastAsia" w:eastAsiaTheme="minorEastAsia"/>
                <w:bCs/>
                <w:color w:val="auto"/>
                <w:kern w:val="0"/>
                <w:szCs w:val="21"/>
                <w:highlight w:val="none"/>
              </w:rPr>
              <w:t>，</w:t>
            </w:r>
            <w:r>
              <w:rPr>
                <w:rFonts w:hint="eastAsia" w:cs="宋体" w:asciiTheme="minorEastAsia" w:hAnsiTheme="minorEastAsia" w:eastAsiaTheme="minorEastAsia"/>
                <w:bCs/>
                <w:color w:val="auto"/>
                <w:kern w:val="0"/>
                <w:szCs w:val="21"/>
                <w:highlight w:val="none"/>
                <w:lang w:val="en-US" w:eastAsia="zh-CN"/>
              </w:rPr>
              <w:t>用于现场解密</w:t>
            </w:r>
            <w:r>
              <w:rPr>
                <w:rFonts w:hint="eastAsia" w:cs="宋体" w:asciiTheme="minorEastAsia" w:hAnsiTheme="minorEastAsia" w:eastAsiaTheme="minorEastAsia"/>
                <w:bCs/>
                <w:color w:val="auto"/>
                <w:kern w:val="0"/>
                <w:szCs w:val="21"/>
                <w:highlight w:val="none"/>
                <w:lang w:eastAsia="zh-CN"/>
              </w:rPr>
              <w:t>响应</w:t>
            </w:r>
            <w:r>
              <w:rPr>
                <w:rFonts w:hint="eastAsia" w:cs="宋体" w:asciiTheme="minorEastAsia" w:hAnsiTheme="minorEastAsia" w:eastAsiaTheme="minorEastAsia"/>
                <w:bCs/>
                <w:color w:val="auto"/>
                <w:kern w:val="0"/>
                <w:szCs w:val="21"/>
                <w:highlight w:val="none"/>
              </w:rPr>
              <w:t>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widowControl/>
              <w:spacing w:line="400" w:lineRule="exact"/>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其他要求（1）</w:t>
            </w:r>
          </w:p>
        </w:tc>
        <w:tc>
          <w:tcPr>
            <w:tcW w:w="4184" w:type="pct"/>
            <w:gridSpan w:val="2"/>
            <w:vAlign w:val="top"/>
          </w:tcPr>
          <w:p>
            <w:pPr>
              <w:widowControl/>
              <w:spacing w:line="400" w:lineRule="exact"/>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若最终报价与第一次报价不同，则需中标后的成交供应商须提供与最终报价相对应的</w:t>
            </w:r>
            <w:r>
              <w:rPr>
                <w:rFonts w:hint="default" w:ascii="Times New Roman" w:hAnsi="Times New Roman" w:eastAsia="宋体" w:cs="Times New Roman"/>
                <w:color w:val="auto"/>
                <w:highlight w:val="none"/>
                <w:lang w:val="en-US" w:eastAsia="zh-CN"/>
              </w:rPr>
              <w:t>”</w:t>
            </w:r>
            <w:r>
              <w:rPr>
                <w:rFonts w:hint="eastAsia" w:ascii="Times New Roman" w:hAnsi="Times New Roman" w:eastAsia="宋体" w:cs="Times New Roman"/>
                <w:color w:val="auto"/>
                <w:highlight w:val="none"/>
                <w:lang w:val="en-US" w:eastAsia="zh-CN"/>
              </w:rPr>
              <w:t>已标价的工程量清单</w:t>
            </w:r>
            <w:r>
              <w:rPr>
                <w:rFonts w:hint="default" w:ascii="Times New Roman" w:hAnsi="Times New Roman" w:eastAsia="宋体" w:cs="Times New Roman"/>
                <w:color w:val="auto"/>
                <w:highlight w:val="none"/>
                <w:lang w:val="en-US" w:eastAsia="zh-CN"/>
              </w:rPr>
              <w:t>”</w:t>
            </w:r>
            <w:r>
              <w:rPr>
                <w:rFonts w:hint="eastAsia" w:ascii="Times New Roman" w:hAnsi="Times New Roman" w:eastAsia="宋体" w:cs="Times New Roman"/>
                <w:color w:val="auto"/>
                <w:highlight w:val="none"/>
                <w:lang w:val="en-US" w:eastAsia="zh-CN"/>
              </w:rPr>
              <w:t>3份（包括：1正本2副本），格式及盖章要求需按照磋商文件要求提供，必须胶装，送至采购代理机构，否则视为放弃中标资格，其后果自负。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15" w:type="pct"/>
            <w:gridSpan w:val="4"/>
            <w:vAlign w:val="center"/>
          </w:tcPr>
          <w:p>
            <w:pPr>
              <w:spacing w:line="440" w:lineRule="exact"/>
              <w:jc w:val="center"/>
              <w:rPr>
                <w:rFonts w:hint="eastAsia" w:ascii="宋体" w:hAnsi="宋体" w:eastAsia="宋体" w:cs="宋体"/>
                <w:color w:val="auto"/>
                <w:sz w:val="21"/>
                <w:szCs w:val="21"/>
                <w:highlight w:val="none"/>
              </w:rPr>
            </w:pPr>
            <w:bookmarkStart w:id="26" w:name="_Toc295201488"/>
            <w:r>
              <w:rPr>
                <w:rFonts w:hint="eastAsia" w:ascii="宋体" w:hAnsi="宋体" w:eastAsia="宋体" w:cs="宋体"/>
                <w:color w:val="auto"/>
                <w:sz w:val="21"/>
                <w:szCs w:val="21"/>
                <w:highlight w:val="none"/>
                <w:lang w:eastAsia="zh-CN"/>
              </w:rPr>
              <w:t>其他要求（</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p>
        </w:tc>
        <w:tc>
          <w:tcPr>
            <w:tcW w:w="4184" w:type="pct"/>
            <w:gridSpan w:val="2"/>
            <w:vAlign w:val="top"/>
          </w:tcPr>
          <w:p>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供应商必须保证投标时所报资料真实有效，采购人保留对资料的核查权力，一旦发现资料有虚假现象将没收供应商全部投标保证金，并移交有关部门处理。</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、投标人自行组织踏勘，并须结合现场踏勘的情况及招标文件要求，将本项目所涉及的所有风险及费用全部含在投标报价中。</w:t>
            </w:r>
          </w:p>
          <w:p>
            <w:pPr>
              <w:spacing w:line="44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、投标人须负责所投所有</w:t>
            </w:r>
            <w:r>
              <w:rPr>
                <w:rFonts w:hint="eastAsia" w:ascii="宋体" w:hAnsi="宋体" w:eastAsia="宋体" w:cs="宋体"/>
                <w:color w:val="auto"/>
                <w:sz w:val="22"/>
                <w:szCs w:val="22"/>
                <w:highlight w:val="none"/>
                <w:lang w:val="en-US" w:eastAsia="zh-CN"/>
              </w:rPr>
              <w:t>货物</w:t>
            </w:r>
            <w:r>
              <w:rPr>
                <w:rFonts w:hint="eastAsia" w:ascii="宋体" w:hAnsi="宋体" w:eastAsia="宋体" w:cs="宋体"/>
                <w:color w:val="auto"/>
                <w:sz w:val="22"/>
                <w:szCs w:val="22"/>
                <w:highlight w:val="none"/>
              </w:rPr>
              <w:t>及相关后续服务。</w:t>
            </w:r>
          </w:p>
          <w:p>
            <w:pPr>
              <w:pStyle w:val="46"/>
              <w:ind w:left="0" w:leftChars="0" w:firstLine="0" w:firstLineChars="0"/>
              <w:rPr>
                <w:rFonts w:hint="eastAsia" w:ascii="宋体" w:hAnsi="宋体" w:eastAsia="宋体" w:cs="宋体"/>
                <w:bCs/>
                <w:color w:val="auto"/>
                <w:kern w:val="0"/>
                <w:sz w:val="21"/>
                <w:szCs w:val="21"/>
                <w:highlight w:val="none"/>
              </w:rPr>
            </w:pP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、本次投标报价应包含现场踏勘费及相关配套编制的人工、材料及完成本项目所涉及的一切等费用。</w:t>
            </w:r>
          </w:p>
        </w:tc>
      </w:tr>
    </w:tbl>
    <w:p>
      <w:pPr>
        <w:rPr>
          <w:color w:val="auto"/>
          <w:highlight w:val="none"/>
        </w:rPr>
      </w:pPr>
    </w:p>
    <w:bookmarkEnd w:id="26"/>
    <w:p>
      <w:pPr>
        <w:pStyle w:val="102"/>
        <w:rPr>
          <w:rFonts w:asciiTheme="minorEastAsia" w:hAnsiTheme="minorEastAsia" w:eastAsiaTheme="minorEastAsia"/>
          <w:color w:val="auto"/>
          <w:highlight w:val="none"/>
        </w:rPr>
      </w:pPr>
      <w:bookmarkStart w:id="27" w:name="_Toc138238329"/>
      <w:bookmarkStart w:id="28" w:name="_Toc138238330"/>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正文部分</w:t>
      </w:r>
      <w:bookmarkEnd w:id="27"/>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．总则</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 项目概况</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1.1.1 根据《中华人民共和国政府采购法》、《政府采购竞争性磋商采购方式管理暂行办法》及《电子招投标法》等有关法律、法规和规章的规定，本采购项目己具备采购条件，现对本</w:t>
      </w:r>
      <w:r>
        <w:rPr>
          <w:rFonts w:hint="eastAsia" w:asciiTheme="minorEastAsia" w:hAnsiTheme="minorEastAsia" w:eastAsiaTheme="minorEastAsia"/>
          <w:color w:val="auto"/>
          <w:highlight w:val="none"/>
          <w:lang w:val="en-US" w:eastAsia="zh-CN"/>
        </w:rPr>
        <w:t>项目</w:t>
      </w:r>
      <w:r>
        <w:rPr>
          <w:rFonts w:hint="eastAsia" w:asciiTheme="minorEastAsia" w:hAnsiTheme="minorEastAsia" w:eastAsiaTheme="minorEastAsia"/>
          <w:color w:val="auto"/>
          <w:highlight w:val="none"/>
        </w:rPr>
        <w:t>施工进行采购。</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1.1.2 本采购项目采购人：见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1.1.3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采购代理机构：见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1.1.4 本采购项目名称：见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1.1.5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建设地点：见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1.2 资金来源和落实情况</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1.2.1 本采购项目的资金来源：见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1.2.2 本采购项目的出资比例：见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1.2.3 本采购项目的资金落实情况：见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1.3 采购范围、计划工期和质量要求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1.3.1 本次建设规模及施工范围：见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1.3.2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的计划工期：见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前附表。具体开工时间以采购人通知为准。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1.3.3 </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的质量要求：见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 xml:space="preserve">1.4 </w:t>
      </w:r>
      <w:r>
        <w:rPr>
          <w:rFonts w:hint="eastAsia" w:asciiTheme="minorEastAsia" w:hAnsiTheme="minorEastAsia" w:eastAsiaTheme="minorEastAsia"/>
          <w:b/>
          <w:color w:val="auto"/>
          <w:sz w:val="24"/>
          <w:highlight w:val="none"/>
          <w:lang w:eastAsia="zh-CN"/>
        </w:rPr>
        <w:t>响应供应商</w:t>
      </w:r>
      <w:r>
        <w:rPr>
          <w:rFonts w:hint="eastAsia" w:asciiTheme="minorEastAsia" w:hAnsiTheme="minorEastAsia" w:eastAsiaTheme="minorEastAsia"/>
          <w:b/>
          <w:color w:val="auto"/>
          <w:sz w:val="24"/>
          <w:highlight w:val="none"/>
        </w:rPr>
        <w:t>资格要求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1.4.1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应具备承担</w:t>
      </w:r>
      <w:r>
        <w:rPr>
          <w:rFonts w:hint="eastAsia" w:asciiTheme="minorEastAsia" w:hAnsiTheme="minorEastAsia" w:eastAsiaTheme="minorEastAsia"/>
          <w:color w:val="auto"/>
          <w:highlight w:val="none"/>
          <w:lang w:eastAsia="zh-CN"/>
        </w:rPr>
        <w:t>本采购项目</w:t>
      </w:r>
      <w:r>
        <w:rPr>
          <w:rFonts w:hint="eastAsia" w:asciiTheme="minorEastAsia" w:hAnsiTheme="minorEastAsia" w:eastAsiaTheme="minorEastAsia"/>
          <w:color w:val="auto"/>
          <w:highlight w:val="none"/>
        </w:rPr>
        <w:t>施工的资质条件、能力和信誉。</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(l）资质条件：见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(2）财务要求：见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(3）业绩要求：见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(4）信誉要求：见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(5）项目经理资格：见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(6）其他要求：见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参加本项目的投标供应商应完全具备《中华人民共和国政府采购法》第二十二条规定的条件同时对磋商文件作出实质性响应，在递交响应文件的同时按第八章《响应文件格式》的相关规定以及磋商文件第二章《供应商须知前附表》构成响应文件相关的证明材料的规定提供有关资质证明文件，以上各款关于合格投标供应商资格条件的要求均须提供中文文本，否则无效。</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1.4.2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前附表规定接受联合体投标的，除应符合本章第1.4.1项和</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前附表的要求外，还应遵守以下规定：</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联合体各方应按磋商文件提供的格式签订联合体协议书，明确联合体牵头人和各方权利义务，并承诺就成交项目向采购人承担连带责任；联合体中有同类资质的供应商按照联合体分工承担相同工作的，应当按照资质等级较低的供应商确定资质等级。</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（2）以联合体形式参加政府采购活动的，联合体各方不得再单独参加或者与其他供应商另外组成联合体参加同一合同项下的政府采购活动。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1.4.3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不得存在下列情形之一：</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（1）单位负责人为同一人或者存在直接控股、管理关系的不同供应商，不得参加同一合同项下的政府采购活动；</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（2）除单一来源采购项目外，为采购项目提供整体设计、规范编制或者项目管理、监理、检测等服务的供应商，不得再参加该采购项目的其他采购活动。</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（3）被工商行政管理机关在“信用中国”网站中列入失信被执行人名单、重大税收违法失信主体、政府采购严重违法失信名单；“中国政府采购网”列入政府采购严重违法失信行为记录名单；</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（4）在近三年内投标人或其法定代表人有行贿犯罪行为的（以中国裁判文书网的查询结果为准）；</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（5）法律法规或供应商须知前附表规定的其他情形。</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1.5 费用承担</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投标供应商准备和参加投标活动发生的费用自理，无论投标的结果如何，采购人和采购代理机构在任何情况下均无义务和责任承担这些费用。</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1.6 保密和披露</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1.6.1 参与招标投标活动的各方应对磋商文件和响应文件中的商业和技术等秘密保密，否则应承担相应的法律责任。</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1.6.2 采购人有权将投标人提供的所有资料向其他政府部门或有关的非政府机构负责评审标书的人员或与评标有关的人员披露。</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1.6.3 在下列情形下：当发布成交公告和其它公告时，当国家机关调查、审查、审计时，以及在其他符合法律规定的情形下，采购人无须事先征求投标人/成交人同意而可以披露关于招标过程、响应文件、合同文本、合同签署情况的资料、投标人/成交人的名称及地址、招标内容的有关信息以及补充条款等，并且对任何已经公布过的内容或与之内容相同的资料无须再承担保密责任。</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1.7 语言文字</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除专用术语外，与招标投标有关的语言均使用中文。必要时专用术语应附有中文注释。</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1.8 计量单位</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所有计量均采用中华人民共和国法定计量单位。</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1.9 踏勘现场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1.9.1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前附表规定组织踏勘现场的，采购人按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前附表规定的时间、地点组织</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踏勘项目现场。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1.9.2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踏勘现场发生的费用自理。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 .3 除采购人的原因外，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自行负责在踏勘现场中所发生的人员伤亡和财产损失。</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1.9.4 采购人在踏勘现场中介绍的工程场地和相关的周边环境情况，供</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在编制响应文件时参考，采购人不对</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据此作出的判断和决策负责。</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1.10 投标预备会</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1.10.1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前附表规定召开投标预备会的，采购人按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前附表规定的时间和地点召开投标预备会，澄清</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提出的问题。</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1.10.2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前附表规定的时间前，以书面形式将提出的问题送达采购人，以便采购人在会议期间澄清。</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1.10.3 投标预备会后，采购人在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前附表规定的时间内，将对</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所提问颗的澄清，以书面方式通知所有购买磋商文件的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。该澄清内容为磋商文件的组成部分。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1.11 分包</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 xml:space="preserve">1.11.1 </w:t>
      </w:r>
      <w:r>
        <w:rPr>
          <w:rFonts w:hint="eastAsia" w:asciiTheme="minorEastAsia" w:hAnsiTheme="minorEastAsia" w:eastAsiaTheme="minorEastAsia"/>
          <w:color w:val="auto"/>
          <w:highlight w:val="none"/>
          <w:lang w:val="en-US" w:eastAsia="zh-CN"/>
        </w:rPr>
        <w:t>投标供应商</w:t>
      </w:r>
      <w:r>
        <w:rPr>
          <w:rFonts w:hint="eastAsia" w:asciiTheme="minorEastAsia" w:hAnsiTheme="minorEastAsia" w:eastAsiaTheme="minorEastAsia"/>
          <w:color w:val="auto"/>
          <w:highlight w:val="none"/>
          <w:lang w:eastAsia="zh-CN"/>
        </w:rPr>
        <w:t>拟在成交后将成交项目的非主体、非关键性工作进行分包的，应符合供应商须知前附表规定的分包内容、分包金额和资格要求等限制性条件，除供应商须知前附表规定的非主体、非关键性工作外，其他工作不得分包。</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1.11.2 成交人不得向他人转让成交项目，接受分包的人不得再次分包。成交人应当就分包项目向采购人负责，接受分包的人就分包项目承担连带责任。</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1.12 偏离</w:t>
      </w:r>
    </w:p>
    <w:p>
      <w:pPr>
        <w:spacing w:line="360" w:lineRule="auto"/>
        <w:rPr>
          <w:rFonts w:hint="eastAsia" w:asciiTheme="minorEastAsia" w:hAnsiTheme="minorEastAsia" w:eastAsiaTheme="minorEastAsia"/>
          <w:color w:val="auto"/>
          <w:highlight w:val="none"/>
          <w:lang w:eastAsia="zh-CN"/>
        </w:rPr>
      </w:pPr>
      <w:bookmarkStart w:id="29" w:name="_Toc295201489"/>
      <w:r>
        <w:rPr>
          <w:rFonts w:hint="eastAsia" w:asciiTheme="minorEastAsia" w:hAnsiTheme="minorEastAsia" w:eastAsiaTheme="minorEastAsia"/>
          <w:color w:val="auto"/>
          <w:highlight w:val="none"/>
          <w:lang w:eastAsia="zh-CN"/>
        </w:rPr>
        <w:t>1.12.1 响应文件应当对磋商文件的实质性要求和条件作出满足性或更有利于采购人的响应，否则，投标人的投标将被否决。</w:t>
      </w:r>
    </w:p>
    <w:p>
      <w:pPr>
        <w:spacing w:line="360" w:lineRule="auto"/>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1.12.2 投标人应根据磋商文件的要求提供相关证明材料对磋商文件作出响应。</w:t>
      </w:r>
    </w:p>
    <w:p>
      <w:pPr>
        <w:spacing w:line="360" w:lineRule="auto"/>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1.12.3 供应商须知前附表允许响应文件偏离磋商文件某些要求的，偏差应当符合优于磋商文件规定的偏差范围和幅度。</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2．磋商文件</w:t>
      </w:r>
      <w:bookmarkEnd w:id="29"/>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2.1 磋商文件的组成</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本磋商文件包括：</w:t>
      </w:r>
    </w:p>
    <w:p>
      <w:pPr>
        <w:numPr>
          <w:ilvl w:val="0"/>
          <w:numId w:val="0"/>
        </w:numPr>
        <w:spacing w:line="360" w:lineRule="auto"/>
        <w:ind w:firstLine="420" w:firstLineChars="200"/>
        <w:rPr>
          <w:rFonts w:hint="eastAsia" w:asciiTheme="minorEastAsia" w:hAnsiTheme="minorEastAsia" w:eastAsiaTheme="minorEastAsia"/>
          <w:color w:val="auto"/>
          <w:highlight w:val="none"/>
        </w:rPr>
      </w:pPr>
      <w:r>
        <w:rPr>
          <w:rFonts w:hint="eastAsia" w:cs="Times New Roman" w:asciiTheme="minorEastAsia" w:hAnsiTheme="minorEastAsia" w:eastAsiaTheme="minorEastAsia"/>
          <w:color w:val="auto"/>
          <w:kern w:val="2"/>
          <w:sz w:val="21"/>
          <w:szCs w:val="24"/>
          <w:highlight w:val="none"/>
          <w:lang w:val="en-US" w:eastAsia="zh-CN" w:bidi="ar-SA"/>
        </w:rPr>
        <w:t>（1）</w:t>
      </w:r>
      <w:r>
        <w:rPr>
          <w:rFonts w:hint="eastAsia" w:asciiTheme="minorEastAsia" w:hAnsiTheme="minorEastAsia" w:eastAsiaTheme="minorEastAsia"/>
          <w:color w:val="auto"/>
          <w:highlight w:val="none"/>
        </w:rPr>
        <w:t>竞争性磋商公告；</w:t>
      </w:r>
    </w:p>
    <w:p>
      <w:pPr>
        <w:numPr>
          <w:ilvl w:val="0"/>
          <w:numId w:val="0"/>
        </w:num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（3）评标办法；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（4）合同条款及格式；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（5）工程量清单；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（6）图纸；</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（7）技术标准和要求；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（8）响应文件格式；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（9）</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根据本章第1.10 款、第2.2 款和第2.3 款对磋商文件所作的澄清、修改，构成磋商文件的组成部分。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2.2 磋商文件的澄清</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应仔细阅读和检查磋商文件的全部内容。如发现缺页或附件不全，应及时向采购人提出，以便补齐。如有疑问，应在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前附表规定的时间前在</w:t>
      </w:r>
      <w:r>
        <w:rPr>
          <w:rFonts w:hint="eastAsia" w:asciiTheme="minorEastAsia" w:hAnsiTheme="minorEastAsia" w:eastAsiaTheme="minorEastAsia"/>
          <w:color w:val="auto"/>
          <w:highlight w:val="none"/>
          <w:lang w:eastAsia="zh-CN"/>
        </w:rPr>
        <w:t>政采云平台（https://www.zcygov.cn/）</w:t>
      </w:r>
      <w:r>
        <w:rPr>
          <w:rFonts w:hint="eastAsia" w:asciiTheme="minorEastAsia" w:hAnsiTheme="minorEastAsia" w:eastAsiaTheme="minorEastAsia"/>
          <w:color w:val="auto"/>
          <w:highlight w:val="none"/>
        </w:rPr>
        <w:t>中以系统文件形式提出，并要求采购人对磋商文件予以澄清。</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2.2.2 磋商文件的澄清将在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前附表规定的投标截止时间5天前以同样以系统文件形式发给所有购买磋商文件的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，但不指明澄清问题的来源。如果澄清发出的时间距投标截止时间不足5天，相应延长投标截止时间。</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2.2.3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在收到澄清后，无需确认。参加本项目的所有报名合格潜在</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有义务自行关注及浏览本单位系统中本采购项目的所有通知、补遗等系统自动发出的文件信息，若由此所产生的对磋商文件的理解错误或漏读由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自行承担。</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2.3 磋商文件的修改</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2.3.1 在投标截止时间5天前，采购人可以以系统文件形式修改磋商文件，并在</w:t>
      </w:r>
      <w:r>
        <w:rPr>
          <w:rFonts w:hint="eastAsia" w:asciiTheme="minorEastAsia" w:hAnsiTheme="minorEastAsia" w:eastAsiaTheme="minorEastAsia"/>
          <w:color w:val="auto"/>
          <w:highlight w:val="none"/>
          <w:lang w:eastAsia="zh-CN"/>
        </w:rPr>
        <w:t>政采云平台（https://www.zcygov.cn/）</w:t>
      </w:r>
      <w:r>
        <w:rPr>
          <w:rFonts w:hint="eastAsia" w:asciiTheme="minorEastAsia" w:hAnsiTheme="minorEastAsia" w:eastAsiaTheme="minorEastAsia"/>
          <w:color w:val="auto"/>
          <w:highlight w:val="none"/>
        </w:rPr>
        <w:t>中自动发出，各报名合格的潜在投标需自行关注本网中企业系统提示。</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2.3.2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收到修改内容后，无需进行确认及通知采购人。</w:t>
      </w:r>
    </w:p>
    <w:p>
      <w:pPr>
        <w:spacing w:line="360" w:lineRule="auto"/>
        <w:ind w:firstLine="482" w:firstLineChars="200"/>
        <w:rPr>
          <w:rFonts w:hint="eastAsia" w:cs="Times New Roman" w:asciiTheme="minorEastAsia" w:hAnsiTheme="minorEastAsia" w:eastAsiaTheme="minorEastAsia"/>
          <w:b/>
          <w:color w:val="auto"/>
          <w:sz w:val="24"/>
          <w:highlight w:val="none"/>
        </w:rPr>
      </w:pPr>
      <w:r>
        <w:rPr>
          <w:rFonts w:hint="eastAsia" w:cs="Times New Roman" w:asciiTheme="minorEastAsia" w:hAnsiTheme="minorEastAsia" w:eastAsiaTheme="minorEastAsia"/>
          <w:b/>
          <w:color w:val="auto"/>
          <w:sz w:val="24"/>
          <w:highlight w:val="none"/>
        </w:rPr>
        <w:t>2.4 磋商文件的质疑</w:t>
      </w:r>
    </w:p>
    <w:p>
      <w:pPr>
        <w:spacing w:line="360" w:lineRule="auto"/>
        <w:ind w:firstLine="420" w:firstLineChars="200"/>
        <w:rPr>
          <w:rFonts w:hint="eastAsia"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供应商认为磋商文件的内容损害其权益的，应在收到磋商文件之日或者磋商文件公告期届满之日起</w:t>
      </w:r>
      <w:r>
        <w:rPr>
          <w:rFonts w:hint="eastAsia" w:cs="Times New Roman" w:asciiTheme="minorEastAsia" w:hAnsiTheme="minorEastAsia" w:eastAsiaTheme="minorEastAsia"/>
          <w:color w:val="auto"/>
          <w:highlight w:val="none"/>
          <w:lang w:val="en-US" w:eastAsia="zh-CN"/>
        </w:rPr>
        <w:t>7</w:t>
      </w:r>
      <w:r>
        <w:rPr>
          <w:rFonts w:hint="eastAsia" w:cs="Times New Roman" w:asciiTheme="minorEastAsia" w:hAnsiTheme="minorEastAsia" w:eastAsiaTheme="minorEastAsia"/>
          <w:color w:val="auto"/>
          <w:highlight w:val="none"/>
        </w:rPr>
        <w:t>个工作日内以书面形式提出，采购人或采购代理机构将在收到询问或质疑函后7个工作日内作出答复。</w:t>
      </w:r>
    </w:p>
    <w:p>
      <w:pPr>
        <w:spacing w:line="360" w:lineRule="auto"/>
        <w:rPr>
          <w:rFonts w:asciiTheme="minorEastAsia" w:hAnsiTheme="minorEastAsia" w:eastAsiaTheme="minorEastAsia"/>
          <w:b/>
          <w:color w:val="auto"/>
          <w:sz w:val="24"/>
          <w:highlight w:val="none"/>
        </w:rPr>
      </w:pPr>
      <w:bookmarkStart w:id="30" w:name="_Toc295201490"/>
      <w:r>
        <w:rPr>
          <w:rFonts w:hint="eastAsia" w:asciiTheme="minorEastAsia" w:hAnsiTheme="minorEastAsia" w:eastAsiaTheme="minorEastAsia"/>
          <w:b/>
          <w:color w:val="auto"/>
          <w:sz w:val="24"/>
          <w:highlight w:val="none"/>
        </w:rPr>
        <w:t>3．响应文件</w:t>
      </w:r>
      <w:bookmarkEnd w:id="30"/>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3.1 响应文件的组成</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3.1.1 响应文件应包括下列内容：</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一、投标函及投标函附录；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二、法定代表人身份证明</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三、授权委托书；</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四、</w:t>
      </w:r>
      <w:r>
        <w:rPr>
          <w:rFonts w:hint="eastAsia" w:asciiTheme="minorEastAsia" w:hAnsiTheme="minorEastAsia" w:eastAsiaTheme="minorEastAsia"/>
          <w:color w:val="auto"/>
          <w:highlight w:val="none"/>
          <w:lang w:eastAsia="zh-CN"/>
        </w:rPr>
        <w:t>磋商保证金</w:t>
      </w:r>
      <w:r>
        <w:rPr>
          <w:rFonts w:hint="eastAsia" w:asciiTheme="minorEastAsia" w:hAnsiTheme="minorEastAsia" w:eastAsiaTheme="minorEastAsia"/>
          <w:color w:val="auto"/>
          <w:highlight w:val="none"/>
        </w:rPr>
        <w:t>；</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五、已标价的工程量清单；</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六、施工组织设计</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七、项目管理机构；</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八、资格审查资料；</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九、拟分包情况表；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3.2 磋商报价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3.2.1</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应按第五章“工程量清单”的要求填写相应表格。</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3.2.2</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在投标截止时间前修改投标函中的投标总报价，应同时修改第五章“工程量清单”中的相应报价。此修改须符合本章第4.3款的有关要求。</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3.3 响应有效期</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3.3.1 在</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前附表规定的响应有效期内，</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不得要求撤销或修改其响应文件。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3.3.2</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应保证其响应文件所有内容在磋商文件要求的响应有效期内保持有效。</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3.3.3 出现特殊情况需要延长响应有效期的，采购人以书面形式通知所有</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延长响应有效期。</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同意延长的，应相应延长其磋商保证金的有效期，但不得要求或被允许修改或撤销其响应文件；</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拒绝延长的，其响应失效，但</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有权收回其磋商保证金。</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3.4 磋商保证金</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3.4.1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在递交响应文件的同时，应按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前附表规定的金额、担保形式和第八章“响应文件格式”规定的磋商保证金格式递交磋商保证金，并作为其响应文件的组成部分。联合体响应的，其磋商保证金由牵头人递交，并应符合</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前附表的规定。</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3.4.2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不按本章第3.4.1项要求提交磋商保证金的，其响应文件作废标处理。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3.4.3 采购人与中标人签订合同后5个工作日内，向</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和中标人退还磋商保证金。</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3.4.4 有下列情形之一的，磋商保证金将不予退还：</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在规定的响应有效期内撤销或修改其响应文件；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(2）中标人在收到成交通知书后，无正当理由拒签合同协议书或未按磋商文件规定提交履约担保。</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3.5 资格审查资料（适用于未进行资格预审的）</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基本情况表”应附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营业执照副本及其年检合格的证明材料、资质证书副本和安全生产许可证等材料的复印件。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3.5.2 “近年财务状况表”应附财务会计报表，包括资产负债表、现金流量表、利润表和财务情况说明书的复印件，具体年份要求见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3.5.3 “近年完成的类似项目情况表”应附成交通知书和（或）合同协议书（或）工程接收证书〔工程竣工验收证书）的复印件，具体年份要求见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前附表。每张表格只填写一个项目，并标明序号。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3.5.4 “正在施工和新承接的项目情况表”应附成交通知书和（或）合同协议书复印件。每张表格只填写一个项目，并标明序号。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3.5.6 </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前附表规定接受联合体</w:t>
      </w:r>
      <w:r>
        <w:rPr>
          <w:rFonts w:hint="eastAsia" w:asciiTheme="minorEastAsia" w:hAnsiTheme="minorEastAsia" w:eastAsiaTheme="minorEastAsia"/>
          <w:color w:val="auto"/>
          <w:highlight w:val="none"/>
          <w:lang w:val="en-US" w:eastAsia="zh-CN"/>
        </w:rPr>
        <w:t>磋商</w:t>
      </w:r>
      <w:r>
        <w:rPr>
          <w:rFonts w:hint="eastAsia" w:asciiTheme="minorEastAsia" w:hAnsiTheme="minorEastAsia" w:eastAsiaTheme="minorEastAsia"/>
          <w:color w:val="auto"/>
          <w:highlight w:val="none"/>
        </w:rPr>
        <w:t>的，本章第3.5.1 项至第3.5.5 项规定的表格和资料应包括联合体各方相关情况。</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3.6 备选响应方案</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前附表另有规定外，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不得递交备选响应方案。允许</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递交备选响应方案的，只有中标人所递交的备选响应方案方可予以考虑。磋商小组认为中标人的各选响应方案优于其按照磋商文件要求编制的响应方案的，采购人可以接受该备选响应方案。</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3.7 响应文件的编制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3.7.1 响应文件应按第八章“响应文件格式”进行编写，如有必要，可以增加附页，作为响应文件的组成部分。其中，响应函附录在满足磋商文件实质性要求的基础上，可以提出比磋商文件要求更有利于采购人的承诺。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3.7.2 响应文件应当对磋商文件有关工期、响应有效期、质量要求、技术标准和要求、采购范围等实质性内容作出响应。</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3.7.3 响应文件应用不褪色的材料书写或打印，并由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的法定代表人或其授权的代理人签字确认。签字或盖章的具体要求见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3.7.4 响应文件正本一份，副本份数见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前附表。正本和副本的封面上应清楚地标记“正本”或“副本”的字样。当副本和正本不一致时，以正本为准。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3.7.5 响应文件的正本与副本应分别装订成册，并编制目录，具体装订要求见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w:t>
      </w:r>
    </w:p>
    <w:p>
      <w:pPr>
        <w:spacing w:line="360" w:lineRule="auto"/>
        <w:rPr>
          <w:rFonts w:asciiTheme="minorEastAsia" w:hAnsiTheme="minorEastAsia" w:eastAsiaTheme="minorEastAsia"/>
          <w:b/>
          <w:color w:val="auto"/>
          <w:sz w:val="24"/>
          <w:highlight w:val="none"/>
        </w:rPr>
      </w:pPr>
      <w:bookmarkStart w:id="31" w:name="_Toc184635074"/>
      <w:bookmarkStart w:id="32" w:name="_Toc295201491"/>
      <w:r>
        <w:rPr>
          <w:rFonts w:hint="eastAsia" w:asciiTheme="minorEastAsia" w:hAnsiTheme="minorEastAsia" w:eastAsiaTheme="minorEastAsia"/>
          <w:b/>
          <w:color w:val="auto"/>
          <w:sz w:val="24"/>
          <w:highlight w:val="none"/>
        </w:rPr>
        <w:t>4．响应</w:t>
      </w:r>
      <w:bookmarkEnd w:id="31"/>
      <w:bookmarkEnd w:id="32"/>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4.1 响应文件的密封和标记</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4.1.1 响应文件的密封：</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1</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响应文件正本与副本可以单独密封包装，也可以所有响应文件密封包装在一个密封袋内。</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2</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不足以造成响应文件可从外包装内散出而导致响应文件内容泄密的，不被认定为响应文件未密封。</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val="en-US" w:eastAsia="zh-CN"/>
        </w:rPr>
        <w:t>4.1.2</w:t>
      </w:r>
      <w:r>
        <w:rPr>
          <w:rFonts w:hint="eastAsia" w:asciiTheme="minorEastAsia" w:hAnsiTheme="minorEastAsia" w:eastAsiaTheme="minorEastAsia"/>
          <w:color w:val="auto"/>
          <w:highlight w:val="none"/>
        </w:rPr>
        <w:t xml:space="preserve"> 响应文件的标记：</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1</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信封或外包装上需清楚写明项目编号、项目名称、响应供应商名称、响应供应商地址、包组号（如有）的字样。</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lang w:val="en-US" w:eastAsia="zh-CN"/>
        </w:rPr>
        <w:t>2</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如果未按本须知上款要求加写标记，采购代理机构对误投或提前启封概不负责。</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4.1.</w:t>
      </w:r>
      <w:r>
        <w:rPr>
          <w:rFonts w:hint="eastAsia" w:asciiTheme="minorEastAsia" w:hAnsiTheme="minorEastAsia" w:eastAsiaTheme="minorEastAsia"/>
          <w:color w:val="auto"/>
          <w:highlight w:val="none"/>
          <w:lang w:val="en-US" w:eastAsia="zh-CN"/>
        </w:rPr>
        <w:t>3</w:t>
      </w:r>
      <w:r>
        <w:rPr>
          <w:rFonts w:hint="eastAsia" w:asciiTheme="minorEastAsia" w:hAnsiTheme="minorEastAsia" w:eastAsiaTheme="minorEastAsia"/>
          <w:color w:val="auto"/>
          <w:highlight w:val="none"/>
        </w:rPr>
        <w:t>电子U盘</w:t>
      </w:r>
      <w:r>
        <w:rPr>
          <w:rFonts w:hint="eastAsia" w:asciiTheme="minorEastAsia" w:hAnsiTheme="minorEastAsia" w:eastAsiaTheme="minorEastAsia"/>
          <w:color w:val="auto"/>
          <w:highlight w:val="none"/>
          <w:lang w:val="en-US" w:eastAsia="zh-CN"/>
        </w:rPr>
        <w:t>单独</w:t>
      </w:r>
      <w:r>
        <w:rPr>
          <w:rFonts w:hint="eastAsia" w:asciiTheme="minorEastAsia" w:hAnsiTheme="minorEastAsia" w:eastAsiaTheme="minorEastAsia"/>
          <w:color w:val="auto"/>
          <w:highlight w:val="none"/>
        </w:rPr>
        <w:t>放入一个密封袋中，加贴封条，并在封套封口处加盖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单位公章，在封套上分别标记“</w:t>
      </w:r>
      <w:r>
        <w:rPr>
          <w:rFonts w:hint="eastAsia" w:asciiTheme="minorEastAsia" w:hAnsiTheme="minorEastAsia" w:eastAsiaTheme="minorEastAsia"/>
          <w:color w:val="auto"/>
          <w:highlight w:val="none"/>
          <w:lang w:val="en-US" w:eastAsia="zh-CN"/>
        </w:rPr>
        <w:t>电子介质</w:t>
      </w:r>
      <w:r>
        <w:rPr>
          <w:rFonts w:hint="eastAsia" w:asciiTheme="minorEastAsia" w:hAnsiTheme="minorEastAsia" w:eastAsiaTheme="minorEastAsia"/>
          <w:color w:val="auto"/>
          <w:highlight w:val="none"/>
        </w:rPr>
        <w:t>”字样。</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4.2 响应文件的递交</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4.2.1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应在本章第2.2.2 项规定的响应截止时间前递交响应文件。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4.2.2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递交响应文件的地点：见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4.2.3 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前附表另有规定外，</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所递交的响应文件不予退还。</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4.2.4 采购人收到响应文件后，向</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出具签收凭证。</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4.2.5 逾期送达的或者未送达指定地点的响应文件，采购人不予受理。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4.3 响应文件的修改与撤回</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4.3.1 在本章第2.2.2 项规定的响应截止时间前，</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可以修改或撤回已递交的响应文件，但应以书面形式通知采购人。</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4.3.2 </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修改或撤回已递交响应文件的书面通知应按照本章第3.7.3 项的要求签字或盖章。采购人收到书面通知后，向</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出具签收凭证。</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4.3.3 修改的内容为响应文件的组成部分。修改的响应文件应按照本章第3 条、第4 条规定进行编制、密封、标记和递交，并标明“修改”字样。</w:t>
      </w:r>
    </w:p>
    <w:p>
      <w:pPr>
        <w:spacing w:line="360" w:lineRule="auto"/>
        <w:rPr>
          <w:rFonts w:asciiTheme="minorEastAsia" w:hAnsiTheme="minorEastAsia" w:eastAsiaTheme="minorEastAsia"/>
          <w:b/>
          <w:color w:val="auto"/>
          <w:sz w:val="24"/>
          <w:highlight w:val="none"/>
        </w:rPr>
      </w:pPr>
      <w:bookmarkStart w:id="33" w:name="_Toc295201492"/>
      <w:r>
        <w:rPr>
          <w:rFonts w:hint="eastAsia" w:asciiTheme="minorEastAsia" w:hAnsiTheme="minorEastAsia" w:eastAsiaTheme="minorEastAsia"/>
          <w:b/>
          <w:color w:val="auto"/>
          <w:sz w:val="24"/>
          <w:highlight w:val="none"/>
        </w:rPr>
        <w:t>5．开标</w:t>
      </w:r>
      <w:bookmarkEnd w:id="33"/>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5.1 开标时间和地点</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采购人在本章第2.2.2 项规定的响应截止时间（开标时间）和</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前附表规定的地点公开开标，并邀请所有</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的法定代表人或其委托代理人准时参加。</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5.2 开标程序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主持人按下列程序进行开标：</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(l）</w:t>
      </w:r>
      <w:r>
        <w:rPr>
          <w:rFonts w:hint="eastAsia" w:asciiTheme="minorEastAsia" w:hAnsiTheme="minorEastAsia" w:eastAsiaTheme="minorEastAsia"/>
          <w:color w:val="auto"/>
          <w:highlight w:val="none"/>
          <w:lang w:val="zh-CN"/>
        </w:rPr>
        <w:t>招标人将在招标公告规定的时间和地点公开开标。投标人法定代表人或其授权代理人应按照第二章《投标人须知前附表》的规定通过系统完成投标过程</w:t>
      </w:r>
      <w:r>
        <w:rPr>
          <w:rFonts w:hint="eastAsia" w:asciiTheme="minorEastAsia" w:hAnsiTheme="minorEastAsia" w:eastAsiaTheme="minorEastAsia"/>
          <w:color w:val="auto"/>
          <w:highlight w:val="none"/>
        </w:rPr>
        <w:t>；</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r>
        <w:rPr>
          <w:rFonts w:hint="eastAsia" w:asciiTheme="minorEastAsia" w:hAnsiTheme="minorEastAsia" w:eastAsiaTheme="minorEastAsia"/>
          <w:color w:val="auto"/>
          <w:highlight w:val="none"/>
          <w:lang w:val="zh-CN"/>
        </w:rPr>
        <w:t>开标会由招标代理机构组织并主持</w:t>
      </w:r>
      <w:r>
        <w:rPr>
          <w:rFonts w:hint="eastAsia" w:asciiTheme="minorEastAsia" w:hAnsiTheme="minorEastAsia" w:eastAsiaTheme="minorEastAsia"/>
          <w:color w:val="auto"/>
          <w:highlight w:val="none"/>
        </w:rPr>
        <w:t>；</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3</w:t>
      </w:r>
      <w:r>
        <w:rPr>
          <w:rFonts w:hint="eastAsia" w:asciiTheme="minorEastAsia" w:hAnsiTheme="minorEastAsia" w:eastAsiaTheme="minorEastAsia"/>
          <w:color w:val="auto"/>
          <w:highlight w:val="none"/>
        </w:rPr>
        <w:t>）按照</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前附表规定检查响应文件的密封情况；（响应文件解密）</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4</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zh-CN"/>
        </w:rPr>
        <w:t>开标时，招标人将按照投标人电子投标文件解密后的开标记录，当众宣读投标人名</w:t>
      </w:r>
      <w:r>
        <w:rPr>
          <w:rFonts w:hint="eastAsia" w:asciiTheme="minorEastAsia" w:hAnsiTheme="minorEastAsia" w:eastAsiaTheme="minorEastAsia"/>
          <w:color w:val="auto"/>
          <w:highlight w:val="none"/>
        </w:rPr>
        <w:t>公布</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名称、标段名称、磋商保证金的递交情况、质量目标、工期及其他内容</w:t>
      </w:r>
      <w:r>
        <w:rPr>
          <w:rFonts w:hint="eastAsia" w:asciiTheme="minorEastAsia" w:hAnsiTheme="minorEastAsia" w:eastAsiaTheme="minorEastAsia"/>
          <w:color w:val="auto"/>
          <w:highlight w:val="none"/>
          <w:lang w:val="zh-CN"/>
        </w:rPr>
        <w:t>内容</w:t>
      </w:r>
      <w:r>
        <w:rPr>
          <w:rFonts w:hint="eastAsia" w:asciiTheme="minorEastAsia" w:hAnsiTheme="minorEastAsia" w:eastAsiaTheme="minorEastAsia"/>
          <w:color w:val="auto"/>
          <w:highlight w:val="none"/>
        </w:rPr>
        <w:t>并记录在案；</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5</w:t>
      </w:r>
      <w:r>
        <w:rPr>
          <w:rFonts w:hint="eastAsia" w:asciiTheme="minorEastAsia" w:hAnsiTheme="minorEastAsia" w:eastAsiaTheme="minorEastAsia"/>
          <w:color w:val="auto"/>
          <w:highlight w:val="none"/>
        </w:rPr>
        <w:t>)设有标底的，公布标底；</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6</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zh-CN"/>
        </w:rPr>
        <w:t>招标人将做开标记录，开标记录包括按本须知第（</w:t>
      </w:r>
      <w:r>
        <w:rPr>
          <w:rFonts w:hint="eastAsia" w:asciiTheme="minorEastAsia" w:hAnsiTheme="minorEastAsia" w:eastAsiaTheme="minorEastAsia"/>
          <w:color w:val="auto"/>
          <w:highlight w:val="none"/>
          <w:lang w:val="en-US" w:eastAsia="zh-CN"/>
        </w:rPr>
        <w:t>4</w:t>
      </w:r>
      <w:r>
        <w:rPr>
          <w:rFonts w:hint="eastAsia" w:asciiTheme="minorEastAsia" w:hAnsiTheme="minorEastAsia" w:eastAsiaTheme="minorEastAsia"/>
          <w:color w:val="auto"/>
          <w:highlight w:val="none"/>
          <w:lang w:val="zh-CN"/>
        </w:rPr>
        <w:t>）款的规定在开标时宣读的全部内容。开标记录将在开标后由投标人代表通过系统确认或监督人确认。</w:t>
      </w:r>
    </w:p>
    <w:p>
      <w:pPr>
        <w:spacing w:line="24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val="en-US" w:eastAsia="zh-CN"/>
        </w:rPr>
        <w:t>7</w:t>
      </w:r>
      <w:r>
        <w:rPr>
          <w:rFonts w:hint="eastAsia" w:asciiTheme="minorEastAsia" w:hAnsiTheme="minorEastAsia" w:eastAsiaTheme="minorEastAsia"/>
          <w:color w:val="auto"/>
          <w:highlight w:val="none"/>
        </w:rPr>
        <w:t>)开标结束；</w:t>
      </w:r>
    </w:p>
    <w:p>
      <w:pPr>
        <w:spacing w:line="360" w:lineRule="auto"/>
        <w:ind w:firstLine="482" w:firstLineChars="200"/>
        <w:rPr>
          <w:rFonts w:hint="eastAsia" w:cs="Times New Roman" w:asciiTheme="minorEastAsia" w:hAnsiTheme="minorEastAsia" w:eastAsiaTheme="minorEastAsia"/>
          <w:b/>
          <w:color w:val="auto"/>
          <w:sz w:val="24"/>
          <w:highlight w:val="none"/>
          <w:lang w:val="zh-CN"/>
        </w:rPr>
      </w:pPr>
      <w:r>
        <w:rPr>
          <w:rFonts w:hint="eastAsia" w:cs="Times New Roman" w:asciiTheme="minorEastAsia" w:hAnsiTheme="minorEastAsia" w:eastAsiaTheme="minorEastAsia"/>
          <w:b/>
          <w:color w:val="auto"/>
          <w:sz w:val="24"/>
          <w:highlight w:val="none"/>
          <w:lang w:val="zh-CN"/>
        </w:rPr>
        <w:t xml:space="preserve">5.3 </w:t>
      </w:r>
      <w:r>
        <w:rPr>
          <w:rFonts w:hint="eastAsia" w:cs="Times New Roman" w:asciiTheme="minorEastAsia" w:hAnsiTheme="minorEastAsia" w:eastAsiaTheme="minorEastAsia"/>
          <w:b/>
          <w:color w:val="auto"/>
          <w:sz w:val="24"/>
          <w:highlight w:val="none"/>
          <w:lang w:val="en-US" w:eastAsia="zh-CN"/>
        </w:rPr>
        <w:t>采购过程</w:t>
      </w:r>
      <w:r>
        <w:rPr>
          <w:rFonts w:hint="eastAsia" w:cs="Times New Roman" w:asciiTheme="minorEastAsia" w:hAnsiTheme="minorEastAsia" w:eastAsiaTheme="minorEastAsia"/>
          <w:b/>
          <w:color w:val="auto"/>
          <w:sz w:val="24"/>
          <w:highlight w:val="none"/>
          <w:lang w:val="zh-CN"/>
        </w:rPr>
        <w:t>质疑</w:t>
      </w:r>
    </w:p>
    <w:p>
      <w:pPr>
        <w:widowControl/>
        <w:wordWrap w:val="0"/>
        <w:spacing w:line="400" w:lineRule="exact"/>
        <w:ind w:firstLine="420" w:firstLineChars="200"/>
        <w:jc w:val="left"/>
        <w:rPr>
          <w:rFonts w:hint="eastAsia" w:asciiTheme="minorEastAsia" w:hAnsiTheme="minorEastAsia" w:eastAsiaTheme="minorEastAsia"/>
          <w:color w:val="auto"/>
          <w:highlight w:val="none"/>
        </w:rPr>
      </w:pPr>
      <w:r>
        <w:rPr>
          <w:rFonts w:hint="eastAsia" w:ascii="宋体" w:hAnsi="宋体" w:eastAsia="宋体" w:cs="宋体"/>
          <w:color w:val="auto"/>
          <w:kern w:val="0"/>
          <w:sz w:val="21"/>
          <w:szCs w:val="21"/>
          <w:highlight w:val="none"/>
        </w:rPr>
        <w:t>供应商认为采购过程损害其权益的，应在各采购程序环节结束之日起起7个工作日内以书面形式提出，采购人或采购代理机构将在收到询问或质疑函后7个工作日内作出答复。</w:t>
      </w:r>
    </w:p>
    <w:p>
      <w:pPr>
        <w:spacing w:line="360" w:lineRule="auto"/>
        <w:ind w:firstLine="482" w:firstLineChars="200"/>
        <w:rPr>
          <w:rFonts w:hint="eastAsia" w:cs="Times New Roman" w:asciiTheme="minorEastAsia" w:hAnsiTheme="minorEastAsia" w:eastAsiaTheme="minorEastAsia"/>
          <w:b/>
          <w:color w:val="auto"/>
          <w:sz w:val="24"/>
          <w:highlight w:val="none"/>
          <w:lang w:val="zh-CN" w:eastAsia="zh-CN"/>
        </w:rPr>
      </w:pPr>
      <w:r>
        <w:rPr>
          <w:rFonts w:hint="eastAsia" w:cs="Times New Roman" w:asciiTheme="minorEastAsia" w:hAnsiTheme="minorEastAsia" w:eastAsiaTheme="minorEastAsia"/>
          <w:b/>
          <w:color w:val="auto"/>
          <w:sz w:val="24"/>
          <w:highlight w:val="none"/>
          <w:lang w:val="zh-CN" w:eastAsia="zh-CN"/>
        </w:rPr>
        <w:t>5.</w:t>
      </w:r>
      <w:r>
        <w:rPr>
          <w:rFonts w:hint="eastAsia" w:cs="Times New Roman" w:asciiTheme="minorEastAsia" w:hAnsiTheme="minorEastAsia" w:eastAsiaTheme="minorEastAsia"/>
          <w:b/>
          <w:color w:val="auto"/>
          <w:sz w:val="24"/>
          <w:highlight w:val="none"/>
          <w:lang w:val="en-US" w:eastAsia="zh-CN"/>
        </w:rPr>
        <w:t>4</w:t>
      </w:r>
      <w:r>
        <w:rPr>
          <w:rFonts w:hint="eastAsia" w:cs="Times New Roman" w:asciiTheme="minorEastAsia" w:hAnsiTheme="minorEastAsia" w:eastAsiaTheme="minorEastAsia"/>
          <w:b/>
          <w:color w:val="auto"/>
          <w:sz w:val="24"/>
          <w:highlight w:val="none"/>
          <w:lang w:val="zh-CN" w:eastAsia="zh-CN"/>
        </w:rPr>
        <w:t>出现下列情形之一的，采购人或者采购代理机构应当终止竞争性磋商采购活动，发布项目终止公告并说明原因，重新开展采购活动：</w:t>
      </w:r>
    </w:p>
    <w:p>
      <w:pPr>
        <w:widowControl/>
        <w:wordWrap w:val="0"/>
        <w:spacing w:line="400" w:lineRule="exact"/>
        <w:ind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（1）因情况变化，不再符合规定的竞争性磋商采购方式适用情形的；</w:t>
      </w:r>
    </w:p>
    <w:p>
      <w:pPr>
        <w:widowControl/>
        <w:wordWrap w:val="0"/>
        <w:spacing w:line="400" w:lineRule="exact"/>
        <w:ind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（2）出现影响采购公正的违法、违规行为的；</w:t>
      </w:r>
    </w:p>
    <w:p>
      <w:pPr>
        <w:widowControl/>
        <w:wordWrap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（3）在采购过程中符合要求的供应商或者报价未超过采购预算的供应商不足3家的。</w:t>
      </w:r>
    </w:p>
    <w:p>
      <w:pPr>
        <w:spacing w:line="360" w:lineRule="auto"/>
        <w:rPr>
          <w:rFonts w:asciiTheme="minorEastAsia" w:hAnsiTheme="minorEastAsia" w:eastAsiaTheme="minorEastAsia"/>
          <w:b/>
          <w:color w:val="auto"/>
          <w:sz w:val="24"/>
          <w:highlight w:val="none"/>
        </w:rPr>
      </w:pPr>
      <w:bookmarkStart w:id="34" w:name="_Toc295201493"/>
      <w:r>
        <w:rPr>
          <w:rFonts w:hint="eastAsia" w:asciiTheme="minorEastAsia" w:hAnsiTheme="minorEastAsia" w:eastAsiaTheme="minorEastAsia"/>
          <w:b/>
          <w:color w:val="auto"/>
          <w:sz w:val="24"/>
          <w:highlight w:val="none"/>
        </w:rPr>
        <w:t>6．评标</w:t>
      </w:r>
      <w:bookmarkEnd w:id="34"/>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6.1 磋商小组</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6.1.1 评标由采购人依法组建的磋商小组负责。磋商小组由采购人或其委托的采购代理机构熟悉相关业务的代表，以及有关技术、经济等方面的专家组成。磋商小组成员人数以及技术、经济等方面专家的确定方式见供应商须知前附表。需要设立磋商小组主任的，磋商小组主任由专家担任，由磋商小组成员选举产生，负责主持具体评标工作。</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根据有关法律法规和磋商文件规定的评标方法和标准，磋商小组所有成员应当集中与单一供应商分别进行磋商，并给予所有参加磋商的供应商平等的磋商机会。磋商结束后，磋商小组应当要求所有实质性响应的供应商在规定时间内提交最后报价,对符合性审查合格的响应文件进行商务和技术评估，综合比较与评价，负责完成评标的全过程直至评定预成交人。</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6.1.2 与参加采购活动的供应商存在下列利害关系之一的,应当回避：</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（1）参加采购活动前三年内,与供应商存在劳动关系</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或者担任过供应商的董事、监事</w:t>
      </w:r>
      <w:r>
        <w:rPr>
          <w:rFonts w:hint="eastAsia" w:asciiTheme="minorEastAsia" w:hAnsiTheme="minorEastAsia" w:eastAsiaTheme="minorEastAsia"/>
          <w:color w:val="auto"/>
          <w:highlight w:val="none"/>
          <w:lang w:eastAsia="zh-CN"/>
        </w:rPr>
        <w:t>，</w:t>
      </w:r>
      <w:r>
        <w:rPr>
          <w:rFonts w:hint="eastAsia" w:asciiTheme="minorEastAsia" w:hAnsiTheme="minorEastAsia" w:eastAsiaTheme="minorEastAsia"/>
          <w:color w:val="auto"/>
          <w:highlight w:val="none"/>
        </w:rPr>
        <w:t>或者是供应商的控股股东或实际控制人；</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（2）与供应商的法定代表人或者负责人有夫妻、直系血亲、三代以内旁系血亲或者近姻亲关系</w:t>
      </w:r>
      <w:r>
        <w:rPr>
          <w:rFonts w:hint="eastAsia" w:asciiTheme="minorEastAsia" w:hAnsiTheme="minorEastAsia" w:eastAsiaTheme="minorEastAsia"/>
          <w:color w:val="auto"/>
          <w:highlight w:val="none"/>
          <w:lang w:eastAsia="zh-CN"/>
        </w:rPr>
        <w:t>；</w:t>
      </w:r>
    </w:p>
    <w:p>
      <w:pPr>
        <w:spacing w:line="360" w:lineRule="auto"/>
        <w:ind w:firstLine="420" w:firstLineChars="200"/>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rPr>
        <w:t>（3）与供应商有其他可能影响政府采购活动公平、公正进行的关系</w:t>
      </w:r>
      <w:r>
        <w:rPr>
          <w:rFonts w:hint="eastAsia" w:asciiTheme="minorEastAsia" w:hAnsiTheme="minorEastAsia" w:eastAsiaTheme="minorEastAsia"/>
          <w:color w:val="auto"/>
          <w:highlight w:val="none"/>
          <w:lang w:eastAsia="zh-CN"/>
        </w:rPr>
        <w:t>。</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评审专家发现本人与参加采购活动的供应商有利害关系的,应当主动提出回避。采购人或者采购代理机构发现评审专家与参加采购活动的供应商有利害关系的，应当要求其回避。</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6.1.3 出现评审专家缺席、回避等情形导致评审现场专家数量不符合规定的，采购人或者采购代理机构应当及时补抽评审专家，或者经采购人主管预算单位同意自行选定补足评审专家。无法及时补足评审专家的，采购人或者采购代理机构应当立即停止评审工作，妥善保存采购文件，依法重新组建磋商小组进行评审。</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6.2 评标原则</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评审专家应当严格遵守评审工作纪律，按照客观、公正、审慎的原则，根据采购文件规定的评审程序、评审方法和评审标准进行独立评审。</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6.3 评标</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磋商小组按照第三章“评标办法”规定的方法、评审因素、标准和程序对响应文件进行评审。第三章“评标办法”没有规定的方法、评审因素和标准，不作为评标依据。</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6.3.1磋商小组对所有响应文件进行形式、资格、响应性评审；</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6.3.2磋商小组所有成员集中与通过形式、资格、响应性评审的单一</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分别进行磋商，并给予所有参加磋商的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平等的磋商机会。在磋商过程中，磋商小组可以根据磋商文件和磋商情况实质性变动采购需求中的技术、服务要求以及合同草案条款，但不得变动磋商文件中的其他内容。实质性变动的内容，须经采购人代表确认。</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对磋商文件作出的实质性变动是磋商文件的有效组成部分，磋商小组应当及时以书面形式同时通知所有参加磋商的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应当按照磋商文件的变动情况和磋商小组的要求重新提交响应文件，并由其法定代表人或授权代表签字或者加盖公章。由授权代表签字的，应当附法定代表人授权书。</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为自然人的，应当由本人签字并附身份证明。</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6.3.3磋商文件能够详细列明采购标的的技术、服务要求的，磋商结束后，磋商小组应当要求所有实质性响应的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在规定时间内提交最后报价，提交最后报价的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不得少于3家。</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磋商文件不能详细列明采购标的的技术、服务要求，需经磋商由</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提供最终设计方案或解决方案的，磋商结束后，磋商小组应当按照少数服从多数的原则投票推荐3家以上</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的设计方案或者解决方案，并要求其在规定时间内提交最后报价。最后报价是</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响应文件的有效组成部分。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已提交响应文件的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，在提交最后报价之前，可以根据磋商情况退出磋商。采购人、采购代理机构应当退还退出磋商的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的磋商保证金。</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6.3.4经磋商确定最终采购需求和提交最后报价的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后，由磋商小组采用综合评分法对提交最后报价的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的响应文件和最后报价进行综合评分；</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6.3.5磋商小组应当根据综合评分情况，按照评审得分由高到低顺序推荐3名以上成交候选人，并编写评审报告。评审得分相同的，按照最后报价由低到高的顺序推荐。评审得分且最后报价相同的，按照技术指标优劣顺序推荐。技术指标也相等的，由采购人代表现场确定。</w:t>
      </w:r>
    </w:p>
    <w:p>
      <w:pPr>
        <w:spacing w:line="360" w:lineRule="auto"/>
        <w:rPr>
          <w:rFonts w:asciiTheme="minorEastAsia" w:hAnsiTheme="minorEastAsia" w:eastAsiaTheme="minorEastAsia"/>
          <w:b/>
          <w:color w:val="auto"/>
          <w:sz w:val="24"/>
          <w:highlight w:val="none"/>
        </w:rPr>
      </w:pPr>
      <w:bookmarkStart w:id="35" w:name="_Toc184635077"/>
      <w:bookmarkStart w:id="36" w:name="_Toc295201494"/>
      <w:r>
        <w:rPr>
          <w:rFonts w:hint="eastAsia" w:asciiTheme="minorEastAsia" w:hAnsiTheme="minorEastAsia" w:eastAsiaTheme="minorEastAsia"/>
          <w:b/>
          <w:color w:val="auto"/>
          <w:sz w:val="24"/>
          <w:highlight w:val="none"/>
        </w:rPr>
        <w:t>7．合同授予</w:t>
      </w:r>
      <w:bookmarkEnd w:id="35"/>
      <w:bookmarkEnd w:id="36"/>
    </w:p>
    <w:p>
      <w:pPr>
        <w:spacing w:line="360" w:lineRule="auto"/>
        <w:ind w:firstLine="482" w:firstLineChars="200"/>
        <w:rPr>
          <w:rFonts w:asciiTheme="minorEastAsia" w:hAnsiTheme="minorEastAsia" w:eastAsiaTheme="minorEastAsia"/>
          <w:color w:val="auto"/>
          <w:highlight w:val="none"/>
        </w:rPr>
      </w:pPr>
      <w:r>
        <w:rPr>
          <w:rFonts w:hint="eastAsia" w:asciiTheme="minorEastAsia" w:hAnsiTheme="minorEastAsia" w:eastAsiaTheme="minorEastAsia"/>
          <w:b/>
          <w:color w:val="auto"/>
          <w:sz w:val="24"/>
          <w:highlight w:val="none"/>
        </w:rPr>
        <w:t>7.1 定标方式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除</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前附表规定磋商小组直接确定中标人外，采购人依据磋商小组推荐的中标候选人确定中标人，磋商小组推荐中标候选人的人数见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采购代理机构应当在评审结束后2个工作日内将评审报告送采购人确认。</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采购人应当在收到评审报告后5个工作日内，从评审报告提出的成交候选</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中，按照排序由高到低的原则确定成交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，也可以书面授权磋商小组直接确定成交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。采购人逾期未确定成交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且不提出异议的，视为确定评审报告提出的排序第一的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为成交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7.2 成交通知</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采购人或者采购代理机构应当在成交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确定后2个工作日内，在本采购项目磋商公告发布的同一媒介公告成交结果，同时向成交</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发出成交通知书，并将磋商文件随成交结果同时公告。</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7.3 履约担保</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7.3.1 在签订合同前，中标人应按</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前附表规定的金额、担保形式和磋商文件第四章“合同条款及格式”规定的履约担保格式向采购人提交履约担保。联合体中标的，其履约担保由牵头人递交，并应符合</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前附表规定的金额、担保形式和磋商文件第四章“合同条款及格式”规定的履约担保格式要求。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7.3.2 磋商文件要求中标人提交履约保证金或者其他形式中标人不能按本章第7.3.1 项要求提交履约担保的，视为放弃中标，其磋商保证金不予退还，给采购人造成的损失超过磋商保证金数额的，中标人还应当对超过部分予以赔偿。</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7.4 签订合同</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7.4.1 采购人和中标人应当自成交通知书发出之日起30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pPr>
        <w:spacing w:line="360" w:lineRule="auto"/>
        <w:ind w:firstLine="420" w:firstLineChars="20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7.4.2 发出成交通知书后，采购人无正当理由拒签合同的，采购人向中标人退还磋商保证金；给中标人造成损失的，还应当赔偿损失。</w:t>
      </w:r>
    </w:p>
    <w:p>
      <w:pPr>
        <w:spacing w:line="360" w:lineRule="auto"/>
        <w:ind w:firstLine="482" w:firstLineChars="200"/>
        <w:rPr>
          <w:rFonts w:hint="default" w:asciiTheme="minorEastAsia" w:hAnsiTheme="minorEastAsia" w:eastAsiaTheme="minorEastAsia"/>
          <w:color w:val="auto"/>
          <w:highlight w:val="none"/>
          <w:lang w:val="en-US" w:eastAsia="zh-CN"/>
        </w:rPr>
      </w:pPr>
      <w:r>
        <w:rPr>
          <w:rFonts w:hint="eastAsia" w:cs="Times New Roman" w:asciiTheme="minorEastAsia" w:hAnsiTheme="minorEastAsia" w:eastAsiaTheme="minorEastAsia"/>
          <w:b/>
          <w:color w:val="auto"/>
          <w:sz w:val="24"/>
          <w:highlight w:val="none"/>
          <w:lang w:val="en-US" w:eastAsia="zh-CN"/>
        </w:rPr>
        <w:t>7.5合同管理安排</w:t>
      </w:r>
    </w:p>
    <w:p>
      <w:pPr>
        <w:ind w:firstLine="482" w:firstLineChars="200"/>
        <w:rPr>
          <w:rFonts w:hint="eastAsia" w:cs="Times New Roman" w:asciiTheme="minorEastAsia" w:hAnsiTheme="minorEastAsia" w:eastAsiaTheme="minorEastAsia"/>
          <w:b/>
          <w:color w:val="auto"/>
          <w:sz w:val="24"/>
          <w:highlight w:val="none"/>
          <w:lang w:val="en-US" w:eastAsia="zh-CN"/>
        </w:rPr>
      </w:pPr>
      <w:r>
        <w:rPr>
          <w:rFonts w:hint="eastAsia" w:cs="Times New Roman" w:asciiTheme="minorEastAsia" w:hAnsiTheme="minorEastAsia" w:eastAsiaTheme="minorEastAsia"/>
          <w:b/>
          <w:color w:val="auto"/>
          <w:sz w:val="24"/>
          <w:highlight w:val="none"/>
          <w:lang w:val="en-US" w:eastAsia="zh-CN"/>
        </w:rPr>
        <w:t>7.6成交结果质疑</w:t>
      </w:r>
    </w:p>
    <w:p>
      <w:pPr>
        <w:ind w:firstLine="420" w:firstLineChars="200"/>
        <w:rPr>
          <w:rFonts w:hint="eastAsia" w:cs="Times New Roman" w:asciiTheme="minorEastAsia" w:hAnsiTheme="minorEastAsia" w:eastAsiaTheme="minorEastAsia"/>
          <w:color w:val="auto"/>
          <w:highlight w:val="none"/>
          <w:lang w:val="en-US" w:eastAsia="zh-CN"/>
        </w:rPr>
      </w:pPr>
      <w:r>
        <w:rPr>
          <w:rFonts w:hint="eastAsia" w:cs="Times New Roman" w:asciiTheme="minorEastAsia" w:hAnsiTheme="minorEastAsia" w:eastAsiaTheme="minorEastAsia"/>
          <w:color w:val="auto"/>
          <w:highlight w:val="none"/>
          <w:lang w:val="en-US" w:eastAsia="zh-CN"/>
        </w:rPr>
        <w:t>供应商认为中标或者成交结果损害其权益的，应在中标或者成交结果公告期限届满之日起7个工作日内以书面形式提出，采购人或采购代理机构将在收到询问或质疑函后7个工作日内作出答复。</w:t>
      </w:r>
    </w:p>
    <w:p>
      <w:pPr>
        <w:ind w:firstLine="420" w:firstLineChars="200"/>
        <w:rPr>
          <w:rFonts w:hint="default"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7.5.1</w:t>
      </w:r>
      <w:r>
        <w:rPr>
          <w:rFonts w:hint="default" w:asciiTheme="minorEastAsia" w:hAnsiTheme="minorEastAsia" w:eastAsiaTheme="minorEastAsia"/>
          <w:color w:val="auto"/>
          <w:highlight w:val="none"/>
          <w:lang w:val="en-US" w:eastAsia="zh-CN"/>
        </w:rPr>
        <w:t>支付方式： 一次付清</w:t>
      </w:r>
    </w:p>
    <w:p>
      <w:pPr>
        <w:ind w:firstLine="420" w:firstLineChars="200"/>
        <w:rPr>
          <w:rFonts w:hint="default"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7.5.2</w:t>
      </w:r>
      <w:r>
        <w:rPr>
          <w:rFonts w:hint="default" w:asciiTheme="minorEastAsia" w:hAnsiTheme="minorEastAsia" w:eastAsiaTheme="minorEastAsia"/>
          <w:color w:val="auto"/>
          <w:highlight w:val="none"/>
          <w:lang w:val="en-US" w:eastAsia="zh-CN"/>
        </w:rPr>
        <w:t>合同支付约定：付款条件说明： 按合同完成验收合格</w:t>
      </w:r>
      <w:r>
        <w:rPr>
          <w:rFonts w:hint="eastAsia" w:asciiTheme="minorEastAsia" w:hAnsiTheme="minorEastAsia" w:eastAsiaTheme="minorEastAsia"/>
          <w:color w:val="auto"/>
          <w:highlight w:val="none"/>
          <w:lang w:val="en-US" w:eastAsia="zh-CN"/>
        </w:rPr>
        <w:t>后待财政付款</w:t>
      </w:r>
      <w:r>
        <w:rPr>
          <w:rFonts w:hint="default" w:asciiTheme="minorEastAsia" w:hAnsiTheme="minorEastAsia" w:eastAsiaTheme="minorEastAsia"/>
          <w:color w:val="auto"/>
          <w:highlight w:val="none"/>
          <w:lang w:val="en-US" w:eastAsia="zh-CN"/>
        </w:rPr>
        <w:t>。</w:t>
      </w:r>
    </w:p>
    <w:p>
      <w:pPr>
        <w:ind w:firstLine="420" w:firstLineChars="200"/>
        <w:rPr>
          <w:rFonts w:hint="default"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7.5.3</w:t>
      </w:r>
      <w:r>
        <w:rPr>
          <w:rFonts w:hint="default" w:asciiTheme="minorEastAsia" w:hAnsiTheme="minorEastAsia" w:eastAsiaTheme="minorEastAsia"/>
          <w:color w:val="auto"/>
          <w:highlight w:val="none"/>
          <w:lang w:val="en-US" w:eastAsia="zh-CN"/>
        </w:rPr>
        <w:t>违约责任与解决争议的方法： 乙方违反合同约定的，甲方有权依法追究其违约责任；发生争议首先协商解决，协商不成的由工程所在地法院诉讼解决。</w:t>
      </w:r>
    </w:p>
    <w:p>
      <w:pPr>
        <w:spacing w:line="360" w:lineRule="auto"/>
        <w:ind w:firstLine="420" w:firstLineChars="200"/>
        <w:rPr>
          <w:rFonts w:hint="default" w:eastAsiaTheme="minorEastAsia"/>
          <w:color w:val="auto"/>
          <w:highlight w:val="none"/>
          <w:lang w:val="en-US" w:eastAsia="zh-CN"/>
        </w:rPr>
      </w:pPr>
    </w:p>
    <w:p>
      <w:pPr>
        <w:spacing w:line="360" w:lineRule="auto"/>
        <w:rPr>
          <w:rFonts w:hint="eastAsia" w:cs="Times New Roman" w:asciiTheme="minorEastAsia" w:hAnsiTheme="minorEastAsia" w:eastAsiaTheme="minorEastAsia"/>
          <w:b/>
          <w:color w:val="auto"/>
          <w:sz w:val="24"/>
          <w:highlight w:val="none"/>
        </w:rPr>
      </w:pPr>
      <w:bookmarkStart w:id="37" w:name="_Toc295201495"/>
      <w:r>
        <w:rPr>
          <w:rFonts w:hint="eastAsia" w:cs="Times New Roman" w:asciiTheme="minorEastAsia" w:hAnsiTheme="minorEastAsia" w:eastAsiaTheme="minorEastAsia"/>
          <w:b/>
          <w:color w:val="auto"/>
          <w:sz w:val="24"/>
          <w:highlight w:val="none"/>
        </w:rPr>
        <w:t>8．</w:t>
      </w:r>
      <w:bookmarkEnd w:id="37"/>
      <w:r>
        <w:rPr>
          <w:rFonts w:hint="eastAsia" w:cs="Times New Roman" w:asciiTheme="minorEastAsia" w:hAnsiTheme="minorEastAsia" w:eastAsiaTheme="minorEastAsia"/>
          <w:b/>
          <w:color w:val="auto"/>
          <w:sz w:val="24"/>
          <w:highlight w:val="none"/>
        </w:rPr>
        <w:t>终止采购</w:t>
      </w:r>
    </w:p>
    <w:p>
      <w:pPr>
        <w:spacing w:line="360" w:lineRule="auto"/>
        <w:ind w:firstLine="420" w:firstLineChars="200"/>
        <w:rPr>
          <w:rFonts w:hint="eastAsia" w:cs="Times New Roman" w:asciiTheme="minorEastAsia" w:hAnsiTheme="minorEastAsia" w:eastAsiaTheme="minorEastAsia"/>
          <w:color w:val="auto"/>
          <w:highlight w:val="none"/>
          <w:lang w:eastAsia="zh-CN"/>
        </w:rPr>
      </w:pPr>
      <w:bookmarkStart w:id="38" w:name="_Toc295201496"/>
      <w:r>
        <w:rPr>
          <w:rFonts w:hint="eastAsia" w:cs="Times New Roman" w:asciiTheme="minorEastAsia" w:hAnsiTheme="minorEastAsia" w:eastAsiaTheme="minorEastAsia"/>
          <w:color w:val="auto"/>
          <w:highlight w:val="none"/>
        </w:rPr>
        <w:t>在采购活动中因重大变故，采购任务取消的，采购人或者采购代理机构应当终止采购活动，通知所有参加采购活动的供应商</w:t>
      </w:r>
      <w:r>
        <w:rPr>
          <w:rFonts w:hint="eastAsia" w:cs="Times New Roman" w:asciiTheme="minorEastAsia" w:hAnsiTheme="minorEastAsia" w:eastAsiaTheme="minorEastAsia"/>
          <w:color w:val="auto"/>
          <w:highlight w:val="none"/>
          <w:lang w:eastAsia="zh-CN"/>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9．纪律和监督</w:t>
      </w:r>
      <w:bookmarkEnd w:id="38"/>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9.1 对采购人的纪律要求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采购人不得泄漏采购响应活动中应当保密的情况和资料，不得与</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串通损害国家利益、社会公共利益或者他人合法权益。</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9.2 对</w:t>
      </w:r>
      <w:r>
        <w:rPr>
          <w:rFonts w:hint="eastAsia" w:asciiTheme="minorEastAsia" w:hAnsiTheme="minorEastAsia" w:eastAsiaTheme="minorEastAsia"/>
          <w:b/>
          <w:color w:val="auto"/>
          <w:sz w:val="24"/>
          <w:highlight w:val="none"/>
          <w:lang w:eastAsia="zh-CN"/>
        </w:rPr>
        <w:t>响应供应商</w:t>
      </w:r>
      <w:r>
        <w:rPr>
          <w:rFonts w:hint="eastAsia" w:asciiTheme="minorEastAsia" w:hAnsiTheme="minorEastAsia" w:eastAsiaTheme="minorEastAsia"/>
          <w:b/>
          <w:color w:val="auto"/>
          <w:sz w:val="24"/>
          <w:highlight w:val="none"/>
        </w:rPr>
        <w:t>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不得相互串通响投标或者与采购人串通投标，不得向采购人或者磋商小组成员行贿谋取中标，不得以他人名义投标或者以其他方式弄虚作假骗取中标；</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不得以任何方式干扰、影响评审工作工作。</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9.3 对磋商小组成员的纪律要求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不得收受他人的财物或者其他好处，不得向他人透漏对响应文件的评审和比较、中标候选人的推荐情况以及评审工作有关的其他情况。在评审工作活动中，磋商小组成员不得擅离职守，影响评审工作程序正常进行，不得使用第三章“评标办法”没有规定的评审因素和标准进行评审工作。</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9.4 对与评审活动有关的工作人员的纪律要求</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与评审活动有关的工作人员不得收受他人的财物或者其他好处，不得向他人透漏对响应文件的评审和比较、中标候选人的推荐情况以及评标有关的其他情况。在评审活动中，与评审活动中有关的工作人员不得擅离职守，影响评审程序正常进行。</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9.5 投诉</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和其他利害关系人认为本次采购活动违反法律、法规和规章规定的，有权向有关行政监督部门投诉。</w:t>
      </w:r>
    </w:p>
    <w:p>
      <w:pPr>
        <w:spacing w:line="360" w:lineRule="auto"/>
        <w:rPr>
          <w:rFonts w:asciiTheme="minorEastAsia" w:hAnsiTheme="minorEastAsia" w:eastAsiaTheme="minorEastAsia"/>
          <w:b/>
          <w:color w:val="auto"/>
          <w:sz w:val="24"/>
          <w:highlight w:val="none"/>
        </w:rPr>
      </w:pPr>
      <w:bookmarkStart w:id="39" w:name="_Toc295201497"/>
      <w:r>
        <w:rPr>
          <w:rFonts w:hint="eastAsia" w:asciiTheme="minorEastAsia" w:hAnsiTheme="minorEastAsia" w:eastAsiaTheme="minorEastAsia"/>
          <w:b/>
          <w:color w:val="auto"/>
          <w:sz w:val="24"/>
          <w:highlight w:val="none"/>
        </w:rPr>
        <w:t>10、需要补充的其他内容</w:t>
      </w:r>
      <w:bookmarkEnd w:id="39"/>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需要补充的其他内容：见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w:t>
      </w:r>
    </w:p>
    <w:p>
      <w:pPr>
        <w:widowControl/>
        <w:ind w:firstLine="420" w:firstLineChars="200"/>
        <w:jc w:val="left"/>
        <w:rPr>
          <w:rFonts w:asciiTheme="minorEastAsia" w:hAnsiTheme="minorEastAsia" w:eastAsiaTheme="minorEastAsia"/>
          <w:color w:val="auto"/>
          <w:highlight w:val="none"/>
        </w:rPr>
      </w:pPr>
    </w:p>
    <w:p>
      <w:pPr>
        <w:jc w:val="center"/>
        <w:rPr>
          <w:color w:val="auto"/>
          <w:highlight w:val="none"/>
        </w:rPr>
      </w:pPr>
      <w:r>
        <w:rPr>
          <w:rFonts w:ascii="宋体" w:hAnsi="宋体" w:cs="宋体"/>
          <w:b/>
          <w:color w:val="auto"/>
          <w:spacing w:val="-20"/>
          <w:sz w:val="44"/>
          <w:szCs w:val="44"/>
          <w:highlight w:val="none"/>
        </w:rPr>
        <w:br w:type="page"/>
      </w:r>
    </w:p>
    <w:p>
      <w:pPr>
        <w:pStyle w:val="10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附表一：磋商记录表</w:t>
      </w:r>
      <w:bookmarkEnd w:id="28"/>
    </w:p>
    <w:p>
      <w:pPr>
        <w:spacing w:beforeLines="100" w:afterLines="100" w:line="400" w:lineRule="exact"/>
        <w:ind w:firstLine="1960" w:firstLineChars="7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（项目名称）施工开标记录表</w:t>
      </w:r>
    </w:p>
    <w:p>
      <w:pPr>
        <w:spacing w:line="400" w:lineRule="exact"/>
        <w:ind w:firstLine="105" w:firstLineChars="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开标时间：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时</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分</w:t>
      </w:r>
    </w:p>
    <w:p>
      <w:pPr>
        <w:spacing w:line="400" w:lineRule="exact"/>
        <w:ind w:firstLine="105" w:firstLineChars="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磋商地点：</w:t>
      </w:r>
      <w:r>
        <w:rPr>
          <w:rFonts w:hint="eastAsia" w:asciiTheme="minorEastAsia" w:hAnsiTheme="minorEastAsia" w:eastAsiaTheme="minorEastAsia"/>
          <w:color w:val="auto"/>
          <w:highlight w:val="none"/>
          <w:u w:val="single"/>
        </w:rPr>
        <w:t xml:space="preserve">                                </w:t>
      </w:r>
    </w:p>
    <w:p>
      <w:pPr>
        <w:spacing w:line="400" w:lineRule="exact"/>
        <w:ind w:firstLine="105" w:firstLineChars="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（一）唱标记录</w:t>
      </w:r>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1463"/>
        <w:gridCol w:w="1538"/>
        <w:gridCol w:w="1534"/>
        <w:gridCol w:w="2013"/>
        <w:gridCol w:w="1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470"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序号</w:t>
            </w:r>
          </w:p>
        </w:tc>
        <w:tc>
          <w:tcPr>
            <w:tcW w:w="858" w:type="pct"/>
            <w:vAlign w:val="center"/>
          </w:tcPr>
          <w:p>
            <w:pPr>
              <w:jc w:val="center"/>
              <w:rPr>
                <w:rFonts w:hint="eastAsia" w:asciiTheme="minorEastAsia" w:hAnsiTheme="minorEastAsia" w:eastAsiaTheme="minorEastAsia"/>
                <w:color w:val="auto"/>
                <w:highlight w:val="none"/>
                <w:lang w:eastAsia="zh-CN"/>
              </w:rPr>
            </w:pPr>
            <w:r>
              <w:rPr>
                <w:rFonts w:hint="eastAsia" w:asciiTheme="minorEastAsia" w:hAnsiTheme="minorEastAsia" w:eastAsiaTheme="minorEastAsia"/>
                <w:color w:val="auto"/>
                <w:highlight w:val="none"/>
                <w:lang w:eastAsia="zh-CN"/>
              </w:rPr>
              <w:t>响应供应商</w:t>
            </w:r>
          </w:p>
        </w:tc>
        <w:tc>
          <w:tcPr>
            <w:tcW w:w="902"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密封情况</w:t>
            </w:r>
          </w:p>
        </w:tc>
        <w:tc>
          <w:tcPr>
            <w:tcW w:w="900"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磋商保证金</w:t>
            </w:r>
          </w:p>
        </w:tc>
        <w:tc>
          <w:tcPr>
            <w:tcW w:w="1181"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授权委托人与身份证是否相符</w:t>
            </w:r>
          </w:p>
        </w:tc>
        <w:tc>
          <w:tcPr>
            <w:tcW w:w="688" w:type="pct"/>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470" w:type="pct"/>
          </w:tcPr>
          <w:p>
            <w:pPr>
              <w:jc w:val="center"/>
              <w:rPr>
                <w:rFonts w:asciiTheme="minorEastAsia" w:hAnsiTheme="minorEastAsia" w:eastAsiaTheme="minorEastAsia"/>
                <w:color w:val="auto"/>
                <w:highlight w:val="none"/>
              </w:rPr>
            </w:pPr>
          </w:p>
        </w:tc>
        <w:tc>
          <w:tcPr>
            <w:tcW w:w="858" w:type="pct"/>
          </w:tcPr>
          <w:p>
            <w:pPr>
              <w:jc w:val="center"/>
              <w:rPr>
                <w:rFonts w:asciiTheme="minorEastAsia" w:hAnsiTheme="minorEastAsia" w:eastAsiaTheme="minorEastAsia"/>
                <w:color w:val="auto"/>
                <w:highlight w:val="none"/>
              </w:rPr>
            </w:pPr>
          </w:p>
        </w:tc>
        <w:tc>
          <w:tcPr>
            <w:tcW w:w="902" w:type="pct"/>
          </w:tcPr>
          <w:p>
            <w:pPr>
              <w:jc w:val="center"/>
              <w:rPr>
                <w:rFonts w:asciiTheme="minorEastAsia" w:hAnsiTheme="minorEastAsia" w:eastAsiaTheme="minorEastAsia"/>
                <w:color w:val="auto"/>
                <w:highlight w:val="none"/>
              </w:rPr>
            </w:pPr>
          </w:p>
        </w:tc>
        <w:tc>
          <w:tcPr>
            <w:tcW w:w="900" w:type="pct"/>
          </w:tcPr>
          <w:p>
            <w:pPr>
              <w:jc w:val="center"/>
              <w:rPr>
                <w:rFonts w:asciiTheme="minorEastAsia" w:hAnsiTheme="minorEastAsia" w:eastAsiaTheme="minorEastAsia"/>
                <w:color w:val="auto"/>
                <w:highlight w:val="none"/>
              </w:rPr>
            </w:pPr>
          </w:p>
        </w:tc>
        <w:tc>
          <w:tcPr>
            <w:tcW w:w="1181" w:type="pct"/>
          </w:tcPr>
          <w:p>
            <w:pPr>
              <w:jc w:val="center"/>
              <w:rPr>
                <w:rFonts w:asciiTheme="minorEastAsia" w:hAnsiTheme="minorEastAsia" w:eastAsiaTheme="minorEastAsia"/>
                <w:color w:val="auto"/>
                <w:highlight w:val="none"/>
              </w:rPr>
            </w:pPr>
          </w:p>
        </w:tc>
        <w:tc>
          <w:tcPr>
            <w:tcW w:w="688" w:type="pct"/>
          </w:tcPr>
          <w:p>
            <w:pPr>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470" w:type="pct"/>
          </w:tcPr>
          <w:p>
            <w:pPr>
              <w:spacing w:line="400" w:lineRule="exact"/>
              <w:jc w:val="center"/>
              <w:rPr>
                <w:rFonts w:asciiTheme="minorEastAsia" w:hAnsiTheme="minorEastAsia" w:eastAsiaTheme="minorEastAsia"/>
                <w:color w:val="auto"/>
                <w:highlight w:val="none"/>
              </w:rPr>
            </w:pPr>
          </w:p>
        </w:tc>
        <w:tc>
          <w:tcPr>
            <w:tcW w:w="858" w:type="pct"/>
          </w:tcPr>
          <w:p>
            <w:pPr>
              <w:spacing w:line="400" w:lineRule="exact"/>
              <w:jc w:val="center"/>
              <w:rPr>
                <w:rFonts w:asciiTheme="minorEastAsia" w:hAnsiTheme="minorEastAsia" w:eastAsiaTheme="minorEastAsia"/>
                <w:color w:val="auto"/>
                <w:highlight w:val="none"/>
              </w:rPr>
            </w:pPr>
          </w:p>
        </w:tc>
        <w:tc>
          <w:tcPr>
            <w:tcW w:w="902" w:type="pct"/>
          </w:tcPr>
          <w:p>
            <w:pPr>
              <w:spacing w:line="400" w:lineRule="exact"/>
              <w:jc w:val="center"/>
              <w:rPr>
                <w:rFonts w:asciiTheme="minorEastAsia" w:hAnsiTheme="minorEastAsia" w:eastAsiaTheme="minorEastAsia"/>
                <w:color w:val="auto"/>
                <w:highlight w:val="none"/>
              </w:rPr>
            </w:pPr>
          </w:p>
        </w:tc>
        <w:tc>
          <w:tcPr>
            <w:tcW w:w="900" w:type="pct"/>
          </w:tcPr>
          <w:p>
            <w:pPr>
              <w:spacing w:line="400" w:lineRule="exact"/>
              <w:jc w:val="center"/>
              <w:rPr>
                <w:rFonts w:asciiTheme="minorEastAsia" w:hAnsiTheme="minorEastAsia" w:eastAsiaTheme="minorEastAsia"/>
                <w:color w:val="auto"/>
                <w:highlight w:val="none"/>
              </w:rPr>
            </w:pPr>
          </w:p>
        </w:tc>
        <w:tc>
          <w:tcPr>
            <w:tcW w:w="1181" w:type="pct"/>
          </w:tcPr>
          <w:p>
            <w:pPr>
              <w:spacing w:line="400" w:lineRule="exact"/>
              <w:jc w:val="center"/>
              <w:rPr>
                <w:rFonts w:asciiTheme="minorEastAsia" w:hAnsiTheme="minorEastAsia" w:eastAsiaTheme="minorEastAsia"/>
                <w:color w:val="auto"/>
                <w:highlight w:val="none"/>
              </w:rPr>
            </w:pPr>
          </w:p>
        </w:tc>
        <w:tc>
          <w:tcPr>
            <w:tcW w:w="688" w:type="pct"/>
          </w:tcPr>
          <w:p>
            <w:pPr>
              <w:spacing w:line="400" w:lineRule="exact"/>
              <w:jc w:val="center"/>
              <w:rPr>
                <w:rFonts w:asciiTheme="minorEastAsia" w:hAnsiTheme="minorEastAsia" w:eastAsiaTheme="minorEastAsia"/>
                <w:color w:val="auto"/>
                <w:highlight w:val="none"/>
              </w:rPr>
            </w:pPr>
          </w:p>
        </w:tc>
      </w:tr>
    </w:tbl>
    <w:p>
      <w:pPr>
        <w:spacing w:line="40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（二）开标过程中的其他事项记录</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（三）出席开标会的单位和人员（附签到表）</w:t>
      </w:r>
    </w:p>
    <w:p>
      <w:pPr>
        <w:spacing w:line="400" w:lineRule="exact"/>
        <w:rPr>
          <w:rFonts w:asciiTheme="minorEastAsia" w:hAnsiTheme="minorEastAsia" w:eastAsiaTheme="minorEastAsia"/>
          <w:color w:val="auto"/>
          <w:highlight w:val="none"/>
        </w:rPr>
      </w:pPr>
    </w:p>
    <w:p>
      <w:pPr>
        <w:spacing w:line="400" w:lineRule="exact"/>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采购人代表：</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记录人：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监标人：</w:t>
      </w:r>
      <w:r>
        <w:rPr>
          <w:rFonts w:hint="eastAsia" w:asciiTheme="minorEastAsia" w:hAnsiTheme="minorEastAsia" w:eastAsiaTheme="minorEastAsia"/>
          <w:color w:val="auto"/>
          <w:highlight w:val="none"/>
          <w:u w:val="single"/>
        </w:rPr>
        <w:t xml:space="preserve">               </w:t>
      </w:r>
    </w:p>
    <w:p>
      <w:pPr>
        <w:spacing w:line="400" w:lineRule="exact"/>
        <w:rPr>
          <w:rFonts w:asciiTheme="minorEastAsia" w:hAnsiTheme="minorEastAsia" w:eastAsiaTheme="minorEastAsia"/>
          <w:color w:val="auto"/>
          <w:highlight w:val="none"/>
        </w:rPr>
      </w:pPr>
    </w:p>
    <w:p>
      <w:pPr>
        <w:spacing w:line="400" w:lineRule="exact"/>
        <w:ind w:firstLine="3780" w:firstLineChars="18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p>
    <w:p>
      <w:pPr>
        <w:pStyle w:val="102"/>
        <w:rPr>
          <w:rFonts w:asciiTheme="minorEastAsia" w:hAnsiTheme="minorEastAsia" w:eastAsiaTheme="minorEastAsia"/>
          <w:color w:val="auto"/>
          <w:highlight w:val="none"/>
        </w:rPr>
      </w:pPr>
      <w:bookmarkStart w:id="40" w:name="_Toc138238331"/>
      <w:r>
        <w:rPr>
          <w:rFonts w:hint="eastAsia" w:asciiTheme="minorEastAsia" w:hAnsiTheme="minorEastAsia" w:eastAsiaTheme="minorEastAsia"/>
          <w:color w:val="auto"/>
          <w:highlight w:val="none"/>
        </w:rPr>
        <w:t>附表二：问题澄清通知</w:t>
      </w:r>
      <w:bookmarkEnd w:id="40"/>
    </w:p>
    <w:p>
      <w:pPr>
        <w:spacing w:beforeLines="100" w:afterLines="100" w:line="40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问题澄清通知</w:t>
      </w:r>
    </w:p>
    <w:p>
      <w:pPr>
        <w:spacing w:line="400" w:lineRule="exact"/>
        <w:ind w:firstLine="5355" w:firstLineChars="2550"/>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编号：</w:t>
      </w:r>
      <w:r>
        <w:rPr>
          <w:rFonts w:hint="eastAsia" w:asciiTheme="minorEastAsia" w:hAnsiTheme="minorEastAsia" w:eastAsiaTheme="minorEastAsia"/>
          <w:color w:val="auto"/>
          <w:highlight w:val="none"/>
          <w:u w:val="single"/>
        </w:rPr>
        <w:t xml:space="preserve">                  </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（项目名称）施工采购的磋商小组，对你方的响应文件进行了仔细的审查，现需你方对本通知所附质疑问卷中的问题以书面形式予以澄清、说明或者补正。</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请将上述问题的澄清、说明或者补正于</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时前密封递交至（详细地址）或传真至</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（传真号码）。采用传真方式的，应在</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时前将原件递交至</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（详细地址）。</w:t>
      </w:r>
    </w:p>
    <w:p>
      <w:pPr>
        <w:spacing w:line="480" w:lineRule="exact"/>
        <w:rPr>
          <w:rFonts w:asciiTheme="minorEastAsia" w:hAnsiTheme="minorEastAsia" w:eastAsiaTheme="minorEastAsia"/>
          <w:color w:val="auto"/>
          <w:highlight w:val="none"/>
        </w:rPr>
      </w:pP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附件：质疑问卷</w:t>
      </w:r>
    </w:p>
    <w:p>
      <w:pPr>
        <w:spacing w:line="480" w:lineRule="exact"/>
        <w:ind w:firstLine="3570" w:firstLineChars="17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（项目名称）</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标段施工磋商小组</w:t>
      </w:r>
    </w:p>
    <w:p>
      <w:pPr>
        <w:spacing w:line="480" w:lineRule="exact"/>
        <w:ind w:firstLine="2625" w:firstLineChars="12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（经磋商小组授权的采购人代表签字或采购人加盖单位章）</w:t>
      </w:r>
    </w:p>
    <w:p>
      <w:pPr>
        <w:spacing w:line="480" w:lineRule="exact"/>
        <w:ind w:firstLine="4620" w:firstLineChars="2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bookmarkStart w:id="41" w:name="_Toc305067659"/>
      <w:bookmarkStart w:id="42" w:name="_Toc138238332"/>
      <w:r>
        <w:rPr>
          <w:rFonts w:hint="eastAsia" w:asciiTheme="minorEastAsia" w:hAnsiTheme="minorEastAsia" w:eastAsiaTheme="minorEastAsia"/>
          <w:color w:val="auto"/>
          <w:highlight w:val="none"/>
        </w:rPr>
        <w:t>附表三：问题的澄清</w:t>
      </w:r>
      <w:bookmarkEnd w:id="41"/>
      <w:r>
        <w:rPr>
          <w:rFonts w:hint="eastAsia" w:asciiTheme="minorEastAsia" w:hAnsiTheme="minorEastAsia" w:eastAsiaTheme="minorEastAsia"/>
          <w:color w:val="auto"/>
          <w:highlight w:val="none"/>
        </w:rPr>
        <w:t>、说明或补正</w:t>
      </w:r>
      <w:bookmarkEnd w:id="42"/>
    </w:p>
    <w:p>
      <w:pPr>
        <w:spacing w:beforeLines="100" w:afterLines="100" w:line="48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问题的澄清、说明或补正</w:t>
      </w:r>
    </w:p>
    <w:p>
      <w:pPr>
        <w:spacing w:line="400" w:lineRule="exact"/>
        <w:ind w:firstLine="5355" w:firstLineChars="2550"/>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编号：</w:t>
      </w:r>
      <w:r>
        <w:rPr>
          <w:rFonts w:hint="eastAsia" w:asciiTheme="minorEastAsia" w:hAnsiTheme="minorEastAsia" w:eastAsiaTheme="minorEastAsia"/>
          <w:color w:val="auto"/>
          <w:highlight w:val="none"/>
          <w:u w:val="single"/>
        </w:rPr>
        <w:t xml:space="preserve">                  </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（项目名称）施工磋商小组：</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问题澄清通知（编号：</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）已收悉，现澄清、说明或者补正如下：</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（盖单位章） </w:t>
      </w:r>
    </w:p>
    <w:p>
      <w:pPr>
        <w:wordWrap w:val="0"/>
        <w:spacing w:beforeLines="50" w:afterLines="50" w:line="480" w:lineRule="exact"/>
        <w:ind w:right="21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法定代表人或其委托代理人：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（签字）      </w:t>
      </w:r>
    </w:p>
    <w:p>
      <w:pPr>
        <w:spacing w:line="480" w:lineRule="exact"/>
        <w:ind w:firstLine="5775" w:firstLineChars="275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bookmarkStart w:id="43" w:name="_Toc152042361"/>
      <w:bookmarkStart w:id="44" w:name="_Toc144974551"/>
      <w:bookmarkStart w:id="45" w:name="_Toc152045584"/>
      <w:bookmarkStart w:id="46" w:name="_Toc245714145"/>
      <w:bookmarkStart w:id="47" w:name="_Toc245714966"/>
      <w:bookmarkStart w:id="48" w:name="_Toc138238333"/>
      <w:r>
        <w:rPr>
          <w:rFonts w:hint="eastAsia" w:asciiTheme="minorEastAsia" w:hAnsiTheme="minorEastAsia" w:eastAsiaTheme="minorEastAsia"/>
          <w:color w:val="auto"/>
          <w:highlight w:val="none"/>
        </w:rPr>
        <w:t>附表四：</w:t>
      </w:r>
      <w:bookmarkEnd w:id="43"/>
      <w:bookmarkEnd w:id="44"/>
      <w:bookmarkEnd w:id="45"/>
      <w:bookmarkEnd w:id="46"/>
      <w:bookmarkEnd w:id="47"/>
      <w:r>
        <w:rPr>
          <w:rFonts w:hint="eastAsia" w:asciiTheme="minorEastAsia" w:hAnsiTheme="minorEastAsia" w:eastAsiaTheme="minorEastAsia"/>
          <w:color w:val="auto"/>
          <w:highlight w:val="none"/>
        </w:rPr>
        <w:t>成交通知书</w:t>
      </w:r>
      <w:bookmarkEnd w:id="48"/>
    </w:p>
    <w:p>
      <w:pPr>
        <w:wordWrap w:val="0"/>
        <w:topLinePunct/>
        <w:adjustRightInd w:val="0"/>
        <w:spacing w:line="400" w:lineRule="exact"/>
        <w:jc w:val="center"/>
        <w:rPr>
          <w:rFonts w:hint="eastAsia" w:ascii="宋体" w:hAnsi="宋体" w:eastAsia="宋体" w:cs="宋体"/>
          <w:b/>
          <w:bCs/>
          <w:color w:val="auto"/>
          <w:sz w:val="32"/>
          <w:szCs w:val="32"/>
          <w:highlight w:val="none"/>
          <w:lang w:val="zh-CN"/>
        </w:rPr>
      </w:pPr>
      <w:bookmarkStart w:id="49" w:name="_Toc138238334"/>
      <w:bookmarkStart w:id="50" w:name="_Toc472166333"/>
      <w:r>
        <w:rPr>
          <w:rFonts w:hint="eastAsia" w:asciiTheme="minorEastAsia" w:hAnsiTheme="minorEastAsia" w:eastAsiaTheme="minorEastAsia"/>
          <w:b/>
          <w:bCs/>
          <w:color w:val="auto"/>
          <w:sz w:val="32"/>
          <w:szCs w:val="32"/>
          <w:highlight w:val="none"/>
        </w:rPr>
        <w:t>成交通知书</w:t>
      </w:r>
    </w:p>
    <w:tbl>
      <w:tblPr>
        <w:tblStyle w:val="47"/>
        <w:tblW w:w="9396"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6"/>
        <w:gridCol w:w="2700"/>
        <w:gridCol w:w="260"/>
        <w:gridCol w:w="1275"/>
        <w:gridCol w:w="3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成交通知书</w:t>
            </w:r>
            <w:r>
              <w:rPr>
                <w:rFonts w:hint="eastAsia" w:ascii="宋体" w:hAnsi="宋体" w:eastAsia="宋体" w:cs="宋体"/>
                <w:color w:val="auto"/>
                <w:sz w:val="21"/>
                <w:szCs w:val="21"/>
                <w:highlight w:val="none"/>
                <w:lang w:val="zh-CN"/>
              </w:rPr>
              <w:t>编号</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成交供应商</w:t>
            </w:r>
            <w:r>
              <w:rPr>
                <w:rFonts w:hint="eastAsia" w:ascii="宋体" w:hAnsi="宋体" w:eastAsia="宋体" w:cs="宋体"/>
                <w:color w:val="auto"/>
                <w:sz w:val="21"/>
                <w:szCs w:val="21"/>
                <w:highlight w:val="none"/>
                <w:lang w:val="zh-CN"/>
              </w:rPr>
              <w:t>名称</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lang w:val="zh-CN"/>
              </w:rPr>
              <w:t>名称</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建设</w:t>
            </w:r>
            <w:r>
              <w:rPr>
                <w:rFonts w:hint="eastAsia" w:ascii="宋体" w:hAnsi="宋体" w:eastAsia="宋体" w:cs="宋体"/>
                <w:color w:val="auto"/>
                <w:sz w:val="21"/>
                <w:szCs w:val="21"/>
                <w:highlight w:val="none"/>
                <w:lang w:val="zh-CN"/>
              </w:rPr>
              <w:t>地点</w:t>
            </w:r>
          </w:p>
        </w:tc>
        <w:tc>
          <w:tcPr>
            <w:tcW w:w="2960" w:type="dxa"/>
            <w:gridSpan w:val="2"/>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c>
          <w:tcPr>
            <w:tcW w:w="1275" w:type="dxa"/>
            <w:noWrap w:val="0"/>
            <w:vAlign w:val="center"/>
          </w:tcPr>
          <w:p>
            <w:pPr>
              <w:wordWrap w:val="0"/>
              <w:topLinePunct/>
              <w:adjustRightInd w:val="0"/>
              <w:spacing w:line="40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建设单位</w:t>
            </w:r>
          </w:p>
        </w:tc>
        <w:tc>
          <w:tcPr>
            <w:tcW w:w="3225" w:type="dxa"/>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9"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eastAsia="zh-CN"/>
              </w:rPr>
              <w:t>日期</w:t>
            </w:r>
          </w:p>
        </w:tc>
        <w:tc>
          <w:tcPr>
            <w:tcW w:w="2960" w:type="dxa"/>
            <w:gridSpan w:val="2"/>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c>
          <w:tcPr>
            <w:tcW w:w="1275" w:type="dxa"/>
            <w:noWrap w:val="0"/>
            <w:vAlign w:val="center"/>
          </w:tcPr>
          <w:p>
            <w:pPr>
              <w:wordWrap w:val="0"/>
              <w:topLinePunct/>
              <w:adjustRightInd w:val="0"/>
              <w:spacing w:line="40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方式</w:t>
            </w:r>
          </w:p>
        </w:tc>
        <w:tc>
          <w:tcPr>
            <w:tcW w:w="3225" w:type="dxa"/>
            <w:noWrap w:val="0"/>
            <w:vAlign w:val="center"/>
          </w:tcPr>
          <w:p>
            <w:pPr>
              <w:wordWrap w:val="0"/>
              <w:topLinePunct/>
              <w:adjustRightInd w:val="0"/>
              <w:spacing w:line="400" w:lineRule="exact"/>
              <w:ind w:firstLine="210" w:firstLineChars="10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项目经理</w:t>
            </w:r>
          </w:p>
        </w:tc>
        <w:tc>
          <w:tcPr>
            <w:tcW w:w="2960" w:type="dxa"/>
            <w:gridSpan w:val="2"/>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c>
          <w:tcPr>
            <w:tcW w:w="1275" w:type="dxa"/>
            <w:noWrap w:val="0"/>
            <w:vAlign w:val="center"/>
          </w:tcPr>
          <w:p>
            <w:pPr>
              <w:wordWrap w:val="0"/>
              <w:topLinePunct/>
              <w:adjustRightInd w:val="0"/>
              <w:spacing w:line="400" w:lineRule="exact"/>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资格</w:t>
            </w:r>
            <w:r>
              <w:rPr>
                <w:rFonts w:hint="eastAsia" w:ascii="宋体" w:hAnsi="宋体" w:eastAsia="宋体" w:cs="宋体"/>
                <w:color w:val="auto"/>
                <w:sz w:val="21"/>
                <w:szCs w:val="21"/>
                <w:highlight w:val="none"/>
                <w:lang w:val="zh-CN"/>
              </w:rPr>
              <w:t>等级</w:t>
            </w:r>
          </w:p>
        </w:tc>
        <w:tc>
          <w:tcPr>
            <w:tcW w:w="3225" w:type="dxa"/>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1936" w:type="dxa"/>
            <w:noWrap w:val="0"/>
            <w:vAlign w:val="center"/>
          </w:tcPr>
          <w:p>
            <w:pPr>
              <w:wordWrap w:val="0"/>
              <w:topLinePunct/>
              <w:adjustRightInd w:val="0"/>
              <w:spacing w:line="40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成交金额</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计划</w:t>
            </w:r>
            <w:r>
              <w:rPr>
                <w:rFonts w:hint="eastAsia" w:ascii="宋体" w:hAnsi="宋体" w:eastAsia="宋体" w:cs="宋体"/>
                <w:color w:val="auto"/>
                <w:sz w:val="21"/>
                <w:szCs w:val="21"/>
                <w:highlight w:val="none"/>
                <w:lang w:val="zh-CN"/>
              </w:rPr>
              <w:t>工期</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质量</w:t>
            </w:r>
            <w:r>
              <w:rPr>
                <w:rFonts w:hint="eastAsia" w:ascii="宋体" w:hAnsi="宋体" w:eastAsia="宋体" w:cs="宋体"/>
                <w:color w:val="auto"/>
                <w:sz w:val="21"/>
                <w:szCs w:val="21"/>
                <w:highlight w:val="none"/>
                <w:lang w:val="en-US" w:eastAsia="zh-CN"/>
              </w:rPr>
              <w:t>标准</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1936" w:type="dxa"/>
            <w:noWrap w:val="0"/>
            <w:vAlign w:val="center"/>
          </w:tcPr>
          <w:p>
            <w:pPr>
              <w:wordWrap w:val="0"/>
              <w:topLinePunct/>
              <w:adjustRightInd w:val="0"/>
              <w:spacing w:line="400" w:lineRule="exact"/>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采购内容</w:t>
            </w:r>
          </w:p>
        </w:tc>
        <w:tc>
          <w:tcPr>
            <w:tcW w:w="7460" w:type="dxa"/>
            <w:gridSpan w:val="4"/>
            <w:noWrap w:val="0"/>
            <w:vAlign w:val="center"/>
          </w:tcPr>
          <w:p>
            <w:pPr>
              <w:wordWrap w:val="0"/>
              <w:topLinePunct/>
              <w:adjustRightInd w:val="0"/>
              <w:spacing w:line="400" w:lineRule="exact"/>
              <w:ind w:firstLine="735" w:firstLineChars="35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trPr>
        <w:tc>
          <w:tcPr>
            <w:tcW w:w="9396" w:type="dxa"/>
            <w:gridSpan w:val="5"/>
            <w:noWrap w:val="0"/>
            <w:vAlign w:val="center"/>
          </w:tcPr>
          <w:p>
            <w:pPr>
              <w:wordWrap w:val="0"/>
              <w:topLinePunct/>
              <w:adjustRightInd w:val="0"/>
              <w:spacing w:line="400" w:lineRule="exact"/>
              <w:ind w:firstLine="735" w:firstLineChars="35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请采购人与成交供应商在成交通知书发出之日起30日内，依法签订合同。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1" w:hRule="atLeast"/>
        </w:trPr>
        <w:tc>
          <w:tcPr>
            <w:tcW w:w="4636" w:type="dxa"/>
            <w:gridSpan w:val="2"/>
            <w:noWrap w:val="0"/>
            <w:vAlign w:val="top"/>
          </w:tcPr>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人（章）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法人代表（章）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jc w:val="righ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年    月    日</w:t>
            </w:r>
          </w:p>
        </w:tc>
        <w:tc>
          <w:tcPr>
            <w:tcW w:w="4760" w:type="dxa"/>
            <w:gridSpan w:val="3"/>
            <w:noWrap w:val="0"/>
            <w:vAlign w:val="top"/>
          </w:tcPr>
          <w:p>
            <w:pPr>
              <w:wordWrap w:val="0"/>
              <w:topLinePunct/>
              <w:adjustRightInd w:val="0"/>
              <w:spacing w:line="400" w:lineRule="exact"/>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代理机构（章）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法人代表（章）</w:t>
            </w: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rPr>
                <w:rFonts w:hint="eastAsia" w:ascii="宋体" w:hAnsi="宋体" w:eastAsia="宋体" w:cs="宋体"/>
                <w:color w:val="auto"/>
                <w:sz w:val="21"/>
                <w:szCs w:val="21"/>
                <w:highlight w:val="none"/>
                <w:lang w:val="zh-CN"/>
              </w:rPr>
            </w:pPr>
          </w:p>
          <w:p>
            <w:pPr>
              <w:wordWrap w:val="0"/>
              <w:topLinePunct/>
              <w:adjustRightInd w:val="0"/>
              <w:spacing w:line="400" w:lineRule="exact"/>
              <w:ind w:firstLine="735" w:firstLineChars="350"/>
              <w:jc w:val="righ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年    月    日</w:t>
            </w:r>
          </w:p>
        </w:tc>
      </w:tr>
    </w:tbl>
    <w:p>
      <w:pPr>
        <w:bidi w:val="0"/>
        <w:rPr>
          <w:rFonts w:hint="eastAsia" w:ascii="宋体" w:hAnsi="宋体" w:eastAsia="宋体" w:cs="宋体"/>
          <w:color w:val="auto"/>
          <w:sz w:val="21"/>
          <w:szCs w:val="21"/>
          <w:highlight w:val="none"/>
          <w:lang w:val="zh-CN"/>
        </w:rPr>
      </w:pPr>
    </w:p>
    <w:p>
      <w:pPr>
        <w:bidi w:val="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注：此《成交通知书》一式六份，采购代理机构、采购单位、供应商、政府采购管理办公室等各执一份备案。</w:t>
      </w:r>
    </w:p>
    <w:p>
      <w:pPr>
        <w:pStyle w:val="10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附表五：</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结果通知书</w:t>
      </w:r>
      <w:bookmarkEnd w:id="49"/>
      <w:bookmarkEnd w:id="50"/>
    </w:p>
    <w:p>
      <w:pPr>
        <w:spacing w:beforeLines="100" w:afterLines="100" w:line="48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lang w:eastAsia="zh-CN"/>
        </w:rPr>
        <w:t>未成交</w:t>
      </w:r>
      <w:r>
        <w:rPr>
          <w:rFonts w:hint="eastAsia" w:asciiTheme="minorEastAsia" w:hAnsiTheme="minorEastAsia" w:eastAsiaTheme="minorEastAsia"/>
          <w:color w:val="auto"/>
          <w:sz w:val="28"/>
          <w:szCs w:val="28"/>
          <w:highlight w:val="none"/>
        </w:rPr>
        <w:t>结果通知书</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人名称）：</w:t>
      </w:r>
    </w:p>
    <w:p>
      <w:pPr>
        <w:spacing w:line="480" w:lineRule="exact"/>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我方已接受</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成交人名称</w:t>
      </w:r>
      <w:r>
        <w:rPr>
          <w:rFonts w:hint="eastAsia" w:asciiTheme="minorEastAsia" w:hAnsiTheme="minorEastAsia" w:eastAsiaTheme="minorEastAsia"/>
          <w:color w:val="auto"/>
          <w:highlight w:val="none"/>
        </w:rPr>
        <w:t>）于</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（响应日期）所递交的</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（项目名称）施工响应文件，确定</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成交人名称</w:t>
      </w:r>
      <w:r>
        <w:rPr>
          <w:rFonts w:hint="eastAsia" w:asciiTheme="minorEastAsia" w:hAnsiTheme="minorEastAsia" w:eastAsiaTheme="minorEastAsia"/>
          <w:color w:val="auto"/>
          <w:highlight w:val="none"/>
        </w:rPr>
        <w:t>）为中标人。</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感谢你单位对我方工作的大力支持!</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（盖单位章）        </w:t>
      </w: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（签字</w:t>
      </w:r>
      <w:r>
        <w:rPr>
          <w:rFonts w:hint="eastAsia" w:asciiTheme="minorEastAsia" w:hAnsiTheme="minorEastAsia" w:eastAsiaTheme="minorEastAsia"/>
          <w:color w:val="auto"/>
          <w:highlight w:val="none"/>
          <w:lang w:val="en-US" w:eastAsia="zh-CN"/>
        </w:rPr>
        <w:t>或盖章</w:t>
      </w:r>
      <w:r>
        <w:rPr>
          <w:rFonts w:hint="eastAsia" w:asciiTheme="minorEastAsia" w:hAnsiTheme="minorEastAsia" w:eastAsiaTheme="minorEastAsia"/>
          <w:color w:val="auto"/>
          <w:highlight w:val="none"/>
        </w:rPr>
        <w:t xml:space="preserve">）        </w:t>
      </w:r>
    </w:p>
    <w:p>
      <w:pPr>
        <w:spacing w:line="480" w:lineRule="exact"/>
        <w:ind w:firstLine="4689" w:firstLineChars="223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spacing w:line="480" w:lineRule="exact"/>
        <w:rPr>
          <w:rFonts w:asciiTheme="minorEastAsia" w:hAnsiTheme="minorEastAsia" w:eastAsiaTheme="minorEastAsia"/>
          <w:color w:val="auto"/>
          <w:highlight w:val="none"/>
        </w:rPr>
      </w:pP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注：</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的</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可根据其企业实际需求到采购人（采购代理机构）领取“</w:t>
      </w:r>
      <w:r>
        <w:rPr>
          <w:rFonts w:hint="eastAsia" w:asciiTheme="minorEastAsia" w:hAnsiTheme="minorEastAsia" w:eastAsiaTheme="minorEastAsia"/>
          <w:color w:val="auto"/>
          <w:highlight w:val="none"/>
          <w:lang w:eastAsia="zh-CN"/>
        </w:rPr>
        <w:t>未成交</w:t>
      </w:r>
      <w:r>
        <w:rPr>
          <w:rFonts w:hint="eastAsia" w:asciiTheme="minorEastAsia" w:hAnsiTheme="minorEastAsia" w:eastAsiaTheme="minorEastAsia"/>
          <w:color w:val="auto"/>
          <w:highlight w:val="none"/>
        </w:rPr>
        <w:t>结果通知书”。中标公示期后未领取的，采购人（采购代理机构）不在另行通知。</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bookmarkStart w:id="51" w:name="_Toc138238335"/>
      <w:r>
        <w:rPr>
          <w:rFonts w:hint="eastAsia" w:asciiTheme="minorEastAsia" w:hAnsiTheme="minorEastAsia" w:eastAsiaTheme="minorEastAsia"/>
          <w:color w:val="auto"/>
          <w:highlight w:val="none"/>
        </w:rPr>
        <w:t>附表六：确认通知</w:t>
      </w:r>
      <w:bookmarkEnd w:id="51"/>
    </w:p>
    <w:p>
      <w:pPr>
        <w:spacing w:beforeLines="100" w:afterLines="100" w:line="48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确认通知</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（采购人名称）：</w:t>
      </w:r>
    </w:p>
    <w:p>
      <w:pPr>
        <w:spacing w:line="480" w:lineRule="exact"/>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你方</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日发出的</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（项目名称）施工采购关于</w:t>
      </w: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的通知，我方已于</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日收到。</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特此确认。</w:t>
      </w: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spacing w:line="480" w:lineRule="exact"/>
        <w:ind w:firstLine="420" w:firstLineChars="200"/>
        <w:rPr>
          <w:rFonts w:asciiTheme="minorEastAsia" w:hAnsiTheme="minorEastAsia" w:eastAsiaTheme="minorEastAsia"/>
          <w:color w:val="auto"/>
          <w:highlight w:val="none"/>
        </w:rPr>
      </w:pPr>
    </w:p>
    <w:p>
      <w:pPr>
        <w:wordWrap w:val="0"/>
        <w:spacing w:line="480" w:lineRule="exact"/>
        <w:ind w:firstLine="420" w:firstLineChars="200"/>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 （盖单位章）     </w:t>
      </w:r>
    </w:p>
    <w:p>
      <w:pPr>
        <w:wordWrap w:val="0"/>
        <w:spacing w:line="480" w:lineRule="exact"/>
        <w:jc w:val="righ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 xml:space="preserve">日      </w:t>
      </w:r>
    </w:p>
    <w:p>
      <w:pPr>
        <w:spacing w:line="480" w:lineRule="exact"/>
        <w:rPr>
          <w:rFonts w:asciiTheme="minorEastAsia" w:hAnsiTheme="minorEastAsia" w:eastAsiaTheme="minorEastAsia"/>
          <w:color w:val="auto"/>
          <w:highlight w:val="none"/>
        </w:rPr>
      </w:pPr>
    </w:p>
    <w:p>
      <w:pPr>
        <w:spacing w:line="48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注：此表视项目具体情况提供，当《磋商文件》或《补遗通知》明确需要确认时可按此格式进行填写盖章后依据要求方式回复确认。当未明确要求时此项不作为废标条件。</w:t>
      </w:r>
    </w:p>
    <w:p>
      <w:pPr>
        <w:rPr>
          <w:rFonts w:asciiTheme="minorEastAsia" w:hAnsiTheme="minorEastAsia" w:eastAsiaTheme="minorEastAsia"/>
          <w:color w:val="auto"/>
          <w:highlight w:val="none"/>
        </w:rPr>
      </w:pPr>
    </w:p>
    <w:p>
      <w:pPr>
        <w:pStyle w:val="4"/>
        <w:spacing w:line="400" w:lineRule="exact"/>
        <w:rPr>
          <w:color w:val="auto"/>
          <w:highlight w:val="none"/>
        </w:rPr>
      </w:pPr>
      <w:r>
        <w:rPr>
          <w:color w:val="auto"/>
          <w:highlight w:val="none"/>
        </w:rPr>
        <w:br w:type="page"/>
      </w:r>
      <w:bookmarkStart w:id="52" w:name="_Toc17202875"/>
      <w:bookmarkStart w:id="53" w:name="_Toc138238336"/>
      <w:bookmarkStart w:id="54" w:name="_Toc72249589"/>
      <w:r>
        <w:rPr>
          <w:rFonts w:hint="eastAsia"/>
          <w:color w:val="auto"/>
          <w:highlight w:val="none"/>
        </w:rPr>
        <w:t>第三章  评标办法（综合评估法）</w:t>
      </w:r>
      <w:bookmarkEnd w:id="52"/>
      <w:bookmarkEnd w:id="53"/>
      <w:bookmarkEnd w:id="54"/>
    </w:p>
    <w:p>
      <w:pPr>
        <w:wordWrap w:val="0"/>
        <w:jc w:val="center"/>
        <w:outlineLvl w:val="2"/>
        <w:rPr>
          <w:rFonts w:hint="eastAsia" w:ascii="宋体" w:hAnsi="宋体" w:eastAsia="宋体" w:cs="宋体"/>
          <w:b/>
          <w:bCs/>
          <w:color w:val="auto"/>
          <w:sz w:val="21"/>
          <w:szCs w:val="21"/>
          <w:highlight w:val="none"/>
        </w:rPr>
      </w:pPr>
      <w:bookmarkStart w:id="55" w:name="_Toc51244669"/>
      <w:bookmarkStart w:id="56" w:name="_Toc138238339"/>
      <w:bookmarkStart w:id="57" w:name="_Toc201719125"/>
      <w:bookmarkStart w:id="58" w:name="_Toc295201508"/>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lang w:val="en-US" w:eastAsia="zh-CN"/>
        </w:rPr>
        <w:t>一</w:t>
      </w:r>
      <w:r>
        <w:rPr>
          <w:rFonts w:hint="eastAsia" w:ascii="宋体" w:hAnsi="宋体" w:eastAsia="宋体" w:cs="宋体"/>
          <w:b/>
          <w:color w:val="auto"/>
          <w:sz w:val="28"/>
          <w:szCs w:val="28"/>
          <w:highlight w:val="none"/>
          <w:lang w:eastAsia="zh-CN"/>
        </w:rPr>
        <w:t>）</w:t>
      </w:r>
      <w:r>
        <w:rPr>
          <w:rFonts w:hint="eastAsia" w:ascii="宋体" w:hAnsi="宋体" w:eastAsia="宋体" w:cs="宋体"/>
          <w:b/>
          <w:bCs/>
          <w:color w:val="auto"/>
          <w:sz w:val="28"/>
          <w:szCs w:val="28"/>
          <w:highlight w:val="none"/>
        </w:rPr>
        <w:t xml:space="preserve"> 初步评审表</w:t>
      </w:r>
    </w:p>
    <w:tbl>
      <w:tblPr>
        <w:tblStyle w:val="47"/>
        <w:tblW w:w="9894" w:type="dxa"/>
        <w:tblInd w:w="-176" w:type="dxa"/>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Layout w:type="fixed"/>
        <w:tblCellMar>
          <w:top w:w="0" w:type="dxa"/>
          <w:left w:w="108" w:type="dxa"/>
          <w:bottom w:w="0" w:type="dxa"/>
          <w:right w:w="108" w:type="dxa"/>
        </w:tblCellMar>
      </w:tblPr>
      <w:tblGrid>
        <w:gridCol w:w="872"/>
        <w:gridCol w:w="546"/>
        <w:gridCol w:w="2107"/>
        <w:gridCol w:w="6369"/>
      </w:tblGrid>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83" w:hRule="atLeast"/>
          <w:tblHeader/>
        </w:trPr>
        <w:tc>
          <w:tcPr>
            <w:tcW w:w="1418" w:type="dxa"/>
            <w:gridSpan w:val="2"/>
            <w:tcBorders>
              <w:top w:val="single" w:color="000000" w:sz="12" w:space="0"/>
            </w:tcBorders>
            <w:noWrap w:val="0"/>
            <w:vAlign w:val="center"/>
          </w:tcPr>
          <w:p>
            <w:pPr>
              <w:wordWrap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条款号</w:t>
            </w:r>
          </w:p>
        </w:tc>
        <w:tc>
          <w:tcPr>
            <w:tcW w:w="2107" w:type="dxa"/>
            <w:tcBorders>
              <w:top w:val="single" w:color="000000" w:sz="12" w:space="0"/>
            </w:tcBorders>
            <w:noWrap w:val="0"/>
            <w:vAlign w:val="center"/>
          </w:tcPr>
          <w:p>
            <w:pPr>
              <w:wordWrap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评审因素</w:t>
            </w:r>
          </w:p>
        </w:tc>
        <w:tc>
          <w:tcPr>
            <w:tcW w:w="6369" w:type="dxa"/>
            <w:tcBorders>
              <w:top w:val="single" w:color="000000" w:sz="12" w:space="0"/>
            </w:tcBorders>
            <w:noWrap w:val="0"/>
            <w:vAlign w:val="center"/>
          </w:tcPr>
          <w:p>
            <w:pPr>
              <w:wordWrap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评审标准</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872"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w:t>
            </w:r>
          </w:p>
        </w:tc>
        <w:tc>
          <w:tcPr>
            <w:tcW w:w="546"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形</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式</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准</w:t>
            </w: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名称</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与营业执照、资质证书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安全生产许可证一致为合格，否则为不合格。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签字和盖章要求</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按照磋商文件规定的要求执行为合格，否则为不合格。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086"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响应文件的编制</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按照磋商文件规定的要求编制</w:t>
            </w:r>
            <w:r>
              <w:rPr>
                <w:rFonts w:hint="eastAsia" w:ascii="宋体" w:hAnsi="宋体" w:eastAsia="宋体" w:cs="宋体"/>
                <w:bCs/>
                <w:color w:val="auto"/>
                <w:sz w:val="21"/>
                <w:szCs w:val="21"/>
                <w:highlight w:val="none"/>
              </w:rPr>
              <w:t>，内容齐全、关键字迹清晰、符合响应文件格式的要求为合格；未按</w:t>
            </w:r>
            <w:r>
              <w:rPr>
                <w:rFonts w:hint="eastAsia" w:ascii="宋体" w:hAnsi="宋体" w:eastAsia="宋体" w:cs="宋体"/>
                <w:color w:val="auto"/>
                <w:sz w:val="21"/>
                <w:szCs w:val="21"/>
                <w:highlight w:val="none"/>
              </w:rPr>
              <w:t>磋商文件</w:t>
            </w:r>
            <w:r>
              <w:rPr>
                <w:rFonts w:hint="eastAsia" w:ascii="宋体" w:hAnsi="宋体" w:eastAsia="宋体" w:cs="宋体"/>
                <w:bCs/>
                <w:color w:val="auto"/>
                <w:sz w:val="21"/>
                <w:szCs w:val="21"/>
                <w:highlight w:val="none"/>
              </w:rPr>
              <w:t>规定的要求编制，内容不全或关键字迹模糊、无法辨认，不符合响应文件格式的要求为不合格。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报价唯一</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合格：只能有一个有效报价；</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不合格：有两个或多个报价，且未声明哪一个有效（按磋商文件规定提交备选投标方案的除外）。</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8476" w:type="dxa"/>
            <w:gridSpan w:val="2"/>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上述评审因素都合格为形式评审合格，有一项不合格为废标。不再进行下一步评审。</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w:t>
            </w:r>
          </w:p>
        </w:tc>
        <w:tc>
          <w:tcPr>
            <w:tcW w:w="546"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格</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准</w:t>
            </w: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必须是中国境内依法登记注册具有独立承担民事责任能力的法人、其他组织或者自然人，并在年检有效期内。</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资质证书</w:t>
            </w:r>
          </w:p>
        </w:tc>
        <w:tc>
          <w:tcPr>
            <w:tcW w:w="6369" w:type="dxa"/>
            <w:noWrap w:val="0"/>
            <w:vAlign w:val="center"/>
          </w:tcPr>
          <w:p>
            <w:pPr>
              <w:pStyle w:val="95"/>
              <w:rPr>
                <w:rFonts w:hint="eastAsia"/>
                <w:color w:val="auto"/>
                <w:highlight w:val="none"/>
              </w:rPr>
            </w:pPr>
            <w:r>
              <w:rPr>
                <w:rFonts w:hint="eastAsia" w:ascii="Times New Roman" w:hAnsi="Times New Roman" w:eastAsia="宋体" w:cs="Times New Roman"/>
                <w:color w:val="auto"/>
                <w:kern w:val="2"/>
                <w:sz w:val="21"/>
                <w:highlight w:val="none"/>
                <w:lang w:val="en-US" w:eastAsia="zh-CN" w:bidi="ar-SA"/>
              </w:rPr>
              <w:t>具备建筑工程施工总承包叁级及以上资质。</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安全生产许可证</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具备有效的安全生产许可证。</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中小企业声明函</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中小企业</w:t>
            </w:r>
            <w:r>
              <w:rPr>
                <w:rFonts w:hint="eastAsia" w:ascii="宋体" w:hAnsi="宋体" w:eastAsia="宋体" w:cs="宋体"/>
                <w:color w:val="auto"/>
                <w:sz w:val="21"/>
                <w:szCs w:val="21"/>
                <w:highlight w:val="none"/>
              </w:rPr>
              <w:t>须出具《政府采购促进中小企业发展管理办法》的通知（财库〔2020〕46号）规定的《中小企业声明函》。</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此次若有监狱企业参加投标的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根据财政部、司法部联合印发《关于政府采购支持监狱企业发展有关问题的通知》(财库【2014】68号)文件规定，凡监狱企业参加政府采购活动视同小型、微型企业。须提供由省级以上监狱管理局、戒毒管理局(含新疆生产建设兵团)出具的属于监狱企业的证明文件）。</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根据财库〔2017〕141号规定，符合条件的残疾人福利性单位在参加政府采购活动时，视同小型、微型企业，享受促进中小企业发展的政府采购政策，残疾人福利性单位须在投标文件中提供《残疾人福利性单位声明函》，否则不予认定。</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c>
          <w:tcPr>
            <w:tcW w:w="6369" w:type="dxa"/>
            <w:noWrap w:val="0"/>
            <w:vAlign w:val="center"/>
          </w:tcPr>
          <w:p>
            <w:pPr>
              <w:wordWrap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具备</w:t>
            </w:r>
            <w:r>
              <w:rPr>
                <w:rFonts w:hint="eastAsia" w:ascii="宋体" w:hAnsi="宋体" w:eastAsia="宋体" w:cs="宋体"/>
                <w:bCs/>
                <w:color w:val="auto"/>
                <w:sz w:val="21"/>
                <w:szCs w:val="21"/>
                <w:highlight w:val="none"/>
                <w:lang w:eastAsia="zh-CN"/>
              </w:rPr>
              <w:t>建筑工程专业二级</w:t>
            </w:r>
            <w:r>
              <w:rPr>
                <w:rFonts w:hint="eastAsia" w:ascii="宋体" w:hAnsi="宋体" w:eastAsia="宋体" w:cs="宋体"/>
                <w:bCs/>
                <w:color w:val="auto"/>
                <w:sz w:val="21"/>
                <w:szCs w:val="21"/>
                <w:highlight w:val="none"/>
              </w:rPr>
              <w:t>及以上注册建造师执业资格（须在本单位注册），并具备有效的安全生产考核合格证书，</w:t>
            </w:r>
            <w:r>
              <w:rPr>
                <w:rFonts w:hint="eastAsia" w:ascii="宋体" w:hAnsi="宋体" w:eastAsia="宋体" w:cs="宋体"/>
                <w:b/>
                <w:bCs w:val="0"/>
                <w:color w:val="auto"/>
                <w:sz w:val="21"/>
                <w:szCs w:val="21"/>
                <w:highlight w:val="none"/>
              </w:rPr>
              <w:t>提供无在建承诺书</w:t>
            </w:r>
            <w:r>
              <w:rPr>
                <w:rFonts w:hint="eastAsia" w:ascii="宋体" w:hAnsi="宋体" w:eastAsia="宋体" w:cs="宋体"/>
                <w:bCs/>
                <w:color w:val="auto"/>
                <w:sz w:val="21"/>
                <w:szCs w:val="21"/>
                <w:highlight w:val="none"/>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546" w:type="dxa"/>
            <w:vMerge w:val="continue"/>
            <w:noWrap w:val="0"/>
            <w:vAlign w:val="center"/>
          </w:tcPr>
          <w:p>
            <w:pPr>
              <w:wordWrap w:val="0"/>
              <w:jc w:val="center"/>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项目管理机构其他人员</w:t>
            </w:r>
          </w:p>
        </w:tc>
        <w:tc>
          <w:tcPr>
            <w:tcW w:w="6369" w:type="dxa"/>
            <w:noWrap w:val="0"/>
            <w:vAlign w:val="center"/>
          </w:tcPr>
          <w:p>
            <w:pPr>
              <w:autoSpaceDE w:val="0"/>
              <w:autoSpaceDN w:val="0"/>
              <w:adjustRightInd w:val="0"/>
              <w:snapToGrid w:val="0"/>
              <w:spacing w:line="340" w:lineRule="exact"/>
              <w:jc w:val="left"/>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项目管理机构其他人员（技术负责人、施工员、质量员、安全员等）配备齐全。除项目经理外，最少应配备技术负责人1人，施工员1人、质量员1人、专职安全员1人</w:t>
            </w:r>
            <w:r>
              <w:rPr>
                <w:rFonts w:hint="eastAsia" w:ascii="宋体" w:hAnsi="宋体" w:cs="宋体"/>
                <w:bCs/>
                <w:color w:val="auto"/>
                <w:sz w:val="21"/>
                <w:szCs w:val="21"/>
                <w:highlight w:val="none"/>
                <w:lang w:eastAsia="zh-CN"/>
              </w:rPr>
              <w:t>，</w:t>
            </w:r>
            <w:r>
              <w:rPr>
                <w:rFonts w:hint="eastAsia" w:ascii="宋体" w:hAnsi="宋体" w:eastAsia="宋体" w:cs="宋体"/>
                <w:bCs/>
                <w:color w:val="auto"/>
                <w:sz w:val="21"/>
                <w:szCs w:val="21"/>
                <w:highlight w:val="none"/>
              </w:rPr>
              <w:t>技术负责人具有相关专业中级及以上职称</w:t>
            </w:r>
            <w:r>
              <w:rPr>
                <w:rFonts w:hint="eastAsia" w:ascii="宋体" w:hAnsi="宋体" w:cs="宋体"/>
                <w:bCs/>
                <w:color w:val="auto"/>
                <w:sz w:val="21"/>
                <w:szCs w:val="21"/>
                <w:highlight w:val="none"/>
                <w:lang w:eastAsia="zh-CN"/>
              </w:rPr>
              <w:t>。</w:t>
            </w:r>
            <w:r>
              <w:rPr>
                <w:rFonts w:hint="eastAsia" w:ascii="宋体" w:hAnsi="宋体" w:eastAsia="宋体"/>
                <w:color w:val="auto"/>
                <w:szCs w:val="21"/>
                <w:highlight w:val="none"/>
              </w:rPr>
              <w:t>需提供上岗证或职称证</w:t>
            </w:r>
            <w:r>
              <w:rPr>
                <w:rFonts w:hint="eastAsia" w:ascii="宋体" w:hAnsi="宋体" w:eastAsia="宋体"/>
                <w:color w:val="auto"/>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财务状况</w:t>
            </w:r>
          </w:p>
        </w:tc>
        <w:tc>
          <w:tcPr>
            <w:tcW w:w="6369" w:type="dxa"/>
            <w:noWrap w:val="0"/>
            <w:vAlign w:val="center"/>
          </w:tcPr>
          <w:p>
            <w:pPr>
              <w:wordWrap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符合第二章“</w:t>
            </w:r>
            <w:r>
              <w:rPr>
                <w:rFonts w:hint="eastAsia" w:ascii="宋体" w:hAnsi="宋体" w:eastAsia="宋体" w:cs="宋体"/>
                <w:bCs/>
                <w:color w:val="auto"/>
                <w:sz w:val="21"/>
                <w:szCs w:val="21"/>
                <w:highlight w:val="none"/>
                <w:lang w:eastAsia="zh-CN"/>
              </w:rPr>
              <w:t>供应商须知</w:t>
            </w:r>
            <w:r>
              <w:rPr>
                <w:rFonts w:hint="eastAsia" w:ascii="宋体" w:hAnsi="宋体" w:eastAsia="宋体" w:cs="宋体"/>
                <w:bCs/>
                <w:color w:val="auto"/>
                <w:sz w:val="21"/>
                <w:szCs w:val="21"/>
                <w:highlight w:val="none"/>
              </w:rPr>
              <w:t>前附表”第1.4.1项规定。</w:t>
            </w:r>
          </w:p>
          <w:p>
            <w:pPr>
              <w:wordWrap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提供近三年（</w:t>
            </w:r>
            <w:r>
              <w:rPr>
                <w:rFonts w:hint="eastAsia" w:ascii="宋体" w:hAnsi="宋体" w:cs="宋体"/>
                <w:bCs/>
                <w:color w:val="auto"/>
                <w:sz w:val="21"/>
                <w:szCs w:val="21"/>
                <w:highlight w:val="none"/>
                <w:lang w:eastAsia="zh-CN"/>
              </w:rPr>
              <w:t>2021 年、2022 年、2023</w:t>
            </w:r>
            <w:r>
              <w:rPr>
                <w:rFonts w:hint="eastAsia" w:ascii="宋体" w:hAnsi="宋体" w:eastAsia="宋体" w:cs="宋体"/>
                <w:bCs/>
                <w:color w:val="auto"/>
                <w:sz w:val="21"/>
                <w:szCs w:val="21"/>
                <w:highlight w:val="none"/>
              </w:rPr>
              <w:t>年）公司财务报表或财务审计报告，供应商的成立时间少于规定年份的，应提供成立以来至 202</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 xml:space="preserve"> 年的公司财务报表或财务审计报告，202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rPr>
              <w:t xml:space="preserve"> 年之后新成立企业需提供银行出具的公司资信证明。近 </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rPr>
              <w:t>个月（任意一个月即可）依法缴纳税收和社会保障资金的相关材料。</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信誉要求</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1、提供磋商公告发布之日至开标之日期间的任意一天的“信用</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中国”网站未列入“①失信被执行人②重大税收违法失信主体”</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的官网截图并加盖公章；提供磋商公告发布之日至开标之日期间</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任意一天查询的“中国政府采购网”未列入“政府采购严重违法</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失信行为记录名单”的官网截图并加盖公章；</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须在“中国裁判文书网”自行查询近三年（</w:t>
            </w:r>
            <w:r>
              <w:rPr>
                <w:rFonts w:hint="eastAsia" w:ascii="宋体" w:hAnsi="宋体" w:cs="宋体"/>
                <w:color w:val="auto"/>
                <w:sz w:val="21"/>
                <w:szCs w:val="21"/>
                <w:highlight w:val="none"/>
                <w:lang w:val="en-US" w:eastAsia="zh-CN"/>
              </w:rPr>
              <w:t>2021年03月01日—磋商公告发布之日</w:t>
            </w:r>
            <w:r>
              <w:rPr>
                <w:rFonts w:hint="eastAsia" w:ascii="宋体" w:hAnsi="宋体" w:eastAsia="宋体" w:cs="宋体"/>
                <w:color w:val="auto"/>
                <w:sz w:val="21"/>
                <w:szCs w:val="21"/>
                <w:highlight w:val="none"/>
              </w:rPr>
              <w:t>至开标之日期间任意一天）</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单位和个人（指法定代表人）的行贿犯罪记录（案由：行贿），且提供查询页面无行贿记录的截图并加盖公章作为无行贿犯罪记录证明；</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3、（1）拒绝列入政府取消投标资格记录期间的企业或个人投标，</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过去三年内，</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没有骗取中标或严重违约以及发生重大工程质量事故等问题，须出具有法定代表人签署并加盖公章的承诺</w:t>
            </w:r>
          </w:p>
          <w:p>
            <w:pPr>
              <w:keepNext w:val="0"/>
              <w:keepLines w:val="0"/>
              <w:widowControl/>
              <w:suppressLineNumbers w:val="0"/>
              <w:jc w:val="left"/>
              <w:rPr>
                <w:color w:val="auto"/>
                <w:highlight w:val="none"/>
              </w:rPr>
            </w:pPr>
            <w:r>
              <w:rPr>
                <w:rFonts w:hint="eastAsia" w:ascii="宋体" w:hAnsi="宋体" w:eastAsia="宋体" w:cs="宋体"/>
                <w:color w:val="auto"/>
                <w:sz w:val="21"/>
                <w:szCs w:val="21"/>
                <w:highlight w:val="none"/>
              </w:rPr>
              <w:t>书；（2）投标企业（含本地、外埠投标企业）需提供</w:t>
            </w:r>
            <w:r>
              <w:rPr>
                <w:rFonts w:hint="eastAsia" w:ascii="宋体" w:hAnsi="宋体" w:cs="宋体"/>
                <w:color w:val="auto"/>
                <w:sz w:val="21"/>
                <w:szCs w:val="21"/>
                <w:highlight w:val="none"/>
                <w:lang w:eastAsia="zh-CN"/>
              </w:rPr>
              <w:t>响应供应商</w:t>
            </w:r>
            <w:r>
              <w:rPr>
                <w:rFonts w:hint="eastAsia" w:ascii="宋体" w:hAnsi="宋体" w:eastAsia="宋体" w:cs="宋体"/>
                <w:color w:val="auto"/>
                <w:sz w:val="21"/>
                <w:szCs w:val="21"/>
                <w:highlight w:val="none"/>
              </w:rPr>
              <w:t>自</w:t>
            </w:r>
            <w:r>
              <w:rPr>
                <w:rFonts w:hint="eastAsia" w:ascii="宋体" w:hAnsi="宋体" w:eastAsia="宋体" w:cs="宋体"/>
                <w:color w:val="auto"/>
                <w:kern w:val="0"/>
                <w:sz w:val="21"/>
                <w:szCs w:val="21"/>
                <w:highlight w:val="none"/>
                <w:lang w:val="en-US" w:eastAsia="zh-CN" w:bidi="ar"/>
              </w:rPr>
              <w:t xml:space="preserve">行出具的企业诚信证明承诺；（3）参加政府采购活动前 3 年内 </w:t>
            </w:r>
          </w:p>
          <w:p>
            <w:pPr>
              <w:keepNext w:val="0"/>
              <w:keepLines w:val="0"/>
              <w:widowControl/>
              <w:suppressLineNumbers w:val="0"/>
              <w:jc w:val="left"/>
              <w:rPr>
                <w:color w:val="auto"/>
                <w:highlight w:val="none"/>
              </w:rPr>
            </w:pPr>
            <w:r>
              <w:rPr>
                <w:rFonts w:hint="eastAsia" w:ascii="宋体" w:hAnsi="宋体" w:eastAsia="宋体" w:cs="宋体"/>
                <w:color w:val="auto"/>
                <w:kern w:val="0"/>
                <w:sz w:val="21"/>
                <w:szCs w:val="21"/>
                <w:highlight w:val="none"/>
                <w:lang w:val="en-US" w:eastAsia="zh-CN" w:bidi="ar"/>
              </w:rPr>
              <w:t>在经营活动中没有重大违法记录的书面声明；（4）</w:t>
            </w:r>
            <w:r>
              <w:rPr>
                <w:rFonts w:hint="eastAsia" w:ascii="宋体" w:hAnsi="宋体" w:cs="宋体"/>
                <w:color w:val="auto"/>
                <w:kern w:val="0"/>
                <w:sz w:val="21"/>
                <w:szCs w:val="21"/>
                <w:highlight w:val="none"/>
                <w:lang w:val="en-US" w:eastAsia="zh-CN" w:bidi="ar"/>
              </w:rPr>
              <w:t>响应供应商</w:t>
            </w:r>
            <w:r>
              <w:rPr>
                <w:rFonts w:hint="eastAsia" w:ascii="宋体" w:hAnsi="宋体" w:eastAsia="宋体" w:cs="宋体"/>
                <w:color w:val="auto"/>
                <w:kern w:val="0"/>
                <w:sz w:val="21"/>
                <w:szCs w:val="21"/>
                <w:highlight w:val="none"/>
                <w:lang w:val="en-US" w:eastAsia="zh-CN" w:bidi="ar"/>
              </w:rPr>
              <w:t xml:space="preserve">须提 </w:t>
            </w:r>
          </w:p>
          <w:p>
            <w:pPr>
              <w:keepNext w:val="0"/>
              <w:keepLines w:val="0"/>
              <w:widowControl/>
              <w:suppressLineNumbers w:val="0"/>
              <w:jc w:val="left"/>
              <w:rPr>
                <w:color w:val="auto"/>
                <w:highlight w:val="none"/>
              </w:rPr>
            </w:pPr>
            <w:r>
              <w:rPr>
                <w:rFonts w:hint="eastAsia" w:ascii="宋体" w:hAnsi="宋体" w:eastAsia="宋体" w:cs="宋体"/>
                <w:color w:val="auto"/>
                <w:kern w:val="0"/>
                <w:sz w:val="21"/>
                <w:szCs w:val="21"/>
                <w:highlight w:val="none"/>
                <w:lang w:val="en-US" w:eastAsia="zh-CN" w:bidi="ar"/>
              </w:rPr>
              <w:t xml:space="preserve">供不参与涉黑涉恶承诺书并加盖公章。 </w:t>
            </w:r>
          </w:p>
          <w:p>
            <w:pPr>
              <w:keepNext w:val="0"/>
              <w:keepLines w:val="0"/>
              <w:widowControl/>
              <w:suppressLineNumbers w:val="0"/>
              <w:jc w:val="left"/>
              <w:rPr>
                <w:color w:val="auto"/>
                <w:highlight w:val="none"/>
              </w:rPr>
            </w:pPr>
            <w:r>
              <w:rPr>
                <w:rFonts w:hint="eastAsia" w:ascii="宋体" w:hAnsi="宋体" w:eastAsia="宋体" w:cs="宋体"/>
                <w:color w:val="auto"/>
                <w:kern w:val="0"/>
                <w:sz w:val="21"/>
                <w:szCs w:val="21"/>
                <w:highlight w:val="none"/>
                <w:lang w:val="en-US" w:eastAsia="zh-CN" w:bidi="ar"/>
              </w:rPr>
              <w:t xml:space="preserve">投标文件内 3 附由法定代表人或其委托代理人签字并加盖投标单位公章的承诺书，1 至 2 附网站查询截图复印件加盖投标单位公章（截图或拍照内容要完整清晰，应包括网站网址、查询内容、电脑截屏时间。） </w:t>
            </w:r>
          </w:p>
          <w:p>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满足磋商文件规定的要求为合格，否则为不合格。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7121"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其它要求</w:t>
            </w:r>
          </w:p>
        </w:tc>
        <w:tc>
          <w:tcPr>
            <w:tcW w:w="6369" w:type="dxa"/>
            <w:noWrap w:val="0"/>
            <w:vAlign w:val="center"/>
          </w:tcPr>
          <w:p>
            <w:pPr>
              <w:numPr>
                <w:ilvl w:val="0"/>
                <w:numId w:val="0"/>
              </w:numPr>
              <w:wordWrap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1、</w:t>
            </w:r>
            <w:r>
              <w:rPr>
                <w:rFonts w:hint="eastAsia" w:ascii="宋体" w:hAnsi="宋体" w:eastAsia="宋体" w:cs="宋体"/>
                <w:color w:val="auto"/>
                <w:sz w:val="21"/>
                <w:szCs w:val="21"/>
                <w:highlight w:val="none"/>
                <w:lang w:val="en-US" w:eastAsia="zh-CN"/>
              </w:rPr>
              <w:t>外省入吉建筑企业应按照相关要求在“吉林省建筑市场监管公共服务平台”办理入吉企业信息登记后方可参加投标，凡在“吉林省建筑市场监管公共服务平台”查询不到的企业和管理人员，不得参与投标报名；投标文件内附有效截图复印件加盖投标单位公章。</w:t>
            </w:r>
          </w:p>
          <w:p>
            <w:pPr>
              <w:numPr>
                <w:ilvl w:val="0"/>
                <w:numId w:val="0"/>
              </w:numPr>
              <w:wordWrap w:val="0"/>
              <w:rPr>
                <w:rFonts w:hint="eastAsia" w:ascii="宋体" w:hAnsi="宋体" w:eastAsia="宋体" w:cs="宋体"/>
                <w:bCs/>
                <w:color w:val="auto"/>
                <w:sz w:val="21"/>
                <w:szCs w:val="21"/>
                <w:highlight w:val="none"/>
              </w:rPr>
            </w:pPr>
            <w:r>
              <w:rPr>
                <w:rFonts w:hint="eastAsia" w:ascii="宋体" w:hAnsi="宋体" w:eastAsia="宋体" w:cs="宋体"/>
                <w:bCs/>
                <w:color w:val="auto"/>
                <w:kern w:val="2"/>
                <w:sz w:val="21"/>
                <w:szCs w:val="21"/>
                <w:highlight w:val="none"/>
                <w:lang w:val="en-US" w:eastAsia="zh-CN" w:bidi="ar-SA"/>
              </w:rPr>
              <w:t>2、</w:t>
            </w:r>
            <w:r>
              <w:rPr>
                <w:rFonts w:hint="eastAsia" w:ascii="宋体" w:hAnsi="宋体" w:eastAsia="宋体" w:cs="宋体"/>
                <w:bCs/>
                <w:color w:val="auto"/>
                <w:sz w:val="21"/>
                <w:szCs w:val="21"/>
                <w:highlight w:val="none"/>
              </w:rPr>
              <w:t>单位负责人为同一人或者存在直接控股、管理关系的不同供应商，不得参加同一合同项下的政府采购活动。违反规定的，相关投标均无效。</w:t>
            </w:r>
          </w:p>
          <w:p>
            <w:pPr>
              <w:numPr>
                <w:ilvl w:val="0"/>
                <w:numId w:val="0"/>
              </w:numPr>
              <w:wordWrap w:val="0"/>
              <w:rPr>
                <w:rFonts w:hint="eastAsia" w:ascii="宋体" w:hAnsi="宋体" w:eastAsia="宋体" w:cs="宋体"/>
                <w:bCs/>
                <w:color w:val="auto"/>
                <w:sz w:val="21"/>
                <w:szCs w:val="21"/>
                <w:highlight w:val="none"/>
              </w:rPr>
            </w:pPr>
            <w:r>
              <w:rPr>
                <w:rFonts w:hint="eastAsia" w:ascii="宋体" w:hAnsi="宋体" w:eastAsia="宋体" w:cs="宋体"/>
                <w:bCs/>
                <w:color w:val="auto"/>
                <w:kern w:val="2"/>
                <w:sz w:val="21"/>
                <w:szCs w:val="21"/>
                <w:highlight w:val="none"/>
                <w:lang w:val="en-US" w:eastAsia="zh-CN" w:bidi="ar-SA"/>
              </w:rPr>
              <w:t>3、</w:t>
            </w:r>
            <w:r>
              <w:rPr>
                <w:rFonts w:hint="eastAsia" w:ascii="宋体" w:hAnsi="宋体" w:eastAsia="宋体" w:cs="宋体"/>
                <w:bCs/>
                <w:color w:val="auto"/>
                <w:sz w:val="21"/>
                <w:szCs w:val="21"/>
                <w:highlight w:val="none"/>
              </w:rPr>
              <w:t>对磋商文件的全部条款做出实质性响应；</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、本项目不接受联合体投标、不允许分包；</w:t>
            </w:r>
          </w:p>
          <w:p>
            <w:pPr>
              <w:wordWrap w:val="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、不存在磋商文件要求的其他</w:t>
            </w:r>
            <w:r>
              <w:rPr>
                <w:rFonts w:hint="eastAsia" w:ascii="宋体" w:hAnsi="宋体" w:eastAsia="宋体" w:cs="宋体"/>
                <w:color w:val="auto"/>
                <w:sz w:val="21"/>
                <w:szCs w:val="21"/>
                <w:highlight w:val="none"/>
                <w:lang w:val="zh-CN"/>
              </w:rPr>
              <w:t>无效投标的情形；</w:t>
            </w:r>
          </w:p>
          <w:p>
            <w:pPr>
              <w:wordWrap w:val="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、不存在</w:t>
            </w:r>
            <w:r>
              <w:rPr>
                <w:rFonts w:hint="eastAsia" w:ascii="宋体" w:hAnsi="宋体" w:eastAsia="宋体" w:cs="宋体"/>
                <w:color w:val="auto"/>
                <w:sz w:val="21"/>
                <w:szCs w:val="21"/>
                <w:highlight w:val="none"/>
              </w:rPr>
              <w:t>磋商文件中规定的其他废标条款</w:t>
            </w:r>
            <w:r>
              <w:rPr>
                <w:rFonts w:hint="eastAsia" w:ascii="宋体" w:hAnsi="宋体" w:eastAsia="宋体" w:cs="宋体"/>
                <w:bCs/>
                <w:color w:val="auto"/>
                <w:sz w:val="21"/>
                <w:szCs w:val="21"/>
                <w:highlight w:val="none"/>
              </w:rPr>
              <w:t>。</w:t>
            </w:r>
          </w:p>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满足磋商文件的要求为合格，否则为不合格。</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8476" w:type="dxa"/>
            <w:gridSpan w:val="2"/>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上述评审因素都合格为资格评审合格，有一项不合格为废标。不再进行下一步评审。</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1342" w:hRule="atLeast"/>
        </w:trPr>
        <w:tc>
          <w:tcPr>
            <w:tcW w:w="872"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w:t>
            </w:r>
          </w:p>
        </w:tc>
        <w:tc>
          <w:tcPr>
            <w:tcW w:w="546" w:type="dxa"/>
            <w:vMerge w:val="restart"/>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性</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w:t>
            </w:r>
          </w:p>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准</w:t>
            </w: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建设规模</w:t>
            </w:r>
          </w:p>
        </w:tc>
        <w:tc>
          <w:tcPr>
            <w:tcW w:w="6369" w:type="dxa"/>
            <w:noWrap w:val="0"/>
            <w:vAlign w:val="center"/>
          </w:tcPr>
          <w:p>
            <w:pPr>
              <w:wordWrap w:val="0"/>
              <w:rPr>
                <w:rFonts w:hint="eastAsia" w:ascii="宋体" w:hAnsi="宋体" w:eastAsia="宋体" w:cs="宋体"/>
                <w:b/>
                <w:bCs/>
                <w:color w:val="auto"/>
                <w:sz w:val="21"/>
                <w:szCs w:val="21"/>
                <w:highlight w:val="none"/>
                <w:lang w:val="zh-CN" w:eastAsia="zh-CN"/>
              </w:rPr>
            </w:pPr>
            <w:r>
              <w:rPr>
                <w:rFonts w:hint="eastAsia" w:ascii="宋体" w:hAnsi="宋体" w:eastAsia="宋体" w:cs="宋体"/>
                <w:color w:val="auto"/>
                <w:sz w:val="21"/>
                <w:szCs w:val="21"/>
                <w:highlight w:val="none"/>
              </w:rPr>
              <w:t>符合第二章“</w:t>
            </w:r>
            <w:r>
              <w:rPr>
                <w:rFonts w:hint="eastAsia" w:ascii="宋体" w:hAnsi="宋体" w:eastAsia="宋体" w:cs="宋体"/>
                <w:color w:val="auto"/>
                <w:sz w:val="21"/>
                <w:szCs w:val="21"/>
                <w:highlight w:val="none"/>
                <w:lang w:eastAsia="zh-CN"/>
              </w:rPr>
              <w:t>供应商须知</w:t>
            </w:r>
            <w:r>
              <w:rPr>
                <w:rFonts w:hint="eastAsia" w:ascii="宋体" w:hAnsi="宋体" w:eastAsia="宋体" w:cs="宋体"/>
                <w:color w:val="auto"/>
                <w:sz w:val="21"/>
                <w:szCs w:val="21"/>
                <w:highlight w:val="none"/>
              </w:rPr>
              <w:t>前附表”第1.3.1项规定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计划工期</w:t>
            </w:r>
          </w:p>
        </w:tc>
        <w:tc>
          <w:tcPr>
            <w:tcW w:w="6369" w:type="dxa"/>
            <w:noWrap w:val="0"/>
            <w:vAlign w:val="center"/>
          </w:tcPr>
          <w:p>
            <w:pPr>
              <w:jc w:val="left"/>
              <w:rPr>
                <w:rFonts w:hint="default" w:ascii="宋体" w:hAnsi="宋体" w:eastAsia="宋体" w:cs="宋体"/>
                <w:color w:val="auto"/>
                <w:sz w:val="21"/>
                <w:szCs w:val="21"/>
                <w:highlight w:val="none"/>
                <w:lang w:val="en-US" w:eastAsia="zh-CN"/>
              </w:rPr>
            </w:pPr>
            <w:r>
              <w:rPr>
                <w:rFonts w:hint="eastAsia" w:asciiTheme="minorEastAsia" w:hAnsiTheme="minorEastAsia"/>
                <w:color w:val="auto"/>
                <w:highlight w:val="none"/>
              </w:rPr>
              <w:t>自合同签订之日起152日历日内</w:t>
            </w:r>
            <w:r>
              <w:rPr>
                <w:rFonts w:hint="eastAsia" w:asciiTheme="minorEastAsia" w:hAnsiTheme="minorEastAsia"/>
                <w:color w:val="auto"/>
                <w:highlight w:val="none"/>
                <w:lang w:eastAsia="zh-CN"/>
              </w:rPr>
              <w:t>完成</w:t>
            </w:r>
            <w:r>
              <w:rPr>
                <w:rFonts w:hint="default" w:ascii="宋体" w:hAnsi="宋体" w:eastAsia="宋体" w:cs="宋体"/>
                <w:color w:val="auto"/>
                <w:sz w:val="21"/>
                <w:szCs w:val="21"/>
                <w:highlight w:val="none"/>
                <w:lang w:val="en-US"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质量标准</w:t>
            </w:r>
          </w:p>
        </w:tc>
        <w:tc>
          <w:tcPr>
            <w:tcW w:w="6369" w:type="dxa"/>
            <w:noWrap w:val="0"/>
            <w:vAlign w:val="center"/>
          </w:tcPr>
          <w:p>
            <w:pPr>
              <w:wordWrap w:val="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eastAsia="zh-CN"/>
              </w:rPr>
              <w:t>符合国家现行相关工程质量验收标准的合格工程标准。</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质量</w:t>
            </w:r>
            <w:r>
              <w:rPr>
                <w:rFonts w:hint="eastAsia" w:ascii="宋体" w:hAnsi="宋体" w:eastAsia="宋体" w:cs="宋体"/>
                <w:color w:val="auto"/>
                <w:sz w:val="21"/>
                <w:szCs w:val="21"/>
                <w:highlight w:val="none"/>
                <w:lang w:val="en-US" w:eastAsia="zh-CN"/>
              </w:rPr>
              <w:t>保修期</w:t>
            </w:r>
          </w:p>
        </w:tc>
        <w:tc>
          <w:tcPr>
            <w:tcW w:w="6369" w:type="dxa"/>
            <w:noWrap w:val="0"/>
            <w:vAlign w:val="center"/>
          </w:tcPr>
          <w:p>
            <w:pPr>
              <w:wordWrap w:val="0"/>
              <w:rPr>
                <w:rFonts w:hint="eastAsia" w:ascii="宋体" w:hAnsi="宋体" w:eastAsia="宋体" w:cs="宋体"/>
                <w:b/>
                <w:bCs/>
                <w:color w:val="auto"/>
                <w:sz w:val="21"/>
                <w:szCs w:val="21"/>
                <w:highlight w:val="none"/>
                <w:lang w:val="zh-CN" w:eastAsia="zh-CN"/>
              </w:rPr>
            </w:pPr>
            <w:r>
              <w:rPr>
                <w:rFonts w:hint="eastAsia" w:ascii="宋体" w:hAnsi="宋体" w:eastAsia="宋体" w:cs="宋体"/>
                <w:color w:val="auto"/>
                <w:kern w:val="24"/>
                <w:sz w:val="21"/>
                <w:szCs w:val="21"/>
                <w:highlight w:val="none"/>
              </w:rPr>
              <w:t>符合国家有关规定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响应有效期</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90天。</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磋商保证金</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按照磋商文件规定的要求递交磋商保证金，有缴纳凭证加盖公章或财务章【要求清晰可见】。</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权利义务</w:t>
            </w:r>
          </w:p>
        </w:tc>
        <w:tc>
          <w:tcPr>
            <w:tcW w:w="6369" w:type="dxa"/>
            <w:noWrap w:val="0"/>
            <w:vAlign w:val="center"/>
          </w:tcPr>
          <w:p>
            <w:pPr>
              <w:wordWrap w:val="0"/>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符合第</w:t>
            </w:r>
            <w:r>
              <w:rPr>
                <w:rFonts w:hint="eastAsia" w:ascii="宋体" w:hAnsi="宋体" w:eastAsia="宋体" w:cs="宋体"/>
                <w:color w:val="auto"/>
                <w:sz w:val="21"/>
                <w:szCs w:val="21"/>
                <w:highlight w:val="none"/>
                <w:lang w:val="en-US" w:eastAsia="zh-CN"/>
              </w:rPr>
              <w:t>四</w:t>
            </w:r>
            <w:r>
              <w:rPr>
                <w:rFonts w:hint="eastAsia" w:ascii="宋体" w:hAnsi="宋体" w:eastAsia="宋体" w:cs="宋体"/>
                <w:color w:val="auto"/>
                <w:sz w:val="21"/>
                <w:szCs w:val="21"/>
                <w:highlight w:val="none"/>
              </w:rPr>
              <w:t>章“合同条款及格式”规定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已标价工程量清单</w:t>
            </w:r>
          </w:p>
        </w:tc>
        <w:tc>
          <w:tcPr>
            <w:tcW w:w="6369" w:type="dxa"/>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符合磋商文件“工程量清单”给出的范围及数量、编号一致，造价专业人员盖执业印章并签字。</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技术标准和要求</w:t>
            </w:r>
          </w:p>
        </w:tc>
        <w:tc>
          <w:tcPr>
            <w:tcW w:w="6369" w:type="dxa"/>
            <w:noWrap w:val="0"/>
            <w:vAlign w:val="center"/>
          </w:tcPr>
          <w:p>
            <w:pP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符合第七章“技术标准和要求”规定</w:t>
            </w:r>
            <w:r>
              <w:rPr>
                <w:rFonts w:hint="eastAsia" w:ascii="宋体" w:hAnsi="宋体" w:eastAsia="宋体" w:cs="宋体"/>
                <w:color w:val="auto"/>
                <w:sz w:val="21"/>
                <w:szCs w:val="21"/>
                <w:highlight w:val="none"/>
                <w:lang w:eastAsia="zh-CN"/>
              </w:rPr>
              <w:t>。</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872" w:type="dxa"/>
            <w:vMerge w:val="continue"/>
            <w:noWrap w:val="0"/>
            <w:vAlign w:val="top"/>
          </w:tcPr>
          <w:p>
            <w:pPr>
              <w:wordWrap w:val="0"/>
              <w:rPr>
                <w:rFonts w:hint="eastAsia" w:ascii="宋体" w:hAnsi="宋体" w:eastAsia="宋体" w:cs="宋体"/>
                <w:color w:val="auto"/>
                <w:sz w:val="21"/>
                <w:szCs w:val="21"/>
                <w:highlight w:val="none"/>
              </w:rPr>
            </w:pPr>
          </w:p>
        </w:tc>
        <w:tc>
          <w:tcPr>
            <w:tcW w:w="546" w:type="dxa"/>
            <w:vMerge w:val="continue"/>
            <w:noWrap w:val="0"/>
            <w:vAlign w:val="top"/>
          </w:tcPr>
          <w:p>
            <w:pPr>
              <w:wordWrap w:val="0"/>
              <w:rPr>
                <w:rFonts w:hint="eastAsia" w:ascii="宋体" w:hAnsi="宋体" w:eastAsia="宋体" w:cs="宋体"/>
                <w:color w:val="auto"/>
                <w:sz w:val="21"/>
                <w:szCs w:val="21"/>
                <w:highlight w:val="none"/>
              </w:rPr>
            </w:pPr>
          </w:p>
        </w:tc>
        <w:tc>
          <w:tcPr>
            <w:tcW w:w="2107" w:type="dxa"/>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磋商报价</w:t>
            </w:r>
          </w:p>
        </w:tc>
        <w:tc>
          <w:tcPr>
            <w:tcW w:w="6369" w:type="dxa"/>
            <w:noWrap w:val="0"/>
            <w:vAlign w:val="center"/>
          </w:tcPr>
          <w:p>
            <w:pPr>
              <w:wordWrap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满足磋商文件关于磋商报价的要求，不超过最高投标限价。</w:t>
            </w:r>
          </w:p>
        </w:tc>
      </w:tr>
      <w:tr>
        <w:tblPrEx>
          <w:tblBorders>
            <w:top w:val="single" w:color="000000" w:sz="12" w:space="0"/>
            <w:left w:val="single" w:color="000000" w:sz="12" w:space="0"/>
            <w:bottom w:val="single" w:color="000000"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72" w:type="dxa"/>
            <w:vMerge w:val="continue"/>
            <w:tcBorders>
              <w:bottom w:val="single" w:color="000000" w:sz="12" w:space="0"/>
            </w:tcBorders>
            <w:noWrap w:val="0"/>
            <w:vAlign w:val="top"/>
          </w:tcPr>
          <w:p>
            <w:pPr>
              <w:wordWrap w:val="0"/>
              <w:rPr>
                <w:rFonts w:hint="eastAsia" w:ascii="宋体" w:hAnsi="宋体" w:eastAsia="宋体" w:cs="宋体"/>
                <w:color w:val="auto"/>
                <w:sz w:val="21"/>
                <w:szCs w:val="21"/>
                <w:highlight w:val="none"/>
              </w:rPr>
            </w:pPr>
          </w:p>
        </w:tc>
        <w:tc>
          <w:tcPr>
            <w:tcW w:w="546" w:type="dxa"/>
            <w:vMerge w:val="continue"/>
            <w:tcBorders>
              <w:bottom w:val="single" w:color="000000" w:sz="12" w:space="0"/>
            </w:tcBorders>
            <w:noWrap w:val="0"/>
            <w:vAlign w:val="top"/>
          </w:tcPr>
          <w:p>
            <w:pPr>
              <w:wordWrap w:val="0"/>
              <w:rPr>
                <w:rFonts w:hint="eastAsia" w:ascii="宋体" w:hAnsi="宋体" w:eastAsia="宋体" w:cs="宋体"/>
                <w:color w:val="auto"/>
                <w:sz w:val="21"/>
                <w:szCs w:val="21"/>
                <w:highlight w:val="none"/>
              </w:rPr>
            </w:pPr>
          </w:p>
        </w:tc>
        <w:tc>
          <w:tcPr>
            <w:tcW w:w="8476" w:type="dxa"/>
            <w:gridSpan w:val="2"/>
            <w:tcBorders>
              <w:bottom w:val="single" w:color="000000" w:sz="12" w:space="0"/>
            </w:tcBorders>
            <w:noWrap w:val="0"/>
            <w:vAlign w:val="center"/>
          </w:tcPr>
          <w:p>
            <w:pPr>
              <w:wordWrap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上述评审因素都合格为响应性评审合格，有一项不合格为废标。不再进行下一步评审。</w:t>
            </w:r>
          </w:p>
        </w:tc>
      </w:tr>
    </w:tbl>
    <w:p>
      <w:pPr>
        <w:wordWrap w:val="0"/>
        <w:spacing w:line="360" w:lineRule="exact"/>
        <w:outlineLvl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注：1、“通过”表示该项评审标准实质性响应磋商文件的要求，“不通过”表示该项评审标准未实质性响应磋商文件的要求；</w:t>
      </w:r>
    </w:p>
    <w:p>
      <w:pPr>
        <w:numPr>
          <w:ilvl w:val="0"/>
          <w:numId w:val="3"/>
        </w:numPr>
        <w:wordWrap w:val="0"/>
        <w:spacing w:line="360" w:lineRule="exact"/>
        <w:outlineLvl w:val="2"/>
        <w:rPr>
          <w:rFonts w:hint="eastAsia"/>
          <w:color w:val="auto"/>
          <w:highlight w:val="none"/>
        </w:rPr>
      </w:pPr>
      <w:r>
        <w:rPr>
          <w:rFonts w:hint="eastAsia" w:ascii="宋体" w:hAnsi="宋体" w:eastAsia="宋体" w:cs="宋体"/>
          <w:color w:val="auto"/>
          <w:sz w:val="21"/>
          <w:szCs w:val="21"/>
          <w:highlight w:val="none"/>
        </w:rPr>
        <w:t>结论汇总意见采取少数服从多数原则，即超过半数评委的结论为“通过”该</w:t>
      </w:r>
      <w:r>
        <w:rPr>
          <w:rFonts w:hint="eastAsia" w:ascii="宋体" w:hAnsi="宋体" w:cs="宋体"/>
          <w:color w:val="auto"/>
          <w:sz w:val="21"/>
          <w:szCs w:val="21"/>
          <w:highlight w:val="none"/>
          <w:lang w:eastAsia="zh-CN"/>
        </w:rPr>
        <w:t>响应供应商</w:t>
      </w:r>
      <w:r>
        <w:rPr>
          <w:rFonts w:hint="eastAsia" w:ascii="宋体" w:hAnsi="宋体" w:eastAsia="宋体" w:cs="宋体"/>
          <w:bCs/>
          <w:color w:val="auto"/>
          <w:sz w:val="21"/>
          <w:szCs w:val="21"/>
          <w:highlight w:val="none"/>
        </w:rPr>
        <w:t>初步评审合同，否则不合格</w:t>
      </w: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pStyle w:val="2"/>
        <w:numPr>
          <w:ilvl w:val="0"/>
          <w:numId w:val="0"/>
        </w:numPr>
        <w:rPr>
          <w:rFonts w:hint="eastAsia"/>
          <w:color w:val="auto"/>
          <w:highlight w:val="none"/>
        </w:rPr>
      </w:pPr>
    </w:p>
    <w:p>
      <w:pPr>
        <w:wordWrap w:val="0"/>
        <w:jc w:val="center"/>
        <w:rPr>
          <w:rFonts w:hint="eastAsia" w:ascii="宋体" w:hAnsi="宋体" w:eastAsia="宋体" w:cs="宋体"/>
          <w:b/>
          <w:bCs/>
          <w:color w:val="auto"/>
          <w:sz w:val="28"/>
          <w:szCs w:val="28"/>
          <w:highlight w:val="none"/>
          <w:lang w:val="en-US" w:eastAsia="zh-CN"/>
        </w:rPr>
      </w:pPr>
      <w:bookmarkStart w:id="59" w:name="_Toc298829780"/>
      <w:bookmarkStart w:id="60" w:name="_Toc384307749"/>
      <w:bookmarkStart w:id="61" w:name="_Toc343857079"/>
      <w:bookmarkStart w:id="62" w:name="_Toc298920131"/>
      <w:bookmarkStart w:id="63" w:name="_Toc350418067"/>
      <w:bookmarkStart w:id="64" w:name="_Toc298190443"/>
      <w:bookmarkStart w:id="65" w:name="_Toc299108446"/>
      <w:bookmarkStart w:id="66" w:name="_Toc297209476"/>
      <w:bookmarkStart w:id="67" w:name="_Toc298830022"/>
      <w:r>
        <w:rPr>
          <w:rFonts w:hint="eastAsia" w:ascii="宋体" w:hAnsi="宋体" w:eastAsia="宋体" w:cs="宋体"/>
          <w:b/>
          <w:bCs/>
          <w:color w:val="auto"/>
          <w:sz w:val="28"/>
          <w:szCs w:val="28"/>
          <w:highlight w:val="none"/>
          <w:lang w:val="en-US" w:eastAsia="zh-CN"/>
        </w:rPr>
        <w:t>（二）详细评审表</w:t>
      </w:r>
      <w:bookmarkEnd w:id="59"/>
      <w:bookmarkEnd w:id="60"/>
      <w:bookmarkEnd w:id="61"/>
      <w:bookmarkEnd w:id="62"/>
      <w:bookmarkEnd w:id="63"/>
      <w:bookmarkEnd w:id="64"/>
      <w:bookmarkEnd w:id="65"/>
      <w:bookmarkEnd w:id="66"/>
      <w:bookmarkEnd w:id="67"/>
    </w:p>
    <w:tbl>
      <w:tblPr>
        <w:tblStyle w:val="47"/>
        <w:tblW w:w="515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
        <w:gridCol w:w="1121"/>
        <w:gridCol w:w="1379"/>
        <w:gridCol w:w="4771"/>
        <w:gridCol w:w="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条款号</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评审因素</w:t>
            </w:r>
          </w:p>
        </w:tc>
        <w:tc>
          <w:tcPr>
            <w:tcW w:w="3104"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2.2.1</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分值构成</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(总分100分)</w:t>
            </w:r>
          </w:p>
        </w:tc>
        <w:tc>
          <w:tcPr>
            <w:tcW w:w="3104" w:type="pct"/>
            <w:gridSpan w:val="2"/>
            <w:tcBorders>
              <w:tl2br w:val="nil"/>
              <w:tr2bl w:val="nil"/>
            </w:tcBorders>
            <w:noWrap w:val="0"/>
            <w:vAlign w:val="top"/>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施工组织设计：</w:t>
            </w:r>
            <w:r>
              <w:rPr>
                <w:rFonts w:hint="eastAsia" w:ascii="宋体" w:hAnsi="宋体" w:cs="宋体"/>
                <w:color w:val="auto"/>
                <w:sz w:val="21"/>
                <w:szCs w:val="21"/>
                <w:highlight w:val="none"/>
                <w:lang w:val="en-US" w:eastAsia="zh-CN"/>
              </w:rPr>
              <w:t>50</w:t>
            </w:r>
            <w:r>
              <w:rPr>
                <w:rFonts w:hint="eastAsia" w:ascii="宋体" w:hAnsi="宋体" w:eastAsia="宋体" w:cs="宋体"/>
                <w:color w:val="auto"/>
                <w:sz w:val="21"/>
                <w:szCs w:val="21"/>
                <w:highlight w:val="none"/>
              </w:rPr>
              <w:t>分。</w:t>
            </w:r>
          </w:p>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项目管理机构：</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磋商报价：30分。</w:t>
            </w:r>
          </w:p>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其他评分因素：</w:t>
            </w:r>
            <w:r>
              <w:rPr>
                <w:rFonts w:hint="eastAsia" w:ascii="宋体" w:hAnsi="宋体" w:cs="宋体"/>
                <w:color w:val="auto"/>
                <w:sz w:val="21"/>
                <w:szCs w:val="21"/>
                <w:highlight w:val="none"/>
                <w:lang w:val="en-US" w:eastAsia="zh-CN"/>
              </w:rPr>
              <w:t>13</w:t>
            </w:r>
            <w:r>
              <w:rPr>
                <w:rFonts w:hint="eastAsia" w:ascii="宋体" w:hAnsi="宋体" w:eastAsia="宋体" w:cs="宋体"/>
                <w:color w:val="auto"/>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2.2.2</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评标基准价</w:t>
            </w:r>
          </w:p>
        </w:tc>
        <w:tc>
          <w:tcPr>
            <w:tcW w:w="3104" w:type="pct"/>
            <w:gridSpan w:val="2"/>
            <w:tcBorders>
              <w:tl2br w:val="nil"/>
              <w:tr2bl w:val="nil"/>
            </w:tcBorders>
            <w:noWrap w:val="0"/>
            <w:vAlign w:val="top"/>
          </w:tcPr>
          <w:p>
            <w:pPr>
              <w:wordWrap w:val="0"/>
              <w:jc w:val="left"/>
              <w:rPr>
                <w:rFonts w:hint="eastAsia" w:ascii="宋体" w:hAnsi="宋体" w:eastAsia="宋体" w:cs="宋体"/>
                <w:color w:val="auto"/>
                <w:sz w:val="21"/>
                <w:szCs w:val="21"/>
                <w:highlight w:val="none"/>
                <w:lang w:val="zh-CN"/>
              </w:rPr>
            </w:pP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满足磋商文件要求且最后报价最低的供应商的价格为磋商基准价。</w:t>
            </w:r>
          </w:p>
          <w:p>
            <w:pPr>
              <w:wordWrap w:val="0"/>
              <w:jc w:val="left"/>
              <w:rPr>
                <w:rFonts w:hint="eastAsia" w:ascii="宋体" w:hAnsi="宋体" w:eastAsia="宋体" w:cs="宋体"/>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1110" w:type="pct"/>
            <w:gridSpan w:val="2"/>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条款号</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评分因素</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评分标准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2.2.</w:t>
            </w:r>
            <w:r>
              <w:rPr>
                <w:rFonts w:hint="eastAsia" w:ascii="宋体" w:hAnsi="宋体" w:eastAsia="宋体" w:cs="宋体"/>
                <w:color w:val="auto"/>
                <w:sz w:val="21"/>
                <w:szCs w:val="21"/>
                <w:highlight w:val="none"/>
                <w:lang w:val="en-US" w:eastAsia="zh-CN"/>
              </w:rPr>
              <w:t>3</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rPr>
              <w:t>)</w:t>
            </w:r>
          </w:p>
        </w:tc>
        <w:tc>
          <w:tcPr>
            <w:tcW w:w="638"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施工组织设计</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en-US" w:eastAsia="zh-CN"/>
              </w:rPr>
              <w:t>50</w:t>
            </w:r>
            <w:r>
              <w:rPr>
                <w:rFonts w:hint="eastAsia" w:ascii="宋体" w:hAnsi="宋体" w:eastAsia="宋体" w:cs="宋体"/>
                <w:color w:val="auto"/>
                <w:sz w:val="21"/>
                <w:szCs w:val="21"/>
                <w:highlight w:val="none"/>
                <w:lang w:val="zh-CN"/>
              </w:rPr>
              <w:t>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内容完整性和编制水平</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内容完整、合理、可行，得3</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分；内容比较完整、比较合理、比较可行，得1分；内容不完整、不合理、不可行不得分。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施工方案与技术措施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评委根据各供应商针对本项目提供的施工组织方案进行评分：对项目总体认识全面而深刻，论述完整清晰，总体组织符合实际、总体设计符合规范，总体计划合理，综合措施科学，得8</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分；对项目总体认识比较全而，论述比较完整清晰，总体组织比较符合实际、总体设计比 较符合规范，总体计划比较合理，综合措施比较科学，得</w:t>
            </w:r>
            <w:r>
              <w:rPr>
                <w:rFonts w:hint="eastAsia" w:ascii="宋体" w:hAnsi="宋体" w:cs="宋体"/>
                <w:color w:val="auto"/>
                <w:sz w:val="21"/>
                <w:szCs w:val="21"/>
                <w:highlight w:val="none"/>
                <w:lang w:val="en-US" w:eastAsia="zh-CN"/>
              </w:rPr>
              <w:t>5-4</w:t>
            </w:r>
            <w:r>
              <w:rPr>
                <w:rFonts w:hint="eastAsia" w:ascii="宋体" w:hAnsi="宋体" w:eastAsia="宋体" w:cs="宋体"/>
                <w:color w:val="auto"/>
                <w:sz w:val="21"/>
                <w:szCs w:val="21"/>
                <w:highlight w:val="none"/>
                <w:lang w:val="en-US" w:eastAsia="zh-CN"/>
              </w:rPr>
              <w:t>分；对项目总体认识一般，论述完整度一般，总体组织和总体设计规范度一般，总体计划合理性一般，综合措施科学性一般，得</w:t>
            </w:r>
            <w:r>
              <w:rPr>
                <w:rFonts w:hint="eastAsia" w:ascii="宋体" w:hAnsi="宋体" w:cs="宋体"/>
                <w:color w:val="auto"/>
                <w:sz w:val="21"/>
                <w:szCs w:val="21"/>
                <w:highlight w:val="none"/>
                <w:lang w:val="en-US" w:eastAsia="zh-CN"/>
              </w:rPr>
              <w:t>3-2</w:t>
            </w:r>
            <w:r>
              <w:rPr>
                <w:rFonts w:hint="eastAsia" w:ascii="宋体" w:hAnsi="宋体" w:eastAsia="宋体" w:cs="宋体"/>
                <w:color w:val="auto"/>
                <w:sz w:val="21"/>
                <w:szCs w:val="21"/>
                <w:highlight w:val="none"/>
                <w:lang w:val="en-US" w:eastAsia="zh-CN"/>
              </w:rPr>
              <w:t>分；对项目总体认识不够全而，论述不够完整清晰，总体组织不够符合实，总体设计不够符合规范，总体计划不够合理，综合措施不够科学，得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分。注：未提供的不得分。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质量管理体系与措施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施工技术标准、施工过程、检验检测，质量通病防治等确保工程质量的管理体系与措施完全满足本项目需求得</w:t>
            </w:r>
            <w:r>
              <w:rPr>
                <w:rFonts w:hint="eastAsia" w:ascii="宋体" w:hAnsi="宋体" w:cs="宋体"/>
                <w:color w:val="auto"/>
                <w:sz w:val="21"/>
                <w:szCs w:val="21"/>
                <w:highlight w:val="none"/>
                <w:lang w:val="en-US" w:eastAsia="zh-CN"/>
              </w:rPr>
              <w:t>6-5</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4-3</w:t>
            </w:r>
            <w:r>
              <w:rPr>
                <w:rFonts w:hint="eastAsia" w:ascii="宋体" w:hAnsi="宋体" w:eastAsia="宋体" w:cs="宋体"/>
                <w:color w:val="auto"/>
                <w:sz w:val="21"/>
                <w:szCs w:val="21"/>
                <w:highlight w:val="none"/>
              </w:rPr>
              <w:t>分；基本满足本项目需求得</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安全管理体系与措施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安全管理体系与措施完全满足本项目需求得</w:t>
            </w:r>
            <w:r>
              <w:rPr>
                <w:rFonts w:hint="eastAsia" w:ascii="宋体" w:hAnsi="宋体" w:cs="宋体"/>
                <w:color w:val="auto"/>
                <w:sz w:val="21"/>
                <w:szCs w:val="21"/>
                <w:highlight w:val="none"/>
                <w:lang w:val="en-US" w:eastAsia="zh-CN"/>
              </w:rPr>
              <w:t>6-5</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4-3</w:t>
            </w:r>
            <w:r>
              <w:rPr>
                <w:rFonts w:hint="eastAsia" w:ascii="宋体" w:hAnsi="宋体" w:eastAsia="宋体" w:cs="宋体"/>
                <w:color w:val="auto"/>
                <w:sz w:val="21"/>
                <w:szCs w:val="21"/>
                <w:highlight w:val="none"/>
              </w:rPr>
              <w:t>分；基本满足本项目需求得</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环境保护管理体系与措施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环境保护管理体系与措施完全满足本项目需求得</w:t>
            </w:r>
            <w:r>
              <w:rPr>
                <w:rFonts w:hint="eastAsia" w:ascii="宋体" w:hAnsi="宋体" w:eastAsia="宋体" w:cs="宋体"/>
                <w:color w:val="auto"/>
                <w:sz w:val="21"/>
                <w:szCs w:val="21"/>
                <w:highlight w:val="none"/>
                <w:lang w:val="en-US" w:eastAsia="zh-CN"/>
              </w:rPr>
              <w:t>6</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4-3</w:t>
            </w:r>
            <w:r>
              <w:rPr>
                <w:rFonts w:hint="eastAsia" w:ascii="宋体" w:hAnsi="宋体" w:eastAsia="宋体" w:cs="宋体"/>
                <w:color w:val="auto"/>
                <w:sz w:val="21"/>
                <w:szCs w:val="21"/>
                <w:highlight w:val="none"/>
              </w:rPr>
              <w:t>分；基本满足本项目需求得</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工程进度计划与措施</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有计划，完全符合开竣工日期要求，施工横道图或网络图合理得</w:t>
            </w:r>
            <w:r>
              <w:rPr>
                <w:rFonts w:hint="eastAsia" w:ascii="宋体" w:hAnsi="宋体" w:eastAsia="宋体" w:cs="宋体"/>
                <w:color w:val="auto"/>
                <w:sz w:val="21"/>
                <w:szCs w:val="21"/>
                <w:highlight w:val="none"/>
                <w:lang w:val="en-US" w:eastAsia="zh-CN"/>
              </w:rPr>
              <w:t>6</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分；有计划，比较符合开竣工日期要求，施工横道图或网络图比较合理得</w:t>
            </w:r>
            <w:r>
              <w:rPr>
                <w:rFonts w:hint="eastAsia" w:ascii="宋体" w:hAnsi="宋体" w:cs="宋体"/>
                <w:color w:val="auto"/>
                <w:sz w:val="21"/>
                <w:szCs w:val="21"/>
                <w:highlight w:val="none"/>
                <w:lang w:val="en-US" w:eastAsia="zh-CN"/>
              </w:rPr>
              <w:t>4-3</w:t>
            </w:r>
            <w:r>
              <w:rPr>
                <w:rFonts w:hint="eastAsia" w:ascii="宋体" w:hAnsi="宋体" w:eastAsia="宋体" w:cs="宋体"/>
                <w:color w:val="auto"/>
                <w:sz w:val="21"/>
                <w:szCs w:val="21"/>
                <w:highlight w:val="none"/>
              </w:rPr>
              <w:t>分；有计划，基本符合开竣工日期要求，施工横道图或网络图基本合理得</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rPr>
              <w:t>分；不提供不得分。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施工平面布置和临时设施布置</w:t>
            </w:r>
          </w:p>
          <w:p>
            <w:pPr>
              <w:wordWrap w:val="0"/>
              <w:jc w:val="left"/>
              <w:rPr>
                <w:rFonts w:hint="eastAsia" w:ascii="宋体" w:hAnsi="宋体" w:eastAsia="宋体" w:cs="宋体"/>
                <w:color w:val="auto"/>
                <w:sz w:val="21"/>
                <w:szCs w:val="21"/>
                <w:highlight w:val="none"/>
                <w:lang w:val="zh-CN"/>
              </w:rPr>
            </w:pP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考查响应人针对本项目的总体布局是否合理、可行，是否符合施工现场实际情况和施工要求；临时设施、材料堆放、制作场地、施工设备布置是否合理、是否有针对性。 施工平面布置和临时设施布置合理、可行的，得6</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分；施工平面布置和临时设施布置较合理、可行的，得4</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分；施工平面布置和临时设施布置一般的，得2分； 施工平面布置和临时设施布置差的，得1分；未提供不得分。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主要施工机械设备情况</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施工机械设备充足、先进，进场计划合理，完全满足本项目需求得</w:t>
            </w:r>
            <w:r>
              <w:rPr>
                <w:rFonts w:hint="eastAsia" w:ascii="宋体" w:hAnsi="宋体" w:cs="宋体"/>
                <w:color w:val="auto"/>
                <w:sz w:val="21"/>
                <w:szCs w:val="21"/>
                <w:highlight w:val="none"/>
                <w:lang w:val="en-US" w:eastAsia="zh-CN"/>
              </w:rPr>
              <w:t>3-2</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不</w:t>
            </w:r>
            <w:r>
              <w:rPr>
                <w:rFonts w:hint="eastAsia" w:ascii="宋体" w:hAnsi="宋体" w:eastAsia="宋体" w:cs="宋体"/>
                <w:color w:val="auto"/>
                <w:sz w:val="21"/>
                <w:szCs w:val="21"/>
                <w:highlight w:val="none"/>
              </w:rPr>
              <w:t>满足本项目需求</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rPr>
              <w:t>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劳动力安排计划</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劳动力安排计划合理、完全满足本项目需求得</w:t>
            </w: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不</w:t>
            </w:r>
            <w:r>
              <w:rPr>
                <w:rFonts w:hint="eastAsia" w:ascii="宋体" w:hAnsi="宋体" w:eastAsia="宋体" w:cs="宋体"/>
                <w:color w:val="auto"/>
                <w:sz w:val="21"/>
                <w:szCs w:val="21"/>
                <w:highlight w:val="none"/>
              </w:rPr>
              <w:t>满足本项目需求</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rPr>
              <w:t>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原材料进场所计划</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原材料进场所计划合理、完全满足本项目需求得</w:t>
            </w: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分；比较满足本项目需求得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不</w:t>
            </w:r>
            <w:r>
              <w:rPr>
                <w:rFonts w:hint="eastAsia" w:ascii="宋体" w:hAnsi="宋体" w:eastAsia="宋体" w:cs="宋体"/>
                <w:color w:val="auto"/>
                <w:sz w:val="21"/>
                <w:szCs w:val="21"/>
                <w:highlight w:val="none"/>
              </w:rPr>
              <w:t>满足本项目需求</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rPr>
              <w:t>不提供不得分。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472"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2.2.</w:t>
            </w:r>
            <w:r>
              <w:rPr>
                <w:rFonts w:hint="eastAsia" w:ascii="宋体" w:hAnsi="宋体" w:eastAsia="宋体" w:cs="宋体"/>
                <w:color w:val="auto"/>
                <w:sz w:val="21"/>
                <w:szCs w:val="21"/>
                <w:highlight w:val="none"/>
                <w:lang w:val="en-US" w:eastAsia="zh-CN"/>
              </w:rPr>
              <w:t>3</w:t>
            </w:r>
          </w:p>
          <w:p>
            <w:pPr>
              <w:wordWrap w:val="0"/>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w:t>
            </w:r>
          </w:p>
          <w:p>
            <w:pPr>
              <w:wordWrap w:val="0"/>
              <w:jc w:val="left"/>
              <w:rPr>
                <w:rFonts w:hint="eastAsia" w:ascii="宋体" w:hAnsi="宋体" w:eastAsia="宋体" w:cs="宋体"/>
                <w:color w:val="auto"/>
                <w:sz w:val="21"/>
                <w:szCs w:val="21"/>
                <w:highlight w:val="none"/>
                <w:lang w:val="zh-CN"/>
              </w:rPr>
            </w:pPr>
          </w:p>
          <w:p>
            <w:pPr>
              <w:wordWrap w:val="0"/>
              <w:jc w:val="left"/>
              <w:rPr>
                <w:rFonts w:hint="eastAsia" w:ascii="宋体" w:hAnsi="宋体" w:eastAsia="宋体" w:cs="宋体"/>
                <w:color w:val="auto"/>
                <w:sz w:val="21"/>
                <w:szCs w:val="21"/>
                <w:highlight w:val="none"/>
                <w:lang w:val="zh-CN"/>
              </w:rPr>
            </w:pPr>
          </w:p>
        </w:tc>
        <w:tc>
          <w:tcPr>
            <w:tcW w:w="638"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项目管理机构</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zh-CN"/>
              </w:rPr>
              <w:t>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项目经理业绩</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项目经理近三年（202</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年0</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月01日至磋商公告发布之日）具有以项目经理身份主持的与本项目相类似的项目业绩，每有一项得1分，最高得2分。（</w:t>
            </w:r>
            <w:r>
              <w:rPr>
                <w:rFonts w:hint="eastAsia" w:ascii="宋体" w:hAnsi="宋体" w:eastAsia="宋体" w:cs="宋体"/>
                <w:color w:val="auto"/>
                <w:sz w:val="21"/>
                <w:szCs w:val="21"/>
                <w:highlight w:val="none"/>
                <w:lang w:val="zh-CN"/>
              </w:rPr>
              <w:t>响应文件中应附中标通知书或施工合同</w:t>
            </w:r>
            <w:r>
              <w:rPr>
                <w:rFonts w:hint="eastAsia" w:ascii="宋体" w:hAnsi="宋体" w:eastAsia="宋体" w:cs="宋体"/>
                <w:color w:val="auto"/>
                <w:sz w:val="21"/>
                <w:szCs w:val="21"/>
                <w:highlight w:val="none"/>
                <w:lang w:val="en-US" w:eastAsia="zh-CN"/>
              </w:rPr>
              <w:t>，需体现项目经理任职情况，不符合要求不得分）。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2-</w:t>
            </w:r>
            <w:r>
              <w:rPr>
                <w:rFonts w:hint="eastAsia" w:ascii="宋体" w:hAnsi="宋体" w:eastAsia="宋体" w:cs="宋体"/>
                <w:color w:val="auto"/>
                <w:sz w:val="21"/>
                <w:szCs w:val="21"/>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项目管理机构配置</w:t>
            </w:r>
          </w:p>
        </w:tc>
        <w:tc>
          <w:tcPr>
            <w:tcW w:w="2713" w:type="pct"/>
            <w:tcBorders>
              <w:tl2br w:val="nil"/>
              <w:tr2bl w:val="nil"/>
            </w:tcBorders>
            <w:noWrap w:val="0"/>
            <w:vAlign w:val="top"/>
          </w:tcPr>
          <w:p>
            <w:pPr>
              <w:autoSpaceDE w:val="0"/>
              <w:autoSpaceDN w:val="0"/>
              <w:adjustRightInd w:val="0"/>
              <w:spacing w:line="300" w:lineRule="exact"/>
              <w:rPr>
                <w:rFonts w:hint="eastAsia" w:ascii="宋体" w:hAnsi="宋体" w:eastAsia="宋体" w:cs="宋体"/>
                <w:bCs/>
                <w:sz w:val="21"/>
                <w:szCs w:val="21"/>
                <w:lang w:val="zh-CN"/>
              </w:rPr>
            </w:pPr>
            <w:r>
              <w:rPr>
                <w:rFonts w:hint="eastAsia" w:ascii="宋体" w:hAnsi="宋体" w:eastAsia="宋体" w:cs="宋体"/>
                <w:bCs/>
                <w:sz w:val="21"/>
                <w:szCs w:val="21"/>
                <w:lang w:val="zh-CN" w:eastAsia="zh-CN"/>
              </w:rPr>
              <w:t>机械员、施工员、材料员、资料员、劳务员、质量员、标准员、安全员等人员配备齐全，有相应人员的上岗证书或者职称证书，</w:t>
            </w:r>
            <w:r>
              <w:rPr>
                <w:rFonts w:hint="eastAsia" w:ascii="宋体" w:hAnsi="宋体" w:eastAsia="宋体" w:cs="宋体"/>
                <w:sz w:val="21"/>
                <w:szCs w:val="21"/>
                <w:lang w:val="zh-CN" w:eastAsia="zh-CN"/>
              </w:rPr>
              <w:t>满足施工要求</w:t>
            </w:r>
            <w:r>
              <w:rPr>
                <w:rFonts w:hint="eastAsia" w:ascii="宋体" w:hAnsi="宋体" w:eastAsia="宋体" w:cs="宋体"/>
                <w:bCs/>
                <w:sz w:val="21"/>
                <w:szCs w:val="21"/>
                <w:lang w:val="zh-CN"/>
              </w:rPr>
              <w:t>。人员齐备、完整、合理程度高的得</w:t>
            </w:r>
            <w:r>
              <w:rPr>
                <w:rFonts w:hint="eastAsia" w:ascii="宋体" w:hAnsi="宋体" w:eastAsia="宋体" w:cs="宋体"/>
                <w:bCs/>
                <w:sz w:val="21"/>
                <w:szCs w:val="21"/>
                <w:lang w:val="en-US" w:eastAsia="zh-CN"/>
              </w:rPr>
              <w:t>5</w:t>
            </w:r>
            <w:r>
              <w:rPr>
                <w:rFonts w:hint="eastAsia" w:ascii="宋体" w:hAnsi="宋体" w:eastAsia="宋体" w:cs="宋体"/>
                <w:bCs/>
                <w:sz w:val="21"/>
                <w:szCs w:val="21"/>
                <w:lang w:val="zh-CN"/>
              </w:rPr>
              <w:t>-</w:t>
            </w:r>
            <w:r>
              <w:rPr>
                <w:rFonts w:hint="eastAsia" w:ascii="宋体" w:hAnsi="宋体" w:eastAsia="宋体" w:cs="宋体"/>
                <w:bCs/>
                <w:sz w:val="21"/>
                <w:szCs w:val="21"/>
                <w:lang w:val="en-US" w:eastAsia="zh-CN"/>
              </w:rPr>
              <w:t>4</w:t>
            </w:r>
            <w:r>
              <w:rPr>
                <w:rFonts w:hint="eastAsia" w:ascii="宋体" w:hAnsi="宋体" w:eastAsia="宋体" w:cs="宋体"/>
                <w:bCs/>
                <w:sz w:val="21"/>
                <w:szCs w:val="21"/>
                <w:lang w:val="zh-CN"/>
              </w:rPr>
              <w:t>分；人员比较齐备、比较完整、比较合理的得</w:t>
            </w:r>
            <w:r>
              <w:rPr>
                <w:rFonts w:hint="eastAsia" w:ascii="宋体" w:hAnsi="宋体" w:eastAsia="宋体" w:cs="宋体"/>
                <w:bCs/>
                <w:sz w:val="21"/>
                <w:szCs w:val="21"/>
                <w:lang w:val="en-US" w:eastAsia="zh-CN"/>
              </w:rPr>
              <w:t>3</w:t>
            </w:r>
            <w:r>
              <w:rPr>
                <w:rFonts w:hint="eastAsia" w:ascii="宋体" w:hAnsi="宋体" w:eastAsia="宋体" w:cs="宋体"/>
                <w:bCs/>
                <w:sz w:val="21"/>
                <w:szCs w:val="21"/>
                <w:lang w:val="zh-CN"/>
              </w:rPr>
              <w:t>-</w:t>
            </w:r>
            <w:r>
              <w:rPr>
                <w:rFonts w:hint="eastAsia" w:ascii="宋体" w:hAnsi="宋体" w:eastAsia="宋体" w:cs="宋体"/>
                <w:bCs/>
                <w:sz w:val="21"/>
                <w:szCs w:val="21"/>
                <w:lang w:val="en-US" w:eastAsia="zh-CN"/>
              </w:rPr>
              <w:t>2</w:t>
            </w:r>
            <w:r>
              <w:rPr>
                <w:rFonts w:hint="eastAsia" w:ascii="宋体" w:hAnsi="宋体" w:eastAsia="宋体" w:cs="宋体"/>
                <w:bCs/>
                <w:sz w:val="21"/>
                <w:szCs w:val="21"/>
                <w:lang w:val="zh-CN"/>
              </w:rPr>
              <w:t>分；人员基本齐备、基本完整、基本合理的得</w:t>
            </w:r>
            <w:r>
              <w:rPr>
                <w:rFonts w:hint="eastAsia" w:ascii="宋体" w:hAnsi="宋体" w:eastAsia="宋体" w:cs="宋体"/>
                <w:bCs/>
                <w:sz w:val="21"/>
                <w:szCs w:val="21"/>
                <w:lang w:val="en-US" w:eastAsia="zh-CN"/>
              </w:rPr>
              <w:t>1</w:t>
            </w:r>
            <w:r>
              <w:rPr>
                <w:rFonts w:hint="eastAsia" w:ascii="宋体" w:hAnsi="宋体" w:eastAsia="宋体" w:cs="宋体"/>
                <w:bCs/>
                <w:sz w:val="21"/>
                <w:szCs w:val="21"/>
                <w:lang w:val="zh-CN"/>
              </w:rPr>
              <w:t>分；人员不齐备、不完整、不合理的不得分。（</w:t>
            </w:r>
            <w:r>
              <w:rPr>
                <w:rFonts w:hint="eastAsia" w:ascii="宋体" w:hAnsi="宋体" w:eastAsia="宋体" w:cs="宋体"/>
                <w:bCs/>
                <w:sz w:val="21"/>
                <w:szCs w:val="21"/>
                <w:lang w:val="en-US" w:eastAsia="zh-CN"/>
              </w:rPr>
              <w:t>提供</w:t>
            </w:r>
            <w:r>
              <w:rPr>
                <w:rFonts w:hint="eastAsia" w:ascii="宋体" w:hAnsi="宋体" w:eastAsia="宋体" w:cs="宋体"/>
                <w:bCs/>
                <w:sz w:val="21"/>
                <w:szCs w:val="21"/>
                <w:lang w:val="zh-CN"/>
              </w:rPr>
              <w:t>人员证件及社保证明，在《吉林省建筑市场监管与诚信信息管理平台》备案查询，没有备案不得分）。</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启用电子证书的投标人，</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val="zh-CN"/>
              </w:rPr>
              <w:t>文件内附电子证书的有效查询网址，信息真伪由评标专家登录其提供的有效网址或扫描二维码标识进行查询确认。</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投标报价</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（30分）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磋商报价得分</w:t>
            </w:r>
          </w:p>
        </w:tc>
        <w:tc>
          <w:tcPr>
            <w:tcW w:w="2713" w:type="pct"/>
            <w:tcBorders>
              <w:tl2br w:val="nil"/>
              <w:tr2bl w:val="nil"/>
            </w:tcBorders>
            <w:noWrap w:val="0"/>
            <w:vAlign w:val="top"/>
          </w:tcPr>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满足磋商文件要求且最后报价最低的供应商的价格为磋商基准价，其价格分为满分30分。</w:t>
            </w:r>
          </w:p>
          <w:p>
            <w:pPr>
              <w:wordWrap w:val="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其他供应商的价格分统一按照下列公式计算：</w:t>
            </w:r>
          </w:p>
          <w:p>
            <w:pPr>
              <w:wordWrap w:val="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磋商报价得分=（磋商基准价/最后磋商报价）×30</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restar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其他因素</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分）</w:t>
            </w: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保修服务</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有</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可接受的保修承诺保修合理、先进、可行得</w:t>
            </w:r>
            <w:r>
              <w:rPr>
                <w:rFonts w:hint="eastAsia" w:ascii="宋体" w:hAnsi="宋体" w:cs="宋体"/>
                <w:color w:val="auto"/>
                <w:sz w:val="21"/>
                <w:szCs w:val="21"/>
                <w:highlight w:val="none"/>
                <w:lang w:val="en-US" w:eastAsia="zh-CN"/>
              </w:rPr>
              <w:t>5-4</w:t>
            </w:r>
            <w:r>
              <w:rPr>
                <w:rFonts w:hint="eastAsia" w:ascii="宋体" w:hAnsi="宋体" w:eastAsia="宋体" w:cs="宋体"/>
                <w:color w:val="auto"/>
                <w:sz w:val="21"/>
                <w:szCs w:val="21"/>
                <w:highlight w:val="none"/>
              </w:rPr>
              <w:t>分。保修比较合理、比较先进、比较可行得</w:t>
            </w:r>
            <w:r>
              <w:rPr>
                <w:rFonts w:hint="eastAsia" w:ascii="宋体" w:hAnsi="宋体" w:cs="宋体"/>
                <w:color w:val="auto"/>
                <w:sz w:val="21"/>
                <w:szCs w:val="21"/>
                <w:highlight w:val="none"/>
                <w:lang w:val="en-US" w:eastAsia="zh-CN"/>
              </w:rPr>
              <w:t>3-2</w:t>
            </w:r>
            <w:r>
              <w:rPr>
                <w:rFonts w:hint="eastAsia" w:ascii="宋体" w:hAnsi="宋体" w:eastAsia="宋体" w:cs="宋体"/>
                <w:color w:val="auto"/>
                <w:sz w:val="21"/>
                <w:szCs w:val="21"/>
                <w:highlight w:val="none"/>
              </w:rPr>
              <w:t>分。保修基本合理，基本可行的得1分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无实际内容或不可行得0分。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优惠条件</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对供应商提出的采购人可以接受的合理优惠条件进行评价，优得5</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分，一般得3</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分，较差得1分，</w:t>
            </w:r>
            <w:r>
              <w:rPr>
                <w:rFonts w:hint="eastAsia" w:ascii="宋体" w:hAnsi="宋体" w:eastAsia="宋体" w:cs="宋体"/>
                <w:color w:val="auto"/>
                <w:sz w:val="21"/>
                <w:szCs w:val="21"/>
                <w:highlight w:val="none"/>
              </w:rPr>
              <w:t>无实际内容或不可行得0分</w:t>
            </w:r>
            <w:r>
              <w:rPr>
                <w:rFonts w:hint="eastAsia" w:ascii="宋体" w:hAnsi="宋体" w:eastAsia="宋体" w:cs="宋体"/>
                <w:color w:val="auto"/>
                <w:sz w:val="21"/>
                <w:szCs w:val="21"/>
                <w:highlight w:val="none"/>
                <w:lang w:val="en-US" w:eastAsia="zh-CN"/>
              </w:rPr>
              <w:t>。</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472"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638" w:type="pct"/>
            <w:vMerge w:val="continue"/>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p>
        </w:tc>
        <w:tc>
          <w:tcPr>
            <w:tcW w:w="784" w:type="pct"/>
            <w:tcBorders>
              <w:tl2br w:val="nil"/>
              <w:tr2bl w:val="nil"/>
            </w:tcBorders>
            <w:noWrap w:val="0"/>
            <w:vAlign w:val="center"/>
          </w:tcPr>
          <w:p>
            <w:pPr>
              <w:wordWrap w:val="0"/>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履约经验</w:t>
            </w:r>
          </w:p>
        </w:tc>
        <w:tc>
          <w:tcPr>
            <w:tcW w:w="2713"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近三年</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2021年03月01日至磋商公告发布之日</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每提供1</w:t>
            </w:r>
            <w:r>
              <w:rPr>
                <w:rFonts w:hint="eastAsia" w:ascii="宋体" w:hAnsi="宋体" w:eastAsia="宋体" w:cs="宋体"/>
                <w:color w:val="auto"/>
                <w:sz w:val="21"/>
                <w:szCs w:val="21"/>
                <w:highlight w:val="none"/>
                <w:lang w:val="zh-CN"/>
              </w:rPr>
              <w:t>项类似工程业绩（无合同违约现象）得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rPr>
              <w:t>分，最多得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分,没有不得分。</w:t>
            </w:r>
          </w:p>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（响应文件中应附中标通知书或施工合同，否则不得分）</w:t>
            </w:r>
          </w:p>
        </w:tc>
        <w:tc>
          <w:tcPr>
            <w:tcW w:w="391" w:type="pct"/>
            <w:tcBorders>
              <w:tl2br w:val="nil"/>
              <w:tr2bl w:val="nil"/>
            </w:tcBorders>
            <w:noWrap w:val="0"/>
            <w:vAlign w:val="center"/>
          </w:tcPr>
          <w:p>
            <w:pPr>
              <w:wordWrap w:val="0"/>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-0</w:t>
            </w:r>
          </w:p>
        </w:tc>
      </w:tr>
    </w:tbl>
    <w:p>
      <w:pPr>
        <w:rPr>
          <w:color w:val="auto"/>
          <w:highlight w:val="none"/>
        </w:rPr>
      </w:pPr>
    </w:p>
    <w:p>
      <w:pPr>
        <w:rPr>
          <w:color w:val="auto"/>
          <w:highlight w:val="none"/>
        </w:rPr>
      </w:pPr>
    </w:p>
    <w:p>
      <w:pPr>
        <w:pStyle w:val="2"/>
        <w:rPr>
          <w:color w:val="auto"/>
          <w:highlight w:val="none"/>
        </w:rPr>
      </w:pPr>
    </w:p>
    <w:p>
      <w:pPr>
        <w:pStyle w:val="5"/>
        <w:jc w:val="center"/>
        <w:rPr>
          <w:rFonts w:asciiTheme="minorEastAsia" w:hAnsiTheme="minorEastAsia" w:eastAsiaTheme="minorEastAsia"/>
          <w:color w:val="auto"/>
          <w:highlight w:val="none"/>
          <w:lang w:val="zh-CN"/>
        </w:rPr>
      </w:pPr>
      <w:r>
        <w:rPr>
          <w:rFonts w:hint="eastAsia" w:asciiTheme="minorEastAsia" w:hAnsiTheme="minorEastAsia" w:eastAsiaTheme="minorEastAsia"/>
          <w:color w:val="auto"/>
          <w:highlight w:val="none"/>
          <w:lang w:val="zh-CN"/>
        </w:rPr>
        <w:t>评标办法（综合评估法）正文部分</w:t>
      </w:r>
      <w:bookmarkEnd w:id="55"/>
      <w:bookmarkEnd w:id="56"/>
    </w:p>
    <w:bookmarkEnd w:id="57"/>
    <w:bookmarkEnd w:id="58"/>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color w:val="auto"/>
          <w:highlight w:val="none"/>
          <w:lang w:val="zh-CN"/>
        </w:rPr>
        <w:t>1.</w:t>
      </w:r>
      <w:r>
        <w:rPr>
          <w:rFonts w:hint="eastAsia" w:cs="宋体" w:asciiTheme="minorEastAsia" w:hAnsiTheme="minorEastAsia" w:eastAsiaTheme="minorEastAsia"/>
          <w:color w:val="auto"/>
          <w:highlight w:val="none"/>
          <w:lang w:val="zh-CN"/>
        </w:rPr>
        <w:t>评标方法</w:t>
      </w:r>
    </w:p>
    <w:p>
      <w:pPr>
        <w:autoSpaceDE w:val="0"/>
        <w:autoSpaceDN w:val="0"/>
        <w:adjustRightInd w:val="0"/>
        <w:spacing w:line="400" w:lineRule="exact"/>
        <w:ind w:firstLine="420" w:firstLineChars="200"/>
        <w:jc w:val="left"/>
        <w:rPr>
          <w:rFonts w:cs="宋体" w:asciiTheme="minorEastAsia" w:hAnsiTheme="minorEastAsia" w:eastAsiaTheme="minorEastAsia"/>
          <w:bCs/>
          <w:color w:val="auto"/>
          <w:highlight w:val="none"/>
          <w:lang w:val="zh-CN"/>
        </w:rPr>
      </w:pPr>
      <w:r>
        <w:rPr>
          <w:rFonts w:hint="eastAsia" w:cs="宋体" w:asciiTheme="minorEastAsia" w:hAnsiTheme="minorEastAsia" w:eastAsiaTheme="minorEastAsia"/>
          <w:bCs/>
          <w:color w:val="auto"/>
          <w:highlight w:val="none"/>
          <w:lang w:val="zh-CN"/>
        </w:rPr>
        <w:t>本次评标采用综合评估法。磋商小组对满足磋商文件实质性要求的响应文件，按照本章第</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.2款规定的评分标准进行打分，并按得分由高到低顺序推荐中标候选人，但磋商报价低于其成本的除外。综合评分相等时，以磋商报价低的优先</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磋商报价也相等的，以施工组织设计、项目管理机构、企业实力、其他因素逐项对比以各项分数高者优先。如各项分数都相等时，由采购人确定。</w:t>
      </w:r>
    </w:p>
    <w:p>
      <w:pPr>
        <w:autoSpaceDE w:val="0"/>
        <w:autoSpaceDN w:val="0"/>
        <w:adjustRightInd w:val="0"/>
        <w:spacing w:line="400" w:lineRule="exact"/>
        <w:jc w:val="left"/>
        <w:rPr>
          <w:rFonts w:cs="宋体" w:asciiTheme="minorEastAsia" w:hAnsiTheme="minorEastAsia" w:eastAsiaTheme="minorEastAsia"/>
          <w:color w:val="auto"/>
          <w:highlight w:val="none"/>
          <w:lang w:val="zh-CN"/>
        </w:rPr>
      </w:pPr>
      <w:r>
        <w:rPr>
          <w:rFonts w:cs="宋体" w:asciiTheme="minorEastAsia" w:hAnsiTheme="minorEastAsia" w:eastAsiaTheme="minorEastAsia"/>
          <w:color w:val="auto"/>
          <w:highlight w:val="none"/>
          <w:lang w:val="zh-CN"/>
        </w:rPr>
        <w:t>2.1</w:t>
      </w:r>
      <w:r>
        <w:rPr>
          <w:rFonts w:hint="eastAsia" w:cs="宋体" w:asciiTheme="minorEastAsia" w:hAnsiTheme="minorEastAsia" w:eastAsiaTheme="minorEastAsia"/>
          <w:color w:val="auto"/>
          <w:highlight w:val="none"/>
          <w:lang w:val="zh-CN"/>
        </w:rPr>
        <w:t>初步评审标准</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2.1.1</w:t>
      </w:r>
      <w:r>
        <w:rPr>
          <w:rFonts w:hint="eastAsia" w:cs="宋体" w:asciiTheme="minorEastAsia" w:hAnsiTheme="minorEastAsia" w:eastAsiaTheme="minorEastAsia"/>
          <w:bCs/>
          <w:color w:val="auto"/>
          <w:highlight w:val="none"/>
          <w:lang w:val="zh-CN"/>
        </w:rPr>
        <w:t xml:space="preserve"> 形式评审标准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bCs/>
          <w:color w:val="auto"/>
          <w:highlight w:val="none"/>
          <w:shd w:val="pct10" w:color="auto" w:fill="FFFFFF"/>
          <w:lang w:val="zh-CN"/>
        </w:rPr>
      </w:pPr>
      <w:r>
        <w:rPr>
          <w:rFonts w:cs="宋体" w:asciiTheme="minorEastAsia" w:hAnsiTheme="minorEastAsia" w:eastAsiaTheme="minorEastAsia"/>
          <w:bCs/>
          <w:color w:val="auto"/>
          <w:highlight w:val="none"/>
          <w:lang w:val="zh-CN"/>
        </w:rPr>
        <w:t xml:space="preserve">    2.1</w:t>
      </w:r>
      <w:r>
        <w:rPr>
          <w:rFonts w:hint="eastAsia" w:cs="宋体" w:asciiTheme="minorEastAsia" w:hAnsiTheme="minorEastAsia" w:eastAsiaTheme="minorEastAsia"/>
          <w:bCs/>
          <w:color w:val="auto"/>
          <w:highlight w:val="none"/>
          <w:lang w:val="zh-CN"/>
        </w:rPr>
        <w:t>.</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 xml:space="preserve"> 资格评审标准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2.1.</w:t>
      </w:r>
      <w:r>
        <w:rPr>
          <w:rFonts w:hint="eastAsia" w:cs="宋体" w:asciiTheme="minorEastAsia" w:hAnsiTheme="minorEastAsia" w:eastAsiaTheme="minorEastAsia"/>
          <w:bCs/>
          <w:color w:val="auto"/>
          <w:highlight w:val="none"/>
          <w:lang w:val="en-US" w:eastAsia="zh-CN"/>
        </w:rPr>
        <w:t xml:space="preserve">3 </w:t>
      </w:r>
      <w:r>
        <w:rPr>
          <w:rFonts w:hint="eastAsia" w:cs="宋体" w:asciiTheme="minorEastAsia" w:hAnsiTheme="minorEastAsia" w:eastAsiaTheme="minorEastAsia"/>
          <w:bCs/>
          <w:color w:val="auto"/>
          <w:highlight w:val="none"/>
          <w:lang w:val="zh-CN"/>
        </w:rPr>
        <w:t>响应性评审标准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2.2</w:t>
      </w:r>
      <w:r>
        <w:rPr>
          <w:rFonts w:hint="eastAsia" w:cs="宋体" w:asciiTheme="minorEastAsia" w:hAnsiTheme="minorEastAsia" w:eastAsiaTheme="minorEastAsia"/>
          <w:bCs/>
          <w:color w:val="auto"/>
          <w:highlight w:val="none"/>
          <w:lang w:val="zh-CN"/>
        </w:rPr>
        <w:t xml:space="preserve"> 分值构成与评分标准</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2.2</w:t>
      </w:r>
      <w:r>
        <w:rPr>
          <w:rFonts w:hint="eastAsia" w:cs="宋体" w:asciiTheme="minorEastAsia" w:hAnsiTheme="minorEastAsia" w:eastAsiaTheme="minorEastAsia"/>
          <w:bCs/>
          <w:color w:val="auto"/>
          <w:highlight w:val="none"/>
          <w:lang w:val="zh-CN"/>
        </w:rPr>
        <w:t>.1 分值构成</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(1)</w:t>
      </w:r>
      <w:r>
        <w:rPr>
          <w:rFonts w:hint="eastAsia" w:cs="宋体" w:asciiTheme="minorEastAsia" w:hAnsiTheme="minorEastAsia" w:eastAsiaTheme="minorEastAsia"/>
          <w:bCs/>
          <w:color w:val="auto"/>
          <w:highlight w:val="none"/>
          <w:lang w:val="zh-CN"/>
        </w:rPr>
        <w:t>施工组织设计</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项目管理机构</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(3)</w:t>
      </w:r>
      <w:r>
        <w:rPr>
          <w:rFonts w:hint="eastAsia" w:cs="宋体" w:asciiTheme="minorEastAsia" w:hAnsiTheme="minorEastAsia" w:eastAsiaTheme="minorEastAsia"/>
          <w:bCs/>
          <w:color w:val="auto"/>
          <w:highlight w:val="none"/>
          <w:lang w:val="zh-CN"/>
        </w:rPr>
        <w:t>磋商报价</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 xml:space="preserve">    </w:t>
      </w:r>
      <w:r>
        <w:rPr>
          <w:rFonts w:cs="宋体" w:asciiTheme="minorEastAsia" w:hAnsiTheme="minorEastAsia" w:eastAsiaTheme="minorEastAsia"/>
          <w:bCs/>
          <w:color w:val="auto"/>
          <w:highlight w:val="none"/>
          <w:lang w:val="zh-CN"/>
        </w:rPr>
        <w:t>(4)</w:t>
      </w:r>
      <w:r>
        <w:rPr>
          <w:rFonts w:hint="eastAsia" w:cs="宋体" w:asciiTheme="minorEastAsia" w:hAnsiTheme="minorEastAsia" w:eastAsiaTheme="minorEastAsia"/>
          <w:bCs/>
          <w:color w:val="auto"/>
          <w:highlight w:val="none"/>
          <w:lang w:val="zh-CN"/>
        </w:rPr>
        <w:t>其他评分因素</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ind w:firstLine="420" w:firstLineChars="200"/>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.2.</w:t>
      </w: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 xml:space="preserve"> 评标基准价计算</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w:t>
      </w:r>
      <w:r>
        <w:rPr>
          <w:rFonts w:hint="eastAsia" w:cs="宋体" w:asciiTheme="minorEastAsia" w:hAnsiTheme="minorEastAsia" w:eastAsiaTheme="minorEastAsia"/>
          <w:bCs/>
          <w:color w:val="auto"/>
          <w:highlight w:val="none"/>
          <w:lang w:val="zh-CN"/>
        </w:rPr>
        <w:t>评标基准价计算方法</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ind w:firstLine="420" w:firstLineChars="200"/>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2</w:t>
      </w:r>
      <w:r>
        <w:rPr>
          <w:rFonts w:hint="eastAsia" w:cs="宋体" w:asciiTheme="minorEastAsia" w:hAnsiTheme="minorEastAsia" w:eastAsiaTheme="minorEastAsia"/>
          <w:bCs/>
          <w:color w:val="auto"/>
          <w:highlight w:val="none"/>
          <w:lang w:val="zh-CN"/>
        </w:rPr>
        <w:t>.2.</w:t>
      </w:r>
      <w:r>
        <w:rPr>
          <w:rFonts w:cs="宋体" w:asciiTheme="minorEastAsia" w:hAnsiTheme="minorEastAsia" w:eastAsiaTheme="minorEastAsia"/>
          <w:bCs/>
          <w:color w:val="auto"/>
          <w:highlight w:val="none"/>
          <w:lang w:val="zh-CN"/>
        </w:rPr>
        <w:t>3</w:t>
      </w:r>
      <w:r>
        <w:rPr>
          <w:rFonts w:hint="eastAsia" w:cs="宋体" w:asciiTheme="minorEastAsia" w:hAnsiTheme="minorEastAsia" w:eastAsiaTheme="minorEastAsia"/>
          <w:bCs/>
          <w:color w:val="auto"/>
          <w:highlight w:val="none"/>
          <w:lang w:val="zh-CN"/>
        </w:rPr>
        <w:t xml:space="preserve"> 评分标准</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(1)</w:t>
      </w:r>
      <w:r>
        <w:rPr>
          <w:rFonts w:hint="eastAsia" w:cs="宋体" w:asciiTheme="minorEastAsia" w:hAnsiTheme="minorEastAsia" w:eastAsiaTheme="minorEastAsia"/>
          <w:bCs/>
          <w:color w:val="auto"/>
          <w:highlight w:val="none"/>
          <w:lang w:val="zh-CN"/>
        </w:rPr>
        <w:t>施工组织设计评分标准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(2)</w:t>
      </w:r>
      <w:r>
        <w:rPr>
          <w:rFonts w:hint="eastAsia" w:cs="宋体" w:asciiTheme="minorEastAsia" w:hAnsiTheme="minorEastAsia" w:eastAsiaTheme="minorEastAsia"/>
          <w:bCs/>
          <w:color w:val="auto"/>
          <w:highlight w:val="none"/>
          <w:lang w:val="zh-CN"/>
        </w:rPr>
        <w:t>项目管理机构评分标准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(3)</w:t>
      </w:r>
      <w:r>
        <w:rPr>
          <w:rFonts w:hint="eastAsia" w:cs="宋体" w:asciiTheme="minorEastAsia" w:hAnsiTheme="minorEastAsia" w:eastAsiaTheme="minorEastAsia"/>
          <w:bCs/>
          <w:color w:val="auto"/>
          <w:highlight w:val="none"/>
          <w:lang w:val="zh-CN"/>
        </w:rPr>
        <w:t>磋商报价评分标准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r>
        <w:rPr>
          <w:rFonts w:cs="宋体" w:asciiTheme="minorEastAsia" w:hAnsiTheme="minorEastAsia" w:eastAsiaTheme="minorEastAsia"/>
          <w:bCs/>
          <w:color w:val="auto"/>
          <w:highlight w:val="none"/>
          <w:lang w:val="zh-CN"/>
        </w:rPr>
        <w:t>；</w:t>
      </w:r>
    </w:p>
    <w:p>
      <w:pPr>
        <w:autoSpaceDE w:val="0"/>
        <w:autoSpaceDN w:val="0"/>
        <w:adjustRightInd w:val="0"/>
        <w:spacing w:line="400" w:lineRule="exact"/>
        <w:jc w:val="left"/>
        <w:rPr>
          <w:rFonts w:cs="宋体" w:asciiTheme="minorEastAsia" w:hAnsiTheme="minorEastAsia" w:eastAsiaTheme="minorEastAsia"/>
          <w:bCs/>
          <w:color w:val="auto"/>
          <w:highlight w:val="none"/>
          <w:lang w:val="zh-CN"/>
        </w:rPr>
      </w:pPr>
      <w:r>
        <w:rPr>
          <w:rFonts w:cs="宋体" w:asciiTheme="minorEastAsia" w:hAnsiTheme="minorEastAsia" w:eastAsiaTheme="minorEastAsia"/>
          <w:bCs/>
          <w:color w:val="auto"/>
          <w:highlight w:val="none"/>
          <w:lang w:val="zh-CN"/>
        </w:rPr>
        <w:t xml:space="preserve">        (4)</w:t>
      </w:r>
      <w:r>
        <w:rPr>
          <w:rFonts w:hint="eastAsia" w:cs="宋体" w:asciiTheme="minorEastAsia" w:hAnsiTheme="minorEastAsia" w:eastAsiaTheme="minorEastAsia"/>
          <w:bCs/>
          <w:color w:val="auto"/>
          <w:highlight w:val="none"/>
          <w:lang w:val="zh-CN"/>
        </w:rPr>
        <w:t>其他因素评分标准</w:t>
      </w:r>
      <w:r>
        <w:rPr>
          <w:rFonts w:cs="宋体" w:asciiTheme="minorEastAsia" w:hAnsiTheme="minorEastAsia" w:eastAsiaTheme="minorEastAsia"/>
          <w:bCs/>
          <w:color w:val="auto"/>
          <w:highlight w:val="none"/>
          <w:lang w:val="zh-CN"/>
        </w:rPr>
        <w:t>：</w:t>
      </w:r>
      <w:r>
        <w:rPr>
          <w:rFonts w:hint="eastAsia" w:cs="宋体" w:asciiTheme="minorEastAsia" w:hAnsiTheme="minorEastAsia" w:eastAsiaTheme="minorEastAsia"/>
          <w:bCs/>
          <w:color w:val="auto"/>
          <w:highlight w:val="none"/>
          <w:lang w:val="zh-CN"/>
        </w:rPr>
        <w:t>见评标办法前附表。</w:t>
      </w:r>
    </w:p>
    <w:p>
      <w:pPr>
        <w:autoSpaceDE w:val="0"/>
        <w:autoSpaceDN w:val="0"/>
        <w:adjustRightInd w:val="0"/>
        <w:spacing w:line="400" w:lineRule="exact"/>
        <w:jc w:val="left"/>
        <w:rPr>
          <w:rFonts w:cs="宋体" w:asciiTheme="minorEastAsia" w:hAnsiTheme="minorEastAsia" w:eastAsiaTheme="minorEastAsia"/>
          <w:color w:val="auto"/>
          <w:highlight w:val="none"/>
          <w:lang w:val="zh-CN"/>
        </w:rPr>
      </w:pPr>
      <w:r>
        <w:rPr>
          <w:rFonts w:cs="宋体" w:asciiTheme="minorEastAsia" w:hAnsiTheme="minorEastAsia" w:eastAsiaTheme="minorEastAsia"/>
          <w:color w:val="auto"/>
          <w:highlight w:val="none"/>
          <w:lang w:val="zh-CN"/>
        </w:rPr>
        <w:t>3.</w:t>
      </w:r>
      <w:r>
        <w:rPr>
          <w:rFonts w:hint="eastAsia" w:cs="宋体" w:asciiTheme="minorEastAsia" w:hAnsiTheme="minorEastAsia" w:eastAsiaTheme="minorEastAsia"/>
          <w:color w:val="auto"/>
          <w:highlight w:val="none"/>
          <w:lang w:val="zh-CN"/>
        </w:rPr>
        <w:t>评标程序</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3.1初步评审</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3.1.1磋商小组依据本章第2.1款规定的标准首先对响应文件的有效性、完整性和响应程度进行初步审查。资格性检查不符合磋商文件要求的响应文件，按无效文件处理，并告知有关供应商。资格性检查结束后，符合条件的供应商不足3家的，采购活动终止。</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3.1.2 投标人有以下情形之一的，其投标将被否决：</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(1)第二章“供应商须知”前附表及正文规定的任何一种投标无效、废标、否决投标的情况；</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(2)串通投标或弄虚作假或有其他违法行为的：</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(3)不按磋商小组要求澄清、说明或补正的。</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3.2磋商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符合条件的供应商满足3家及以上时，进入磋商程序。磋商前，磋商小组应通过随机的方式确定磋商顺序。</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磋商小组所有成员按已确定的磋商顺序集中与单一供应商进行磋商，并给予所有参加磋商供应商平等的磋商机会。供应商的法人或法人授权代表、或自然人本人应参加磋商。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磋商小组根据磋商文件采购需求中的技术、服务要求以及合同草案条款对各供应商响应文件的响应情况进行磋商，供应商可以对参加磋商项目的采购需求提出优化建议，并以书面提交磋商小组。</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磋商中，参加磋商的任何一方不得透露与磋商有关的其他供应商的技术资料、价格和其他信息。磋商小组应对磋商过程和重要磋商内容进行记录。</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3.3最后报价</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磋商小组对磋商文件中能够详细列明采购标的的技术、服务要求的，在磋商结束后，所有继续参加磋商的供应商应在规定时间内提交最后报价。磋商小组对磋商文件中不能详细描述和列明采购标的的技术、服务要求，需通过磋商由供应商提供最终设计方案或解决方案的，在磋商结束后，磋商小组按照少数服从多数的原则投票推荐3家以上供应商的设计方案或者解决方案，并要求其在规定时间内提交最后报价。</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已提交响应文件的供应商，在提交最后报价之前，可以根据磋商情况退出磋商。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除政府采购监管部门批准及市场竞争不充分的科研项目，以及需要扶持的科技成果转化项目，提交最后报价的供应商可以为两家外。提交最后报价且未超过采购预算的供应商不得少于3家。</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最后报价是供应商响应文件的有效组成部分。</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 详细评审</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3.4.1磋商小组按本章第2.2款规定的量化因素和分值对提交最后报价的供应商的响应文件和最后报价进行综合评分。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(1)按本章第2.2.3(1)目规定的评审因素和分值对商务部分计算出得分A；</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(2)按本章第2.2.3(2)目规定的评审因素和分值对技术部分计算出得分B；</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3.4.2 评分分值计算保留小数点后两位，小数点后第三位“四舍五入”。</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3.4.3 投标人得分=A+B。</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3.4.4 磋商小组发现投标人的报价明显低于其他通过符合性审查投标人的报价，或者在设有标底时明显低于标底，使得其磋商报价可能低于其个别成本的，可能影响产品质量或者不能诚信履约的，应当要求其在评标现场合理的时间内提供书面说明，必要时提交相关证明材料；投标人不能证明其报价合理性的，磋商小组应当将其作为无效投标处理。以低于成本报价竞标，其投标将被否决。</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 响应文件的澄清和补正</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3.5.1 在评标过程中，磋商小组可以书面形式要求投标人对所提交响应文件中不明确的内容进行书面澄清或说明，或者对细微偏差进行补正。磋商小组不接受投标人主动提出的澄清、说明或补正。</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3.5.2 澄清、说明和补正不得改变响应文件的实质性内容(算术性错误修正的除外)。投标人的书面澄清、说明和补正属于响应文件的组成部分。</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3.5.3 磋商小组对投标人提交的澄清、说明或补正有疑问的，可以要求投标人进一步澄清、说明或补正，直至满足磋商小组的要求。</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3.5.4 磋商小组成员对需要共同认定的事项存在争议的，应当按照少数服从多数的原则作出结论。持不同意见的磋商小组成员应当在评标报告上签署不同意见及理由，否则视为同意评标报告。</w:t>
      </w:r>
    </w:p>
    <w:p>
      <w:pPr>
        <w:spacing w:line="430" w:lineRule="exact"/>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3.6 评标结果</w:t>
      </w:r>
    </w:p>
    <w:p>
      <w:pPr>
        <w:spacing w:line="430" w:lineRule="exact"/>
        <w:ind w:firstLine="420" w:firstLineChars="200"/>
        <w:rPr>
          <w:rFonts w:hint="eastAsia" w:cs="宋体" w:asciiTheme="minorEastAsia" w:hAnsiTheme="minorEastAsia" w:eastAsiaTheme="minorEastAsia"/>
          <w:color w:val="auto"/>
          <w:highlight w:val="none"/>
          <w:lang w:val="zh-CN"/>
        </w:rPr>
      </w:pPr>
      <w:r>
        <w:rPr>
          <w:rFonts w:hint="eastAsia" w:cs="宋体" w:asciiTheme="minorEastAsia" w:hAnsiTheme="minorEastAsia" w:eastAsiaTheme="minorEastAsia"/>
          <w:color w:val="auto"/>
          <w:highlight w:val="none"/>
          <w:lang w:val="zh-CN"/>
        </w:rPr>
        <w:t>3.6.1 除第二章“供应商须知”前附表授权直接确定成交人外，磋商小组按照得分由高到低的顺序推荐成交候选人。排名第一的成交候选人放弃成交、因不可抗力不能履行合同、不按照磋商文件要求提交履约保证金，或者被查实存在影响成交结果的违法行为等情形，不符合成交条件的，采购人可以选择重新招标，或按照磋商小组提出的成交候选人名单排序依次确定其他成交候选人为成交人。</w:t>
      </w:r>
    </w:p>
    <w:p>
      <w:pPr>
        <w:spacing w:line="430" w:lineRule="exact"/>
        <w:ind w:firstLine="420" w:firstLineChars="200"/>
        <w:rPr>
          <w:rFonts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val="zh-CN"/>
        </w:rPr>
        <w:t>3.6.2 磋商小组完成评标后，应当向采购人提交书面评标报告。</w:t>
      </w:r>
    </w:p>
    <w:p>
      <w:pPr>
        <w:spacing w:line="430" w:lineRule="exact"/>
        <w:rPr>
          <w:rFonts w:asciiTheme="minorEastAsia" w:hAnsiTheme="minorEastAsia" w:eastAsiaTheme="minorEastAsia"/>
          <w:color w:val="auto"/>
          <w:sz w:val="28"/>
          <w:szCs w:val="28"/>
          <w:highlight w:val="none"/>
        </w:rPr>
      </w:pPr>
      <w:r>
        <w:rPr>
          <w:rFonts w:asciiTheme="minorEastAsia" w:hAnsiTheme="minorEastAsia" w:eastAsiaTheme="minorEastAsia"/>
          <w:color w:val="auto"/>
          <w:sz w:val="28"/>
          <w:szCs w:val="28"/>
          <w:highlight w:val="none"/>
        </w:rPr>
        <w:br w:type="page"/>
      </w:r>
      <w:r>
        <w:rPr>
          <w:rFonts w:hint="eastAsia" w:asciiTheme="minorEastAsia" w:hAnsiTheme="minorEastAsia" w:eastAsiaTheme="minorEastAsia"/>
          <w:color w:val="auto"/>
          <w:sz w:val="28"/>
          <w:szCs w:val="28"/>
          <w:highlight w:val="none"/>
        </w:rPr>
        <w:t>废标条件</w:t>
      </w:r>
    </w:p>
    <w:p>
      <w:pPr>
        <w:spacing w:beforeLines="100" w:afterLines="50" w:line="430" w:lineRule="exact"/>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废标条件</w:t>
      </w:r>
    </w:p>
    <w:p>
      <w:pPr>
        <w:spacing w:line="43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一、总  则</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本附件所集中列示的废标条件，是本章“评标办法”的组成部分，是对第二章“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”和本章正文部分所规定的废标条件的总结和补充，如果出现相互矛盾的情况，以第二章“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”和本章正文部分的规定为准。</w:t>
      </w:r>
    </w:p>
    <w:p>
      <w:pPr>
        <w:spacing w:line="43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二、废标条件</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或其响应文件有下列情形之一的，其响应作废标处理：</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1、有第二章“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”第1.4.3项规定的任何一种情形的。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2、有串通投标或弄虚作假或有其他违法行为的。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3、不按磋商小组要求澄清、说明或补正的。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4、在形式评审、资格评审（适用于未进行资格预审的）、响应性评审中，磋商小组认定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的响应文件不符合评标办法前附表中规定的任何一项评审标准的。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5、磋商报价文件（磋商函除外），未按磋商文件要求签字并加盖造价专业人员执业专用章的。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6、在施工组织设计和项目管理机构评审中，磋商小组认定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的响应未能通过此项评审的。</w:t>
      </w:r>
    </w:p>
    <w:p>
      <w:pPr>
        <w:spacing w:line="430" w:lineRule="exact"/>
        <w:ind w:firstLine="420" w:firstLineChars="200"/>
        <w:rPr>
          <w:rFonts w:asciiTheme="minorEastAsia" w:hAnsiTheme="minorEastAsia" w:eastAsiaTheme="minorEastAsia"/>
          <w:b/>
          <w:color w:val="auto"/>
          <w:highlight w:val="none"/>
        </w:rPr>
      </w:pPr>
      <w:r>
        <w:rPr>
          <w:rFonts w:hint="eastAsia" w:asciiTheme="minorEastAsia" w:hAnsiTheme="minorEastAsia" w:eastAsiaTheme="minorEastAsia"/>
          <w:color w:val="auto"/>
          <w:highlight w:val="none"/>
        </w:rPr>
        <w:t>7、磋商小组认定</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以低于成本报价竞标的。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8、</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未按第二章“</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”第10.6款规定出席开标会的。</w:t>
      </w:r>
    </w:p>
    <w:p>
      <w:pPr>
        <w:spacing w:line="43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9、未按磋商文件要求提交全部材料及</w:t>
      </w:r>
      <w:r>
        <w:rPr>
          <w:rFonts w:hint="eastAsia" w:asciiTheme="minorEastAsia" w:hAnsiTheme="minorEastAsia" w:eastAsiaTheme="minorEastAsia"/>
          <w:color w:val="auto"/>
          <w:highlight w:val="none"/>
          <w:lang w:val="en-US" w:eastAsia="zh-CN"/>
        </w:rPr>
        <w:t>证明</w:t>
      </w:r>
      <w:r>
        <w:rPr>
          <w:rFonts w:hint="eastAsia" w:asciiTheme="minorEastAsia" w:hAnsiTheme="minorEastAsia" w:eastAsiaTheme="minorEastAsia"/>
          <w:color w:val="auto"/>
          <w:highlight w:val="none"/>
        </w:rPr>
        <w:t>文件的。</w:t>
      </w: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ind w:firstLine="420" w:firstLineChars="200"/>
        <w:rPr>
          <w:rFonts w:asciiTheme="minorEastAsia" w:hAnsiTheme="minorEastAsia" w:eastAsiaTheme="minorEastAsia"/>
          <w:color w:val="auto"/>
          <w:highlight w:val="none"/>
        </w:rPr>
      </w:pPr>
    </w:p>
    <w:p>
      <w:pPr>
        <w:spacing w:line="430" w:lineRule="exac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备注：在评审期间磋商小组认定某一响应文件为废标，需注明原因。当磋商小组意见不统一时应按照少数服从多数的原则确定。</w:t>
      </w:r>
    </w:p>
    <w:p>
      <w:pPr>
        <w:spacing w:line="430" w:lineRule="exact"/>
        <w:rPr>
          <w:rFonts w:asciiTheme="minorEastAsia" w:hAnsiTheme="minorEastAsia" w:eastAsiaTheme="minorEastAsia"/>
          <w:color w:val="auto"/>
          <w:sz w:val="28"/>
          <w:szCs w:val="28"/>
          <w:highlight w:val="none"/>
        </w:rPr>
      </w:pPr>
      <w:r>
        <w:rPr>
          <w:rFonts w:asciiTheme="minorEastAsia" w:hAnsiTheme="minorEastAsia" w:eastAsiaTheme="minorEastAsia"/>
          <w:color w:val="auto"/>
          <w:highlight w:val="none"/>
        </w:rPr>
        <w:br w:type="page"/>
      </w:r>
      <w:r>
        <w:rPr>
          <w:rFonts w:hint="eastAsia" w:asciiTheme="minorEastAsia" w:hAnsiTheme="minorEastAsia" w:eastAsiaTheme="minorEastAsia"/>
          <w:b/>
          <w:bCs/>
          <w:color w:val="auto"/>
          <w:sz w:val="28"/>
          <w:szCs w:val="28"/>
          <w:highlight w:val="none"/>
        </w:rPr>
        <w:t>落实政府采购政策需满足的资格要求：</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eastAsia="zh-CN"/>
        </w:rPr>
        <w:t>、</w:t>
      </w:r>
      <w:r>
        <w:rPr>
          <w:rFonts w:hint="eastAsia" w:ascii="宋体" w:hAnsi="宋体"/>
          <w:color w:val="auto"/>
          <w:sz w:val="21"/>
          <w:szCs w:val="21"/>
          <w:highlight w:val="none"/>
        </w:rPr>
        <w:t>本项目专门面向中小企业采购，监狱企业视同小型、微型企业，残疾人福利性单位视同小型、微型企业。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中小企业投标是指符合《中小企业划型标准规定》（工信部联企业〔2011〕300号）、《2017国民经济行业分类注释》的投标人，通过投标提供本企业制造的货物、承担的工程或者服务，或者提供其他中小企业制造的货物。本项目采购标的对应的中小企业划分标准所属行业为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根据财政部《政府采购促进中小企业发展管理办法》（财库〔2020〕46号）、《关于进一步加大政府采购支持中小企业力度的通知》（财库〔2022〕19号）、《吉林省强化政府采购政策支持中小企业发展落实举措》（吉财采购〔2022〕478号）规定，对符合规定的中小企业，享受中小企业扶持政策。中小企业投标应提供《中小企业声明函》，否则不得享受相关中小企业扶持政策。（格式见</w:t>
      </w:r>
      <w:r>
        <w:rPr>
          <w:rFonts w:hint="eastAsia" w:ascii="宋体" w:hAnsi="宋体"/>
          <w:color w:val="auto"/>
          <w:sz w:val="21"/>
          <w:szCs w:val="21"/>
          <w:highlight w:val="none"/>
          <w:lang w:val="en-US" w:eastAsia="zh-CN"/>
        </w:rPr>
        <w:t>第九章</w:t>
      </w:r>
      <w:r>
        <w:rPr>
          <w:rFonts w:hint="eastAsia" w:ascii="宋体" w:hAnsi="宋体"/>
          <w:color w:val="auto"/>
          <w:sz w:val="21"/>
          <w:szCs w:val="21"/>
          <w:highlight w:val="none"/>
        </w:rPr>
        <w:t>附件一）</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监狱企业。（根据财政部、司法部联合印发《关于政府采购支持监狱企业发展有关问题的通知》(财库【2014】68号)文件规定，凡监狱企业参加政府采购活动视同小型、微型企业，享受评审价格扣除的政府采购优惠政策。此次若有监狱企业参加投标的必须提供由省级以上监狱管理局、戒毒管理局(含新疆生产建设兵团)出具的属于监狱企业的证明文件，否则评审时不予认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根据财库〔2017〕141号规定，符合条件的残疾人福利性单位在参加政府采购活动时，视同小型、微型企业，享受促进中小企业发展的政府采购政策，残疾人福利性单位须在投标文件中提供《残疾人福利性单位声明函》，否则不予认定。（格式见</w:t>
      </w:r>
      <w:r>
        <w:rPr>
          <w:rFonts w:hint="eastAsia" w:ascii="宋体" w:hAnsi="宋体"/>
          <w:color w:val="auto"/>
          <w:sz w:val="21"/>
          <w:szCs w:val="21"/>
          <w:highlight w:val="none"/>
          <w:lang w:val="en-US" w:eastAsia="zh-CN"/>
        </w:rPr>
        <w:t>第九章</w:t>
      </w:r>
      <w:r>
        <w:rPr>
          <w:rFonts w:hint="eastAsia" w:ascii="宋体" w:hAnsi="宋体"/>
          <w:color w:val="auto"/>
          <w:sz w:val="21"/>
          <w:szCs w:val="21"/>
          <w:highlight w:val="none"/>
        </w:rPr>
        <w:t>附件二）</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2、根据财政部、国家发展改革委发布的《关于印发节能产品政府采购品目清单的通知》（财库〔2019〕19号），对于纳入《节能产品政府采购品目清单》的产品：（1）给予投标报价得分的3％的加分，采购项目或者分包中既包含节能产品也包含非节能产品的，只对纳入《节能产品政府采购品目清单》的产品按其在总报价中所占的比例给予价格分加分。（2）对于技术评分项目，给予技术评分得分的3％的加分。</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根据财政部、生态环境部发布的《关于印发环境标志产品政府采购品目清单的通知》（财库〔2019〕18号），对于纳入《环境标志产品政府采购品目清单》的产品：（1）给予投标报价得分的3％的加分，采购项目或者分包中既包含环境标志产品也包含非环境标志产品的，只对纳入《环境标志产品政府采购品目清单》的产品按其在总报价中所占的比例给予价格分加分。（2）对于技术评分项目，给予技术评分得分的3％的加分。</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政府采购属于节能清单和环境标志清单中的产品时，在技术、服务等指标同等条件下，应当优先采购节能清单和环境标志清单所列的节能和环境标志产品。</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投标产品同时纳入《环境标志产品政府采购品目清单》、《节能产品政府采购品目清单》的，将上述规定的价格分加分比例和技术分加分比例分别叠加后计算价格分加分和技术分加分。</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4、政府采购进口产品的规定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按照财政部《政府采购进口产品管理办法》第一章第四条关于“政府采购应当采购本国产品，确需采购进口产品（指通过中国海关报关验放进入中国境内且产自关境外的产品）的，实行审核管理”的规定，招标文件中凡未明确标明采购进口产品的，均为采购本国产品，投标人必须投标本国产品，投标进口产品的为无效投标。</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5、政府强制采购节能产品的规定</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按照财政部、发展改革委最新发布执行的《节能产品政府采购品目清单》的规定，《服务需求及技术规格要求》中凡包含强制采购产品的，投标人必须提供列入《节能产品政府采购品目清单》的产品，否则投标无效。</w:t>
      </w:r>
    </w:p>
    <w:p>
      <w:pPr>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货物需求及要求中包含计算机设备的，投标人必须投标预装正版操作系统软件的计算机产品，否则无效。</w:t>
      </w:r>
    </w:p>
    <w:p>
      <w:pPr>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以上所列国家相关政策性文件，此处不予提供。请</w:t>
      </w:r>
      <w:r>
        <w:rPr>
          <w:rFonts w:hint="eastAsia" w:asciiTheme="minorEastAsia" w:hAnsiTheme="minorEastAsia" w:eastAsiaTheme="minorEastAsia"/>
          <w:color w:val="auto"/>
          <w:sz w:val="21"/>
          <w:szCs w:val="21"/>
          <w:highlight w:val="none"/>
          <w:lang w:eastAsia="zh-CN"/>
        </w:rPr>
        <w:t>响应供应商</w:t>
      </w:r>
      <w:r>
        <w:rPr>
          <w:rFonts w:hint="eastAsia" w:asciiTheme="minorEastAsia" w:hAnsiTheme="minorEastAsia" w:eastAsiaTheme="minorEastAsia"/>
          <w:color w:val="auto"/>
          <w:sz w:val="21"/>
          <w:szCs w:val="21"/>
          <w:highlight w:val="none"/>
        </w:rPr>
        <w:t>自行查询阅读理解。相关附件声明格式后附；</w:t>
      </w:r>
    </w:p>
    <w:p>
      <w:pPr>
        <w:rPr>
          <w:rFonts w:asciiTheme="minorEastAsia" w:hAnsiTheme="minorEastAsia" w:eastAsiaTheme="minorEastAsia"/>
          <w:color w:val="auto"/>
          <w:highlight w:val="none"/>
        </w:rPr>
      </w:pPr>
      <w:r>
        <w:rPr>
          <w:rFonts w:asciiTheme="minorEastAsia" w:hAnsiTheme="minorEastAsia" w:eastAsiaTheme="minorEastAsia"/>
          <w:color w:val="auto"/>
          <w:sz w:val="21"/>
          <w:szCs w:val="21"/>
          <w:highlight w:val="none"/>
        </w:rPr>
        <w:br w:type="page"/>
      </w:r>
    </w:p>
    <w:p>
      <w:pPr>
        <w:rPr>
          <w:rFonts w:asciiTheme="minorEastAsia" w:hAnsiTheme="minorEastAsia" w:eastAsiaTheme="minorEastAsia"/>
          <w:color w:val="auto"/>
          <w:highlight w:val="none"/>
        </w:rPr>
      </w:pPr>
    </w:p>
    <w:p>
      <w:pPr>
        <w:pStyle w:val="4"/>
        <w:rPr>
          <w:color w:val="auto"/>
          <w:highlight w:val="none"/>
        </w:rPr>
      </w:pPr>
      <w:bookmarkStart w:id="68" w:name="_Toc138238340"/>
      <w:r>
        <w:rPr>
          <w:rFonts w:hint="eastAsia"/>
          <w:color w:val="auto"/>
          <w:highlight w:val="none"/>
        </w:rPr>
        <w:t>第四章  合同条款及格式</w:t>
      </w:r>
      <w:bookmarkEnd w:id="68"/>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spacing w:line="360" w:lineRule="auto"/>
        <w:ind w:firstLine="560" w:firstLineChars="2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本工程合同格式详见中国人民共和国住房和城乡建设部、中国人民共和国工商行政管理总局、吉林省建设厅、吉林省工商总局联合制定发行的建设工程施工合同（示范文本）</w:t>
      </w:r>
      <w:r>
        <w:rPr>
          <w:rFonts w:asciiTheme="minorEastAsia" w:hAnsiTheme="minorEastAsia" w:eastAsiaTheme="minorEastAsia"/>
          <w:color w:val="auto"/>
          <w:sz w:val="28"/>
          <w:szCs w:val="28"/>
          <w:highlight w:val="none"/>
        </w:rPr>
        <w:t>（GF—201</w:t>
      </w:r>
      <w:r>
        <w:rPr>
          <w:rFonts w:hint="eastAsia" w:asciiTheme="minorEastAsia" w:hAnsiTheme="minorEastAsia" w:eastAsiaTheme="minorEastAsia"/>
          <w:color w:val="auto"/>
          <w:sz w:val="28"/>
          <w:szCs w:val="28"/>
          <w:highlight w:val="none"/>
        </w:rPr>
        <w:t>7</w:t>
      </w:r>
      <w:r>
        <w:rPr>
          <w:rFonts w:asciiTheme="minorEastAsia" w:hAnsiTheme="minorEastAsia" w:eastAsiaTheme="minorEastAsia"/>
          <w:color w:val="auto"/>
          <w:sz w:val="28"/>
          <w:szCs w:val="28"/>
          <w:highlight w:val="none"/>
        </w:rPr>
        <w:t>—</w:t>
      </w:r>
      <w:r>
        <w:rPr>
          <w:rFonts w:hint="eastAsia" w:asciiTheme="minorEastAsia" w:hAnsiTheme="minorEastAsia" w:eastAsiaTheme="minorEastAsia"/>
          <w:color w:val="auto"/>
          <w:sz w:val="28"/>
          <w:szCs w:val="28"/>
          <w:highlight w:val="none"/>
        </w:rPr>
        <w:t>0201）。</w:t>
      </w:r>
    </w:p>
    <w:p>
      <w:pPr>
        <w:spacing w:line="360" w:lineRule="auto"/>
        <w:ind w:firstLine="560" w:firstLineChars="2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（此合同文本仅为通用参考合同文本，在确定中标人后，双方将对商务，技术，承诺等内容签订更加详细的内容，采购人保留对和同条款修改的权利。）</w:t>
      </w:r>
    </w:p>
    <w:p>
      <w:pPr>
        <w:pStyle w:val="261"/>
        <w:spacing w:line="400" w:lineRule="exact"/>
        <w:jc w:val="left"/>
        <w:rPr>
          <w:rFonts w:ascii="宋体" w:hAnsi="宋体"/>
          <w:bCs/>
          <w:color w:val="auto"/>
          <w:sz w:val="32"/>
          <w:szCs w:val="32"/>
          <w:highlight w:val="none"/>
        </w:rPr>
      </w:pPr>
      <w:r>
        <w:rPr>
          <w:color w:val="auto"/>
          <w:highlight w:val="none"/>
        </w:rPr>
        <w:br w:type="page"/>
      </w:r>
      <w:bookmarkStart w:id="69" w:name="_Toc138238341"/>
      <w:bookmarkStart w:id="70" w:name="_Toc490745108"/>
      <w:r>
        <w:rPr>
          <w:rFonts w:ascii="宋体" w:hAnsi="宋体"/>
          <w:bCs/>
          <w:color w:val="auto"/>
          <w:sz w:val="32"/>
          <w:szCs w:val="32"/>
          <w:highlight w:val="none"/>
        </w:rPr>
        <w:t>（GF—201</w:t>
      </w:r>
      <w:r>
        <w:rPr>
          <w:rFonts w:hint="eastAsia" w:ascii="宋体" w:hAnsi="宋体"/>
          <w:bCs/>
          <w:color w:val="auto"/>
          <w:sz w:val="32"/>
          <w:szCs w:val="32"/>
          <w:highlight w:val="none"/>
        </w:rPr>
        <w:t>7</w:t>
      </w:r>
      <w:r>
        <w:rPr>
          <w:rFonts w:ascii="宋体" w:hAnsi="宋体"/>
          <w:bCs/>
          <w:color w:val="auto"/>
          <w:sz w:val="32"/>
          <w:szCs w:val="32"/>
          <w:highlight w:val="none"/>
        </w:rPr>
        <w:t>—</w:t>
      </w:r>
      <w:r>
        <w:rPr>
          <w:rFonts w:hint="eastAsia" w:ascii="宋体" w:hAnsi="宋体"/>
          <w:bCs/>
          <w:color w:val="auto"/>
          <w:sz w:val="32"/>
          <w:szCs w:val="32"/>
          <w:highlight w:val="none"/>
        </w:rPr>
        <w:t>0201）</w:t>
      </w:r>
    </w:p>
    <w:p>
      <w:pPr>
        <w:pStyle w:val="261"/>
        <w:spacing w:line="400" w:lineRule="exact"/>
        <w:jc w:val="center"/>
        <w:rPr>
          <w:rFonts w:ascii="宋体" w:hAnsi="宋体"/>
          <w:b/>
          <w:color w:val="auto"/>
          <w:sz w:val="52"/>
          <w:szCs w:val="52"/>
          <w:highlight w:val="none"/>
        </w:rPr>
      </w:pPr>
    </w:p>
    <w:p>
      <w:pPr>
        <w:pStyle w:val="261"/>
        <w:spacing w:line="400" w:lineRule="exact"/>
        <w:jc w:val="center"/>
        <w:rPr>
          <w:rFonts w:ascii="宋体" w:hAnsi="宋体"/>
          <w:b/>
          <w:color w:val="auto"/>
          <w:sz w:val="52"/>
          <w:szCs w:val="52"/>
          <w:highlight w:val="none"/>
        </w:rPr>
      </w:pPr>
    </w:p>
    <w:p>
      <w:pPr>
        <w:pStyle w:val="261"/>
        <w:spacing w:line="400" w:lineRule="exact"/>
        <w:jc w:val="center"/>
        <w:rPr>
          <w:rFonts w:hint="eastAsia" w:ascii="宋体" w:hAnsi="宋体"/>
          <w:b/>
          <w:color w:val="auto"/>
          <w:sz w:val="52"/>
          <w:szCs w:val="52"/>
          <w:highlight w:val="none"/>
        </w:rPr>
      </w:pPr>
    </w:p>
    <w:p>
      <w:pPr>
        <w:pStyle w:val="261"/>
        <w:spacing w:line="400" w:lineRule="exact"/>
        <w:jc w:val="center"/>
        <w:rPr>
          <w:rFonts w:hint="eastAsia" w:ascii="宋体" w:hAnsi="宋体"/>
          <w:b/>
          <w:color w:val="auto"/>
          <w:sz w:val="52"/>
          <w:szCs w:val="52"/>
          <w:highlight w:val="none"/>
        </w:rPr>
      </w:pPr>
    </w:p>
    <w:p>
      <w:pPr>
        <w:pStyle w:val="261"/>
        <w:spacing w:line="400" w:lineRule="exact"/>
        <w:jc w:val="center"/>
        <w:rPr>
          <w:rFonts w:hint="eastAsia" w:ascii="宋体" w:hAnsi="宋体"/>
          <w:b/>
          <w:color w:val="auto"/>
          <w:sz w:val="52"/>
          <w:szCs w:val="52"/>
          <w:highlight w:val="none"/>
        </w:rPr>
      </w:pPr>
    </w:p>
    <w:p>
      <w:pPr>
        <w:pStyle w:val="261"/>
        <w:spacing w:line="400" w:lineRule="exact"/>
        <w:jc w:val="center"/>
        <w:rPr>
          <w:rFonts w:ascii="宋体" w:hAnsi="宋体"/>
          <w:b/>
          <w:color w:val="auto"/>
          <w:sz w:val="52"/>
          <w:szCs w:val="52"/>
          <w:highlight w:val="none"/>
        </w:rPr>
      </w:pPr>
    </w:p>
    <w:p>
      <w:pPr>
        <w:pStyle w:val="261"/>
        <w:jc w:val="center"/>
        <w:rPr>
          <w:rFonts w:hint="eastAsia" w:ascii="宋体" w:hAnsi="宋体" w:eastAsia="宋体"/>
          <w:b/>
          <w:color w:val="auto"/>
          <w:sz w:val="72"/>
          <w:szCs w:val="52"/>
          <w:highlight w:val="none"/>
          <w:lang w:eastAsia="zh-CN"/>
        </w:rPr>
      </w:pPr>
      <w:r>
        <w:rPr>
          <w:rFonts w:ascii="宋体" w:hAnsi="宋体"/>
          <w:b/>
          <w:color w:val="auto"/>
          <w:sz w:val="72"/>
          <w:szCs w:val="52"/>
          <w:highlight w:val="none"/>
        </w:rPr>
        <w:t>建设工程施工合同</w:t>
      </w:r>
    </w:p>
    <w:p>
      <w:pPr>
        <w:pStyle w:val="261"/>
        <w:jc w:val="center"/>
        <w:rPr>
          <w:rFonts w:ascii="宋体" w:hAnsi="宋体"/>
          <w:b/>
          <w:color w:val="auto"/>
          <w:sz w:val="52"/>
          <w:szCs w:val="52"/>
          <w:highlight w:val="none"/>
        </w:rPr>
      </w:pPr>
      <w:r>
        <w:rPr>
          <w:rFonts w:ascii="宋体" w:hAnsi="宋体"/>
          <w:b/>
          <w:color w:val="auto"/>
          <w:sz w:val="52"/>
          <w:szCs w:val="52"/>
          <w:highlight w:val="none"/>
        </w:rPr>
        <w:t>（示范文本）</w:t>
      </w:r>
    </w:p>
    <w:p>
      <w:pPr>
        <w:pStyle w:val="261"/>
        <w:spacing w:line="400" w:lineRule="exact"/>
        <w:jc w:val="center"/>
        <w:rPr>
          <w:rFonts w:ascii="宋体" w:hAnsi="宋体"/>
          <w:b/>
          <w:color w:val="auto"/>
          <w:sz w:val="52"/>
          <w:szCs w:val="52"/>
          <w:highlight w:val="none"/>
        </w:rPr>
      </w:pPr>
    </w:p>
    <w:p>
      <w:pPr>
        <w:pStyle w:val="261"/>
        <w:spacing w:line="400" w:lineRule="exact"/>
        <w:jc w:val="center"/>
        <w:rPr>
          <w:rFonts w:ascii="宋体" w:hAnsi="宋体"/>
          <w:b/>
          <w:color w:val="auto"/>
          <w:sz w:val="72"/>
          <w:szCs w:val="72"/>
          <w:highlight w:val="none"/>
        </w:rPr>
      </w:pPr>
    </w:p>
    <w:p>
      <w:pPr>
        <w:pStyle w:val="261"/>
        <w:spacing w:line="400" w:lineRule="exact"/>
        <w:jc w:val="center"/>
        <w:rPr>
          <w:rFonts w:ascii="宋体" w:hAnsi="宋体"/>
          <w:b/>
          <w:color w:val="auto"/>
          <w:sz w:val="72"/>
          <w:szCs w:val="72"/>
          <w:highlight w:val="none"/>
        </w:rPr>
      </w:pPr>
    </w:p>
    <w:p>
      <w:pPr>
        <w:pStyle w:val="261"/>
        <w:spacing w:line="400" w:lineRule="exact"/>
        <w:jc w:val="center"/>
        <w:rPr>
          <w:rFonts w:ascii="宋体" w:hAnsi="宋体"/>
          <w:b/>
          <w:color w:val="auto"/>
          <w:sz w:val="52"/>
          <w:szCs w:val="52"/>
          <w:highlight w:val="none"/>
        </w:rPr>
      </w:pPr>
    </w:p>
    <w:p>
      <w:pPr>
        <w:pStyle w:val="261"/>
        <w:spacing w:line="400" w:lineRule="exact"/>
        <w:rPr>
          <w:rFonts w:ascii="宋体" w:hAnsi="宋体"/>
          <w:b/>
          <w:color w:val="auto"/>
          <w:sz w:val="28"/>
          <w:szCs w:val="28"/>
          <w:highlight w:val="none"/>
        </w:rPr>
      </w:pPr>
    </w:p>
    <w:p>
      <w:pPr>
        <w:pStyle w:val="261"/>
        <w:spacing w:line="400" w:lineRule="exact"/>
        <w:rPr>
          <w:rFonts w:hint="eastAsia" w:ascii="宋体" w:hAnsi="宋体"/>
          <w:b/>
          <w:color w:val="auto"/>
          <w:sz w:val="28"/>
          <w:szCs w:val="28"/>
          <w:highlight w:val="none"/>
        </w:rPr>
      </w:pPr>
    </w:p>
    <w:p>
      <w:pPr>
        <w:pStyle w:val="261"/>
        <w:spacing w:line="400" w:lineRule="exact"/>
        <w:rPr>
          <w:rFonts w:hint="eastAsia" w:ascii="宋体" w:hAnsi="宋体"/>
          <w:b/>
          <w:color w:val="auto"/>
          <w:sz w:val="28"/>
          <w:szCs w:val="28"/>
          <w:highlight w:val="none"/>
        </w:rPr>
      </w:pPr>
    </w:p>
    <w:p>
      <w:pPr>
        <w:pStyle w:val="261"/>
        <w:spacing w:line="400" w:lineRule="exact"/>
        <w:rPr>
          <w:rFonts w:hint="eastAsia" w:ascii="宋体" w:hAnsi="宋体"/>
          <w:b/>
          <w:color w:val="auto"/>
          <w:sz w:val="28"/>
          <w:szCs w:val="28"/>
          <w:highlight w:val="none"/>
        </w:rPr>
      </w:pPr>
    </w:p>
    <w:p>
      <w:pPr>
        <w:pStyle w:val="261"/>
        <w:spacing w:line="400" w:lineRule="exact"/>
        <w:rPr>
          <w:rFonts w:ascii="宋体" w:hAnsi="宋体"/>
          <w:b/>
          <w:color w:val="auto"/>
          <w:sz w:val="28"/>
          <w:szCs w:val="28"/>
          <w:highlight w:val="none"/>
        </w:rPr>
      </w:pPr>
    </w:p>
    <w:p>
      <w:pPr>
        <w:pStyle w:val="261"/>
        <w:spacing w:line="400" w:lineRule="exact"/>
        <w:rPr>
          <w:rFonts w:ascii="宋体" w:hAnsi="宋体"/>
          <w:b/>
          <w:color w:val="auto"/>
          <w:sz w:val="28"/>
          <w:szCs w:val="28"/>
          <w:highlight w:val="none"/>
        </w:rPr>
      </w:pPr>
    </w:p>
    <w:p>
      <w:pPr>
        <w:pStyle w:val="261"/>
        <w:spacing w:line="400" w:lineRule="exact"/>
        <w:ind w:leftChars="1100" w:right="2719" w:rightChars="1295"/>
        <w:jc w:val="center"/>
        <w:rPr>
          <w:rFonts w:ascii="宋体" w:hAnsi="宋体"/>
          <w:b/>
          <w:color w:val="auto"/>
          <w:sz w:val="32"/>
          <w:szCs w:val="28"/>
          <w:highlight w:val="none"/>
        </w:rPr>
      </w:pPr>
      <w:r>
        <w:rPr>
          <w:rFonts w:ascii="宋体" w:hAnsi="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4465320</wp:posOffset>
                </wp:positionH>
                <wp:positionV relativeFrom="paragraph">
                  <wp:posOffset>24130</wp:posOffset>
                </wp:positionV>
                <wp:extent cx="723900" cy="457200"/>
                <wp:effectExtent l="4445" t="4445" r="18415" b="10795"/>
                <wp:wrapNone/>
                <wp:docPr id="9" name="文本框 9"/>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pPr>
                              <w:pStyle w:val="261"/>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51.6pt;margin-top:1.9pt;height:36pt;width:57pt;z-index:251662336;mso-width-relative:page;mso-height-relative:page;" filled="f" stroked="t" coordsize="21600,21600" o:gfxdata="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IXPPzWAAAACAEAAA8AAAAAAAAAAQAgAAAAIgAAAGRycy9k&#10;b3ducmV2LnhtbFBLAQIUABQAAAAIAIdO4kA/v49oBAIAAAwEAAAOAAAAAAAAAAEAIAAAACUBAABk&#10;cnMvZTJvRG9jLnhtbFBLBQYAAAAABgAGAFkBAACbBQAAAAA=&#10;">
                <v:fill on="f" focussize="0,0"/>
                <v:stroke color="#FFFFFF" joinstyle="miter"/>
                <v:imagedata o:title=""/>
                <o:lock v:ext="edit" aspectratio="f"/>
                <v:textbox>
                  <w:txbxContent>
                    <w:p>
                      <w:pPr>
                        <w:pStyle w:val="261"/>
                        <w:rPr>
                          <w:rFonts w:hint="eastAsia"/>
                          <w:b/>
                          <w:bCs/>
                          <w:sz w:val="32"/>
                        </w:rPr>
                      </w:pPr>
                      <w:r>
                        <w:rPr>
                          <w:rFonts w:hint="eastAsia"/>
                          <w:b/>
                          <w:bCs/>
                          <w:sz w:val="32"/>
                        </w:rPr>
                        <w:t>制定</w:t>
                      </w:r>
                    </w:p>
                  </w:txbxContent>
                </v:textbox>
              </v:shape>
            </w:pict>
          </mc:Fallback>
        </mc:AlternateContent>
      </w:r>
      <w:r>
        <w:rPr>
          <w:rFonts w:ascii="宋体" w:hAnsi="宋体"/>
          <w:b/>
          <w:color w:val="auto"/>
          <w:sz w:val="32"/>
          <w:szCs w:val="28"/>
          <w:highlight w:val="none"/>
        </w:rPr>
        <w:t>住房城乡建设部</w:t>
      </w:r>
    </w:p>
    <w:p>
      <w:pPr>
        <w:pStyle w:val="261"/>
        <w:spacing w:line="400" w:lineRule="exact"/>
        <w:ind w:leftChars="1100" w:right="2719" w:rightChars="1295"/>
        <w:jc w:val="center"/>
        <w:rPr>
          <w:rFonts w:ascii="宋体" w:hAnsi="宋体"/>
          <w:b/>
          <w:color w:val="auto"/>
          <w:sz w:val="32"/>
          <w:szCs w:val="28"/>
          <w:highlight w:val="none"/>
        </w:rPr>
      </w:pPr>
      <w:r>
        <w:rPr>
          <w:rFonts w:ascii="宋体" w:hAnsi="宋体"/>
          <w:b/>
          <w:color w:val="auto"/>
          <w:sz w:val="32"/>
          <w:szCs w:val="28"/>
          <w:highlight w:val="none"/>
        </w:rPr>
        <w:t>国家工商行政管理</w:t>
      </w:r>
      <w:r>
        <w:rPr>
          <w:rFonts w:ascii="宋体" w:hAnsi="宋体" w:eastAsia="宋体" w:cs="Times New Roman"/>
          <w:b/>
          <w:color w:val="auto"/>
          <w:sz w:val="32"/>
          <w:szCs w:val="28"/>
          <w:highlight w:val="none"/>
        </w:rPr>
        <w:t>总局</w:t>
      </w:r>
    </w:p>
    <w:p>
      <w:pPr>
        <w:pStyle w:val="261"/>
        <w:spacing w:line="400" w:lineRule="exact"/>
        <w:rPr>
          <w:rFonts w:hint="eastAsia" w:ascii="宋体" w:hAnsi="宋体"/>
          <w:b/>
          <w:color w:val="auto"/>
          <w:highlight w:val="none"/>
        </w:rPr>
      </w:pPr>
    </w:p>
    <w:p>
      <w:pPr>
        <w:pStyle w:val="261"/>
        <w:spacing w:line="400" w:lineRule="exact"/>
        <w:rPr>
          <w:rFonts w:hint="eastAsia" w:ascii="宋体" w:hAnsi="宋体"/>
          <w:b/>
          <w:color w:val="auto"/>
          <w:highlight w:val="none"/>
        </w:rPr>
      </w:pPr>
    </w:p>
    <w:p>
      <w:pPr>
        <w:pStyle w:val="261"/>
        <w:spacing w:line="400" w:lineRule="exact"/>
        <w:rPr>
          <w:rFonts w:hint="eastAsia" w:ascii="宋体" w:hAnsi="宋体"/>
          <w:b/>
          <w:color w:val="auto"/>
          <w:highlight w:val="none"/>
        </w:rPr>
      </w:pPr>
    </w:p>
    <w:p>
      <w:pPr>
        <w:pStyle w:val="261"/>
        <w:spacing w:line="400" w:lineRule="exact"/>
        <w:rPr>
          <w:rFonts w:ascii="宋体" w:hAnsi="宋体"/>
          <w:b/>
          <w:color w:val="auto"/>
          <w:highlight w:val="none"/>
        </w:rPr>
      </w:pPr>
    </w:p>
    <w:p>
      <w:pPr>
        <w:pStyle w:val="262"/>
        <w:spacing w:before="0" w:after="0" w:line="400" w:lineRule="exact"/>
        <w:jc w:val="center"/>
        <w:outlineLvl w:val="1"/>
        <w:rPr>
          <w:rFonts w:hint="eastAsia" w:ascii="宋体" w:hAnsi="宋体"/>
          <w:color w:val="auto"/>
          <w:highlight w:val="none"/>
          <w:lang w:val="zh-CN"/>
        </w:rPr>
      </w:pPr>
      <w:bookmarkStart w:id="71" w:name="_Toc17185646"/>
      <w:bookmarkStart w:id="72" w:name="_Toc531247219"/>
      <w:bookmarkStart w:id="73" w:name="_Toc17185749"/>
      <w:bookmarkStart w:id="74" w:name="_Toc22892073"/>
      <w:bookmarkStart w:id="75" w:name="_Toc526086150"/>
      <w:bookmarkStart w:id="76" w:name="_Toc19097037"/>
      <w:bookmarkStart w:id="77" w:name="_Toc526086050"/>
      <w:bookmarkStart w:id="78" w:name="_Toc296503025"/>
      <w:bookmarkStart w:id="79" w:name="_Toc296890982"/>
      <w:r>
        <w:rPr>
          <w:rFonts w:hint="eastAsia" w:ascii="宋体" w:hAnsi="宋体"/>
          <w:color w:val="auto"/>
          <w:highlight w:val="none"/>
          <w:lang w:val="zh-CN"/>
        </w:rPr>
        <w:br w:type="page"/>
      </w:r>
      <w:bookmarkStart w:id="80" w:name="_Toc3373"/>
      <w:r>
        <w:rPr>
          <w:rFonts w:hint="eastAsia" w:ascii="宋体" w:hAnsi="宋体"/>
          <w:color w:val="auto"/>
          <w:highlight w:val="none"/>
          <w:lang w:val="zh-CN"/>
        </w:rPr>
        <w:t>说  明</w:t>
      </w:r>
      <w:bookmarkEnd w:id="71"/>
      <w:bookmarkEnd w:id="72"/>
      <w:bookmarkEnd w:id="73"/>
      <w:bookmarkEnd w:id="74"/>
      <w:bookmarkEnd w:id="75"/>
      <w:bookmarkEnd w:id="76"/>
      <w:bookmarkEnd w:id="77"/>
      <w:bookmarkEnd w:id="80"/>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为了指导建设工程施工合同当事人的签约行为，维护合同当事人的合法权益，依据《中华人民共和国</w:t>
      </w:r>
      <w:r>
        <w:rPr>
          <w:rFonts w:hint="eastAsia" w:ascii="宋体" w:hAnsi="宋体"/>
          <w:color w:val="auto"/>
          <w:sz w:val="21"/>
          <w:szCs w:val="21"/>
          <w:highlight w:val="none"/>
          <w:lang w:val="en-US" w:eastAsia="zh-CN"/>
        </w:rPr>
        <w:t>民法典</w:t>
      </w:r>
      <w:r>
        <w:rPr>
          <w:rFonts w:hint="eastAsia" w:ascii="宋体" w:hAnsi="宋体"/>
          <w:color w:val="auto"/>
          <w:sz w:val="21"/>
          <w:szCs w:val="21"/>
          <w:highlight w:val="none"/>
        </w:rPr>
        <w:t>》、《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pPr>
        <w:pStyle w:val="261"/>
        <w:spacing w:line="360" w:lineRule="exact"/>
        <w:ind w:firstLine="420" w:firstLineChars="200"/>
        <w:outlineLvl w:val="1"/>
        <w:rPr>
          <w:rFonts w:hint="eastAsia" w:ascii="宋体" w:hAnsi="宋体"/>
          <w:bCs/>
          <w:color w:val="auto"/>
          <w:sz w:val="21"/>
          <w:szCs w:val="21"/>
          <w:highlight w:val="none"/>
        </w:rPr>
      </w:pPr>
      <w:bookmarkStart w:id="81" w:name="_Toc22892074"/>
      <w:bookmarkStart w:id="82" w:name="_Toc19097038"/>
      <w:bookmarkStart w:id="83" w:name="_Toc526086151"/>
      <w:bookmarkStart w:id="84" w:name="_Toc17185647"/>
      <w:bookmarkStart w:id="85" w:name="_Toc526086051"/>
      <w:bookmarkStart w:id="86" w:name="_Toc531247220"/>
      <w:bookmarkStart w:id="87" w:name="_Toc17185750"/>
      <w:r>
        <w:rPr>
          <w:rFonts w:hint="eastAsia" w:ascii="宋体" w:hAnsi="宋体"/>
          <w:bCs/>
          <w:color w:val="auto"/>
          <w:sz w:val="21"/>
          <w:szCs w:val="21"/>
          <w:highlight w:val="none"/>
        </w:rPr>
        <w:t>一、《示范文本》的组成</w:t>
      </w:r>
      <w:bookmarkEnd w:id="81"/>
      <w:bookmarkEnd w:id="82"/>
      <w:bookmarkEnd w:id="83"/>
      <w:bookmarkEnd w:id="84"/>
      <w:bookmarkEnd w:id="85"/>
      <w:bookmarkEnd w:id="86"/>
      <w:bookmarkEnd w:id="87"/>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《示范文本》由合同协议书、通用合同条款和专用合同条款三部分组成。</w:t>
      </w:r>
    </w:p>
    <w:p>
      <w:pPr>
        <w:pStyle w:val="261"/>
        <w:spacing w:line="360" w:lineRule="exact"/>
        <w:ind w:firstLine="420" w:firstLineChars="200"/>
        <w:outlineLvl w:val="1"/>
        <w:rPr>
          <w:rFonts w:hint="eastAsia" w:ascii="宋体" w:hAnsi="宋体"/>
          <w:color w:val="auto"/>
          <w:sz w:val="21"/>
          <w:szCs w:val="21"/>
          <w:highlight w:val="none"/>
        </w:rPr>
      </w:pPr>
      <w:bookmarkStart w:id="88" w:name="_Toc17185751"/>
      <w:bookmarkStart w:id="89" w:name="_Toc19097039"/>
      <w:bookmarkStart w:id="90" w:name="_Toc526086052"/>
      <w:bookmarkStart w:id="91" w:name="_Toc22892075"/>
      <w:bookmarkStart w:id="92" w:name="_Toc526086152"/>
      <w:bookmarkStart w:id="93" w:name="_Toc17185648"/>
      <w:bookmarkStart w:id="94" w:name="_Toc531247221"/>
      <w:r>
        <w:rPr>
          <w:rFonts w:hint="eastAsia" w:ascii="宋体" w:hAnsi="宋体"/>
          <w:color w:val="auto"/>
          <w:sz w:val="21"/>
          <w:szCs w:val="21"/>
          <w:highlight w:val="none"/>
        </w:rPr>
        <w:t>（一）合同协议书</w:t>
      </w:r>
      <w:bookmarkEnd w:id="88"/>
      <w:bookmarkEnd w:id="89"/>
      <w:bookmarkEnd w:id="90"/>
      <w:bookmarkEnd w:id="91"/>
      <w:bookmarkEnd w:id="92"/>
      <w:bookmarkEnd w:id="93"/>
      <w:bookmarkEnd w:id="94"/>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pPr>
        <w:pStyle w:val="261"/>
        <w:spacing w:line="360" w:lineRule="exact"/>
        <w:ind w:firstLine="420" w:firstLineChars="200"/>
        <w:outlineLvl w:val="1"/>
        <w:rPr>
          <w:rFonts w:hint="eastAsia" w:ascii="宋体" w:hAnsi="宋体"/>
          <w:color w:val="auto"/>
          <w:sz w:val="21"/>
          <w:szCs w:val="21"/>
          <w:highlight w:val="none"/>
        </w:rPr>
      </w:pPr>
      <w:bookmarkStart w:id="95" w:name="_Toc17185649"/>
      <w:bookmarkStart w:id="96" w:name="_Toc17185752"/>
      <w:bookmarkStart w:id="97" w:name="_Toc19097040"/>
      <w:bookmarkStart w:id="98" w:name="_Toc526086053"/>
      <w:bookmarkStart w:id="99" w:name="_Toc526086153"/>
      <w:bookmarkStart w:id="100" w:name="_Toc22892076"/>
      <w:bookmarkStart w:id="101" w:name="_Toc531247222"/>
      <w:r>
        <w:rPr>
          <w:rFonts w:hint="eastAsia" w:ascii="宋体" w:hAnsi="宋体"/>
          <w:color w:val="auto"/>
          <w:sz w:val="21"/>
          <w:szCs w:val="21"/>
          <w:highlight w:val="none"/>
        </w:rPr>
        <w:t>（二）通用合同条款</w:t>
      </w:r>
      <w:bookmarkEnd w:id="95"/>
      <w:bookmarkEnd w:id="96"/>
      <w:bookmarkEnd w:id="97"/>
      <w:bookmarkEnd w:id="98"/>
      <w:bookmarkEnd w:id="99"/>
      <w:bookmarkEnd w:id="100"/>
      <w:bookmarkEnd w:id="101"/>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通用合同条款是合同当事人根据《中华人民共和国建筑法》、《中华人民共和国</w:t>
      </w:r>
      <w:r>
        <w:rPr>
          <w:rFonts w:hint="eastAsia" w:ascii="宋体" w:hAnsi="宋体"/>
          <w:color w:val="auto"/>
          <w:sz w:val="21"/>
          <w:szCs w:val="21"/>
          <w:highlight w:val="none"/>
          <w:lang w:val="en-US" w:eastAsia="zh-CN"/>
        </w:rPr>
        <w:t>民法典</w:t>
      </w:r>
      <w:r>
        <w:rPr>
          <w:rFonts w:hint="eastAsia" w:ascii="宋体" w:hAnsi="宋体"/>
          <w:color w:val="auto"/>
          <w:sz w:val="21"/>
          <w:szCs w:val="21"/>
          <w:highlight w:val="none"/>
        </w:rPr>
        <w:t>》等法律法规的规定，就工程建设的实施及相关事项，对合同当事人的权利义务作出的原则性约定。</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pPr>
        <w:pStyle w:val="261"/>
        <w:spacing w:line="360" w:lineRule="exact"/>
        <w:ind w:firstLine="420" w:firstLineChars="200"/>
        <w:outlineLvl w:val="1"/>
        <w:rPr>
          <w:rFonts w:hint="eastAsia" w:ascii="宋体" w:hAnsi="宋体"/>
          <w:color w:val="auto"/>
          <w:sz w:val="21"/>
          <w:szCs w:val="21"/>
          <w:highlight w:val="none"/>
        </w:rPr>
      </w:pPr>
      <w:bookmarkStart w:id="102" w:name="_Toc17185650"/>
      <w:bookmarkStart w:id="103" w:name="_Toc22892077"/>
      <w:bookmarkStart w:id="104" w:name="_Toc19097041"/>
      <w:bookmarkStart w:id="105" w:name="_Toc531247223"/>
      <w:bookmarkStart w:id="106" w:name="_Toc17185753"/>
      <w:bookmarkStart w:id="107" w:name="_Toc526086054"/>
      <w:bookmarkStart w:id="108" w:name="_Toc526086154"/>
      <w:r>
        <w:rPr>
          <w:rFonts w:hint="eastAsia" w:ascii="宋体" w:hAnsi="宋体"/>
          <w:color w:val="auto"/>
          <w:sz w:val="21"/>
          <w:szCs w:val="21"/>
          <w:highlight w:val="none"/>
        </w:rPr>
        <w:t>（三）专用合同条款</w:t>
      </w:r>
      <w:bookmarkEnd w:id="102"/>
      <w:bookmarkEnd w:id="103"/>
      <w:bookmarkEnd w:id="104"/>
      <w:bookmarkEnd w:id="105"/>
      <w:bookmarkEnd w:id="106"/>
      <w:bookmarkEnd w:id="107"/>
      <w:bookmarkEnd w:id="108"/>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pPr>
        <w:pStyle w:val="261"/>
        <w:spacing w:line="400" w:lineRule="exact"/>
        <w:ind w:right="25" w:rightChars="12"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1.专用合同条款的编号应与相应的通用合同条款的编号一致；</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2.合同当事人可以通过对专用合同条款的修改，满足具体建设工程的特殊要求，避免直接修改通用合同条款；</w:t>
      </w:r>
    </w:p>
    <w:p>
      <w:pPr>
        <w:pStyle w:val="261"/>
        <w:spacing w:line="36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3.在专用合同条款中有横道线的地方，合同当事人可针对相应的通用合同条款进行细化、完善、补充、修改或另行约定；如无细化、完善、补充、修改或另行约定，则填写“无”或划“/”。</w:t>
      </w:r>
    </w:p>
    <w:p>
      <w:pPr>
        <w:pStyle w:val="261"/>
        <w:spacing w:line="360" w:lineRule="exact"/>
        <w:ind w:firstLine="420" w:firstLineChars="200"/>
        <w:outlineLvl w:val="1"/>
        <w:rPr>
          <w:rFonts w:hint="eastAsia" w:ascii="宋体" w:hAnsi="宋体"/>
          <w:b/>
          <w:color w:val="auto"/>
          <w:sz w:val="21"/>
          <w:szCs w:val="21"/>
          <w:highlight w:val="none"/>
        </w:rPr>
      </w:pPr>
      <w:bookmarkStart w:id="109" w:name="_Toc526086055"/>
      <w:bookmarkStart w:id="110" w:name="_Toc17185754"/>
      <w:bookmarkStart w:id="111" w:name="_Toc17185651"/>
      <w:bookmarkStart w:id="112" w:name="_Toc19097042"/>
      <w:bookmarkStart w:id="113" w:name="_Toc531247224"/>
      <w:bookmarkStart w:id="114" w:name="_Toc526086155"/>
      <w:bookmarkStart w:id="115" w:name="_Toc22892078"/>
      <w:r>
        <w:rPr>
          <w:rFonts w:hint="eastAsia" w:ascii="宋体" w:hAnsi="宋体"/>
          <w:bCs/>
          <w:color w:val="auto"/>
          <w:sz w:val="21"/>
          <w:szCs w:val="21"/>
          <w:highlight w:val="none"/>
        </w:rPr>
        <w:t>二、《示范文本》的性质和适用范围</w:t>
      </w:r>
      <w:bookmarkEnd w:id="109"/>
      <w:bookmarkEnd w:id="110"/>
      <w:bookmarkEnd w:id="111"/>
      <w:bookmarkEnd w:id="112"/>
      <w:bookmarkEnd w:id="113"/>
      <w:bookmarkEnd w:id="114"/>
      <w:bookmarkEnd w:id="115"/>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《示范文本》为非强制性使用文本。《示范文本》适用于房屋</w:t>
      </w:r>
      <w:r>
        <w:rPr>
          <w:rFonts w:hint="eastAsia" w:ascii="宋体" w:hAnsi="宋体"/>
          <w:color w:val="auto"/>
          <w:sz w:val="21"/>
          <w:szCs w:val="21"/>
          <w:highlight w:val="none"/>
          <w:lang w:eastAsia="zh-CN"/>
        </w:rPr>
        <w:t>建筑工程</w:t>
      </w:r>
      <w:r>
        <w:rPr>
          <w:rFonts w:hint="eastAsia" w:ascii="宋体" w:hAnsi="宋体"/>
          <w:color w:val="auto"/>
          <w:sz w:val="21"/>
          <w:szCs w:val="21"/>
          <w:highlight w:val="none"/>
        </w:rPr>
        <w:t>、土木工程、线路管道和设备安装工程、装修工程等建设工程的施工承发包活动,合同当事人可结合建设工程具体情况，根据《示范文本》订立合同，并按照法律法规规定和合同约定承担相应的法律责任及合同权利义务。</w:t>
      </w:r>
      <w:bookmarkStart w:id="116" w:name="_Toc351203480"/>
    </w:p>
    <w:p>
      <w:pPr>
        <w:pStyle w:val="264"/>
        <w:widowControl/>
        <w:numPr>
          <w:ilvl w:val="0"/>
          <w:numId w:val="4"/>
        </w:numPr>
        <w:tabs>
          <w:tab w:val="left" w:pos="720"/>
        </w:tabs>
        <w:spacing w:before="120" w:after="120" w:line="240" w:lineRule="auto"/>
        <w:ind w:left="720"/>
        <w:jc w:val="center"/>
        <w:outlineLvl w:val="3"/>
        <w:rPr>
          <w:rFonts w:ascii="宋体" w:hAnsi="宋体"/>
          <w:color w:val="auto"/>
          <w:sz w:val="44"/>
          <w:szCs w:val="44"/>
          <w:highlight w:val="none"/>
        </w:rPr>
      </w:pPr>
      <w:bookmarkStart w:id="117" w:name="_Toc526086156"/>
      <w:bookmarkStart w:id="118" w:name="_Toc526086056"/>
      <w:r>
        <w:rPr>
          <w:rFonts w:ascii="宋体" w:hAnsi="宋体"/>
          <w:color w:val="auto"/>
          <w:sz w:val="44"/>
          <w:szCs w:val="44"/>
          <w:highlight w:val="none"/>
        </w:rPr>
        <w:t>合同协议书</w:t>
      </w:r>
      <w:bookmarkEnd w:id="78"/>
      <w:bookmarkEnd w:id="79"/>
      <w:bookmarkEnd w:id="116"/>
      <w:bookmarkEnd w:id="117"/>
      <w:bookmarkEnd w:id="118"/>
    </w:p>
    <w:p>
      <w:pPr>
        <w:pStyle w:val="261"/>
        <w:spacing w:line="400" w:lineRule="exact"/>
        <w:rPr>
          <w:rFonts w:hint="eastAsia" w:ascii="宋体" w:hAnsi="宋体" w:eastAsia="宋体" w:cs="宋体"/>
          <w:b/>
          <w:color w:val="auto"/>
          <w:sz w:val="21"/>
          <w:szCs w:val="21"/>
          <w:highlight w:val="none"/>
          <w:u w:val="single"/>
          <w:lang w:val="en-US" w:eastAsia="zh-CN"/>
        </w:rPr>
      </w:pPr>
      <w:r>
        <w:rPr>
          <w:rFonts w:hint="eastAsia" w:ascii="宋体" w:hAnsi="宋体" w:eastAsia="宋体" w:cs="宋体"/>
          <w:b/>
          <w:color w:val="auto"/>
          <w:sz w:val="21"/>
          <w:szCs w:val="21"/>
          <w:highlight w:val="none"/>
        </w:rPr>
        <w:t>发包人（全称）：</w:t>
      </w:r>
      <w:r>
        <w:rPr>
          <w:rFonts w:hint="eastAsia" w:ascii="宋体" w:hAnsi="宋体" w:cs="宋体"/>
          <w:color w:val="auto"/>
          <w:sz w:val="21"/>
          <w:szCs w:val="21"/>
          <w:highlight w:val="none"/>
          <w:u w:val="single"/>
          <w:lang w:eastAsia="zh-CN"/>
        </w:rPr>
        <w:t>吉林市龙潭区第二实验小学校</w:t>
      </w:r>
      <w:r>
        <w:rPr>
          <w:rFonts w:hint="eastAsia" w:ascii="宋体" w:hAnsi="宋体" w:eastAsia="宋体" w:cs="宋体"/>
          <w:b/>
          <w:color w:val="auto"/>
          <w:sz w:val="21"/>
          <w:szCs w:val="21"/>
          <w:highlight w:val="none"/>
          <w:u w:val="single"/>
        </w:rPr>
        <w:t xml:space="preserve">     </w:t>
      </w:r>
      <w:r>
        <w:rPr>
          <w:rFonts w:hint="eastAsia" w:ascii="宋体" w:hAnsi="宋体" w:eastAsia="宋体" w:cs="宋体"/>
          <w:b/>
          <w:color w:val="auto"/>
          <w:sz w:val="21"/>
          <w:szCs w:val="21"/>
          <w:highlight w:val="none"/>
          <w:u w:val="single"/>
          <w:lang w:val="en-US" w:eastAsia="zh-CN"/>
        </w:rPr>
        <w:t xml:space="preserve"> </w:t>
      </w:r>
    </w:p>
    <w:p>
      <w:pPr>
        <w:pStyle w:val="261"/>
        <w:spacing w:line="400" w:lineRule="exact"/>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rPr>
        <w:t>承包人（全称）：</w:t>
      </w:r>
      <w:r>
        <w:rPr>
          <w:rFonts w:hint="eastAsia" w:ascii="宋体" w:hAnsi="宋体" w:eastAsia="宋体" w:cs="宋体"/>
          <w:b/>
          <w:color w:val="auto"/>
          <w:sz w:val="21"/>
          <w:szCs w:val="21"/>
          <w:highlight w:val="none"/>
          <w:u w:val="single"/>
        </w:rPr>
        <w:t>                      </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w:t>
      </w:r>
      <w:r>
        <w:rPr>
          <w:rFonts w:hint="eastAsia" w:ascii="宋体" w:hAnsi="宋体" w:eastAsia="宋体" w:cs="宋体"/>
          <w:color w:val="auto"/>
          <w:sz w:val="21"/>
          <w:szCs w:val="21"/>
          <w:highlight w:val="none"/>
          <w:lang w:val="en-US" w:eastAsia="zh-CN"/>
        </w:rPr>
        <w:t>民法典</w:t>
      </w:r>
      <w:r>
        <w:rPr>
          <w:rFonts w:hint="eastAsia" w:ascii="宋体" w:hAnsi="宋体" w:eastAsia="宋体" w:cs="宋体"/>
          <w:color w:val="auto"/>
          <w:sz w:val="21"/>
          <w:szCs w:val="21"/>
          <w:highlight w:val="none"/>
        </w:rPr>
        <w:t>》、《中华人民共和国建筑法》及有关法律规定，遵循平等、自愿、公平和诚实信用的原则，双方就</w:t>
      </w:r>
    </w:p>
    <w:p>
      <w:pPr>
        <w:pStyle w:val="261"/>
        <w:spacing w:line="400" w:lineRule="exact"/>
        <w:rPr>
          <w:rFonts w:hint="eastAsia" w:ascii="宋体" w:hAnsi="宋体" w:eastAsia="宋体" w:cs="宋体"/>
          <w:color w:val="auto"/>
          <w:sz w:val="21"/>
          <w:szCs w:val="21"/>
          <w:highlight w:val="none"/>
        </w:rPr>
      </w:pPr>
      <w:r>
        <w:rPr>
          <w:rFonts w:hint="eastAsia" w:ascii="宋体" w:hAnsi="宋体" w:cs="宋体"/>
          <w:color w:val="auto"/>
          <w:sz w:val="21"/>
          <w:szCs w:val="21"/>
          <w:highlight w:val="none"/>
          <w:u w:val="single"/>
          <w:lang w:eastAsia="zh-CN"/>
        </w:rPr>
        <w:t>2023年吉林市龙潭区第二实验小学幼儿园园舍维修工程</w:t>
      </w:r>
      <w:r>
        <w:rPr>
          <w:rFonts w:hint="eastAsia" w:ascii="宋体" w:hAnsi="宋体" w:eastAsia="宋体" w:cs="宋体"/>
          <w:color w:val="auto"/>
          <w:sz w:val="21"/>
          <w:szCs w:val="21"/>
          <w:highlight w:val="none"/>
        </w:rPr>
        <w:t>工程施工及有关事项协商一致，共同达成如下协议：</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19" w:name="_Toc351203481"/>
      <w:r>
        <w:rPr>
          <w:rFonts w:hint="eastAsia" w:ascii="宋体" w:hAnsi="宋体" w:eastAsia="宋体" w:cs="宋体"/>
          <w:color w:val="auto"/>
          <w:sz w:val="21"/>
          <w:szCs w:val="21"/>
          <w:highlight w:val="none"/>
        </w:rPr>
        <w:t>一、工程概况</w:t>
      </w:r>
      <w:bookmarkEnd w:id="119"/>
    </w:p>
    <w:p>
      <w:pPr>
        <w:pStyle w:val="261"/>
        <w:spacing w:line="400" w:lineRule="exact"/>
        <w:ind w:firstLine="411" w:firstLineChars="196"/>
        <w:rPr>
          <w:rFonts w:hint="eastAsia" w:ascii="宋体" w:hAnsi="宋体" w:eastAsia="宋体" w:cs="宋体"/>
          <w:color w:val="auto"/>
          <w:sz w:val="21"/>
          <w:szCs w:val="21"/>
          <w:highlight w:val="none"/>
          <w:u w:val="single"/>
        </w:rPr>
      </w:pPr>
      <w:r>
        <w:rPr>
          <w:rFonts w:hint="eastAsia" w:ascii="宋体" w:hAnsi="宋体" w:eastAsia="宋体" w:cs="宋体"/>
          <w:bCs/>
          <w:color w:val="auto"/>
          <w:sz w:val="21"/>
          <w:szCs w:val="21"/>
          <w:highlight w:val="none"/>
        </w:rPr>
        <w:t>1.工程名称</w:t>
      </w:r>
      <w:r>
        <w:rPr>
          <w:rFonts w:hint="eastAsia" w:ascii="宋体" w:hAnsi="宋体" w:eastAsia="宋体" w:cs="宋体"/>
          <w:color w:val="auto"/>
          <w:sz w:val="21"/>
          <w:szCs w:val="21"/>
          <w:highlight w:val="none"/>
        </w:rPr>
        <w:t>：</w:t>
      </w:r>
      <w:r>
        <w:rPr>
          <w:rFonts w:hint="eastAsia" w:ascii="宋体" w:hAnsi="宋体" w:cs="宋体"/>
          <w:bCs/>
          <w:color w:val="auto"/>
          <w:kern w:val="24"/>
          <w:sz w:val="21"/>
          <w:szCs w:val="21"/>
          <w:highlight w:val="none"/>
          <w:u w:val="single"/>
          <w:lang w:val="en-US" w:eastAsia="zh-CN" w:bidi="ar-SA"/>
        </w:rPr>
        <w:t>2023年吉林市龙潭区第二实验小学幼儿园园舍维修工程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2.工程地点：</w:t>
      </w:r>
      <w:r>
        <w:rPr>
          <w:rFonts w:hint="eastAsia" w:ascii="宋体" w:hAnsi="宋体" w:cs="宋体"/>
          <w:color w:val="auto"/>
          <w:sz w:val="21"/>
          <w:szCs w:val="21"/>
          <w:highlight w:val="none"/>
          <w:u w:val="single"/>
          <w:lang w:eastAsia="zh-CN"/>
        </w:rPr>
        <w:t>吉林市龙潭区第二实验小学幼儿园</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3.工程立项批准文号：</w:t>
      </w:r>
      <w:r>
        <w:rPr>
          <w:rFonts w:hint="eastAsia" w:ascii="宋体" w:hAnsi="宋体" w:eastAsia="宋体" w:cs="宋体"/>
          <w:color w:val="auto"/>
          <w:sz w:val="21"/>
          <w:szCs w:val="21"/>
          <w:highlight w:val="none"/>
          <w:u w:val="single"/>
        </w:rPr>
        <w:t xml:space="preserve">       </w:t>
      </w:r>
      <w:r>
        <w:rPr>
          <w:rFonts w:hint="eastAsia" w:ascii="宋体" w:hAnsi="宋体" w:eastAsia="宋体" w:cs="宋体"/>
          <w:bCs/>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4.资金来源：</w:t>
      </w:r>
      <w:r>
        <w:rPr>
          <w:rFonts w:hint="eastAsia" w:ascii="宋体" w:hAnsi="宋体" w:eastAsia="宋体" w:cs="宋体"/>
          <w:color w:val="auto"/>
          <w:sz w:val="21"/>
          <w:szCs w:val="21"/>
          <w:highlight w:val="none"/>
          <w:u w:val="single"/>
        </w:rPr>
        <w:t xml:space="preserve">       </w:t>
      </w:r>
      <w:r>
        <w:rPr>
          <w:rFonts w:hint="eastAsia" w:ascii="宋体" w:hAnsi="宋体" w:eastAsia="宋体" w:cs="宋体"/>
          <w:bCs/>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5.工程内容：</w:t>
      </w:r>
      <w:r>
        <w:rPr>
          <w:rFonts w:hint="eastAsia" w:ascii="宋体" w:hAnsi="宋体" w:cs="宋体"/>
          <w:color w:val="auto"/>
          <w:sz w:val="21"/>
          <w:szCs w:val="21"/>
          <w:highlight w:val="none"/>
          <w:u w:val="single"/>
          <w:lang w:eastAsia="zh-CN"/>
        </w:rPr>
        <w:t>吉林市龙潭区第二实验小学幼儿园园舍维修工程</w:t>
      </w:r>
      <w:r>
        <w:rPr>
          <w:rFonts w:hint="eastAsia" w:ascii="宋体" w:hAnsi="宋体" w:eastAsia="宋体" w:cs="宋体"/>
          <w:color w:val="auto"/>
          <w:sz w:val="21"/>
          <w:szCs w:val="21"/>
          <w:highlight w:val="none"/>
          <w:u w:val="single"/>
        </w:rPr>
        <w:t xml:space="preserve"> </w:t>
      </w:r>
      <w:r>
        <w:rPr>
          <w:rFonts w:hint="eastAsia" w:ascii="宋体" w:hAnsi="宋体" w:eastAsia="宋体" w:cs="宋体"/>
          <w:bCs/>
          <w:color w:val="auto"/>
          <w:sz w:val="21"/>
          <w:szCs w:val="21"/>
          <w:highlight w:val="none"/>
        </w:rPr>
        <w:t>。</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群体工程应附《承包人承揽工程项目一览表》（附件1）。</w:t>
      </w:r>
    </w:p>
    <w:p>
      <w:pPr>
        <w:pStyle w:val="261"/>
        <w:spacing w:line="400" w:lineRule="exact"/>
        <w:ind w:firstLine="411" w:firstLineChars="196"/>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6.工程承包范围：</w:t>
      </w:r>
    </w:p>
    <w:p>
      <w:pPr>
        <w:pStyle w:val="261"/>
        <w:spacing w:line="400" w:lineRule="exact"/>
        <w:ind w:firstLine="405" w:firstLineChars="19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工程量清单及施工图纸范围内的工程施工 </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color w:val="auto"/>
          <w:sz w:val="21"/>
          <w:szCs w:val="21"/>
          <w:highlight w:val="none"/>
        </w:rPr>
      </w:pPr>
      <w:r>
        <w:rPr>
          <w:rFonts w:hint="eastAsia" w:ascii="宋体" w:hAnsi="宋体" w:eastAsia="宋体" w:cs="宋体"/>
          <w:b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20" w:name="_Toc351203482"/>
      <w:r>
        <w:rPr>
          <w:rFonts w:hint="eastAsia" w:ascii="宋体" w:hAnsi="宋体" w:eastAsia="宋体" w:cs="宋体"/>
          <w:color w:val="auto"/>
          <w:sz w:val="21"/>
          <w:szCs w:val="21"/>
          <w:highlight w:val="none"/>
        </w:rPr>
        <w:t>二、合同工期</w:t>
      </w:r>
      <w:bookmarkEnd w:id="120"/>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计划开工日期：</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日。</w:t>
      </w:r>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计划竣工日期：</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日。</w:t>
      </w:r>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工期总日历天数：</w:t>
      </w:r>
      <w:r>
        <w:rPr>
          <w:rFonts w:hint="eastAsia" w:ascii="宋体" w:hAnsi="宋体" w:cs="宋体"/>
          <w:color w:val="auto"/>
          <w:sz w:val="21"/>
          <w:szCs w:val="21"/>
          <w:highlight w:val="none"/>
          <w:u w:val="single"/>
          <w:lang w:val="en-US" w:eastAsia="zh-CN"/>
        </w:rPr>
        <w:t>40</w:t>
      </w:r>
      <w:r>
        <w:rPr>
          <w:rFonts w:hint="eastAsia" w:ascii="宋体" w:hAnsi="宋体" w:eastAsia="宋体" w:cs="宋体"/>
          <w:color w:val="auto"/>
          <w:sz w:val="21"/>
          <w:szCs w:val="21"/>
          <w:highlight w:val="none"/>
        </w:rPr>
        <w:t>天。工期总日历天数与根据前述计划开竣工日期计算的工期天数不一致的，以工期总日历天数为准。</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21" w:name="_Toc351203483"/>
      <w:r>
        <w:rPr>
          <w:rFonts w:hint="eastAsia" w:ascii="宋体" w:hAnsi="宋体" w:eastAsia="宋体" w:cs="宋体"/>
          <w:color w:val="auto"/>
          <w:sz w:val="21"/>
          <w:szCs w:val="21"/>
          <w:highlight w:val="none"/>
        </w:rPr>
        <w:t>三、质量标准</w:t>
      </w:r>
      <w:bookmarkEnd w:id="121"/>
    </w:p>
    <w:p>
      <w:pPr>
        <w:pStyle w:val="261"/>
        <w:spacing w:line="400" w:lineRule="exact"/>
        <w:ind w:firstLine="45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工程质量符合</w:t>
      </w:r>
      <w:r>
        <w:rPr>
          <w:rFonts w:hint="eastAsia" w:ascii="宋体" w:hAnsi="宋体" w:eastAsia="宋体" w:cs="宋体"/>
          <w:color w:val="auto"/>
          <w:sz w:val="21"/>
          <w:szCs w:val="21"/>
          <w:highlight w:val="none"/>
          <w:u w:val="single"/>
        </w:rPr>
        <w:t>国家现行相关工程质量验收标准的合格工程</w:t>
      </w:r>
      <w:r>
        <w:rPr>
          <w:rFonts w:hint="eastAsia" w:ascii="宋体" w:hAnsi="宋体" w:eastAsia="宋体" w:cs="宋体"/>
          <w:color w:val="auto"/>
          <w:sz w:val="21"/>
          <w:szCs w:val="21"/>
          <w:highlight w:val="none"/>
        </w:rPr>
        <w:t>标准。</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b w:val="0"/>
          <w:color w:val="auto"/>
          <w:sz w:val="21"/>
          <w:szCs w:val="21"/>
          <w:highlight w:val="none"/>
        </w:rPr>
        <w:t xml:space="preserve"> </w:t>
      </w:r>
      <w:bookmarkStart w:id="122" w:name="_Toc351203484"/>
      <w:r>
        <w:rPr>
          <w:rFonts w:hint="eastAsia" w:ascii="宋体" w:hAnsi="宋体" w:eastAsia="宋体" w:cs="宋体"/>
          <w:color w:val="auto"/>
          <w:sz w:val="21"/>
          <w:szCs w:val="21"/>
          <w:highlight w:val="none"/>
        </w:rPr>
        <w:t>四、签约合同价与合同价格形</w:t>
      </w:r>
      <w:r>
        <w:rPr>
          <w:rFonts w:hint="eastAsia" w:ascii="宋体" w:hAnsi="宋体" w:eastAsia="宋体" w:cs="宋体"/>
          <w:b w:val="0"/>
          <w:color w:val="auto"/>
          <w:sz w:val="21"/>
          <w:szCs w:val="21"/>
          <w:highlight w:val="none"/>
        </w:rPr>
        <w:t>式</w:t>
      </w:r>
      <w:bookmarkEnd w:id="122"/>
      <w:r>
        <w:rPr>
          <w:rFonts w:hint="eastAsia" w:ascii="宋体" w:hAnsi="宋体" w:eastAsia="宋体" w:cs="宋体"/>
          <w:b w:val="0"/>
          <w:color w:val="auto"/>
          <w:sz w:val="21"/>
          <w:szCs w:val="21"/>
          <w:highlight w:val="none"/>
        </w:rPr>
        <w:tab/>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1.签约合同价为：</w:t>
      </w:r>
    </w:p>
    <w:p>
      <w:pPr>
        <w:pStyle w:val="261"/>
        <w:spacing w:line="400" w:lineRule="exact"/>
        <w:ind w:firstLine="525" w:firstLineChars="2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（1）安全文明施工费：</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（2）材料和工程设备暂估价金额：</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（3）专业工程暂估价金额：</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（4）暂列金额：</w:t>
      </w:r>
    </w:p>
    <w:p>
      <w:pPr>
        <w:pStyle w:val="261"/>
        <w:spacing w:line="400" w:lineRule="exact"/>
        <w:ind w:firstLine="945" w:firstLineChars="4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2.合同价格形式：</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23" w:name="_Toc351203485"/>
      <w:r>
        <w:rPr>
          <w:rFonts w:hint="eastAsia" w:ascii="宋体" w:hAnsi="宋体" w:eastAsia="宋体" w:cs="宋体"/>
          <w:color w:val="auto"/>
          <w:sz w:val="21"/>
          <w:szCs w:val="21"/>
          <w:highlight w:val="none"/>
        </w:rPr>
        <w:t>五、</w:t>
      </w:r>
      <w:bookmarkEnd w:id="123"/>
      <w:r>
        <w:rPr>
          <w:rFonts w:hint="eastAsia" w:ascii="宋体" w:hAnsi="宋体" w:eastAsia="宋体" w:cs="宋体"/>
          <w:color w:val="auto"/>
          <w:sz w:val="21"/>
          <w:szCs w:val="21"/>
          <w:highlight w:val="none"/>
        </w:rPr>
        <w:t>项目经理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承包人项目经理：</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color w:val="auto"/>
          <w:sz w:val="21"/>
          <w:szCs w:val="21"/>
          <w:highlight w:val="none"/>
        </w:rPr>
        <w:t xml:space="preserve"> </w:t>
      </w:r>
      <w:bookmarkStart w:id="124" w:name="_Toc351203486"/>
      <w:r>
        <w:rPr>
          <w:rFonts w:hint="eastAsia" w:ascii="宋体" w:hAnsi="宋体" w:eastAsia="宋体" w:cs="宋体"/>
          <w:color w:val="auto"/>
          <w:sz w:val="21"/>
          <w:szCs w:val="21"/>
          <w:highlight w:val="none"/>
        </w:rPr>
        <w:t>六、合同文件构成</w:t>
      </w:r>
      <w:bookmarkEnd w:id="124"/>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本协议书与下列文件一起构成合同文件：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（1）中标通知书（如果有）；</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（2）投标函及其附录（如果有）； </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（3）专用合同条款及其附件；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（4）通用合同条款；</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（5）技术标准和要求；</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（6）图纸；</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（7）已标价工程量清单或预算书；</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（8）其他合同文件。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在合同订立及履行过程中形成的与合同有关的文件均构成合同文件组成部分。</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上述各项合同文件包括合同当事人就该项合同文件所作出的补充和修改，属于同一类内容的文件，应以最新签署的为准。专用合同条款及其附件须经合同当事人签字或盖章。</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 w:val="0"/>
          <w:bCs w:val="0"/>
          <w:color w:val="auto"/>
          <w:sz w:val="21"/>
          <w:szCs w:val="21"/>
          <w:highlight w:val="none"/>
        </w:rPr>
        <w:t xml:space="preserve">   </w:t>
      </w:r>
      <w:r>
        <w:rPr>
          <w:rFonts w:hint="eastAsia" w:ascii="宋体" w:hAnsi="宋体" w:eastAsia="宋体" w:cs="宋体"/>
          <w:b w:val="0"/>
          <w:color w:val="auto"/>
          <w:sz w:val="21"/>
          <w:szCs w:val="21"/>
          <w:highlight w:val="none"/>
        </w:rPr>
        <w:t xml:space="preserve"> </w:t>
      </w:r>
      <w:bookmarkStart w:id="125" w:name="_Toc351203487"/>
      <w:r>
        <w:rPr>
          <w:rFonts w:hint="eastAsia" w:ascii="宋体" w:hAnsi="宋体" w:eastAsia="宋体" w:cs="宋体"/>
          <w:color w:val="auto"/>
          <w:sz w:val="21"/>
          <w:szCs w:val="21"/>
          <w:highlight w:val="none"/>
        </w:rPr>
        <w:t>七、承诺</w:t>
      </w:r>
      <w:bookmarkEnd w:id="125"/>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1.发包人承诺按照法律规定履行项目审批手续、筹集工程建设资金并按照合同约定的期限和方式支付合同价款。</w:t>
      </w:r>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2.承包人承诺按照法律规定及合同约定组织完成工程施工，确保工程质量和安全，不进行转包及违法分包，并在缺陷责任期及保修期内承担相应的工程维修责任。</w:t>
      </w:r>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3.发包人和承包人通过招投标形式签订合同的，双方理解并承诺不再就同一工程另行签订与合同实质性内容相背离的协议。</w:t>
      </w:r>
    </w:p>
    <w:p>
      <w:pPr>
        <w:pStyle w:val="261"/>
        <w:spacing w:line="400" w:lineRule="exact"/>
        <w:rPr>
          <w:rFonts w:hint="eastAsia" w:ascii="宋体" w:hAnsi="宋体" w:eastAsia="宋体" w:cs="宋体"/>
          <w:bCs/>
          <w:color w:val="auto"/>
          <w:sz w:val="21"/>
          <w:szCs w:val="21"/>
          <w:highlight w:val="none"/>
        </w:rPr>
      </w:pPr>
      <w:bookmarkStart w:id="126" w:name="_Toc351203488"/>
      <w:r>
        <w:rPr>
          <w:rFonts w:hint="eastAsia" w:ascii="宋体" w:hAnsi="宋体" w:eastAsia="宋体" w:cs="宋体"/>
          <w:b/>
          <w:color w:val="auto"/>
          <w:sz w:val="21"/>
          <w:szCs w:val="21"/>
          <w:highlight w:val="none"/>
        </w:rPr>
        <w:t xml:space="preserve">    八、词语含义</w:t>
      </w:r>
      <w:bookmarkEnd w:id="126"/>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本协议书中词语含义与第二部分通用合同条款中赋予的含义相同。</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r>
        <w:rPr>
          <w:rFonts w:hint="eastAsia" w:ascii="宋体" w:hAnsi="宋体" w:eastAsia="宋体" w:cs="宋体"/>
          <w:b w:val="0"/>
          <w:color w:val="auto"/>
          <w:sz w:val="21"/>
          <w:szCs w:val="21"/>
          <w:highlight w:val="none"/>
        </w:rPr>
        <w:t xml:space="preserve">  </w:t>
      </w:r>
      <w:bookmarkStart w:id="127" w:name="_Toc351203489"/>
      <w:r>
        <w:rPr>
          <w:rFonts w:hint="eastAsia" w:ascii="宋体" w:hAnsi="宋体" w:eastAsia="宋体" w:cs="宋体"/>
          <w:b w:val="0"/>
          <w:color w:val="auto"/>
          <w:sz w:val="21"/>
          <w:szCs w:val="21"/>
          <w:highlight w:val="none"/>
        </w:rPr>
        <w:t>九、签订时间</w:t>
      </w:r>
      <w:bookmarkEnd w:id="127"/>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本合同于</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年</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月</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日签订。</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28" w:name="_Toc351203490"/>
      <w:r>
        <w:rPr>
          <w:rFonts w:hint="eastAsia" w:ascii="宋体" w:hAnsi="宋体" w:eastAsia="宋体" w:cs="宋体"/>
          <w:b w:val="0"/>
          <w:color w:val="auto"/>
          <w:sz w:val="21"/>
          <w:szCs w:val="21"/>
          <w:highlight w:val="none"/>
        </w:rPr>
        <w:t>十、签订地点</w:t>
      </w:r>
      <w:bookmarkEnd w:id="128"/>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本合同在</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签订。</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29" w:name="_Toc351203491"/>
      <w:r>
        <w:rPr>
          <w:rFonts w:hint="eastAsia" w:ascii="宋体" w:hAnsi="宋体" w:eastAsia="宋体" w:cs="宋体"/>
          <w:b w:val="0"/>
          <w:color w:val="auto"/>
          <w:sz w:val="21"/>
          <w:szCs w:val="21"/>
          <w:highlight w:val="none"/>
        </w:rPr>
        <w:t>十一、补充协议</w:t>
      </w:r>
      <w:bookmarkEnd w:id="129"/>
    </w:p>
    <w:p>
      <w:pPr>
        <w:pStyle w:val="261"/>
        <w:spacing w:line="400" w:lineRule="exact"/>
        <w:ind w:firstLine="420" w:firstLineChars="200"/>
        <w:rPr>
          <w:rFonts w:hint="eastAsia" w:ascii="宋体" w:hAnsi="宋体" w:eastAsia="宋体" w:cs="宋体"/>
          <w:b/>
          <w:bCs/>
          <w:color w:val="auto"/>
          <w:sz w:val="21"/>
          <w:szCs w:val="21"/>
          <w:highlight w:val="none"/>
        </w:rPr>
      </w:pPr>
      <w:r>
        <w:rPr>
          <w:rFonts w:hint="eastAsia" w:ascii="宋体" w:hAnsi="宋体" w:eastAsia="宋体" w:cs="宋体"/>
          <w:bCs/>
          <w:color w:val="auto"/>
          <w:sz w:val="21"/>
          <w:szCs w:val="21"/>
          <w:highlight w:val="none"/>
        </w:rPr>
        <w:t>合同未尽事宜，合同当事人另行签订补充协议，补充协议是合同的组成部分。</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30" w:name="_Toc351203492"/>
      <w:r>
        <w:rPr>
          <w:rFonts w:hint="eastAsia" w:ascii="宋体" w:hAnsi="宋体" w:eastAsia="宋体" w:cs="宋体"/>
          <w:b w:val="0"/>
          <w:color w:val="auto"/>
          <w:sz w:val="21"/>
          <w:szCs w:val="21"/>
          <w:highlight w:val="none"/>
        </w:rPr>
        <w:t>十二、合同生效</w:t>
      </w:r>
      <w:bookmarkEnd w:id="130"/>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本合同自</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生效。</w:t>
      </w:r>
    </w:p>
    <w:p>
      <w:pPr>
        <w:pStyle w:val="265"/>
        <w:spacing w:before="120" w:after="120" w:line="400" w:lineRule="exact"/>
        <w:outlineLvl w:val="4"/>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 xml:space="preserve">    </w:t>
      </w:r>
      <w:bookmarkStart w:id="131" w:name="_Toc351203493"/>
      <w:r>
        <w:rPr>
          <w:rFonts w:hint="eastAsia" w:ascii="宋体" w:hAnsi="宋体" w:eastAsia="宋体" w:cs="宋体"/>
          <w:b w:val="0"/>
          <w:color w:val="auto"/>
          <w:sz w:val="21"/>
          <w:szCs w:val="21"/>
          <w:highlight w:val="none"/>
        </w:rPr>
        <w:t>十三、合同份数</w:t>
      </w:r>
      <w:bookmarkEnd w:id="131"/>
    </w:p>
    <w:p>
      <w:pPr>
        <w:pStyle w:val="261"/>
        <w:spacing w:line="4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本合同一式</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份，均具有同等法律效力，发包人执</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份，承包人执</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份。</w:t>
      </w: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bCs/>
          <w:color w:val="auto"/>
          <w:sz w:val="21"/>
          <w:szCs w:val="21"/>
          <w:highlight w:val="none"/>
        </w:rPr>
      </w:pPr>
    </w:p>
    <w:p>
      <w:pPr>
        <w:pStyle w:val="261"/>
        <w:spacing w:line="400" w:lineRule="exact"/>
        <w:rPr>
          <w:rFonts w:hint="eastAsia" w:ascii="宋体" w:hAnsi="宋体" w:eastAsia="宋体" w:cs="宋体"/>
          <w:color w:val="auto"/>
          <w:sz w:val="21"/>
          <w:szCs w:val="21"/>
          <w:highlight w:val="none"/>
        </w:rPr>
      </w:pP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  (公章)             承包人：  (公章)</w:t>
      </w:r>
    </w:p>
    <w:p>
      <w:pPr>
        <w:pStyle w:val="261"/>
        <w:spacing w:line="40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  法定代表人或其委托代理人：</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                    （签字）</w:t>
      </w:r>
    </w:p>
    <w:p>
      <w:pPr>
        <w:pStyle w:val="261"/>
        <w:spacing w:line="400" w:lineRule="exact"/>
        <w:rPr>
          <w:rFonts w:hint="eastAsia" w:ascii="宋体" w:hAnsi="宋体" w:eastAsia="宋体" w:cs="宋体"/>
          <w:color w:val="auto"/>
          <w:sz w:val="21"/>
          <w:szCs w:val="21"/>
          <w:highlight w:val="none"/>
          <w:u w:val="single"/>
        </w:rPr>
      </w:pPr>
    </w:p>
    <w:p>
      <w:pPr>
        <w:pStyle w:val="261"/>
        <w:tabs>
          <w:tab w:val="left" w:pos="4410"/>
        </w:tabs>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组织机构代码：</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组织机构代码：</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地  址：</w:t>
      </w:r>
      <w:r>
        <w:rPr>
          <w:rFonts w:hint="eastAsia" w:ascii="宋体" w:hAnsi="宋体" w:eastAsia="宋体" w:cs="宋体"/>
          <w:color w:val="auto"/>
          <w:sz w:val="21"/>
          <w:szCs w:val="21"/>
          <w:highlight w:val="none"/>
          <w:u w:val="single"/>
        </w:rPr>
        <w:t xml:space="preserve"> 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 xml:space="preserve">  邮政编码：</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法定代表人：</w:t>
      </w:r>
      <w:r>
        <w:rPr>
          <w:rFonts w:hint="eastAsia" w:ascii="宋体" w:hAnsi="宋体" w:eastAsia="宋体" w:cs="宋体"/>
          <w:color w:val="auto"/>
          <w:sz w:val="21"/>
          <w:szCs w:val="21"/>
          <w:highlight w:val="none"/>
          <w:u w:val="single"/>
        </w:rPr>
        <w:t xml:space="preserve">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委托代理人：</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  话：</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u w:val="single"/>
        </w:rPr>
        <w:t xml:space="preserve">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电子信箱：</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开户银行：</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账  号：</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账  号：</w:t>
      </w:r>
      <w:r>
        <w:rPr>
          <w:rFonts w:hint="eastAsia" w:ascii="宋体" w:hAnsi="宋体" w:eastAsia="宋体" w:cs="宋体"/>
          <w:color w:val="auto"/>
          <w:sz w:val="21"/>
          <w:szCs w:val="21"/>
          <w:highlight w:val="none"/>
          <w:u w:val="single"/>
        </w:rPr>
        <w:t xml:space="preserve">     </w:t>
      </w:r>
    </w:p>
    <w:p>
      <w:pPr>
        <w:pStyle w:val="261"/>
        <w:spacing w:line="400" w:lineRule="exact"/>
        <w:rPr>
          <w:rFonts w:ascii="宋体" w:hAnsi="宋体"/>
          <w:color w:val="auto"/>
          <w:sz w:val="24"/>
          <w:highlight w:val="none"/>
        </w:rPr>
      </w:pPr>
    </w:p>
    <w:p>
      <w:pPr>
        <w:pStyle w:val="264"/>
        <w:widowControl/>
        <w:tabs>
          <w:tab w:val="left" w:pos="720"/>
        </w:tabs>
        <w:spacing w:before="120" w:after="120" w:line="240" w:lineRule="auto"/>
        <w:ind w:left="720"/>
        <w:jc w:val="center"/>
        <w:outlineLvl w:val="3"/>
        <w:rPr>
          <w:rFonts w:hint="eastAsia" w:ascii="宋体" w:hAnsi="宋体"/>
          <w:color w:val="auto"/>
          <w:sz w:val="44"/>
          <w:szCs w:val="44"/>
          <w:highlight w:val="none"/>
        </w:rPr>
      </w:pPr>
      <w:bookmarkStart w:id="132" w:name="_Toc526086057"/>
      <w:bookmarkStart w:id="133" w:name="_Toc526086157"/>
      <w:bookmarkStart w:id="134" w:name="_Toc351203494"/>
      <w:r>
        <w:rPr>
          <w:rFonts w:ascii="宋体" w:hAnsi="宋体"/>
          <w:color w:val="auto"/>
          <w:sz w:val="44"/>
          <w:szCs w:val="44"/>
          <w:highlight w:val="none"/>
        </w:rPr>
        <w:t>第二部分 通用合同条款</w:t>
      </w:r>
      <w:bookmarkEnd w:id="132"/>
      <w:bookmarkEnd w:id="133"/>
      <w:bookmarkEnd w:id="134"/>
      <w:bookmarkStart w:id="135" w:name="_Toc337558727"/>
    </w:p>
    <w:p>
      <w:pPr>
        <w:pStyle w:val="265"/>
        <w:spacing w:before="120" w:after="120" w:line="400" w:lineRule="exact"/>
        <w:outlineLvl w:val="4"/>
        <w:rPr>
          <w:rFonts w:hint="eastAsia" w:ascii="宋体" w:hAnsi="宋体" w:eastAsia="宋体" w:cs="宋体"/>
          <w:b w:val="0"/>
          <w:color w:val="auto"/>
          <w:sz w:val="21"/>
          <w:szCs w:val="21"/>
          <w:highlight w:val="none"/>
        </w:rPr>
      </w:pPr>
      <w:bookmarkStart w:id="136" w:name="_Toc351203495"/>
      <w:r>
        <w:rPr>
          <w:rFonts w:hint="eastAsia" w:ascii="宋体" w:hAnsi="宋体" w:eastAsia="宋体" w:cs="宋体"/>
          <w:b w:val="0"/>
          <w:color w:val="auto"/>
          <w:sz w:val="21"/>
          <w:szCs w:val="21"/>
          <w:highlight w:val="none"/>
        </w:rPr>
        <w:t>1.</w:t>
      </w:r>
      <w:bookmarkStart w:id="137" w:name="_Toc303538973"/>
      <w:bookmarkEnd w:id="137"/>
      <w:bookmarkStart w:id="138" w:name="_Toc303538976"/>
      <w:bookmarkEnd w:id="138"/>
      <w:bookmarkStart w:id="139" w:name="_Toc303538972"/>
      <w:bookmarkEnd w:id="139"/>
      <w:bookmarkStart w:id="140" w:name="_Toc303538975"/>
      <w:bookmarkEnd w:id="140"/>
      <w:bookmarkStart w:id="141" w:name="_Toc303538974"/>
      <w:bookmarkEnd w:id="141"/>
      <w:bookmarkStart w:id="142" w:name="_Toc296346528"/>
      <w:bookmarkStart w:id="143" w:name="_Toc296503027"/>
      <w:r>
        <w:rPr>
          <w:rFonts w:hint="eastAsia" w:ascii="宋体" w:hAnsi="宋体" w:eastAsia="宋体" w:cs="宋体"/>
          <w:b w:val="0"/>
          <w:color w:val="auto"/>
          <w:sz w:val="21"/>
          <w:szCs w:val="21"/>
          <w:highlight w:val="none"/>
        </w:rPr>
        <w:t xml:space="preserve"> 一般约定</w:t>
      </w:r>
      <w:bookmarkEnd w:id="135"/>
      <w:bookmarkEnd w:id="136"/>
      <w:bookmarkEnd w:id="142"/>
      <w:bookmarkEnd w:id="143"/>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44" w:name="_Toc337558728"/>
      <w:bookmarkStart w:id="145" w:name="_Toc296503028"/>
      <w:bookmarkStart w:id="146" w:name="_Toc296346529"/>
      <w:bookmarkStart w:id="147" w:name="_Toc351203496"/>
      <w:r>
        <w:rPr>
          <w:rFonts w:hint="eastAsia" w:ascii="宋体" w:hAnsi="宋体" w:eastAsia="宋体" w:cs="宋体"/>
          <w:b w:val="0"/>
          <w:color w:val="auto"/>
          <w:sz w:val="21"/>
          <w:szCs w:val="21"/>
          <w:highlight w:val="none"/>
        </w:rPr>
        <w:t>1.1词语定义</w:t>
      </w:r>
      <w:bookmarkEnd w:id="144"/>
      <w:bookmarkEnd w:id="145"/>
      <w:bookmarkEnd w:id="146"/>
      <w:r>
        <w:rPr>
          <w:rFonts w:hint="eastAsia" w:ascii="宋体" w:hAnsi="宋体" w:eastAsia="宋体" w:cs="宋体"/>
          <w:b w:val="0"/>
          <w:color w:val="auto"/>
          <w:sz w:val="21"/>
          <w:szCs w:val="21"/>
          <w:highlight w:val="none"/>
        </w:rPr>
        <w:t>与解释</w:t>
      </w:r>
      <w:bookmarkEnd w:id="14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合同协议书、通用合同条款、专用合同条款中的下列词语具有本款所赋予的含义：</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1.1.1 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 合同：是指根据法律规定和合同当事人约定具有约束力的文件，构成合同的文件包括合同协议书、中标通知书（如果有）、投标函及其附录（如果有）、专用合同条款</w:t>
      </w:r>
      <w:r>
        <w:rPr>
          <w:rFonts w:hint="eastAsia" w:ascii="宋体" w:hAnsi="宋体" w:eastAsia="宋体" w:cs="宋体"/>
          <w:color w:val="auto"/>
          <w:sz w:val="21"/>
          <w:szCs w:val="21"/>
          <w:highlight w:val="none"/>
        </w:rPr>
        <w:t>及其附件</w:t>
      </w:r>
      <w:r>
        <w:rPr>
          <w:rFonts w:hint="eastAsia" w:ascii="宋体" w:hAnsi="宋体" w:eastAsia="宋体" w:cs="宋体"/>
          <w:color w:val="auto"/>
          <w:kern w:val="0"/>
          <w:sz w:val="21"/>
          <w:szCs w:val="21"/>
          <w:highlight w:val="none"/>
        </w:rPr>
        <w:t>、通用合同条款、技术标准和要求、图纸、已标价工程量清单或预算书以及其他合同文件。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1.1.1.2 合同协议书：是指构成合同的由发包人和承包人共同签署的称为“合同协议书”的书面文件。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1.1.1.3 中标通知书：是指构成合同的由发包人通知承包人中标的书面文件。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1.1.1.4 投标函：是指构成合同的由承包人填写并签署的用于投标的称为“投标函”的文件。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1.1.1.5 投标函附录：是指构成合同的附在投标函后的称为“投标函附录”的文件。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1.1.1.6 技术标准和要求：是指构成合同的施工应当遵守的或指导施工的国家、行业或地方的技术标准和要求，以及合同约定的技术标准和要求。</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1.1.1.7 图纸：是指构成合同的图纸，包括由发包人按照合同约定提供或经发包人批准的设计文件、施工图、鸟瞰图及模型等，以及在合同履行过程中形成的图纸文件。图纸应当按照法律规定审查合格。</w:t>
      </w:r>
    </w:p>
    <w:p>
      <w:pPr>
        <w:pStyle w:val="261"/>
        <w:autoSpaceDE w:val="0"/>
        <w:autoSpaceDN w:val="0"/>
        <w:adjustRightInd w:val="0"/>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1.1.1.8 已标价工程量清单：是指构成合同的由承包人按照规定的格式和要求填写并标明价格的工程量清单，包括说明和表格。</w:t>
      </w:r>
    </w:p>
    <w:p>
      <w:pPr>
        <w:pStyle w:val="261"/>
        <w:autoSpaceDE w:val="0"/>
        <w:autoSpaceDN w:val="0"/>
        <w:adjustRightInd w:val="0"/>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1.1.1.9 预算书：是指构成合同的由承包人按照发包人规定的格式和要求编制的工程预算文件。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1.1.1.10 其他合同文件：是指经合同当事人约定的与工程施工有关的具有合同约束力的文件或书面协议。合同当事人可以在专用合同条款中进行约定。</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1.1.2 合同当事人及其他相关方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1.1.2.1 合同当事人：是指发包人和（或）承包人。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1.1.2.2 发包人：是指与承包人签订合同协议书的当事人及取得该当事人资格的合法继承人。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1.1.2.3 承包人：是指与发包人签订合同协议书的，具有相应工程施工承包资质的当事人及取得该当事人资格的合法继承人。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1.1.2.4 监理人：是指在专用合同条款中指明的，受发包人委托按照法律规定进行工程监督管理的法人或其他组织。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1.1.2.5 设计人：是指在专用合同条款中指明的，受发包人委托负责工程设计并具备相应工程设计资质的法人或其他组织。</w:t>
      </w:r>
    </w:p>
    <w:p>
      <w:pPr>
        <w:pStyle w:val="261"/>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1.1.2.6 分包人：</w:t>
      </w:r>
      <w:bookmarkStart w:id="148" w:name="#go5"/>
      <w:bookmarkEnd w:id="148"/>
      <w:r>
        <w:rPr>
          <w:rFonts w:hint="eastAsia" w:ascii="宋体" w:hAnsi="宋体" w:eastAsia="宋体" w:cs="宋体"/>
          <w:color w:val="auto"/>
          <w:kern w:val="0"/>
          <w:sz w:val="21"/>
          <w:szCs w:val="21"/>
          <w:highlight w:val="none"/>
        </w:rPr>
        <w:t>是指按照法律规定和合同约定，分包部分工程或工作，并与承包人签订分包合同的具有相应资质的法人。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1.1.2.7 发包人代表：是指由发包人任命并派驻施工现场在发包人授权范围内行使发包人权利的人。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1.1.2.8 项目经理：是指由承包人任命并派驻施工现场，在承包人授权范围内负责合同履行，且按照法律规定具有相应资格的项目负责人。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1.1.2.9 总监理工程师：是指由监理人任命并派驻施工现场进行工程监理的总负责人。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 工程和设备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1.1.3.1 工程：是指与合同协议书中工程承包范围对应的永久工程和（或）临时工程。</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1.1.3.2 永久工程：是指按合同约定建造并移交给发包人的工程，包括工程设备。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1.1.3.3 临时工程：是指为完成合同约定的永久工程所修建的各类临时性工程，不包括施工设备。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1.1.3.4 单位工程：是指在合同协议书中指明的，具备独立施工条件并能形成独立使用功能的永久工程。</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1.1.3.5 工程设备：是指构成永久工程的机电设备、金属结构设备、仪器及其他类似的设备和装置。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1.1.3.6 施工设备：是指为完成合同约定的各项工作所需的设备、器具和其他物品，但不包括工程设备、临时工程和材料。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1.1.3.7 施工现场：是指用于工程施工的场所，以及在专用合同条款中指明作为施工场所组成部分的其他场所，包括永久占地和临时占地。</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1.1.3.8临时设施：是指为完成合同约定的各项工作所服务的临时性生产和生活设施。</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1.1.3.9 永久占地：是指专用合同条款中指明为实施工程需永久占用的土地。</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1.1.3.10 临时占地：是指专用合同条款中指明为实施工程需要临时占用的土地。</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 日期和期限</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1.1.4.1 开工日期：包括计划开工日期和实际开工日期。计划开工日期是指合同协议书约定的开工日期；实际开工日期是指监理人按照第7.3.2项〔开工通知〕约定发出的符合法律规定的开工通知中载明的开工日期。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1.1.4.2 竣工日期：包括计划竣工日期和实际竣工日期。计划竣工日期是指合同协议书约定的竣工日期；实际竣工日期按照第13.2.3项〔竣工日期〕的约定确定。 </w:t>
      </w:r>
    </w:p>
    <w:p>
      <w:pPr>
        <w:pStyle w:val="261"/>
        <w:spacing w:line="400" w:lineRule="exact"/>
        <w:ind w:firstLine="426" w:firstLineChars="203"/>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1.1.4.3 工期：是指在合同协议书约定的承包人完成工程所需的期限，包括按照合同约定所作的期限变更。</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1.1.4.4 缺陷责任期：是指承包人按照合同约定承担缺陷修复义务，且发包人预留质量保证金（已缴纳履约保证金的除外）的期限，自工程实际竣工日期起计算。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1.1.4.5 保修期：是指承包人按照合同约定对工程承担保修责任的期限，从工程竣工验收合格之日起计算。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1.1.4.6 基准日期：招标发包的工程以投标截止日前28天的日期为基准日期，直接发包的工程以合同签订日前28天的日期为基准日期。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1.1.4.7 天：除特别指明外，均指日历天。合同中按天计算时间的，开始当天不计入，从次日开始计算，期限最后一天的截止时间为当天24:00时。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 合同价格和费用</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1.1.5.1 签约合同价：是指</w:t>
      </w:r>
      <w:r>
        <w:rPr>
          <w:rFonts w:hint="eastAsia" w:ascii="宋体" w:hAnsi="宋体" w:eastAsia="宋体" w:cs="宋体"/>
          <w:color w:val="auto"/>
          <w:sz w:val="21"/>
          <w:szCs w:val="21"/>
          <w:highlight w:val="none"/>
        </w:rPr>
        <w:t>发包人和承包人在合同协议书中确定的总金额，包括安全文明施工费、暂估价及暂列金额等。</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1.1.5.2 合同价格：是指发包人用于支付承包人按照合同约定完成承包范围内全部工作的金额，包括合同履行过程中按合同约定发生的价格变化。</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1.1.5.3 费用：是指为履行合同所发生的或将要发生的所有必需的开支，包括管理费和应分摊的其他费用，但不包括利润。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1.1.5.4 暂估价：是指发包人在工程量清单或预算书中提供的用于支付必然发生但暂时不能确定价格的材料、工程设备的单价、专业工程以及服务工作的金额。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1.1.5.6 计日工：是指合同履行过程中，承包人完成发包人提出的零星工作或需要采用计日工计价的变更工作时，按合同中约定的单价计价的一种方式。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1.1.5.7 质量保证金</w:t>
      </w:r>
      <w:bookmarkStart w:id="149" w:name="#go2"/>
      <w:bookmarkEnd w:id="149"/>
      <w:r>
        <w:rPr>
          <w:rFonts w:hint="eastAsia" w:ascii="宋体" w:hAnsi="宋体" w:eastAsia="宋体" w:cs="宋体"/>
          <w:color w:val="auto"/>
          <w:kern w:val="0"/>
          <w:sz w:val="21"/>
          <w:szCs w:val="21"/>
          <w:highlight w:val="none"/>
        </w:rPr>
        <w:t>：是指按照第15.3款〔质量保证金〕约定承包人用于保证其在缺陷责任期内履行缺陷修补义务的担保</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1.1.5.8 总价项目：是指在现行国家、行业以及地方的计量规则中无工程量计算规则，在已标价工程量清单或预算书中以总价或以费率形式计算的项目。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 其他</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1.1.6.1 书面形式：是指合同文件、信函、电报、传真等可以有形地表现所载内容的形式。</w:t>
      </w:r>
    </w:p>
    <w:p>
      <w:pPr>
        <w:pStyle w:val="266"/>
        <w:spacing w:before="120" w:after="120" w:line="400" w:lineRule="exact"/>
        <w:outlineLvl w:val="5"/>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 xml:space="preserve">    </w:t>
      </w:r>
      <w:bookmarkStart w:id="150" w:name="_Toc337558729"/>
      <w:bookmarkStart w:id="151" w:name="_Toc351203497"/>
      <w:bookmarkStart w:id="152" w:name="_Toc296346530"/>
      <w:bookmarkStart w:id="153" w:name="_Toc296503029"/>
      <w:r>
        <w:rPr>
          <w:rFonts w:hint="eastAsia" w:ascii="宋体" w:hAnsi="宋体" w:eastAsia="宋体" w:cs="宋体"/>
          <w:b w:val="0"/>
          <w:color w:val="auto"/>
          <w:sz w:val="21"/>
          <w:szCs w:val="21"/>
          <w:highlight w:val="none"/>
        </w:rPr>
        <w:t>1.2语言文字</w:t>
      </w:r>
      <w:bookmarkEnd w:id="150"/>
      <w:bookmarkEnd w:id="151"/>
      <w:bookmarkEnd w:id="152"/>
      <w:bookmarkEnd w:id="15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合同以中国的汉语简体文字编写、解释和说明。合同当事人在专用合同条款中约定使用两种以上语言时，汉语为优先解释和说明合同的语言。</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54" w:name="_Toc296503030"/>
      <w:bookmarkStart w:id="155" w:name="_Toc337558730"/>
      <w:bookmarkStart w:id="156" w:name="_Toc296346531"/>
      <w:bookmarkStart w:id="157" w:name="_Toc351203498"/>
      <w:r>
        <w:rPr>
          <w:rFonts w:hint="eastAsia" w:ascii="宋体" w:hAnsi="宋体" w:eastAsia="宋体" w:cs="宋体"/>
          <w:b w:val="0"/>
          <w:color w:val="auto"/>
          <w:sz w:val="21"/>
          <w:szCs w:val="21"/>
          <w:highlight w:val="none"/>
        </w:rPr>
        <w:t>1.3法律</w:t>
      </w:r>
      <w:bookmarkEnd w:id="154"/>
      <w:bookmarkEnd w:id="155"/>
      <w:bookmarkEnd w:id="156"/>
      <w:bookmarkEnd w:id="15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合同所称法律是指中华人民共和国法律、行政法规、部门规章，以及工程所在地的地方性法规、自治条例、单行条例和地方政府规章等。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合同当事人可以在专用合同条款中约定合同适用的其他规范性文件。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58" w:name="_Toc351203499"/>
      <w:r>
        <w:rPr>
          <w:rFonts w:hint="eastAsia" w:ascii="宋体" w:hAnsi="宋体" w:eastAsia="宋体" w:cs="宋体"/>
          <w:b w:val="0"/>
          <w:color w:val="auto"/>
          <w:sz w:val="21"/>
          <w:szCs w:val="21"/>
          <w:highlight w:val="none"/>
        </w:rPr>
        <w:t>1.4 标准和规范</w:t>
      </w:r>
      <w:bookmarkEnd w:id="158"/>
    </w:p>
    <w:p>
      <w:pPr>
        <w:pStyle w:val="261"/>
        <w:autoSpaceDE w:val="0"/>
        <w:autoSpaceDN w:val="0"/>
        <w:adjustRightInd w:val="0"/>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1.4.1 适用于工程的国家标准、行业标准、工程所在地的地方性标准，以及相应的规范、规程等，合同当事人有特别要求的，应在专用合同条款中约定。</w:t>
      </w:r>
    </w:p>
    <w:p>
      <w:pPr>
        <w:pStyle w:val="261"/>
        <w:autoSpaceDE w:val="0"/>
        <w:autoSpaceDN w:val="0"/>
        <w:adjustRightInd w:val="0"/>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1.4.2 发包人要求使用国外标准、规范的，发包人负责提供原文版本和中文译本，并在专用合同条款中约定提供标准规范的名称、份数和时间。</w:t>
      </w:r>
    </w:p>
    <w:p>
      <w:pPr>
        <w:pStyle w:val="261"/>
        <w:autoSpaceDE w:val="0"/>
        <w:autoSpaceDN w:val="0"/>
        <w:adjustRightInd w:val="0"/>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59" w:name="_Toc351203500"/>
      <w:r>
        <w:rPr>
          <w:rFonts w:hint="eastAsia" w:ascii="宋体" w:hAnsi="宋体" w:eastAsia="宋体" w:cs="宋体"/>
          <w:b w:val="0"/>
          <w:color w:val="auto"/>
          <w:sz w:val="21"/>
          <w:szCs w:val="21"/>
          <w:highlight w:val="none"/>
        </w:rPr>
        <w:t>1</w:t>
      </w:r>
      <w:bookmarkStart w:id="160" w:name="_Toc296503031"/>
      <w:bookmarkStart w:id="161" w:name="_Toc337558731"/>
      <w:bookmarkStart w:id="162" w:name="_Toc296346532"/>
      <w:r>
        <w:rPr>
          <w:rFonts w:hint="eastAsia" w:ascii="宋体" w:hAnsi="宋体" w:eastAsia="宋体" w:cs="宋体"/>
          <w:b w:val="0"/>
          <w:color w:val="auto"/>
          <w:sz w:val="21"/>
          <w:szCs w:val="21"/>
          <w:highlight w:val="none"/>
        </w:rPr>
        <w:t>.5 合同文件的优先顺序</w:t>
      </w:r>
      <w:bookmarkEnd w:id="159"/>
    </w:p>
    <w:bookmarkEnd w:id="160"/>
    <w:bookmarkEnd w:id="161"/>
    <w:bookmarkEnd w:id="16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组成合同的各项文件应互相解释，互为说明。除专用合同条款另有约定外，解释合同文件的优先顺序如下：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（1）合同协议书；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（2）中标通知书（如果有）；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（3）投标函及其附录（如果有）；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（4）专用合同条款</w:t>
      </w:r>
      <w:r>
        <w:rPr>
          <w:rFonts w:hint="eastAsia" w:ascii="宋体" w:hAnsi="宋体" w:eastAsia="宋体" w:cs="宋体"/>
          <w:color w:val="auto"/>
          <w:sz w:val="21"/>
          <w:szCs w:val="21"/>
          <w:highlight w:val="none"/>
        </w:rPr>
        <w:t>及其附件</w:t>
      </w:r>
      <w:r>
        <w:rPr>
          <w:rFonts w:hint="eastAsia" w:ascii="宋体" w:hAnsi="宋体" w:eastAsia="宋体" w:cs="宋体"/>
          <w:color w:val="auto"/>
          <w:kern w:val="0"/>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（5）通用合同条款；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（6）技术标准和要求；</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（7）图纸；</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（8）已标价工程量清单或预算书；</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（9）其他合同文件。</w:t>
      </w:r>
    </w:p>
    <w:p>
      <w:pPr>
        <w:pStyle w:val="261"/>
        <w:spacing w:line="400" w:lineRule="exact"/>
        <w:ind w:firstLine="447" w:firstLineChars="21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上述各项合同文件包括合同当事人就该项合同文件所作出的补充和修改，属于同一类内容的文件，应以最新签署的为准。</w:t>
      </w:r>
    </w:p>
    <w:p>
      <w:pPr>
        <w:pStyle w:val="261"/>
        <w:spacing w:line="400" w:lineRule="exact"/>
        <w:ind w:firstLine="447" w:firstLineChars="213"/>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在合同订立及履行过程中形成的与合同有关的文件均构成合同文件组成部分，并根据其性质确定优先解释顺序。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63" w:name="_Toc351203501"/>
      <w:r>
        <w:rPr>
          <w:rFonts w:hint="eastAsia" w:ascii="宋体" w:hAnsi="宋体" w:eastAsia="宋体" w:cs="宋体"/>
          <w:b w:val="0"/>
          <w:color w:val="auto"/>
          <w:sz w:val="21"/>
          <w:szCs w:val="21"/>
          <w:highlight w:val="none"/>
        </w:rPr>
        <w:t>1</w:t>
      </w:r>
      <w:bookmarkStart w:id="164" w:name="_Toc296503032"/>
      <w:bookmarkStart w:id="165" w:name="_Toc337558732"/>
      <w:bookmarkStart w:id="166" w:name="_Toc296346533"/>
      <w:r>
        <w:rPr>
          <w:rFonts w:hint="eastAsia" w:ascii="宋体" w:hAnsi="宋体" w:eastAsia="宋体" w:cs="宋体"/>
          <w:b w:val="0"/>
          <w:color w:val="auto"/>
          <w:sz w:val="21"/>
          <w:szCs w:val="21"/>
          <w:highlight w:val="none"/>
        </w:rPr>
        <w:t>.6图纸和承包人文件</w:t>
      </w:r>
      <w:bookmarkEnd w:id="163"/>
    </w:p>
    <w:bookmarkEnd w:id="164"/>
    <w:bookmarkEnd w:id="165"/>
    <w:bookmarkEnd w:id="166"/>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 图纸的提供和交底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因发包人未按合同约定提供图纸导致承包人费用增加和（或）工期延误的，按照第7.5.1项〔因发包人原因导致工期延误〕约定办理。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 图纸的错误</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1.6.3 图纸的修改和补充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图纸需要修改和补充的，应经图纸原设计人及审批部门同意，并由监理人在工程或工程相应部位施工前将修改后的图纸或补充图纸提交给承包人，承包人应按修改或补充后的图纸施工。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1.6.4 承包人文件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承包人应按照专用合同条款的约定提供应当由其编制的与工程施工有关的文件，并按照专用合同条款约定的期限、数量和形式提交监理人，并由监理人报送发包人。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1.6.5 图纸和承包人文件的保管</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除专用合同条款另有约定外，承包人应在施工现场另外保存一套完整的图纸和承包人文件，供发包人、监理人及有关人员进行工程检查时使用。</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67" w:name="_Toc351203502"/>
      <w:r>
        <w:rPr>
          <w:rFonts w:hint="eastAsia" w:ascii="宋体" w:hAnsi="宋体" w:eastAsia="宋体" w:cs="宋体"/>
          <w:b w:val="0"/>
          <w:color w:val="auto"/>
          <w:sz w:val="21"/>
          <w:szCs w:val="21"/>
          <w:highlight w:val="none"/>
        </w:rPr>
        <w:t>1</w:t>
      </w:r>
      <w:bookmarkStart w:id="168" w:name="_Toc296503033"/>
      <w:bookmarkStart w:id="169" w:name="_Toc296346534"/>
      <w:bookmarkStart w:id="170" w:name="_Toc337558733"/>
      <w:r>
        <w:rPr>
          <w:rFonts w:hint="eastAsia" w:ascii="宋体" w:hAnsi="宋体" w:eastAsia="宋体" w:cs="宋体"/>
          <w:b w:val="0"/>
          <w:color w:val="auto"/>
          <w:sz w:val="21"/>
          <w:szCs w:val="21"/>
          <w:highlight w:val="none"/>
        </w:rPr>
        <w:t>.7联络</w:t>
      </w:r>
      <w:bookmarkEnd w:id="167"/>
    </w:p>
    <w:bookmarkEnd w:id="168"/>
    <w:bookmarkEnd w:id="169"/>
    <w:bookmarkEnd w:id="17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1.7.1 与合同有关的通知、批准、证明、证书、指示、指令、要求、请求、同意、意见、确定和决定等，均应采用书面形式，并应在合同约定的期限内送达接收人和送达地点。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1.7.2 发包人和承包人应在专用合同条款中约定各自的送达接收人和送达地点。任何一方合同当事人指定的接收人或送达地点发生变动的，应提前3天以书面形式通知对方。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1.7.3 发包人和承包人应当及时签收另一方送达至送达地点和指定接收人的来往信函。拒不签收的，由此增加的费用和（或）延误的工期由拒绝接收一方承担。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71" w:name="_Toc351203503"/>
      <w:r>
        <w:rPr>
          <w:rFonts w:hint="eastAsia" w:ascii="宋体" w:hAnsi="宋体" w:eastAsia="宋体" w:cs="宋体"/>
          <w:b w:val="0"/>
          <w:color w:val="auto"/>
          <w:sz w:val="21"/>
          <w:szCs w:val="21"/>
          <w:highlight w:val="none"/>
        </w:rPr>
        <w:t>1</w:t>
      </w:r>
      <w:bookmarkStart w:id="172" w:name="_Toc296503035"/>
      <w:bookmarkStart w:id="173" w:name="_Toc296346536"/>
      <w:bookmarkStart w:id="174" w:name="_Toc337558734"/>
      <w:r>
        <w:rPr>
          <w:rFonts w:hint="eastAsia" w:ascii="宋体" w:hAnsi="宋体" w:eastAsia="宋体" w:cs="宋体"/>
          <w:b w:val="0"/>
          <w:color w:val="auto"/>
          <w:sz w:val="21"/>
          <w:szCs w:val="21"/>
          <w:highlight w:val="none"/>
        </w:rPr>
        <w:t>.8严禁贿赂</w:t>
      </w:r>
      <w:bookmarkEnd w:id="171"/>
    </w:p>
    <w:bookmarkEnd w:id="172"/>
    <w:bookmarkEnd w:id="173"/>
    <w:bookmarkEnd w:id="17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合同当事人不得以贿赂或变相贿赂的方式，谋取非法利益或损害对方权益。因一方合同当事人的贿赂造成对方损失的，应赔偿损失，并承担相应的法律责任。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承包人不得与监理人或发包人聘请的第三方串通损害发包人利益。未经发包人书面同意，承包人不得为监理人提供合同约定以外的通讯设备、交通工具及其他任何形式的利益，不得向监理人支付报酬。</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75" w:name="_Toc351203504"/>
      <w:r>
        <w:rPr>
          <w:rFonts w:hint="eastAsia" w:ascii="宋体" w:hAnsi="宋体" w:eastAsia="宋体" w:cs="宋体"/>
          <w:b w:val="0"/>
          <w:color w:val="auto"/>
          <w:sz w:val="21"/>
          <w:szCs w:val="21"/>
          <w:highlight w:val="none"/>
        </w:rPr>
        <w:t>1</w:t>
      </w:r>
      <w:bookmarkStart w:id="176" w:name="_Toc296503036"/>
      <w:bookmarkStart w:id="177" w:name="_Toc337558735"/>
      <w:bookmarkStart w:id="178" w:name="_Toc296346537"/>
      <w:r>
        <w:rPr>
          <w:rFonts w:hint="eastAsia" w:ascii="宋体" w:hAnsi="宋体" w:eastAsia="宋体" w:cs="宋体"/>
          <w:b w:val="0"/>
          <w:color w:val="auto"/>
          <w:sz w:val="21"/>
          <w:szCs w:val="21"/>
          <w:highlight w:val="none"/>
        </w:rPr>
        <w:t>.9化石、文物</w:t>
      </w:r>
      <w:bookmarkEnd w:id="175"/>
    </w:p>
    <w:bookmarkEnd w:id="176"/>
    <w:bookmarkEnd w:id="177"/>
    <w:bookmarkEnd w:id="17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发包人、监理人和承包人应按有关政府行政管理部门要求采取妥善的保护措施，由此增加的费用和（或）延误的工期由发包人承担。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承包人发现文物后不及时报告或隐瞒不报，致使文物丢失或损坏的，应赔偿损失，并承担相应的法律责任。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79" w:name="_Toc351203505"/>
      <w:r>
        <w:rPr>
          <w:rFonts w:hint="eastAsia" w:ascii="宋体" w:hAnsi="宋体" w:eastAsia="宋体" w:cs="宋体"/>
          <w:b w:val="0"/>
          <w:color w:val="auto"/>
          <w:sz w:val="21"/>
          <w:szCs w:val="21"/>
          <w:highlight w:val="none"/>
        </w:rPr>
        <w:t>1</w:t>
      </w:r>
      <w:bookmarkStart w:id="180" w:name="_Toc337558736"/>
      <w:r>
        <w:rPr>
          <w:rFonts w:hint="eastAsia" w:ascii="宋体" w:hAnsi="宋体" w:eastAsia="宋体" w:cs="宋体"/>
          <w:b w:val="0"/>
          <w:color w:val="auto"/>
          <w:sz w:val="21"/>
          <w:szCs w:val="21"/>
          <w:highlight w:val="none"/>
        </w:rPr>
        <w:t>.10交通运输</w:t>
      </w:r>
      <w:bookmarkEnd w:id="179"/>
    </w:p>
    <w:bookmarkEnd w:id="180"/>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1.10.1 出入现场的权利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承包人应在订立合同前查勘施工现场，并根据工程规模及技术参数合理预见工程施工所需的进出施工现场的方式、手段、路径等。因承包人未合理预见所增加的费用和（或）延误的工期由承包人承担。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1.10.2 场外交通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1.10.3场内交通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场外交通和场内交通的边界由合同当事人在专用合同条款中约定。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1.10.4 超大件和超重件的运输</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1.10.5 道路和桥梁的损坏责任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因承包人运输造成施工场地内外公共道路和桥梁损坏的，由承包人承担修复损坏的全部费用和可能引起的赔偿。</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1.10.6 水路和航空运输</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本款前述各项的内容适用于水路运输和航空运输，其中“道路”一词的涵义包括河道、航线、船闸、机场、码头、堤防以及水路或航空运输中其他相似结构物；“车辆”一词的涵义包括船舶和飞机等。</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81" w:name="_Toc351203506"/>
      <w:r>
        <w:rPr>
          <w:rFonts w:hint="eastAsia" w:ascii="宋体" w:hAnsi="宋体" w:eastAsia="宋体" w:cs="宋体"/>
          <w:b w:val="0"/>
          <w:color w:val="auto"/>
          <w:sz w:val="21"/>
          <w:szCs w:val="21"/>
          <w:highlight w:val="none"/>
        </w:rPr>
        <w:t>1</w:t>
      </w:r>
      <w:bookmarkStart w:id="182" w:name="_Toc337558737"/>
      <w:bookmarkStart w:id="183" w:name="_Toc296346538"/>
      <w:bookmarkStart w:id="184" w:name="_Toc296503037"/>
      <w:r>
        <w:rPr>
          <w:rFonts w:hint="eastAsia" w:ascii="宋体" w:hAnsi="宋体" w:eastAsia="宋体" w:cs="宋体"/>
          <w:b w:val="0"/>
          <w:color w:val="auto"/>
          <w:sz w:val="21"/>
          <w:szCs w:val="21"/>
          <w:highlight w:val="none"/>
        </w:rPr>
        <w:t>.11知识产权</w:t>
      </w:r>
      <w:bookmarkEnd w:id="181"/>
      <w:r>
        <w:rPr>
          <w:rFonts w:hint="eastAsia" w:ascii="宋体" w:hAnsi="宋体" w:eastAsia="宋体" w:cs="宋体"/>
          <w:b w:val="0"/>
          <w:color w:val="auto"/>
          <w:sz w:val="21"/>
          <w:szCs w:val="21"/>
          <w:highlight w:val="none"/>
        </w:rPr>
        <w:t xml:space="preserve"> </w:t>
      </w:r>
      <w:bookmarkEnd w:id="182"/>
    </w:p>
    <w:bookmarkEnd w:id="183"/>
    <w:bookmarkEnd w:id="18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sz w:val="21"/>
          <w:szCs w:val="21"/>
          <w:highlight w:val="none"/>
        </w:rPr>
        <w:t>1.11.4 除专用合同条款另有约定外，承包人在合同签订前和签订时已确定采用的专利、专有技术、技术秘密的使用费已包含在签约合同价中。</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85" w:name="_Toc351203507"/>
      <w:r>
        <w:rPr>
          <w:rFonts w:hint="eastAsia" w:ascii="宋体" w:hAnsi="宋体" w:eastAsia="宋体" w:cs="宋体"/>
          <w:b w:val="0"/>
          <w:color w:val="auto"/>
          <w:sz w:val="21"/>
          <w:szCs w:val="21"/>
          <w:highlight w:val="none"/>
        </w:rPr>
        <w:t>1</w:t>
      </w:r>
      <w:bookmarkStart w:id="186" w:name="_Toc337558738"/>
      <w:r>
        <w:rPr>
          <w:rFonts w:hint="eastAsia" w:ascii="宋体" w:hAnsi="宋体" w:eastAsia="宋体" w:cs="宋体"/>
          <w:b w:val="0"/>
          <w:color w:val="auto"/>
          <w:sz w:val="21"/>
          <w:szCs w:val="21"/>
          <w:highlight w:val="none"/>
        </w:rPr>
        <w:t>.12保密</w:t>
      </w:r>
      <w:bookmarkEnd w:id="185"/>
    </w:p>
    <w:bookmarkEnd w:id="18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除法律规定或合同另有约定外，未经发包人同意，承包人不得将发包人提供的图纸、文件以及声明需要保密的资料信息等商业秘密泄露给第三方。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除法律规定或合同另有约定外，未经承包人同意，发包人不得将承包人提供的技术秘密及声明需要保密的资料信息等商业秘密泄露给第三方。</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87" w:name="_Toc351203508"/>
      <w:r>
        <w:rPr>
          <w:rFonts w:hint="eastAsia" w:ascii="宋体" w:hAnsi="宋体" w:eastAsia="宋体" w:cs="宋体"/>
          <w:b w:val="0"/>
          <w:color w:val="auto"/>
          <w:sz w:val="21"/>
          <w:szCs w:val="21"/>
          <w:highlight w:val="none"/>
        </w:rPr>
        <w:t>1.13工程量清单错误的修正</w:t>
      </w:r>
      <w:bookmarkEnd w:id="18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除专用合同条款另有约定外，发包人提供的工程量清单，应被认为是准确的和完整的。出现下列情形之一时，发包人应予以修正，并相应调整合同价格：</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（1）工程量清单存在缺项、漏项的；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（2）工程量清单偏差超出专用合同条款约定的工程量偏差范围的；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（3）未按照国家现行计量规范强制性规定计量的。</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88" w:name="_Toc351203509"/>
      <w:r>
        <w:rPr>
          <w:rFonts w:hint="eastAsia" w:ascii="宋体" w:hAnsi="宋体" w:eastAsia="宋体" w:cs="宋体"/>
          <w:b w:val="0"/>
          <w:color w:val="auto"/>
          <w:sz w:val="21"/>
          <w:szCs w:val="21"/>
          <w:highlight w:val="none"/>
        </w:rPr>
        <w:t>2</w:t>
      </w:r>
      <w:bookmarkStart w:id="189" w:name="_Toc337558739"/>
      <w:bookmarkStart w:id="190" w:name="_Toc296503038"/>
      <w:bookmarkStart w:id="191" w:name="_Toc296346539"/>
      <w:r>
        <w:rPr>
          <w:rFonts w:hint="eastAsia" w:ascii="宋体" w:hAnsi="宋体" w:eastAsia="宋体" w:cs="宋体"/>
          <w:b w:val="0"/>
          <w:color w:val="auto"/>
          <w:sz w:val="21"/>
          <w:szCs w:val="21"/>
          <w:highlight w:val="none"/>
        </w:rPr>
        <w:t>. 发包人</w:t>
      </w:r>
      <w:bookmarkEnd w:id="188"/>
    </w:p>
    <w:bookmarkEnd w:id="189"/>
    <w:bookmarkEnd w:id="190"/>
    <w:bookmarkEnd w:id="191"/>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2" w:name="_Toc351203510"/>
      <w:r>
        <w:rPr>
          <w:rFonts w:hint="eastAsia" w:ascii="宋体" w:hAnsi="宋体" w:eastAsia="宋体" w:cs="宋体"/>
          <w:b w:val="0"/>
          <w:color w:val="auto"/>
          <w:sz w:val="21"/>
          <w:szCs w:val="21"/>
          <w:highlight w:val="none"/>
        </w:rPr>
        <w:t>2</w:t>
      </w:r>
      <w:bookmarkStart w:id="193" w:name="_Toc296346540"/>
      <w:bookmarkStart w:id="194" w:name="_Toc337558740"/>
      <w:bookmarkStart w:id="195" w:name="_Toc296503039"/>
      <w:r>
        <w:rPr>
          <w:rFonts w:hint="eastAsia" w:ascii="宋体" w:hAnsi="宋体" w:eastAsia="宋体" w:cs="宋体"/>
          <w:b w:val="0"/>
          <w:color w:val="auto"/>
          <w:sz w:val="21"/>
          <w:szCs w:val="21"/>
          <w:highlight w:val="none"/>
        </w:rPr>
        <w:t>.1 许可或批准</w:t>
      </w:r>
      <w:bookmarkEnd w:id="192"/>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因发包人原因未能及时办理完毕前述许可、批准或备案，由发包人承担由此增加的费用和（或）延误的工期，并支付承包人合理的利润。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6" w:name="_Toc351203511"/>
      <w:r>
        <w:rPr>
          <w:rFonts w:hint="eastAsia" w:ascii="宋体" w:hAnsi="宋体" w:eastAsia="宋体" w:cs="宋体"/>
          <w:b w:val="0"/>
          <w:color w:val="auto"/>
          <w:sz w:val="21"/>
          <w:szCs w:val="21"/>
          <w:highlight w:val="none"/>
        </w:rPr>
        <w:t>2.2 发包人代表</w:t>
      </w:r>
      <w:bookmarkEnd w:id="196"/>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发包人代表不能按照合同约定履行其职责及义务，并导致合同无法继续正常履行的，承包人可以要求发包人撤换发包人代表。</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不属于法定必须监理的工程，监理人的职权可以由发包人代表或发包人指定的其他人员行使。</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7" w:name="_Toc351203512"/>
      <w:r>
        <w:rPr>
          <w:rFonts w:hint="eastAsia" w:ascii="宋体" w:hAnsi="宋体" w:eastAsia="宋体" w:cs="宋体"/>
          <w:b w:val="0"/>
          <w:color w:val="auto"/>
          <w:sz w:val="21"/>
          <w:szCs w:val="21"/>
          <w:highlight w:val="none"/>
        </w:rPr>
        <w:t>2.3 发包人人员</w:t>
      </w:r>
      <w:bookmarkEnd w:id="19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发包人应要求在施工现场的发包人人员遵守法律及有关安全、质量、环境保护、文明施工等规定，并保障承包人免于承受因发包人人员未遵守上述要求给承包人造成的损失和责任。</w:t>
      </w:r>
    </w:p>
    <w:p>
      <w:pPr>
        <w:pStyle w:val="261"/>
        <w:spacing w:line="400" w:lineRule="exact"/>
        <w:ind w:firstLine="64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发包人人员包括发包人代表及其他由发包人派驻施工现场的人员。</w:t>
      </w:r>
      <w:bookmarkEnd w:id="193"/>
      <w:bookmarkEnd w:id="194"/>
      <w:bookmarkEnd w:id="195"/>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198" w:name="_Toc351203513"/>
      <w:r>
        <w:rPr>
          <w:rFonts w:hint="eastAsia" w:ascii="宋体" w:hAnsi="宋体" w:eastAsia="宋体" w:cs="宋体"/>
          <w:b w:val="0"/>
          <w:color w:val="auto"/>
          <w:sz w:val="21"/>
          <w:szCs w:val="21"/>
          <w:highlight w:val="none"/>
        </w:rPr>
        <w:t>2</w:t>
      </w:r>
      <w:bookmarkStart w:id="199" w:name="_Toc296346541"/>
      <w:bookmarkStart w:id="200" w:name="_Toc337558741"/>
      <w:bookmarkStart w:id="201" w:name="_Toc296503040"/>
      <w:r>
        <w:rPr>
          <w:rFonts w:hint="eastAsia" w:ascii="宋体" w:hAnsi="宋体" w:eastAsia="宋体" w:cs="宋体"/>
          <w:b w:val="0"/>
          <w:color w:val="auto"/>
          <w:sz w:val="21"/>
          <w:szCs w:val="21"/>
          <w:highlight w:val="none"/>
        </w:rPr>
        <w:t>.4 施工现场、施工条件和基础资料的提供</w:t>
      </w:r>
      <w:bookmarkEnd w:id="198"/>
      <w:r>
        <w:rPr>
          <w:rFonts w:hint="eastAsia" w:ascii="宋体" w:hAnsi="宋体" w:eastAsia="宋体" w:cs="宋体"/>
          <w:b w:val="0"/>
          <w:color w:val="auto"/>
          <w:sz w:val="21"/>
          <w:szCs w:val="21"/>
          <w:highlight w:val="none"/>
        </w:rPr>
        <w:t xml:space="preserve"> </w:t>
      </w:r>
      <w:bookmarkEnd w:id="199"/>
      <w:bookmarkEnd w:id="200"/>
      <w:bookmarkEnd w:id="201"/>
      <w:r>
        <w:rPr>
          <w:rFonts w:hint="eastAsia" w:ascii="宋体" w:hAnsi="宋体" w:eastAsia="宋体" w:cs="宋体"/>
          <w:b w:val="0"/>
          <w:color w:val="auto"/>
          <w:sz w:val="21"/>
          <w:szCs w:val="21"/>
          <w:highlight w:val="none"/>
        </w:rPr>
        <w:t xml:space="preserve">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2.4.1 提供施工现场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除专用合同条款另有约定外，发包人应最迟于开工日期7天前向承包人移交施工现场。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2.4.2 提供施工条件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除专用合同条款另有约定外，发包人应负责提供施工所需要的条件，包括：</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（1）将施工用水、电力、通讯线路等施工所必需的条件接至施工现场内；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（2）保证向承包人提供正常施工所需要的进入施工现场的交通条件；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（3）协调处理施工现场周围地下管线和邻近建筑物、构筑物、古树名木的保护工作，并承担相关费用；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（4）按照专用合同条款约定应提供的其他设施和条件。</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2.4.3 提供基础资料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按照法律规定确需在开工后方能提供的基础资料，发包人应尽其努力及时地在相应工程施工前的合理期限内提供，合理期限应以不影响承包人的正常施工为限。</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2.4.4 逾期提供的责任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因发包人原因未能按合同约定及时向承包人提供施工现场、施工条件、基础资料的，由发包人承担由此增加的费用和（或）延误的工期。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2" w:name="_Toc351203514"/>
      <w:r>
        <w:rPr>
          <w:rFonts w:hint="eastAsia" w:ascii="宋体" w:hAnsi="宋体" w:eastAsia="宋体" w:cs="宋体"/>
          <w:b w:val="0"/>
          <w:color w:val="auto"/>
          <w:sz w:val="21"/>
          <w:szCs w:val="21"/>
          <w:highlight w:val="none"/>
        </w:rPr>
        <w:t>2</w:t>
      </w:r>
      <w:bookmarkStart w:id="203" w:name="_Toc296503042"/>
      <w:bookmarkStart w:id="204" w:name="_Toc296346543"/>
      <w:bookmarkStart w:id="205" w:name="_Toc337558745"/>
      <w:r>
        <w:rPr>
          <w:rFonts w:hint="eastAsia" w:ascii="宋体" w:hAnsi="宋体" w:eastAsia="宋体" w:cs="宋体"/>
          <w:b w:val="0"/>
          <w:color w:val="auto"/>
          <w:sz w:val="21"/>
          <w:szCs w:val="21"/>
          <w:highlight w:val="none"/>
        </w:rPr>
        <w:t>.5 资</w:t>
      </w:r>
      <w:bookmarkEnd w:id="203"/>
      <w:bookmarkEnd w:id="204"/>
      <w:bookmarkEnd w:id="205"/>
      <w:r>
        <w:rPr>
          <w:rFonts w:hint="eastAsia" w:ascii="宋体" w:hAnsi="宋体" w:eastAsia="宋体" w:cs="宋体"/>
          <w:b w:val="0"/>
          <w:color w:val="auto"/>
          <w:sz w:val="21"/>
          <w:szCs w:val="21"/>
          <w:highlight w:val="none"/>
        </w:rPr>
        <w:t>金来源证明及支付担保</w:t>
      </w:r>
      <w:bookmarkEnd w:id="202"/>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除专用合同条款另有约定外，发包人应在收到承包人要求提供资金来源证明的书面通知后28天内，向承包人提供能够按照合同约定支付合同价款的相应资金来源证明。</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除专用合同条款另有约定外，发包人要求承包人提供履约担保的，发包人应当向承包人提供支付担保。支付担保可以采用银行保函或担保公司担保等形式，具体由合同当事人在专用合同条款中约定。</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6" w:name="_Toc351203515"/>
      <w:r>
        <w:rPr>
          <w:rFonts w:hint="eastAsia" w:ascii="宋体" w:hAnsi="宋体" w:eastAsia="宋体" w:cs="宋体"/>
          <w:b w:val="0"/>
          <w:color w:val="auto"/>
          <w:sz w:val="21"/>
          <w:szCs w:val="21"/>
          <w:highlight w:val="none"/>
        </w:rPr>
        <w:t>2.6 支付合同价款</w:t>
      </w:r>
      <w:bookmarkEnd w:id="206"/>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发包人应按合同约定向承包人及时支付合同价款。</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7" w:name="_Toc351203516"/>
      <w:r>
        <w:rPr>
          <w:rFonts w:hint="eastAsia" w:ascii="宋体" w:hAnsi="宋体" w:eastAsia="宋体" w:cs="宋体"/>
          <w:b w:val="0"/>
          <w:color w:val="auto"/>
          <w:sz w:val="21"/>
          <w:szCs w:val="21"/>
          <w:highlight w:val="none"/>
        </w:rPr>
        <w:t>2.7 组织竣工验收</w:t>
      </w:r>
      <w:bookmarkEnd w:id="207"/>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发包人应按合同约定及时组织竣工验收。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08" w:name="_Toc351203517"/>
      <w:r>
        <w:rPr>
          <w:rFonts w:hint="eastAsia" w:ascii="宋体" w:hAnsi="宋体" w:eastAsia="宋体" w:cs="宋体"/>
          <w:b w:val="0"/>
          <w:color w:val="auto"/>
          <w:sz w:val="21"/>
          <w:szCs w:val="21"/>
          <w:highlight w:val="none"/>
        </w:rPr>
        <w:t>2.8 现场统一管理协议</w:t>
      </w:r>
      <w:bookmarkEnd w:id="20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发包人应与承包人、由发包人直接发包的专业工程的承包人签订施工现场统一管理协议，明确各方的权利义务。施工现场统一管理协议作为专用合同条款的附件。</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09" w:name="_Toc351203518"/>
      <w:r>
        <w:rPr>
          <w:rFonts w:hint="eastAsia" w:ascii="宋体" w:hAnsi="宋体" w:eastAsia="宋体" w:cs="宋体"/>
          <w:b w:val="0"/>
          <w:color w:val="auto"/>
          <w:sz w:val="21"/>
          <w:szCs w:val="21"/>
          <w:highlight w:val="none"/>
        </w:rPr>
        <w:t>3</w:t>
      </w:r>
      <w:bookmarkStart w:id="210" w:name="_Toc296346546"/>
      <w:bookmarkStart w:id="211" w:name="_Toc296503045"/>
      <w:bookmarkStart w:id="212" w:name="_Toc337558746"/>
      <w:r>
        <w:rPr>
          <w:rFonts w:hint="eastAsia" w:ascii="宋体" w:hAnsi="宋体" w:eastAsia="宋体" w:cs="宋体"/>
          <w:b w:val="0"/>
          <w:color w:val="auto"/>
          <w:sz w:val="21"/>
          <w:szCs w:val="21"/>
          <w:highlight w:val="none"/>
        </w:rPr>
        <w:t>. 承包人</w:t>
      </w:r>
      <w:bookmarkEnd w:id="209"/>
    </w:p>
    <w:bookmarkEnd w:id="210"/>
    <w:bookmarkEnd w:id="211"/>
    <w:bookmarkEnd w:id="212"/>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13" w:name="_Toc351203519"/>
      <w:r>
        <w:rPr>
          <w:rFonts w:hint="eastAsia" w:ascii="宋体" w:hAnsi="宋体" w:eastAsia="宋体" w:cs="宋体"/>
          <w:b w:val="0"/>
          <w:color w:val="auto"/>
          <w:sz w:val="21"/>
          <w:szCs w:val="21"/>
          <w:highlight w:val="none"/>
        </w:rPr>
        <w:t>3</w:t>
      </w:r>
      <w:bookmarkStart w:id="214" w:name="_Toc337558747"/>
      <w:bookmarkStart w:id="215" w:name="_Toc296346547"/>
      <w:bookmarkStart w:id="216" w:name="_Toc296503046"/>
      <w:r>
        <w:rPr>
          <w:rFonts w:hint="eastAsia" w:ascii="宋体" w:hAnsi="宋体" w:eastAsia="宋体" w:cs="宋体"/>
          <w:b w:val="0"/>
          <w:color w:val="auto"/>
          <w:sz w:val="21"/>
          <w:szCs w:val="21"/>
          <w:highlight w:val="none"/>
        </w:rPr>
        <w:t>.1 承包人的一般义务</w:t>
      </w:r>
      <w:bookmarkEnd w:id="213"/>
    </w:p>
    <w:bookmarkEnd w:id="214"/>
    <w:bookmarkEnd w:id="215"/>
    <w:bookmarkEnd w:id="21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承包人在履行合同过程中应遵守法律和工程建设标准规范，并履行以下义务：</w:t>
      </w:r>
    </w:p>
    <w:p>
      <w:pPr>
        <w:pStyle w:val="261"/>
        <w:numPr>
          <w:ilvl w:val="0"/>
          <w:numId w:val="5"/>
        </w:numPr>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办理法律规定应由承包人办理的许可和批准，并将办理结果书面报送发包人留存；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（2）按法律规定和合同约定完成工程，并在保修期内承担保修义务；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（3）按法律规定和合同约定采取施工安全和环境保护措施，办理工伤保险，确保工程及人员、材料、设备和设施的安全；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（4）按合同约定的工作内容和施工进度要求，编制施工组织设计和施工措施计划，并对所有施工作业和施工方法的完备性和安全可靠性负责；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（6）按照第6.3款〔环境保护〕约定负责施工场地及其周边环境与生态的保护工作；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（7）按第6.1款〔安全文明施工〕约定采取施工安全措施，确保工程及其人员、材料、设备和设施的安全，防止因工程施工造成的人身伤害和财产损失；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（8）将发包人按合同约定支付的各项价款专用于合同工程，且应及时支付其雇用人员工资，并及时向分包人支付合同价款；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（9）按照法律规定和合同约定编制竣工资料，完成竣工资料立卷及归档，并按专用合同条款约定的竣工资料的套数、内容、时间等要求移交发包人；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（10）应履行的其他义务。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17" w:name="_Toc351203520"/>
      <w:r>
        <w:rPr>
          <w:rFonts w:hint="eastAsia" w:ascii="宋体" w:hAnsi="宋体" w:eastAsia="宋体" w:cs="宋体"/>
          <w:b w:val="0"/>
          <w:color w:val="auto"/>
          <w:sz w:val="21"/>
          <w:szCs w:val="21"/>
          <w:highlight w:val="none"/>
        </w:rPr>
        <w:t>3</w:t>
      </w:r>
      <w:bookmarkStart w:id="218" w:name="_Toc337558748"/>
      <w:bookmarkStart w:id="219" w:name="_Toc296346548"/>
      <w:bookmarkStart w:id="220" w:name="_Toc296503047"/>
      <w:r>
        <w:rPr>
          <w:rFonts w:hint="eastAsia" w:ascii="宋体" w:hAnsi="宋体" w:eastAsia="宋体" w:cs="宋体"/>
          <w:b w:val="0"/>
          <w:color w:val="auto"/>
          <w:sz w:val="21"/>
          <w:szCs w:val="21"/>
          <w:highlight w:val="none"/>
        </w:rPr>
        <w:t xml:space="preserve">.2 </w:t>
      </w:r>
      <w:bookmarkEnd w:id="217"/>
      <w:r>
        <w:rPr>
          <w:rFonts w:hint="eastAsia" w:ascii="宋体" w:hAnsi="宋体" w:eastAsia="宋体" w:cs="宋体"/>
          <w:b w:val="0"/>
          <w:color w:val="auto"/>
          <w:sz w:val="21"/>
          <w:szCs w:val="21"/>
          <w:highlight w:val="none"/>
        </w:rPr>
        <w:t>项目经理</w:t>
      </w:r>
    </w:p>
    <w:bookmarkEnd w:id="218"/>
    <w:bookmarkEnd w:id="219"/>
    <w:bookmarkEnd w:id="22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承包人违反上述约定的，应按照专用合同条款的约定，承担违约责任。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3.2.5 项目经理因特殊情况授权其下属人员履行其某项工作职责的，该下属人员应具备履行相应职责的能力，并应提前7天将上述人员的姓名和授权范围书面通知监理人，并征得发包人书面同意。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21" w:name="_Toc351203521"/>
      <w:r>
        <w:rPr>
          <w:rFonts w:hint="eastAsia" w:ascii="宋体" w:hAnsi="宋体" w:eastAsia="宋体" w:cs="宋体"/>
          <w:b w:val="0"/>
          <w:color w:val="auto"/>
          <w:sz w:val="21"/>
          <w:szCs w:val="21"/>
          <w:highlight w:val="none"/>
        </w:rPr>
        <w:t>3</w:t>
      </w:r>
      <w:bookmarkStart w:id="222" w:name="_Toc296503048"/>
      <w:bookmarkStart w:id="223" w:name="_Toc296346549"/>
      <w:bookmarkStart w:id="224" w:name="_Toc337558749"/>
      <w:r>
        <w:rPr>
          <w:rFonts w:hint="eastAsia" w:ascii="宋体" w:hAnsi="宋体" w:eastAsia="宋体" w:cs="宋体"/>
          <w:b w:val="0"/>
          <w:color w:val="auto"/>
          <w:sz w:val="21"/>
          <w:szCs w:val="21"/>
          <w:highlight w:val="none"/>
        </w:rPr>
        <w:t xml:space="preserve">.3 </w:t>
      </w:r>
      <w:bookmarkEnd w:id="222"/>
      <w:bookmarkEnd w:id="223"/>
      <w:r>
        <w:rPr>
          <w:rFonts w:hint="eastAsia" w:ascii="宋体" w:hAnsi="宋体" w:eastAsia="宋体" w:cs="宋体"/>
          <w:b w:val="0"/>
          <w:color w:val="auto"/>
          <w:sz w:val="21"/>
          <w:szCs w:val="21"/>
          <w:highlight w:val="none"/>
        </w:rPr>
        <w:t>承包人人员</w:t>
      </w:r>
      <w:bookmarkEnd w:id="221"/>
    </w:p>
    <w:bookmarkEnd w:id="22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特殊工种作业人员均应持有相应的资格证明，监理人可以随时检查。</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3.3.5 承包人擅自更换主要施工管理人员，或前述人员未经监理人或发包人同意擅自离开施工现场的，应按照专用合同条款约定承担违约责任。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25" w:name="_Toc351203522"/>
      <w:r>
        <w:rPr>
          <w:rFonts w:hint="eastAsia" w:ascii="宋体" w:hAnsi="宋体" w:eastAsia="宋体" w:cs="宋体"/>
          <w:b w:val="0"/>
          <w:color w:val="auto"/>
          <w:sz w:val="21"/>
          <w:szCs w:val="21"/>
          <w:highlight w:val="none"/>
        </w:rPr>
        <w:t>3</w:t>
      </w:r>
      <w:bookmarkStart w:id="226" w:name="_Toc296503050"/>
      <w:bookmarkStart w:id="227" w:name="_Toc337558750"/>
      <w:bookmarkStart w:id="228" w:name="_Toc296346551"/>
      <w:r>
        <w:rPr>
          <w:rFonts w:hint="eastAsia" w:ascii="宋体" w:hAnsi="宋体" w:eastAsia="宋体" w:cs="宋体"/>
          <w:b w:val="0"/>
          <w:color w:val="auto"/>
          <w:sz w:val="21"/>
          <w:szCs w:val="21"/>
          <w:highlight w:val="none"/>
        </w:rPr>
        <w:t>.4 承包人现场查勘</w:t>
      </w:r>
      <w:bookmarkEnd w:id="225"/>
    </w:p>
    <w:bookmarkEnd w:id="226"/>
    <w:bookmarkEnd w:id="227"/>
    <w:bookmarkEnd w:id="228"/>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承包人应对基于发包人按照第2.4.3项〔提供基础资料〕提交的基础资料所做出的解释和推断负责，但因基础资料存在错误、遗漏导致承包人解释或推断失实的，由发包人承担责任。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29" w:name="_Toc351203523"/>
      <w:r>
        <w:rPr>
          <w:rFonts w:hint="eastAsia" w:ascii="宋体" w:hAnsi="宋体" w:eastAsia="宋体" w:cs="宋体"/>
          <w:b w:val="0"/>
          <w:color w:val="auto"/>
          <w:sz w:val="21"/>
          <w:szCs w:val="21"/>
          <w:highlight w:val="none"/>
        </w:rPr>
        <w:t>3</w:t>
      </w:r>
      <w:bookmarkStart w:id="230" w:name="_Toc296346552"/>
      <w:bookmarkStart w:id="231" w:name="_Toc296503051"/>
      <w:bookmarkStart w:id="232" w:name="_Toc337558751"/>
      <w:r>
        <w:rPr>
          <w:rFonts w:hint="eastAsia" w:ascii="宋体" w:hAnsi="宋体" w:eastAsia="宋体" w:cs="宋体"/>
          <w:b w:val="0"/>
          <w:color w:val="auto"/>
          <w:sz w:val="21"/>
          <w:szCs w:val="21"/>
          <w:highlight w:val="none"/>
        </w:rPr>
        <w:t>.5 分包</w:t>
      </w:r>
      <w:bookmarkEnd w:id="229"/>
    </w:p>
    <w:bookmarkEnd w:id="230"/>
    <w:bookmarkEnd w:id="231"/>
    <w:bookmarkEnd w:id="232"/>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3.5.1 分包的一般约定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承包人不得以劳务分包的名义转包或违法分包工程。</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3.5.2 分包的确定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3.5.3 分包管理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承包人应向监理人提交分包人的主要施工管理人员表，并对分包人的施工人员进行实名制管理，包括但不限于进出场管理、登记造册以及各种证照的办理。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3.5.4 分包合同价款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（1）除本项第（2）目约定的情况或专用合同条款另有约定外，分包合同价款由承包人与分包人结算，未经承包人同意，发包人不得向分包人支付分包工程价款；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（2）生效法律文书要求发包人向分包人支付分包合同价款的，发包人有权从应付承包人工程款中扣除该部分款项。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3.5.5 分包合同权益的转让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233" w:name="_Toc351203524"/>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3.6 工程照管与成品、半成品保护</w:t>
      </w:r>
      <w:bookmarkEnd w:id="233"/>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（1）除专用合同条款另有约定外，自发包人向承包人移交施工现场之日起，承包人应负责照管工程及工程相关的材料、工程设备，直到颁发工程接收证书之日止。</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（2）在承包人负责照管期间，因承包人原因造成工程、材料、工程设备损坏的，由承包人负责修复或更换，并承担由此增加的费用和（或）延误的工期。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（3）对合同内分期完成的成品和半成品，在工程接收证书颁发前，由承包人承担保护责任。因承包人原因造成成品或半成品损坏的，由承包人负责修复或更换，并承担由此增加的费用和（或）延误的工期。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34" w:name="_Toc351203525"/>
      <w:r>
        <w:rPr>
          <w:rFonts w:hint="eastAsia" w:ascii="宋体" w:hAnsi="宋体" w:eastAsia="宋体" w:cs="宋体"/>
          <w:b w:val="0"/>
          <w:color w:val="auto"/>
          <w:sz w:val="21"/>
          <w:szCs w:val="21"/>
          <w:highlight w:val="none"/>
        </w:rPr>
        <w:t>3</w:t>
      </w:r>
      <w:bookmarkStart w:id="235" w:name="_Toc337558752"/>
      <w:bookmarkStart w:id="236" w:name="_Toc296346553"/>
      <w:bookmarkStart w:id="237" w:name="_Toc296503052"/>
      <w:r>
        <w:rPr>
          <w:rFonts w:hint="eastAsia" w:ascii="宋体" w:hAnsi="宋体" w:eastAsia="宋体" w:cs="宋体"/>
          <w:b w:val="0"/>
          <w:color w:val="auto"/>
          <w:sz w:val="21"/>
          <w:szCs w:val="21"/>
          <w:highlight w:val="none"/>
        </w:rPr>
        <w:t>.7 履约担保</w:t>
      </w:r>
      <w:bookmarkEnd w:id="234"/>
    </w:p>
    <w:bookmarkEnd w:id="235"/>
    <w:bookmarkEnd w:id="236"/>
    <w:bookmarkEnd w:id="23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发包人需要承包人提供履约担保的，由合同当事人在专用合同条款中约定履约担保的方式、金额及期限等。履约担保可以采用银行保函或担保公司担保等形式，具体由合同当事人在专用合同条款中约定。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因承包人原因导致工期延长的，继续提供履约担保所增加的费用由承包人承担；非因承包人原因导致工期延长的，继续提供履约担保所增加的费用由发包人承担。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38" w:name="_Toc351203526"/>
      <w:r>
        <w:rPr>
          <w:rFonts w:hint="eastAsia" w:ascii="宋体" w:hAnsi="宋体" w:eastAsia="宋体" w:cs="宋体"/>
          <w:b w:val="0"/>
          <w:color w:val="auto"/>
          <w:sz w:val="21"/>
          <w:szCs w:val="21"/>
          <w:highlight w:val="none"/>
        </w:rPr>
        <w:t>3.8 联合体</w:t>
      </w:r>
      <w:bookmarkEnd w:id="238"/>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3.8.1 联合体各方应共同与发包人签订合同协议书。联合体各方应为履行合同向发包人承担连带责任。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3.8.2 联合体协议经发包人确认后作为合同附件。在履行合同过程中，未经发包人同意，不得修改联合体协议。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3.8.3 联合体牵头人负责与发包人和监理人联系，并接受指示，负责组织联合体各成员全面履行合同。</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39" w:name="_Toc351203527"/>
      <w:r>
        <w:rPr>
          <w:rFonts w:hint="eastAsia" w:ascii="宋体" w:hAnsi="宋体" w:eastAsia="宋体" w:cs="宋体"/>
          <w:b w:val="0"/>
          <w:color w:val="auto"/>
          <w:sz w:val="21"/>
          <w:szCs w:val="21"/>
          <w:highlight w:val="none"/>
        </w:rPr>
        <w:t>4</w:t>
      </w:r>
      <w:bookmarkStart w:id="240" w:name="_Toc296346554"/>
      <w:bookmarkStart w:id="241" w:name="_Toc296503053"/>
      <w:bookmarkStart w:id="242" w:name="_Toc337558753"/>
      <w:r>
        <w:rPr>
          <w:rFonts w:hint="eastAsia" w:ascii="宋体" w:hAnsi="宋体" w:eastAsia="宋体" w:cs="宋体"/>
          <w:b w:val="0"/>
          <w:color w:val="auto"/>
          <w:sz w:val="21"/>
          <w:szCs w:val="21"/>
          <w:highlight w:val="none"/>
        </w:rPr>
        <w:t>. 监</w:t>
      </w:r>
      <w:bookmarkEnd w:id="240"/>
      <w:bookmarkEnd w:id="241"/>
      <w:r>
        <w:rPr>
          <w:rFonts w:hint="eastAsia" w:ascii="宋体" w:hAnsi="宋体" w:eastAsia="宋体" w:cs="宋体"/>
          <w:b w:val="0"/>
          <w:color w:val="auto"/>
          <w:sz w:val="21"/>
          <w:szCs w:val="21"/>
          <w:highlight w:val="none"/>
        </w:rPr>
        <w:t>理人</w:t>
      </w:r>
      <w:bookmarkEnd w:id="239"/>
    </w:p>
    <w:bookmarkEnd w:id="242"/>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43" w:name="_Toc351203528"/>
      <w:r>
        <w:rPr>
          <w:rFonts w:hint="eastAsia" w:ascii="宋体" w:hAnsi="宋体" w:eastAsia="宋体" w:cs="宋体"/>
          <w:b w:val="0"/>
          <w:color w:val="auto"/>
          <w:sz w:val="21"/>
          <w:szCs w:val="21"/>
          <w:highlight w:val="none"/>
        </w:rPr>
        <w:t>4</w:t>
      </w:r>
      <w:bookmarkStart w:id="244" w:name="_Toc337558754"/>
      <w:bookmarkStart w:id="245" w:name="_Toc296346555"/>
      <w:bookmarkStart w:id="246" w:name="_Toc296503054"/>
      <w:r>
        <w:rPr>
          <w:rFonts w:hint="eastAsia" w:ascii="宋体" w:hAnsi="宋体" w:eastAsia="宋体" w:cs="宋体"/>
          <w:b w:val="0"/>
          <w:color w:val="auto"/>
          <w:sz w:val="21"/>
          <w:szCs w:val="21"/>
          <w:highlight w:val="none"/>
        </w:rPr>
        <w:t>.1监理人的一般规定</w:t>
      </w:r>
      <w:bookmarkEnd w:id="243"/>
    </w:p>
    <w:bookmarkEnd w:id="244"/>
    <w:bookmarkEnd w:id="245"/>
    <w:bookmarkEnd w:id="24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除专用合同条款另有约定外，监理人在施工现场的办公场所、生活场所由承包人提供，所发生的费用由发包人承担。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47" w:name="_Toc351203529"/>
      <w:r>
        <w:rPr>
          <w:rFonts w:hint="eastAsia" w:ascii="宋体" w:hAnsi="宋体" w:eastAsia="宋体" w:cs="宋体"/>
          <w:b w:val="0"/>
          <w:color w:val="auto"/>
          <w:sz w:val="21"/>
          <w:szCs w:val="21"/>
          <w:highlight w:val="none"/>
        </w:rPr>
        <w:t>4</w:t>
      </w:r>
      <w:bookmarkStart w:id="248" w:name="_Toc337558755"/>
      <w:r>
        <w:rPr>
          <w:rFonts w:hint="eastAsia" w:ascii="宋体" w:hAnsi="宋体" w:eastAsia="宋体" w:cs="宋体"/>
          <w:b w:val="0"/>
          <w:color w:val="auto"/>
          <w:sz w:val="21"/>
          <w:szCs w:val="21"/>
          <w:highlight w:val="none"/>
        </w:rPr>
        <w:t>.2监理人员</w:t>
      </w:r>
      <w:bookmarkEnd w:id="247"/>
    </w:p>
    <w:bookmarkEnd w:id="24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49" w:name="_Toc351203530"/>
      <w:r>
        <w:rPr>
          <w:rFonts w:hint="eastAsia" w:ascii="宋体" w:hAnsi="宋体" w:eastAsia="宋体" w:cs="宋体"/>
          <w:b w:val="0"/>
          <w:color w:val="auto"/>
          <w:sz w:val="21"/>
          <w:szCs w:val="21"/>
          <w:highlight w:val="none"/>
        </w:rPr>
        <w:t>4</w:t>
      </w:r>
      <w:bookmarkStart w:id="250" w:name="_Toc296503055"/>
      <w:bookmarkStart w:id="251" w:name="_Toc296346556"/>
      <w:bookmarkStart w:id="252" w:name="_Toc337558756"/>
      <w:r>
        <w:rPr>
          <w:rFonts w:hint="eastAsia" w:ascii="宋体" w:hAnsi="宋体" w:eastAsia="宋体" w:cs="宋体"/>
          <w:b w:val="0"/>
          <w:color w:val="auto"/>
          <w:sz w:val="21"/>
          <w:szCs w:val="21"/>
          <w:highlight w:val="none"/>
        </w:rPr>
        <w:t>.3</w:t>
      </w:r>
      <w:bookmarkEnd w:id="250"/>
      <w:bookmarkEnd w:id="251"/>
      <w:r>
        <w:rPr>
          <w:rFonts w:hint="eastAsia" w:ascii="宋体" w:hAnsi="宋体" w:eastAsia="宋体" w:cs="宋体"/>
          <w:b w:val="0"/>
          <w:color w:val="auto"/>
          <w:sz w:val="21"/>
          <w:szCs w:val="21"/>
          <w:highlight w:val="none"/>
        </w:rPr>
        <w:t>监理人的指</w:t>
      </w:r>
      <w:bookmarkEnd w:id="252"/>
      <w:r>
        <w:rPr>
          <w:rFonts w:hint="eastAsia" w:ascii="宋体" w:hAnsi="宋体" w:eastAsia="宋体" w:cs="宋体"/>
          <w:b w:val="0"/>
          <w:color w:val="auto"/>
          <w:sz w:val="21"/>
          <w:szCs w:val="21"/>
          <w:highlight w:val="none"/>
        </w:rPr>
        <w:t>示</w:t>
      </w:r>
      <w:bookmarkEnd w:id="249"/>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承包人对监理人发出的指示有疑问的，应向监理人提出书面异议，监理人应在48小时内对该指示予以确认、更改或撤销，监理人逾期未回复的，承包人有权拒绝执行上述指示。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监理人对承包人的任何工作、工程或其采用的材料和工程设备未在约定的或合理期限内提出意见的，视为批准，但不免除或减轻承包人对该工作、工程、材料、工程设备等应承担的责任和义务。</w:t>
      </w:r>
    </w:p>
    <w:p>
      <w:pPr>
        <w:pStyle w:val="265"/>
        <w:spacing w:before="120" w:after="120" w:line="400" w:lineRule="exact"/>
        <w:ind w:firstLine="420" w:firstLineChars="200"/>
        <w:outlineLvl w:val="4"/>
        <w:rPr>
          <w:rFonts w:hint="eastAsia" w:ascii="宋体" w:hAnsi="宋体" w:eastAsia="宋体" w:cs="宋体"/>
          <w:b w:val="0"/>
          <w:color w:val="auto"/>
          <w:sz w:val="21"/>
          <w:szCs w:val="21"/>
          <w:highlight w:val="none"/>
        </w:rPr>
      </w:pPr>
      <w:bookmarkStart w:id="253" w:name="_Toc351203531"/>
      <w:r>
        <w:rPr>
          <w:rFonts w:hint="eastAsia" w:ascii="宋体" w:hAnsi="宋体" w:eastAsia="宋体" w:cs="宋体"/>
          <w:b w:val="0"/>
          <w:color w:val="auto"/>
          <w:sz w:val="21"/>
          <w:szCs w:val="21"/>
          <w:highlight w:val="none"/>
        </w:rPr>
        <w:t>4</w:t>
      </w:r>
      <w:bookmarkStart w:id="254" w:name="_Toc296346558"/>
      <w:bookmarkStart w:id="255" w:name="_Toc337558757"/>
      <w:bookmarkStart w:id="256" w:name="_Toc296503057"/>
      <w:r>
        <w:rPr>
          <w:rFonts w:hint="eastAsia" w:ascii="宋体" w:hAnsi="宋体" w:eastAsia="宋体" w:cs="宋体"/>
          <w:b w:val="0"/>
          <w:color w:val="auto"/>
          <w:sz w:val="21"/>
          <w:szCs w:val="21"/>
          <w:highlight w:val="none"/>
        </w:rPr>
        <w:t>.4 商定或确定</w:t>
      </w:r>
      <w:bookmarkEnd w:id="253"/>
    </w:p>
    <w:bookmarkEnd w:id="254"/>
    <w:bookmarkEnd w:id="255"/>
    <w:bookmarkEnd w:id="25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合同当事人进行商定或确定时，总监理工程师应当会同合同当事人尽量通过协商达成一致，不能达成一致的，由总监理工程师按照合同约定审慎做出公正的确定。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57" w:name="_Toc351203532"/>
      <w:r>
        <w:rPr>
          <w:rFonts w:hint="eastAsia" w:ascii="宋体" w:hAnsi="宋体" w:eastAsia="宋体" w:cs="宋体"/>
          <w:b w:val="0"/>
          <w:color w:val="auto"/>
          <w:sz w:val="21"/>
          <w:szCs w:val="21"/>
          <w:highlight w:val="none"/>
        </w:rPr>
        <w:t>5</w:t>
      </w:r>
      <w:bookmarkStart w:id="258" w:name="_Toc337558758"/>
      <w:r>
        <w:rPr>
          <w:rFonts w:hint="eastAsia" w:ascii="宋体" w:hAnsi="宋体" w:eastAsia="宋体" w:cs="宋体"/>
          <w:b w:val="0"/>
          <w:color w:val="auto"/>
          <w:sz w:val="21"/>
          <w:szCs w:val="21"/>
          <w:highlight w:val="none"/>
        </w:rPr>
        <w:t>. 工程质量</w:t>
      </w:r>
      <w:bookmarkEnd w:id="257"/>
    </w:p>
    <w:bookmarkEnd w:id="25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59" w:name="_Toc351203533"/>
      <w:r>
        <w:rPr>
          <w:rFonts w:hint="eastAsia" w:ascii="宋体" w:hAnsi="宋体" w:eastAsia="宋体" w:cs="宋体"/>
          <w:b w:val="0"/>
          <w:color w:val="auto"/>
          <w:sz w:val="21"/>
          <w:szCs w:val="21"/>
          <w:highlight w:val="none"/>
        </w:rPr>
        <w:t>5</w:t>
      </w:r>
      <w:bookmarkStart w:id="260" w:name="_Toc337558759"/>
      <w:r>
        <w:rPr>
          <w:rFonts w:hint="eastAsia" w:ascii="宋体" w:hAnsi="宋体" w:eastAsia="宋体" w:cs="宋体"/>
          <w:b w:val="0"/>
          <w:color w:val="auto"/>
          <w:sz w:val="21"/>
          <w:szCs w:val="21"/>
          <w:highlight w:val="none"/>
        </w:rPr>
        <w:t>.1质量要求</w:t>
      </w:r>
      <w:bookmarkEnd w:id="259"/>
    </w:p>
    <w:bookmarkEnd w:id="26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5.1.1 工程质量标准必须符合现行国家有关工程施工质量验收规范和标准的要求。有关工程质量的特殊标准或要求由合同当事人在专用合同条款中约定。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5.1.2 因发包人原因造成工程质量未达到合同约定标准的，由发包人承担由此增加的费用和（或）延误的工期，并支付承包人合理的利润。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5.1.3 因承包人原因造成工程质量未达到合同约定标准的，发包人有权要求承包人返工直至工程质量达到合同约定的标准为止，并由承包人承担由此增加的费用和（或）延误的工期。</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61" w:name="_Toc351203534"/>
      <w:r>
        <w:rPr>
          <w:rFonts w:hint="eastAsia" w:ascii="宋体" w:hAnsi="宋体" w:eastAsia="宋体" w:cs="宋体"/>
          <w:b w:val="0"/>
          <w:color w:val="auto"/>
          <w:sz w:val="21"/>
          <w:szCs w:val="21"/>
          <w:highlight w:val="none"/>
        </w:rPr>
        <w:t>5</w:t>
      </w:r>
      <w:bookmarkStart w:id="262" w:name="_Toc337558760"/>
      <w:r>
        <w:rPr>
          <w:rFonts w:hint="eastAsia" w:ascii="宋体" w:hAnsi="宋体" w:eastAsia="宋体" w:cs="宋体"/>
          <w:b w:val="0"/>
          <w:color w:val="auto"/>
          <w:sz w:val="21"/>
          <w:szCs w:val="21"/>
          <w:highlight w:val="none"/>
        </w:rPr>
        <w:t>.2质量保证措施</w:t>
      </w:r>
      <w:bookmarkEnd w:id="261"/>
    </w:p>
    <w:bookmarkEnd w:id="262"/>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263" w:name="_Toc17185755"/>
      <w:bookmarkStart w:id="264" w:name="_Toc22892079"/>
      <w:bookmarkStart w:id="265" w:name="_Toc531247225"/>
      <w:bookmarkStart w:id="266" w:name="_Toc526086158"/>
      <w:bookmarkStart w:id="267" w:name="_Toc17185652"/>
      <w:bookmarkStart w:id="268" w:name="_Toc526086058"/>
      <w:bookmarkStart w:id="269" w:name="_Toc19097043"/>
      <w:r>
        <w:rPr>
          <w:rFonts w:hint="eastAsia" w:ascii="宋体" w:hAnsi="宋体" w:eastAsia="宋体" w:cs="宋体"/>
          <w:color w:val="auto"/>
          <w:kern w:val="0"/>
          <w:sz w:val="21"/>
          <w:szCs w:val="21"/>
          <w:highlight w:val="none"/>
        </w:rPr>
        <w:t>5.2.1 发包人的质量管理</w:t>
      </w:r>
      <w:bookmarkEnd w:id="263"/>
      <w:bookmarkEnd w:id="264"/>
      <w:bookmarkEnd w:id="265"/>
      <w:bookmarkEnd w:id="266"/>
      <w:bookmarkEnd w:id="267"/>
      <w:bookmarkEnd w:id="268"/>
      <w:bookmarkEnd w:id="269"/>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发包人应按照法律规定及合同约定完成与工程质量有关的各项工作。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5.2.2 承包人的质量管理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承包人应对施工人员进行质量教育和技术培训，定期考核施工人员的劳动技能，严格执行施工规范和操作规程。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270" w:name="_Toc17185653"/>
      <w:bookmarkStart w:id="271" w:name="_Toc19097044"/>
      <w:bookmarkStart w:id="272" w:name="_Toc526086059"/>
      <w:bookmarkStart w:id="273" w:name="_Toc17185756"/>
      <w:bookmarkStart w:id="274" w:name="_Toc22892080"/>
      <w:bookmarkStart w:id="275" w:name="_Toc526086159"/>
      <w:bookmarkStart w:id="276" w:name="_Toc531247226"/>
      <w:r>
        <w:rPr>
          <w:rFonts w:hint="eastAsia" w:ascii="宋体" w:hAnsi="宋体" w:eastAsia="宋体" w:cs="宋体"/>
          <w:color w:val="auto"/>
          <w:kern w:val="0"/>
          <w:sz w:val="21"/>
          <w:szCs w:val="21"/>
          <w:highlight w:val="none"/>
        </w:rPr>
        <w:t>5.2.3 监理人的质量检查和检验</w:t>
      </w:r>
      <w:bookmarkEnd w:id="270"/>
      <w:bookmarkEnd w:id="271"/>
      <w:bookmarkEnd w:id="272"/>
      <w:bookmarkEnd w:id="273"/>
      <w:bookmarkEnd w:id="274"/>
      <w:bookmarkEnd w:id="275"/>
      <w:bookmarkEnd w:id="276"/>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77" w:name="_Toc351203535"/>
      <w:r>
        <w:rPr>
          <w:rFonts w:hint="eastAsia" w:ascii="宋体" w:hAnsi="宋体" w:eastAsia="宋体" w:cs="宋体"/>
          <w:b w:val="0"/>
          <w:color w:val="auto"/>
          <w:sz w:val="21"/>
          <w:szCs w:val="21"/>
          <w:highlight w:val="none"/>
        </w:rPr>
        <w:t>5</w:t>
      </w:r>
      <w:bookmarkStart w:id="278" w:name="_Toc337558761"/>
      <w:r>
        <w:rPr>
          <w:rFonts w:hint="eastAsia" w:ascii="宋体" w:hAnsi="宋体" w:eastAsia="宋体" w:cs="宋体"/>
          <w:b w:val="0"/>
          <w:color w:val="auto"/>
          <w:sz w:val="21"/>
          <w:szCs w:val="21"/>
          <w:highlight w:val="none"/>
        </w:rPr>
        <w:t>.3 隐蔽工程检查</w:t>
      </w:r>
      <w:bookmarkEnd w:id="277"/>
    </w:p>
    <w:bookmarkEnd w:id="27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5.3.1承包人自检</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承包人应当对工程隐蔽部位进行自检，并经自检确认是否具备覆盖条件。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5.3.2检查程序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5.3.3 重新检查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5.3.4 承包人私自覆盖</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承包人未通知监理人到场检查，私自将工程隐蔽部位覆盖的，监理人有权指示承包人钻孔探测或揭开检查，无论工程隐蔽部位质量是否合格，由此增加的费用和（或）延误的工期均由承包人承担。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79" w:name="_Toc351203536"/>
      <w:r>
        <w:rPr>
          <w:rFonts w:hint="eastAsia" w:ascii="宋体" w:hAnsi="宋体" w:eastAsia="宋体" w:cs="宋体"/>
          <w:b w:val="0"/>
          <w:color w:val="auto"/>
          <w:sz w:val="21"/>
          <w:szCs w:val="21"/>
          <w:highlight w:val="none"/>
        </w:rPr>
        <w:t>5</w:t>
      </w:r>
      <w:bookmarkStart w:id="280" w:name="_Toc337558762"/>
      <w:r>
        <w:rPr>
          <w:rFonts w:hint="eastAsia" w:ascii="宋体" w:hAnsi="宋体" w:eastAsia="宋体" w:cs="宋体"/>
          <w:b w:val="0"/>
          <w:color w:val="auto"/>
          <w:sz w:val="21"/>
          <w:szCs w:val="21"/>
          <w:highlight w:val="none"/>
        </w:rPr>
        <w:t>.4不合格工程的处理</w:t>
      </w:r>
      <w:bookmarkEnd w:id="279"/>
    </w:p>
    <w:bookmarkEnd w:id="280"/>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5.4.2 因发包人原因造成工程不合格的，由此增加的费用和（或）延误的工期由发包人承担，并支付承包人合理的利润。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1" w:name="_Toc351203537"/>
      <w:r>
        <w:rPr>
          <w:rFonts w:hint="eastAsia" w:ascii="宋体" w:hAnsi="宋体" w:eastAsia="宋体" w:cs="宋体"/>
          <w:b w:val="0"/>
          <w:color w:val="auto"/>
          <w:sz w:val="21"/>
          <w:szCs w:val="21"/>
          <w:highlight w:val="none"/>
        </w:rPr>
        <w:t>5.5 质量争议检测</w:t>
      </w:r>
      <w:bookmarkEnd w:id="281"/>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合同当事人对工程质量有争议的，由双方协商确定的工程质量检测机构鉴定，由此产生的费用及因此造成的损失，由责任方承担。</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合同当事人均有责任的，由双方根据其责任分别承担。合同当事人无法达成一致的，按照第4.4款〔商定或确定〕执行。</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82" w:name="_Toc351203538"/>
      <w:r>
        <w:rPr>
          <w:rFonts w:hint="eastAsia" w:ascii="宋体" w:hAnsi="宋体" w:eastAsia="宋体" w:cs="宋体"/>
          <w:b w:val="0"/>
          <w:color w:val="auto"/>
          <w:sz w:val="21"/>
          <w:szCs w:val="21"/>
          <w:highlight w:val="none"/>
        </w:rPr>
        <w:t>6</w:t>
      </w:r>
      <w:bookmarkStart w:id="283" w:name="_Toc337558763"/>
      <w:r>
        <w:rPr>
          <w:rFonts w:hint="eastAsia" w:ascii="宋体" w:hAnsi="宋体" w:eastAsia="宋体" w:cs="宋体"/>
          <w:b w:val="0"/>
          <w:color w:val="auto"/>
          <w:sz w:val="21"/>
          <w:szCs w:val="21"/>
          <w:highlight w:val="none"/>
        </w:rPr>
        <w:t>. 安全文明施工与环境保护</w:t>
      </w:r>
      <w:bookmarkEnd w:id="282"/>
    </w:p>
    <w:bookmarkEnd w:id="283"/>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4" w:name="_Toc351203539"/>
      <w:r>
        <w:rPr>
          <w:rFonts w:hint="eastAsia" w:ascii="宋体" w:hAnsi="宋体" w:eastAsia="宋体" w:cs="宋体"/>
          <w:b w:val="0"/>
          <w:color w:val="auto"/>
          <w:sz w:val="21"/>
          <w:szCs w:val="21"/>
          <w:highlight w:val="none"/>
        </w:rPr>
        <w:t>6</w:t>
      </w:r>
      <w:bookmarkStart w:id="285" w:name="_Toc337558764"/>
      <w:r>
        <w:rPr>
          <w:rFonts w:hint="eastAsia" w:ascii="宋体" w:hAnsi="宋体" w:eastAsia="宋体" w:cs="宋体"/>
          <w:b w:val="0"/>
          <w:color w:val="auto"/>
          <w:sz w:val="21"/>
          <w:szCs w:val="21"/>
          <w:highlight w:val="none"/>
        </w:rPr>
        <w:t>.1安全文明施工</w:t>
      </w:r>
      <w:bookmarkEnd w:id="284"/>
    </w:p>
    <w:bookmarkEnd w:id="285"/>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6.1.1安全生产要求</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在施工过程中，如遇到突发的地质变动、事先未知的地下施工障碍等影响施工安全的紧急情况，承包人应及时报告监理人和发包人，发包人应当及时下令停工并报</w:t>
      </w:r>
      <w:r>
        <w:rPr>
          <w:rFonts w:hint="eastAsia" w:ascii="宋体" w:hAnsi="宋体" w:eastAsia="宋体" w:cs="宋体"/>
          <w:color w:val="auto"/>
          <w:kern w:val="0"/>
          <w:sz w:val="21"/>
          <w:szCs w:val="21"/>
          <w:highlight w:val="none"/>
        </w:rPr>
        <w:t>政府有关行政管理部门</w:t>
      </w:r>
      <w:r>
        <w:rPr>
          <w:rFonts w:hint="eastAsia" w:ascii="宋体" w:hAnsi="宋体" w:eastAsia="宋体" w:cs="宋体"/>
          <w:color w:val="auto"/>
          <w:sz w:val="21"/>
          <w:szCs w:val="21"/>
          <w:highlight w:val="none"/>
        </w:rPr>
        <w:t>采取应急措施。</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因安全生产需要暂停施工的，按照第7.8款〔暂停施工〕的约定执行。</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6.1.2 安全生产保证措施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承包人应当按照有关</w:t>
      </w:r>
      <w:r>
        <w:rPr>
          <w:rFonts w:hint="eastAsia" w:ascii="宋体" w:hAnsi="宋体" w:eastAsia="宋体" w:cs="宋体"/>
          <w:color w:val="auto"/>
          <w:kern w:val="0"/>
          <w:sz w:val="21"/>
          <w:szCs w:val="21"/>
          <w:highlight w:val="none"/>
        </w:rPr>
        <w:t>规定编制安全技术措施或者专项施工方案，</w:t>
      </w:r>
      <w:r>
        <w:rPr>
          <w:rFonts w:hint="eastAsia" w:ascii="宋体" w:hAnsi="宋体" w:eastAsia="宋体" w:cs="宋体"/>
          <w:color w:val="auto"/>
          <w:sz w:val="21"/>
          <w:szCs w:val="21"/>
          <w:highlight w:val="none"/>
        </w:rPr>
        <w:t>建立安全生产责任制度、治安保卫制度及安全生产教育培训制度，并</w:t>
      </w:r>
      <w:r>
        <w:rPr>
          <w:rFonts w:hint="eastAsia" w:ascii="宋体" w:hAnsi="宋体" w:eastAsia="宋体" w:cs="宋体"/>
          <w:color w:val="auto"/>
          <w:kern w:val="0"/>
          <w:sz w:val="21"/>
          <w:szCs w:val="21"/>
          <w:highlight w:val="none"/>
        </w:rPr>
        <w:t>按安全生产法律规定及合同约定履行安全职责，如实</w:t>
      </w:r>
      <w:r>
        <w:rPr>
          <w:rFonts w:hint="eastAsia" w:ascii="宋体" w:hAnsi="宋体" w:eastAsia="宋体" w:cs="宋体"/>
          <w:color w:val="auto"/>
          <w:sz w:val="21"/>
          <w:szCs w:val="21"/>
          <w:highlight w:val="none"/>
        </w:rPr>
        <w:t>编制工程安全生产的有关记录，</w:t>
      </w:r>
      <w:r>
        <w:rPr>
          <w:rFonts w:hint="eastAsia" w:ascii="宋体" w:hAnsi="宋体" w:eastAsia="宋体" w:cs="宋体"/>
          <w:color w:val="auto"/>
          <w:kern w:val="0"/>
          <w:sz w:val="21"/>
          <w:szCs w:val="21"/>
          <w:highlight w:val="none"/>
        </w:rPr>
        <w:t>接受发包人、监理人及政府安全监督部门的检查与监督。</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6.1.3特别安全生产事项</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承包人在动力设备、输电线路、地下管道、密封防震车间、易燃易爆地段以及临街交通要道附近施工时，施工开始前应向发包人和监理人提出安全防护措施，经发包人认可后实施。 </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实施爆破作业，在放射、毒害性环境中施工（含储存、运输、使用）及使用毒害性、腐蚀性物品施工时，承包人应在施工前7天以书面通知发包人和监理人，并报送相应的安全防护措施，经发包人认可后实施。</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需单独编制危险性较大分部分项专项工程施工方案的，及要求进行专家论证的超过一定规模的危险性较大的分部分项工程，承包人应及时编制和组织论证。</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6.1.4 治安保卫</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除专用合同条款另有约定外，发包人应与当地公安部门协商，在现场建立治安管理机构或联防组织，统一管理施工场地的治安保卫事项，履行合同工程的治安保卫职责。</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发包人和承包人除应协助现场治安管理机构或联防组织维护施工场地的社会治安外，还应做好包括生活区在内的各自管辖区的治安保卫工作。</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6.1.5 文明施工</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承包人在工程施工期间，应当采取措施保持施工现场平整，物料堆放整齐。工程所在地有关政府行政管理部门有特殊要求的，按照其要求执行。合同当事人对文明施工有其他要求的，可以在专用合同条款中明确。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6.1.6 安全文明施工费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安全文明施工费由发包人承担，发包人不得以任何形式扣减该部分费用。因基准日期后合同所适用的法律或政府有关规定发生变化，增加的安全文明施工费由发包人承担。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6.1.7 紧急情况处理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6.1.8 事故处理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6.1.9 安全生产责任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6.1.9.1 发包人的安全责任</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发包人应负责赔偿以下各种情况造成的损失：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（1）工程或工程的任何部分对土地的占用所造成的第三者财产损失；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（2）由于发包人原因在施工场地及其毗邻地带造成的第三者人身伤亡和财产损失；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（3）由于发包人原因对承包人、监理人造成的人员人身伤亡和财产损失；</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（4）由于发包人原因造成的发包人自身人员的人身伤害以及财产损失。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6.1.9.2 承包人的安全责任</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由于承包人原因在施工场地内及其毗邻地带造成的发包人、监理人以及第三者人员伤亡和财产损失，由承包人负责赔偿。</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6" w:name="_Toc351203540"/>
      <w:r>
        <w:rPr>
          <w:rFonts w:hint="eastAsia" w:ascii="宋体" w:hAnsi="宋体" w:eastAsia="宋体" w:cs="宋体"/>
          <w:b w:val="0"/>
          <w:color w:val="auto"/>
          <w:sz w:val="21"/>
          <w:szCs w:val="21"/>
          <w:highlight w:val="none"/>
        </w:rPr>
        <w:t>6</w:t>
      </w:r>
      <w:bookmarkStart w:id="287" w:name="_Toc337558765"/>
      <w:r>
        <w:rPr>
          <w:rFonts w:hint="eastAsia" w:ascii="宋体" w:hAnsi="宋体" w:eastAsia="宋体" w:cs="宋体"/>
          <w:b w:val="0"/>
          <w:color w:val="auto"/>
          <w:sz w:val="21"/>
          <w:szCs w:val="21"/>
          <w:highlight w:val="none"/>
        </w:rPr>
        <w:t>.2 职业健康</w:t>
      </w:r>
      <w:bookmarkEnd w:id="286"/>
    </w:p>
    <w:bookmarkEnd w:id="28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6.2.1 劳动保护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承包人应按法律规定安排工作时间，保证其雇佣人员享有休息和休假的权利。因工程施工的特殊需要占用休假日或延长工作时间的，应不超过法律规定的限度，并按法律规定给予补休或付酬。</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6.2.2 生活条件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88" w:name="_Toc351203541"/>
      <w:r>
        <w:rPr>
          <w:rFonts w:hint="eastAsia" w:ascii="宋体" w:hAnsi="宋体" w:eastAsia="宋体" w:cs="宋体"/>
          <w:b w:val="0"/>
          <w:color w:val="auto"/>
          <w:sz w:val="21"/>
          <w:szCs w:val="21"/>
          <w:highlight w:val="none"/>
        </w:rPr>
        <w:t>6</w:t>
      </w:r>
      <w:bookmarkStart w:id="289" w:name="_Toc337558766"/>
      <w:r>
        <w:rPr>
          <w:rFonts w:hint="eastAsia" w:ascii="宋体" w:hAnsi="宋体" w:eastAsia="宋体" w:cs="宋体"/>
          <w:b w:val="0"/>
          <w:color w:val="auto"/>
          <w:sz w:val="21"/>
          <w:szCs w:val="21"/>
          <w:highlight w:val="none"/>
        </w:rPr>
        <w:t>.3 环境保护</w:t>
      </w:r>
      <w:bookmarkEnd w:id="288"/>
    </w:p>
    <w:bookmarkEnd w:id="28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承包人应在施工组织设计中列明环境保护的具体措施。在合同履行期间，承包人应采取合理措施保护施工现场环境。对施工作业过程中可能引起的大气、水、噪音以及固体废物污染采取具体可行的防范措施。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承包人应当承担因其原因引起的环境污染侵权损害赔偿责任，因上述环境污染引起纠纷而导致暂停施工的，由此增加的费用和（或）延误的工期由承包人承担。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290" w:name="_Toc351203542"/>
      <w:r>
        <w:rPr>
          <w:rFonts w:hint="eastAsia" w:ascii="宋体" w:hAnsi="宋体" w:eastAsia="宋体" w:cs="宋体"/>
          <w:b w:val="0"/>
          <w:color w:val="auto"/>
          <w:sz w:val="21"/>
          <w:szCs w:val="21"/>
          <w:highlight w:val="none"/>
        </w:rPr>
        <w:t>7</w:t>
      </w:r>
      <w:bookmarkStart w:id="291" w:name="_Toc337558767"/>
      <w:r>
        <w:rPr>
          <w:rFonts w:hint="eastAsia" w:ascii="宋体" w:hAnsi="宋体" w:eastAsia="宋体" w:cs="宋体"/>
          <w:b w:val="0"/>
          <w:color w:val="auto"/>
          <w:sz w:val="21"/>
          <w:szCs w:val="21"/>
          <w:highlight w:val="none"/>
        </w:rPr>
        <w:t>. 工期和进度</w:t>
      </w:r>
      <w:bookmarkEnd w:id="290"/>
    </w:p>
    <w:bookmarkEnd w:id="291"/>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92" w:name="_Toc351203543"/>
      <w:r>
        <w:rPr>
          <w:rFonts w:hint="eastAsia" w:ascii="宋体" w:hAnsi="宋体" w:eastAsia="宋体" w:cs="宋体"/>
          <w:b w:val="0"/>
          <w:color w:val="auto"/>
          <w:sz w:val="21"/>
          <w:szCs w:val="21"/>
          <w:highlight w:val="none"/>
        </w:rPr>
        <w:t>7</w:t>
      </w:r>
      <w:bookmarkStart w:id="293" w:name="_Toc337558768"/>
      <w:bookmarkStart w:id="294" w:name="_Toc296503066"/>
      <w:bookmarkStart w:id="295" w:name="_Toc296346567"/>
      <w:r>
        <w:rPr>
          <w:rFonts w:hint="eastAsia" w:ascii="宋体" w:hAnsi="宋体" w:eastAsia="宋体" w:cs="宋体"/>
          <w:b w:val="0"/>
          <w:color w:val="auto"/>
          <w:sz w:val="21"/>
          <w:szCs w:val="21"/>
          <w:highlight w:val="none"/>
        </w:rPr>
        <w:t>.1施工组织设计</w:t>
      </w:r>
      <w:bookmarkEnd w:id="292"/>
    </w:p>
    <w:bookmarkEnd w:id="29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7.1.1 </w:t>
      </w:r>
      <w:r>
        <w:rPr>
          <w:rFonts w:hint="eastAsia" w:ascii="宋体" w:hAnsi="宋体" w:eastAsia="宋体" w:cs="宋体"/>
          <w:color w:val="auto"/>
          <w:kern w:val="0"/>
          <w:sz w:val="21"/>
          <w:szCs w:val="21"/>
          <w:highlight w:val="none"/>
        </w:rPr>
        <w:t>施工组织设计的内容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施工组织设计应包含以下内容：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（1）施工方案；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（2）施工现场平面布置图；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（3）施工进度计划和保证措施；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（4）劳动力及材料供应计划；</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（5）施工机械设备的选用；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（6）质量保证体系及措施；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（7）安全生产、文明施工措施；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（8）环境保护、成本控制措施；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（9）合同当事人约定的其他内容。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7.1.2 </w:t>
      </w:r>
      <w:r>
        <w:rPr>
          <w:rFonts w:hint="eastAsia" w:ascii="宋体" w:hAnsi="宋体" w:eastAsia="宋体" w:cs="宋体"/>
          <w:color w:val="auto"/>
          <w:kern w:val="0"/>
          <w:sz w:val="21"/>
          <w:szCs w:val="21"/>
          <w:highlight w:val="none"/>
        </w:rPr>
        <w:t>施工组织设计的提交和修改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施工进度计划的编制和修改按照第7.2款〔施工进度计划〕执行。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96" w:name="_Toc351203544"/>
      <w:r>
        <w:rPr>
          <w:rFonts w:hint="eastAsia" w:ascii="宋体" w:hAnsi="宋体" w:eastAsia="宋体" w:cs="宋体"/>
          <w:b w:val="0"/>
          <w:color w:val="auto"/>
          <w:sz w:val="21"/>
          <w:szCs w:val="21"/>
          <w:highlight w:val="none"/>
        </w:rPr>
        <w:t>7</w:t>
      </w:r>
      <w:bookmarkStart w:id="297" w:name="_Toc337558769"/>
      <w:r>
        <w:rPr>
          <w:rFonts w:hint="eastAsia" w:ascii="宋体" w:hAnsi="宋体" w:eastAsia="宋体" w:cs="宋体"/>
          <w:b w:val="0"/>
          <w:color w:val="auto"/>
          <w:sz w:val="21"/>
          <w:szCs w:val="21"/>
          <w:highlight w:val="none"/>
        </w:rPr>
        <w:t>.2 施工进度计划</w:t>
      </w:r>
      <w:bookmarkEnd w:id="296"/>
    </w:p>
    <w:bookmarkEnd w:id="29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7.2.1 施工进度计划的编制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7.2.2 施工进度计划的修订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298" w:name="_Toc351203545"/>
      <w:r>
        <w:rPr>
          <w:rFonts w:hint="eastAsia" w:ascii="宋体" w:hAnsi="宋体" w:eastAsia="宋体" w:cs="宋体"/>
          <w:b w:val="0"/>
          <w:color w:val="auto"/>
          <w:sz w:val="21"/>
          <w:szCs w:val="21"/>
          <w:highlight w:val="none"/>
        </w:rPr>
        <w:t>7</w:t>
      </w:r>
      <w:bookmarkStart w:id="299" w:name="_Toc337558770"/>
      <w:r>
        <w:rPr>
          <w:rFonts w:hint="eastAsia" w:ascii="宋体" w:hAnsi="宋体" w:eastAsia="宋体" w:cs="宋体"/>
          <w:b w:val="0"/>
          <w:color w:val="auto"/>
          <w:sz w:val="21"/>
          <w:szCs w:val="21"/>
          <w:highlight w:val="none"/>
        </w:rPr>
        <w:t>.3 开工</w:t>
      </w:r>
      <w:bookmarkEnd w:id="298"/>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7.3.1 开工准备</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除专用合同条款另有约定外，合同当事人应按约定完成开工准备工作。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7.3.2 开工通知</w:t>
      </w:r>
    </w:p>
    <w:bookmarkEnd w:id="29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发包人应按照法律规定获得工程施工所需的许可。经发包人同意后，监理人发出的开工通知应符合法律规定。监理人应在计划开工日期7天前向承包人发出开工通知，工期自开工通知中载明的开工日期起算。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00" w:name="_Toc351203546"/>
      <w:r>
        <w:rPr>
          <w:rFonts w:hint="eastAsia" w:ascii="宋体" w:hAnsi="宋体" w:eastAsia="宋体" w:cs="宋体"/>
          <w:b w:val="0"/>
          <w:color w:val="auto"/>
          <w:sz w:val="21"/>
          <w:szCs w:val="21"/>
          <w:highlight w:val="none"/>
        </w:rPr>
        <w:t>7.4测量放线</w:t>
      </w:r>
      <w:bookmarkEnd w:id="300"/>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7.4.2 承包人负责施工过程中的全部施工测量放线工作，并配置具有相应资质的人员、合格的仪器、设备和其他物品。承包人应矫正工程的位置、标高、尺寸或准线中出现的任何差错，并对工程各部分的定位负责。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施工过程中对施工现场内水准点等测量标志物的保护工作由承包人负责。</w:t>
      </w:r>
      <w:bookmarkStart w:id="301" w:name="_Toc351203547"/>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7</w:t>
      </w:r>
      <w:bookmarkEnd w:id="294"/>
      <w:bookmarkEnd w:id="295"/>
      <w:bookmarkStart w:id="302" w:name="_Toc337558772"/>
      <w:bookmarkStart w:id="303" w:name="_Toc296346574"/>
      <w:bookmarkStart w:id="304" w:name="_Toc296503073"/>
      <w:r>
        <w:rPr>
          <w:rFonts w:hint="eastAsia" w:ascii="宋体" w:hAnsi="宋体" w:eastAsia="宋体" w:cs="宋体"/>
          <w:b w:val="0"/>
          <w:color w:val="auto"/>
          <w:sz w:val="21"/>
          <w:szCs w:val="21"/>
          <w:highlight w:val="none"/>
        </w:rPr>
        <w:t>.5 工期延误</w:t>
      </w:r>
      <w:bookmarkEnd w:id="301"/>
    </w:p>
    <w:bookmarkEnd w:id="302"/>
    <w:bookmarkEnd w:id="303"/>
    <w:bookmarkEnd w:id="304"/>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7.5.1 因发包人原因导致工期延误</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在合同履行过程中，因下列情况导致工期延误和（或）费用增加的，由发包人承担由此延误的工期和（或）增加的费用，且发包人应支付承包人合理的利润： </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（1）发包人未能按合同约定提供图纸或所提供图纸不符合合同约定的；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（2）发包人未能按合同约定提供施工现场、施工条件、基础资料、许可、批准等开工条件的；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（3）发包人提供的测量基准点、基准线和水准点及其书面资料存在错误或疏漏的；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（4）发包人未能在计划开工日期之日起7天内同意下达开工通知的；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（5）发包人未能按合同约定日期支付工程预付款、进度款或竣工结算款的；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（6）监理人未按合同约定发出指示、批准等文件的；</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（7）专用合同条款中约定的其他情形。</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7.5.2 因承包人原因导致工期延误</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bookmarkStart w:id="305" w:name="_Toc296503076"/>
      <w:bookmarkStart w:id="306" w:name="_Toc296346577"/>
      <w:r>
        <w:rPr>
          <w:rFonts w:hint="eastAsia" w:ascii="宋体" w:hAnsi="宋体" w:eastAsia="宋体" w:cs="宋体"/>
          <w:color w:val="auto"/>
          <w:kern w:val="0"/>
          <w:sz w:val="21"/>
          <w:szCs w:val="21"/>
          <w:highlight w:val="none"/>
        </w:rPr>
        <w:t>因</w:t>
      </w:r>
      <w:bookmarkEnd w:id="305"/>
      <w:bookmarkEnd w:id="306"/>
      <w:r>
        <w:rPr>
          <w:rFonts w:hint="eastAsia" w:ascii="宋体" w:hAnsi="宋体" w:eastAsia="宋体" w:cs="宋体"/>
          <w:color w:val="auto"/>
          <w:kern w:val="0"/>
          <w:sz w:val="21"/>
          <w:szCs w:val="21"/>
          <w:highlight w:val="none"/>
        </w:rPr>
        <w:t>承包人原因造成工期延误的，可以在专用合同条款中约定逾期竣工违约金的计算方法和逾期竣工违约金的上限。承包人支付逾期竣工违约金后，不免除承包人继续完成工程及修补缺陷的义务。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07" w:name="_Toc351203548"/>
      <w:r>
        <w:rPr>
          <w:rFonts w:hint="eastAsia" w:ascii="宋体" w:hAnsi="宋体" w:eastAsia="宋体" w:cs="宋体"/>
          <w:b w:val="0"/>
          <w:color w:val="auto"/>
          <w:sz w:val="21"/>
          <w:szCs w:val="21"/>
          <w:highlight w:val="none"/>
        </w:rPr>
        <w:t>7</w:t>
      </w:r>
      <w:bookmarkStart w:id="308" w:name="_Toc337558773"/>
      <w:bookmarkStart w:id="309" w:name="_Toc296346575"/>
      <w:bookmarkStart w:id="310" w:name="_Toc296503074"/>
      <w:bookmarkStart w:id="311" w:name="_Toc296346578"/>
      <w:bookmarkStart w:id="312" w:name="_Toc296503077"/>
      <w:r>
        <w:rPr>
          <w:rFonts w:hint="eastAsia" w:ascii="宋体" w:hAnsi="宋体" w:eastAsia="宋体" w:cs="宋体"/>
          <w:b w:val="0"/>
          <w:color w:val="auto"/>
          <w:sz w:val="21"/>
          <w:szCs w:val="21"/>
          <w:highlight w:val="none"/>
        </w:rPr>
        <w:t>.6 不利物质条件</w:t>
      </w:r>
      <w:bookmarkEnd w:id="307"/>
    </w:p>
    <w:bookmarkEnd w:id="308"/>
    <w:bookmarkEnd w:id="309"/>
    <w:bookmarkEnd w:id="31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不利物质条件是指有经验的承包人在施工现场遇到的不可预见的自然物质条件、非自然的物质障碍和污染物，包括地表以下物质条件和水文条件以及专用合同条款约定的其他情形，但不包括气候条件。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13" w:name="_Toc351203549"/>
      <w:r>
        <w:rPr>
          <w:rFonts w:hint="eastAsia" w:ascii="宋体" w:hAnsi="宋体" w:eastAsia="宋体" w:cs="宋体"/>
          <w:b w:val="0"/>
          <w:color w:val="auto"/>
          <w:sz w:val="21"/>
          <w:szCs w:val="21"/>
          <w:highlight w:val="none"/>
        </w:rPr>
        <w:t>7</w:t>
      </w:r>
      <w:bookmarkStart w:id="314" w:name="_Toc337558774"/>
      <w:bookmarkStart w:id="315" w:name="_Toc296503075"/>
      <w:bookmarkStart w:id="316" w:name="_Toc296346576"/>
      <w:r>
        <w:rPr>
          <w:rFonts w:hint="eastAsia" w:ascii="宋体" w:hAnsi="宋体" w:eastAsia="宋体" w:cs="宋体"/>
          <w:b w:val="0"/>
          <w:color w:val="auto"/>
          <w:sz w:val="21"/>
          <w:szCs w:val="21"/>
          <w:highlight w:val="none"/>
        </w:rPr>
        <w:t>.7 异常恶劣的气候条件</w:t>
      </w:r>
      <w:bookmarkEnd w:id="313"/>
    </w:p>
    <w:bookmarkEnd w:id="314"/>
    <w:bookmarkEnd w:id="315"/>
    <w:bookmarkEnd w:id="31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bookmarkStart w:id="317" w:name="_Toc351203550"/>
    </w:p>
    <w:p>
      <w:pPr>
        <w:pStyle w:val="261"/>
        <w:autoSpaceDE w:val="0"/>
        <w:autoSpaceDN w:val="0"/>
        <w:adjustRightInd w:val="0"/>
        <w:spacing w:line="400" w:lineRule="exact"/>
        <w:ind w:firstLine="420" w:firstLineChars="200"/>
        <w:jc w:val="left"/>
        <w:outlineLvl w:val="1"/>
        <w:rPr>
          <w:rFonts w:hint="eastAsia" w:ascii="宋体" w:hAnsi="宋体" w:eastAsia="宋体" w:cs="宋体"/>
          <w:bCs/>
          <w:color w:val="auto"/>
          <w:sz w:val="21"/>
          <w:szCs w:val="21"/>
          <w:highlight w:val="none"/>
        </w:rPr>
      </w:pPr>
      <w:bookmarkStart w:id="318" w:name="_Toc22892081"/>
      <w:bookmarkStart w:id="319" w:name="_Toc531247227"/>
      <w:bookmarkStart w:id="320" w:name="_Toc19097045"/>
      <w:bookmarkStart w:id="321" w:name="_Toc526086160"/>
      <w:bookmarkStart w:id="322" w:name="_Toc17185757"/>
      <w:bookmarkStart w:id="323" w:name="_Toc17185654"/>
      <w:bookmarkStart w:id="324" w:name="_Toc526086060"/>
      <w:r>
        <w:rPr>
          <w:rFonts w:hint="eastAsia" w:ascii="宋体" w:hAnsi="宋体" w:eastAsia="宋体" w:cs="宋体"/>
          <w:bCs/>
          <w:color w:val="auto"/>
          <w:sz w:val="21"/>
          <w:szCs w:val="21"/>
          <w:highlight w:val="none"/>
        </w:rPr>
        <w:t>7</w:t>
      </w:r>
      <w:bookmarkStart w:id="325" w:name="_Toc337558775"/>
      <w:r>
        <w:rPr>
          <w:rFonts w:hint="eastAsia" w:ascii="宋体" w:hAnsi="宋体" w:eastAsia="宋体" w:cs="宋体"/>
          <w:bCs/>
          <w:color w:val="auto"/>
          <w:sz w:val="21"/>
          <w:szCs w:val="21"/>
          <w:highlight w:val="none"/>
        </w:rPr>
        <w:t>.8 暂停施工</w:t>
      </w:r>
      <w:bookmarkEnd w:id="317"/>
      <w:bookmarkEnd w:id="318"/>
      <w:bookmarkEnd w:id="319"/>
      <w:bookmarkEnd w:id="320"/>
      <w:bookmarkEnd w:id="321"/>
      <w:bookmarkEnd w:id="322"/>
      <w:bookmarkEnd w:id="323"/>
      <w:bookmarkEnd w:id="324"/>
    </w:p>
    <w:bookmarkEnd w:id="311"/>
    <w:bookmarkEnd w:id="312"/>
    <w:bookmarkEnd w:id="325"/>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7.8.1发包人原因引起的暂停施工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因发包人原因引起暂停施工的，监理人经发包人同意后，应及时下达暂停施工指示。情况紧急且监理人未及时下达暂停施工指示的，按照第7.8.4项〔紧急情况下的暂停施工〕执行。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因发包人原因引起的暂停施工，发包人应承担由此增加的费用和（或）延误的工期，并支付承包人合理的利润。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7.8.2 承包人原因引起的暂停施工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7.8.3 指示暂停施工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监理人认为有必要时，并经发包人批准后，可向承包人作出暂停施工的指示，承包人应按监理人指示暂停施工。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7.8.4 紧急情况下的暂停施工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7.8.5 暂停施工后的复工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承包人无故拖延和拒绝复工的，承包人承担由此增加的费用和（或）延误的工期；因发包人原因无法按时复工的，按照第7.5.1项〔因发包人原因导致工期延误〕约定办理。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7.8.6 暂停施工持续56天以上</w:t>
      </w:r>
    </w:p>
    <w:p>
      <w:pPr>
        <w:pStyle w:val="261"/>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pPr>
        <w:pStyle w:val="261"/>
        <w:spacing w:line="400" w:lineRule="exact"/>
        <w:ind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pPr>
        <w:pStyle w:val="261"/>
        <w:spacing w:line="400" w:lineRule="exact"/>
        <w:ind w:left="16" w:firstLine="409" w:firstLineChars="195"/>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7.8.7 暂停施工期间的工程照管</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暂停施工期间，承包人应负责妥善照管工程并提供安全保障，由此增加的费用由责任方承担。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7.8.8 暂停施工的措施</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暂停施工期间，发包人和承包人均应采取必要的措施确保工程质量及安全，防止因暂停施工扩大损失。</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26" w:name="_Toc351203551"/>
      <w:r>
        <w:rPr>
          <w:rFonts w:hint="eastAsia" w:ascii="宋体" w:hAnsi="宋体" w:eastAsia="宋体" w:cs="宋体"/>
          <w:b w:val="0"/>
          <w:color w:val="auto"/>
          <w:sz w:val="21"/>
          <w:szCs w:val="21"/>
          <w:highlight w:val="none"/>
        </w:rPr>
        <w:t>7.9提前竣工</w:t>
      </w:r>
      <w:bookmarkEnd w:id="326"/>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7.9.2 发包人要求承包人提前竣工，或承包人提出提前竣工的建议能够给发包人带来效益的，合同当事人可以在专用合同条款中约定提前竣工的奖励。</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327" w:name="_Toc351203552"/>
      <w:r>
        <w:rPr>
          <w:rFonts w:hint="eastAsia" w:ascii="宋体" w:hAnsi="宋体" w:eastAsia="宋体" w:cs="宋体"/>
          <w:b w:val="0"/>
          <w:color w:val="auto"/>
          <w:sz w:val="21"/>
          <w:szCs w:val="21"/>
          <w:highlight w:val="none"/>
        </w:rPr>
        <w:t>8</w:t>
      </w:r>
      <w:bookmarkStart w:id="328" w:name="_Toc296503058"/>
      <w:bookmarkStart w:id="329" w:name="_Toc296346559"/>
      <w:bookmarkStart w:id="330" w:name="_Toc337558776"/>
      <w:r>
        <w:rPr>
          <w:rFonts w:hint="eastAsia" w:ascii="宋体" w:hAnsi="宋体" w:eastAsia="宋体" w:cs="宋体"/>
          <w:b w:val="0"/>
          <w:color w:val="auto"/>
          <w:sz w:val="21"/>
          <w:szCs w:val="21"/>
          <w:highlight w:val="none"/>
        </w:rPr>
        <w:t>. 材料与设备</w:t>
      </w:r>
      <w:bookmarkEnd w:id="327"/>
    </w:p>
    <w:bookmarkEnd w:id="328"/>
    <w:bookmarkEnd w:id="329"/>
    <w:bookmarkEnd w:id="330"/>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31" w:name="_Toc351203553"/>
      <w:r>
        <w:rPr>
          <w:rFonts w:hint="eastAsia" w:ascii="宋体" w:hAnsi="宋体" w:eastAsia="宋体" w:cs="宋体"/>
          <w:b w:val="0"/>
          <w:color w:val="auto"/>
          <w:sz w:val="21"/>
          <w:szCs w:val="21"/>
          <w:highlight w:val="none"/>
        </w:rPr>
        <w:t>8</w:t>
      </w:r>
      <w:bookmarkStart w:id="332" w:name="_Toc296503059"/>
      <w:bookmarkStart w:id="333" w:name="_Toc296346560"/>
      <w:bookmarkStart w:id="334" w:name="_Toc337558777"/>
      <w:bookmarkStart w:id="335" w:name="_Toc468936960"/>
      <w:r>
        <w:rPr>
          <w:rFonts w:hint="eastAsia" w:ascii="宋体" w:hAnsi="宋体" w:eastAsia="宋体" w:cs="宋体"/>
          <w:b w:val="0"/>
          <w:color w:val="auto"/>
          <w:sz w:val="21"/>
          <w:szCs w:val="21"/>
          <w:highlight w:val="none"/>
        </w:rPr>
        <w:t>.1发包人供应材料与工程设备</w:t>
      </w:r>
      <w:bookmarkEnd w:id="331"/>
    </w:p>
    <w:bookmarkEnd w:id="332"/>
    <w:bookmarkEnd w:id="333"/>
    <w:bookmarkEnd w:id="33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发包人自行供应材料、工程设备的，应在签订合同时在专用合同条款的附件《发包人供应材料设备一览表》中明确材料、工程设备的品种、规格、型号、数量、单价、质量等级和送达地点。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pPr>
        <w:pStyle w:val="266"/>
        <w:spacing w:before="120" w:after="120" w:line="400" w:lineRule="exact"/>
        <w:ind w:firstLine="420" w:firstLineChars="200"/>
        <w:outlineLvl w:val="5"/>
        <w:rPr>
          <w:rFonts w:hint="eastAsia" w:ascii="宋体" w:hAnsi="宋体" w:eastAsia="宋体" w:cs="宋体"/>
          <w:color w:val="auto"/>
          <w:sz w:val="21"/>
          <w:szCs w:val="21"/>
          <w:highlight w:val="none"/>
        </w:rPr>
      </w:pPr>
      <w:bookmarkStart w:id="336" w:name="_Toc351203554"/>
      <w:r>
        <w:rPr>
          <w:rFonts w:hint="eastAsia" w:ascii="宋体" w:hAnsi="宋体" w:eastAsia="宋体" w:cs="宋体"/>
          <w:b w:val="0"/>
          <w:color w:val="auto"/>
          <w:sz w:val="21"/>
          <w:szCs w:val="21"/>
          <w:highlight w:val="none"/>
        </w:rPr>
        <w:t>8</w:t>
      </w:r>
      <w:bookmarkStart w:id="337" w:name="_Toc337558778"/>
      <w:bookmarkStart w:id="338" w:name="_Toc296346561"/>
      <w:bookmarkStart w:id="339" w:name="_Toc296503060"/>
      <w:r>
        <w:rPr>
          <w:rFonts w:hint="eastAsia" w:ascii="宋体" w:hAnsi="宋体" w:eastAsia="宋体" w:cs="宋体"/>
          <w:b w:val="0"/>
          <w:color w:val="auto"/>
          <w:sz w:val="21"/>
          <w:szCs w:val="21"/>
          <w:highlight w:val="none"/>
        </w:rPr>
        <w:t>.2承包人采购材料与工程设备</w:t>
      </w:r>
      <w:bookmarkEnd w:id="336"/>
    </w:p>
    <w:bookmarkEnd w:id="337"/>
    <w:bookmarkEnd w:id="338"/>
    <w:bookmarkEnd w:id="33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40" w:name="_Toc351203555"/>
      <w:r>
        <w:rPr>
          <w:rFonts w:hint="eastAsia" w:ascii="宋体" w:hAnsi="宋体" w:eastAsia="宋体" w:cs="宋体"/>
          <w:b w:val="0"/>
          <w:color w:val="auto"/>
          <w:sz w:val="21"/>
          <w:szCs w:val="21"/>
          <w:highlight w:val="none"/>
        </w:rPr>
        <w:t>8</w:t>
      </w:r>
      <w:bookmarkStart w:id="341" w:name="_Toc296346562"/>
      <w:bookmarkStart w:id="342" w:name="_Toc296503061"/>
      <w:bookmarkStart w:id="343" w:name="_Toc337558779"/>
      <w:r>
        <w:rPr>
          <w:rFonts w:hint="eastAsia" w:ascii="宋体" w:hAnsi="宋体" w:eastAsia="宋体" w:cs="宋体"/>
          <w:b w:val="0"/>
          <w:color w:val="auto"/>
          <w:sz w:val="21"/>
          <w:szCs w:val="21"/>
          <w:highlight w:val="none"/>
        </w:rPr>
        <w:t>.3材料与工程设备的接收与拒收</w:t>
      </w:r>
      <w:bookmarkEnd w:id="340"/>
    </w:p>
    <w:bookmarkEnd w:id="341"/>
    <w:bookmarkEnd w:id="342"/>
    <w:bookmarkEnd w:id="34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发包人提供的材料和工程设备的规格、数量或质量不符合合同约定的，或因发包人原因导致交货日期延误或交货地点变更等情况的，按照第16.1款〔发包人违约〕约定办理。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8.3.2 承包人采购的材料和工程设备，应保证产品质量合格，承包人应在材料和工程设备到货前24小时通知监理人检验。承</w:t>
      </w:r>
      <w:bookmarkStart w:id="344" w:name="_Toc250655469"/>
      <w:r>
        <w:rPr>
          <w:rFonts w:hint="eastAsia" w:ascii="宋体" w:hAnsi="宋体" w:eastAsia="宋体" w:cs="宋体"/>
          <w:color w:val="auto"/>
          <w:kern w:val="0"/>
          <w:sz w:val="21"/>
          <w:szCs w:val="21"/>
          <w:highlight w:val="none"/>
        </w:rPr>
        <w:t>包人进行永久设备、材料的制造和生产的，应符合相关质量标准，并向监理人提交材料的样本以及有关资料，并应在使用该材料或工程设备之前获得监理人同意。</w:t>
      </w:r>
    </w:p>
    <w:bookmarkEnd w:id="344"/>
    <w:p>
      <w:pPr>
        <w:pStyle w:val="261"/>
        <w:autoSpaceDE w:val="0"/>
        <w:autoSpaceDN w:val="0"/>
        <w:adjustRightInd w:val="0"/>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45" w:name="_Toc351203556"/>
      <w:r>
        <w:rPr>
          <w:rFonts w:hint="eastAsia" w:ascii="宋体" w:hAnsi="宋体" w:eastAsia="宋体" w:cs="宋体"/>
          <w:b w:val="0"/>
          <w:color w:val="auto"/>
          <w:sz w:val="21"/>
          <w:szCs w:val="21"/>
          <w:highlight w:val="none"/>
        </w:rPr>
        <w:t>8</w:t>
      </w:r>
      <w:bookmarkStart w:id="346" w:name="_Toc296346563"/>
      <w:bookmarkStart w:id="347" w:name="_Toc337558780"/>
      <w:bookmarkStart w:id="348" w:name="_Toc296503062"/>
      <w:r>
        <w:rPr>
          <w:rFonts w:hint="eastAsia" w:ascii="宋体" w:hAnsi="宋体" w:eastAsia="宋体" w:cs="宋体"/>
          <w:b w:val="0"/>
          <w:color w:val="auto"/>
          <w:sz w:val="21"/>
          <w:szCs w:val="21"/>
          <w:highlight w:val="none"/>
        </w:rPr>
        <w:t>.4材料与工程设备的保管与使用</w:t>
      </w:r>
      <w:bookmarkEnd w:id="345"/>
    </w:p>
    <w:bookmarkEnd w:id="346"/>
    <w:bookmarkEnd w:id="347"/>
    <w:bookmarkEnd w:id="34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8.4.1 发包人供应</w:t>
      </w:r>
      <w:r>
        <w:rPr>
          <w:rFonts w:hint="eastAsia" w:ascii="宋体" w:hAnsi="宋体" w:eastAsia="宋体" w:cs="宋体"/>
          <w:color w:val="auto"/>
          <w:sz w:val="21"/>
          <w:szCs w:val="21"/>
          <w:highlight w:val="none"/>
        </w:rPr>
        <w:t>材料与</w:t>
      </w:r>
      <w:r>
        <w:rPr>
          <w:rFonts w:hint="eastAsia" w:ascii="宋体" w:hAnsi="宋体" w:eastAsia="宋体" w:cs="宋体"/>
          <w:color w:val="auto"/>
          <w:kern w:val="0"/>
          <w:sz w:val="21"/>
          <w:szCs w:val="21"/>
          <w:highlight w:val="none"/>
        </w:rPr>
        <w:t>工程</w:t>
      </w:r>
      <w:r>
        <w:rPr>
          <w:rFonts w:hint="eastAsia" w:ascii="宋体" w:hAnsi="宋体" w:eastAsia="宋体" w:cs="宋体"/>
          <w:color w:val="auto"/>
          <w:sz w:val="21"/>
          <w:szCs w:val="21"/>
          <w:highlight w:val="none"/>
        </w:rPr>
        <w:t>设备的保管与使用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发包人供应的材料和工程设备使用前，由承包人负责检验，检验费用由发包人承担，不合格的不得使用。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8.4.2 承包人采购</w:t>
      </w:r>
      <w:r>
        <w:rPr>
          <w:rFonts w:hint="eastAsia" w:ascii="宋体" w:hAnsi="宋体" w:eastAsia="宋体" w:cs="宋体"/>
          <w:color w:val="auto"/>
          <w:sz w:val="21"/>
          <w:szCs w:val="21"/>
          <w:highlight w:val="none"/>
        </w:rPr>
        <w:t>材料与</w:t>
      </w:r>
      <w:r>
        <w:rPr>
          <w:rFonts w:hint="eastAsia" w:ascii="宋体" w:hAnsi="宋体" w:eastAsia="宋体" w:cs="宋体"/>
          <w:color w:val="auto"/>
          <w:kern w:val="0"/>
          <w:sz w:val="21"/>
          <w:szCs w:val="21"/>
          <w:highlight w:val="none"/>
        </w:rPr>
        <w:t>工程</w:t>
      </w:r>
      <w:r>
        <w:rPr>
          <w:rFonts w:hint="eastAsia" w:ascii="宋体" w:hAnsi="宋体" w:eastAsia="宋体" w:cs="宋体"/>
          <w:color w:val="auto"/>
          <w:sz w:val="21"/>
          <w:szCs w:val="21"/>
          <w:highlight w:val="none"/>
        </w:rPr>
        <w:t>设备的保管与使用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发包人或监理人发现承包人使用不符合设计或有关标准要求的材料和工程设备时，有权要求承包人进行修复、拆除或重新采购，由此增加的费用和（或）延误的工期，由承包人承担。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49" w:name="_Toc351203557"/>
      <w:r>
        <w:rPr>
          <w:rFonts w:hint="eastAsia" w:ascii="宋体" w:hAnsi="宋体" w:eastAsia="宋体" w:cs="宋体"/>
          <w:b w:val="0"/>
          <w:color w:val="auto"/>
          <w:sz w:val="21"/>
          <w:szCs w:val="21"/>
          <w:highlight w:val="none"/>
        </w:rPr>
        <w:t>8.5禁止使用不合格的材料和工程设备</w:t>
      </w:r>
      <w:bookmarkEnd w:id="349"/>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8.5.1 监理人有权拒绝承包人提供的不合格材料或工程设备，并要求承包人立即进行更换。监理人应在更换后再次进行检查和检验，由此增加的费用和（或）延误的工期由承包人承担。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8.5.2 监理人发现承包人使用了不合格的材料和工程设备，承包人应按照监理人的指示立即改正，并禁止在工程中继续使用不合格的材料和工程设备。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8.5.3 发包人提供的材料或工程设备不符合合同要求的，承包人有权拒绝，并可要求发包人更换，由此增加的费用和（或）延误的工期由发包人承担，并支付承包人合理的利润。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0" w:name="_Toc351203558"/>
      <w:r>
        <w:rPr>
          <w:rFonts w:hint="eastAsia" w:ascii="宋体" w:hAnsi="宋体" w:eastAsia="宋体" w:cs="宋体"/>
          <w:b w:val="0"/>
          <w:color w:val="auto"/>
          <w:sz w:val="21"/>
          <w:szCs w:val="21"/>
          <w:highlight w:val="none"/>
        </w:rPr>
        <w:t>8.6 样品</w:t>
      </w:r>
      <w:bookmarkEnd w:id="350"/>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8.6.1</w:t>
      </w:r>
      <w:r>
        <w:rPr>
          <w:rFonts w:hint="eastAsia" w:ascii="宋体" w:hAnsi="宋体" w:eastAsia="宋体" w:cs="宋体"/>
          <w:color w:val="auto"/>
          <w:kern w:val="0"/>
          <w:sz w:val="21"/>
          <w:szCs w:val="21"/>
          <w:highlight w:val="none"/>
        </w:rPr>
        <w:tab/>
      </w:r>
      <w:r>
        <w:rPr>
          <w:rFonts w:hint="eastAsia" w:ascii="宋体" w:hAnsi="宋体" w:eastAsia="宋体" w:cs="宋体"/>
          <w:color w:val="auto"/>
          <w:kern w:val="0"/>
          <w:sz w:val="21"/>
          <w:szCs w:val="21"/>
          <w:highlight w:val="none"/>
        </w:rPr>
        <w:t>样品的报送与封存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需要承包人报送样品的材料或工程设备，样品的种类、名称、规格、数量等要求均应在专用合同条款中约定。样品的报送程序如下：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（3）经发包人和监理人审批确认的样品应按约定的方法封样，封存的样品作为检验工程相关部分的标准之一。承包人在施工过程中不得使用与样品不符的材料或工程设备。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8.6.2 样品的保管</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经批准的样品应由监理人负责封存于现场，承包人应在现场为保存样品提供适当和固定的场所并保持适当和良好的存储环境条件。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1" w:name="_Toc351203559"/>
      <w:r>
        <w:rPr>
          <w:rFonts w:hint="eastAsia" w:ascii="宋体" w:hAnsi="宋体" w:eastAsia="宋体" w:cs="宋体"/>
          <w:b w:val="0"/>
          <w:color w:val="auto"/>
          <w:sz w:val="21"/>
          <w:szCs w:val="21"/>
          <w:highlight w:val="none"/>
        </w:rPr>
        <w:t>8.7材料与工程设备的替代</w:t>
      </w:r>
      <w:bookmarkEnd w:id="351"/>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8.7.1 出现下列情况需要使用替代材料和工程设备的，承包人应按照第8.7.2项约定的程序执行：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（1）基准日期后生效的法律规定禁止使用的；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（2）发包人要求使用替代品的；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（3）因其他原因必须使用替代品的。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8.7.2 承包人应在使用替代材料和工程设备28天前书面通知监理人，并附下列文件：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（1）被替代的材料和工程设备的名称、数量、规格、型号、品牌、性能、价格及其他相关资料；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（2）替代品的名称、数量、规格、型号、品牌、性能、价格及其他相关资料；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（3）替代品与被替代产品之间的差异以及使用替代品可能对工程产生的影响；</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（4）替代品与被替代产品的价格差异；</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（5）使用替代品的理由和原因说明；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（6）监理人要求的其他文件。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监理人应在收到通知后14天内向承包人发出经发包人签认的书面指示；监理人逾期发出书面指示的，视为发包人和监理人同意使用替代品。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2" w:name="_Toc351203560"/>
      <w:r>
        <w:rPr>
          <w:rFonts w:hint="eastAsia" w:ascii="宋体" w:hAnsi="宋体" w:eastAsia="宋体" w:cs="宋体"/>
          <w:b w:val="0"/>
          <w:color w:val="auto"/>
          <w:sz w:val="21"/>
          <w:szCs w:val="21"/>
          <w:highlight w:val="none"/>
        </w:rPr>
        <w:t>8.8施工设备和临时设施</w:t>
      </w:r>
      <w:bookmarkEnd w:id="352"/>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8.8.1 承包人提供的施工设备和临时设施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承包人应按合同进度计划的要求，及时配置施工设备和修建临时设施。进入施工场地的承包人设备需经监理人核查后才能投入使用。承包人更换合同约定的承包人设备的，应报监理人批准。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除专用合同条款另有约定外，承包人应自行承担修建临时设施的费用，需要临时占地的，应由发包人办理申请手续并承担相应费用。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8.8.2发包人提供的施工设备和临时设施</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发包人提供的施工设备或临时设施在专用合同条款中约定。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8.8.3要求承包人增加或更换施工设备</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承包人使用的施工设备不能满足合同进度计划和（或）质量要求时，监理人有权要求承包人增加或更换施工设备，承包人应及时增加或更换，由此增加的费用和（或）延误的工期由承包人承担。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53" w:name="_Toc351203561"/>
      <w:r>
        <w:rPr>
          <w:rFonts w:hint="eastAsia" w:ascii="宋体" w:hAnsi="宋体" w:eastAsia="宋体" w:cs="宋体"/>
          <w:b w:val="0"/>
          <w:color w:val="auto"/>
          <w:sz w:val="21"/>
          <w:szCs w:val="21"/>
          <w:highlight w:val="none"/>
        </w:rPr>
        <w:t>8</w:t>
      </w:r>
      <w:bookmarkStart w:id="354" w:name="_Toc296346564"/>
      <w:bookmarkStart w:id="355" w:name="_Toc337558781"/>
      <w:bookmarkStart w:id="356" w:name="_Toc296503063"/>
      <w:r>
        <w:rPr>
          <w:rFonts w:hint="eastAsia" w:ascii="宋体" w:hAnsi="宋体" w:eastAsia="宋体" w:cs="宋体"/>
          <w:b w:val="0"/>
          <w:color w:val="auto"/>
          <w:sz w:val="21"/>
          <w:szCs w:val="21"/>
          <w:highlight w:val="none"/>
        </w:rPr>
        <w:t>.9材料与设备专用</w:t>
      </w:r>
      <w:bookmarkEnd w:id="353"/>
      <w:r>
        <w:rPr>
          <w:rFonts w:hint="eastAsia" w:ascii="宋体" w:hAnsi="宋体" w:eastAsia="宋体" w:cs="宋体"/>
          <w:b w:val="0"/>
          <w:color w:val="auto"/>
          <w:sz w:val="21"/>
          <w:szCs w:val="21"/>
          <w:highlight w:val="none"/>
        </w:rPr>
        <w:t>要求</w:t>
      </w:r>
    </w:p>
    <w:bookmarkEnd w:id="354"/>
    <w:bookmarkEnd w:id="355"/>
    <w:bookmarkEnd w:id="356"/>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承包人运入施工现场的材料、工程设备、施工设备以及在施工场地建设的临时设施，包括备品备件、安装工具与资料，必须专用于工程。未经发包人批准，承包人不得运出施工现场或挪作他用；</w:t>
      </w:r>
      <w:bookmarkEnd w:id="335"/>
      <w:r>
        <w:rPr>
          <w:rFonts w:hint="eastAsia" w:ascii="宋体" w:hAnsi="宋体" w:eastAsia="宋体" w:cs="宋体"/>
          <w:color w:val="auto"/>
          <w:kern w:val="0"/>
          <w:sz w:val="21"/>
          <w:szCs w:val="21"/>
          <w:highlight w:val="none"/>
        </w:rPr>
        <w:t>经发包人批准，承包人可以根据施工进度计划撤走闲置的施工设备和其他物品。</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357" w:name="_Toc351203562"/>
      <w:r>
        <w:rPr>
          <w:rFonts w:hint="eastAsia" w:ascii="宋体" w:hAnsi="宋体" w:eastAsia="宋体" w:cs="宋体"/>
          <w:b w:val="0"/>
          <w:color w:val="auto"/>
          <w:sz w:val="21"/>
          <w:szCs w:val="21"/>
          <w:highlight w:val="none"/>
        </w:rPr>
        <w:t>9</w:t>
      </w:r>
      <w:bookmarkStart w:id="358" w:name="_Toc337558782"/>
      <w:bookmarkStart w:id="359" w:name="_Toc296346584"/>
      <w:bookmarkStart w:id="360" w:name="_Toc296503083"/>
      <w:r>
        <w:rPr>
          <w:rFonts w:hint="eastAsia" w:ascii="宋体" w:hAnsi="宋体" w:eastAsia="宋体" w:cs="宋体"/>
          <w:b w:val="0"/>
          <w:color w:val="auto"/>
          <w:sz w:val="21"/>
          <w:szCs w:val="21"/>
          <w:highlight w:val="none"/>
        </w:rPr>
        <w:t>. 试验与检验</w:t>
      </w:r>
      <w:bookmarkEnd w:id="357"/>
    </w:p>
    <w:bookmarkEnd w:id="35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1" w:name="_Toc351203563"/>
      <w:r>
        <w:rPr>
          <w:rFonts w:hint="eastAsia" w:ascii="宋体" w:hAnsi="宋体" w:eastAsia="宋体" w:cs="宋体"/>
          <w:b w:val="0"/>
          <w:color w:val="auto"/>
          <w:sz w:val="21"/>
          <w:szCs w:val="21"/>
          <w:highlight w:val="none"/>
        </w:rPr>
        <w:t>9</w:t>
      </w:r>
      <w:bookmarkStart w:id="362" w:name="_Toc337558783"/>
      <w:r>
        <w:rPr>
          <w:rFonts w:hint="eastAsia" w:ascii="宋体" w:hAnsi="宋体" w:eastAsia="宋体" w:cs="宋体"/>
          <w:b w:val="0"/>
          <w:color w:val="auto"/>
          <w:sz w:val="21"/>
          <w:szCs w:val="21"/>
          <w:highlight w:val="none"/>
        </w:rPr>
        <w:t>.1试验设备与试验人员</w:t>
      </w:r>
      <w:bookmarkEnd w:id="361"/>
    </w:p>
    <w:bookmarkEnd w:id="362"/>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9.1.2 承包人应按专用合同条款的约定提供试验设备、取样装置、试验场所和试验条件，并向监理人提交相应进场计划表。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承包人配置的试验设备要符合相应试验规程的要求并经过具有资质的检测单位检测，且在正式使用该试验设备前，需要经过监理人与承包人共同校定。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9.1.3 承包人应向监理人提交试验人员的名单及其岗位、资格等证明资料，试验人员必须能够熟练进行相应的检测试验，承包人对试验人员的试验程序和试验结果的正确性负责。</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3" w:name="_Toc351203564"/>
      <w:r>
        <w:rPr>
          <w:rFonts w:hint="eastAsia" w:ascii="宋体" w:hAnsi="宋体" w:eastAsia="宋体" w:cs="宋体"/>
          <w:b w:val="0"/>
          <w:color w:val="auto"/>
          <w:sz w:val="21"/>
          <w:szCs w:val="21"/>
          <w:highlight w:val="none"/>
        </w:rPr>
        <w:t>9</w:t>
      </w:r>
      <w:bookmarkStart w:id="364" w:name="_Toc337558784"/>
      <w:r>
        <w:rPr>
          <w:rFonts w:hint="eastAsia" w:ascii="宋体" w:hAnsi="宋体" w:eastAsia="宋体" w:cs="宋体"/>
          <w:b w:val="0"/>
          <w:color w:val="auto"/>
          <w:sz w:val="21"/>
          <w:szCs w:val="21"/>
          <w:highlight w:val="none"/>
        </w:rPr>
        <w:t>.2取样</w:t>
      </w:r>
      <w:bookmarkEnd w:id="363"/>
    </w:p>
    <w:bookmarkEnd w:id="364"/>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试验属于自检性质的，承包人可以单独取样。试验属于监理人抽检性质的，可由监理人取样，也可由承包人的试验人员在监理人的监督下取样。</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5" w:name="_Toc351203565"/>
      <w:r>
        <w:rPr>
          <w:rFonts w:hint="eastAsia" w:ascii="宋体" w:hAnsi="宋体" w:eastAsia="宋体" w:cs="宋体"/>
          <w:b w:val="0"/>
          <w:color w:val="auto"/>
          <w:sz w:val="21"/>
          <w:szCs w:val="21"/>
          <w:highlight w:val="none"/>
        </w:rPr>
        <w:t>9</w:t>
      </w:r>
      <w:bookmarkStart w:id="366" w:name="_Toc337558785"/>
      <w:r>
        <w:rPr>
          <w:rFonts w:hint="eastAsia" w:ascii="宋体" w:hAnsi="宋体" w:eastAsia="宋体" w:cs="宋体"/>
          <w:b w:val="0"/>
          <w:color w:val="auto"/>
          <w:sz w:val="21"/>
          <w:szCs w:val="21"/>
          <w:highlight w:val="none"/>
        </w:rPr>
        <w:t>.3材料、工程设备和工程的试验和检验</w:t>
      </w:r>
      <w:bookmarkEnd w:id="365"/>
    </w:p>
    <w:bookmarkEnd w:id="366"/>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67" w:name="_Toc351203566"/>
      <w:r>
        <w:rPr>
          <w:rFonts w:hint="eastAsia" w:ascii="宋体" w:hAnsi="宋体" w:eastAsia="宋体" w:cs="宋体"/>
          <w:b w:val="0"/>
          <w:color w:val="auto"/>
          <w:sz w:val="21"/>
          <w:szCs w:val="21"/>
          <w:highlight w:val="none"/>
        </w:rPr>
        <w:t>9</w:t>
      </w:r>
      <w:bookmarkStart w:id="368" w:name="_Toc337558786"/>
      <w:r>
        <w:rPr>
          <w:rFonts w:hint="eastAsia" w:ascii="宋体" w:hAnsi="宋体" w:eastAsia="宋体" w:cs="宋体"/>
          <w:b w:val="0"/>
          <w:color w:val="auto"/>
          <w:sz w:val="21"/>
          <w:szCs w:val="21"/>
          <w:highlight w:val="none"/>
        </w:rPr>
        <w:t>.4现场工艺试验</w:t>
      </w:r>
      <w:bookmarkEnd w:id="367"/>
    </w:p>
    <w:bookmarkEnd w:id="36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承包人应按合同约定或监理人指示进行现场工艺试验。对大型的现场工艺试验，监理人认为必要时，承包人应根据监理人提出的工艺试验要求，编制工艺试验措施计划，报送监理人审查。</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369" w:name="_Toc351203567"/>
      <w:r>
        <w:rPr>
          <w:rFonts w:hint="eastAsia" w:ascii="宋体" w:hAnsi="宋体" w:eastAsia="宋体" w:cs="宋体"/>
          <w:b w:val="0"/>
          <w:color w:val="auto"/>
          <w:sz w:val="21"/>
          <w:szCs w:val="21"/>
          <w:highlight w:val="none"/>
        </w:rPr>
        <w:t>1</w:t>
      </w:r>
      <w:bookmarkStart w:id="370" w:name="_Toc337558787"/>
      <w:r>
        <w:rPr>
          <w:rFonts w:hint="eastAsia" w:ascii="宋体" w:hAnsi="宋体" w:eastAsia="宋体" w:cs="宋体"/>
          <w:b w:val="0"/>
          <w:color w:val="auto"/>
          <w:sz w:val="21"/>
          <w:szCs w:val="21"/>
          <w:highlight w:val="none"/>
        </w:rPr>
        <w:t>0. 变更</w:t>
      </w:r>
      <w:bookmarkEnd w:id="359"/>
      <w:bookmarkEnd w:id="360"/>
      <w:bookmarkEnd w:id="369"/>
    </w:p>
    <w:bookmarkEnd w:id="370"/>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71" w:name="_Toc351203568"/>
      <w:r>
        <w:rPr>
          <w:rFonts w:hint="eastAsia" w:ascii="宋体" w:hAnsi="宋体" w:eastAsia="宋体" w:cs="宋体"/>
          <w:b w:val="0"/>
          <w:color w:val="auto"/>
          <w:sz w:val="21"/>
          <w:szCs w:val="21"/>
          <w:highlight w:val="none"/>
        </w:rPr>
        <w:t>1</w:t>
      </w:r>
      <w:bookmarkStart w:id="372" w:name="_Toc296346585"/>
      <w:bookmarkStart w:id="373" w:name="_Toc337558788"/>
      <w:bookmarkStart w:id="374" w:name="_Toc296503084"/>
      <w:r>
        <w:rPr>
          <w:rFonts w:hint="eastAsia" w:ascii="宋体" w:hAnsi="宋体" w:eastAsia="宋体" w:cs="宋体"/>
          <w:b w:val="0"/>
          <w:color w:val="auto"/>
          <w:sz w:val="21"/>
          <w:szCs w:val="21"/>
          <w:highlight w:val="none"/>
        </w:rPr>
        <w:t>0.1变更的范围</w:t>
      </w:r>
      <w:bookmarkEnd w:id="371"/>
    </w:p>
    <w:bookmarkEnd w:id="372"/>
    <w:bookmarkEnd w:id="373"/>
    <w:bookmarkEnd w:id="37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除专用合同条款另有约定外，合同履行过程中发生以下情形的，应按照本条约定进行变更：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（1）增加或减少合同中任何工作，或追加额外的工作；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（2）取消合同中任何工作，但转由他人实施的工作除外；</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（3）改变合同中任何工作的质量标准或其他特性；</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（4）改变工程的基线、标高、位置和尺寸；</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（5）改变工程的时间安排或实施顺序。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75" w:name="_Toc351203569"/>
      <w:r>
        <w:rPr>
          <w:rFonts w:hint="eastAsia" w:ascii="宋体" w:hAnsi="宋体" w:eastAsia="宋体" w:cs="宋体"/>
          <w:b w:val="0"/>
          <w:color w:val="auto"/>
          <w:sz w:val="21"/>
          <w:szCs w:val="21"/>
          <w:highlight w:val="none"/>
        </w:rPr>
        <w:t>1</w:t>
      </w:r>
      <w:bookmarkStart w:id="376" w:name="_Toc337558789"/>
      <w:bookmarkStart w:id="377" w:name="_Toc296346586"/>
      <w:bookmarkStart w:id="378" w:name="_Toc296503085"/>
      <w:r>
        <w:rPr>
          <w:rFonts w:hint="eastAsia" w:ascii="宋体" w:hAnsi="宋体" w:eastAsia="宋体" w:cs="宋体"/>
          <w:b w:val="0"/>
          <w:color w:val="auto"/>
          <w:sz w:val="21"/>
          <w:szCs w:val="21"/>
          <w:highlight w:val="none"/>
        </w:rPr>
        <w:t>0.2变更权</w:t>
      </w:r>
      <w:bookmarkEnd w:id="375"/>
    </w:p>
    <w:bookmarkEnd w:id="376"/>
    <w:bookmarkEnd w:id="377"/>
    <w:bookmarkEnd w:id="37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涉及设计变更的，应由设计人提供变更后的图纸和说明。如变更超过原设计标准或批准的建设规模时，发包人应及时办理规划、设计变更等审批手续。</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79" w:name="_Toc351203570"/>
      <w:r>
        <w:rPr>
          <w:rFonts w:hint="eastAsia" w:ascii="宋体" w:hAnsi="宋体" w:eastAsia="宋体" w:cs="宋体"/>
          <w:b w:val="0"/>
          <w:color w:val="auto"/>
          <w:sz w:val="21"/>
          <w:szCs w:val="21"/>
          <w:highlight w:val="none"/>
        </w:rPr>
        <w:t>1</w:t>
      </w:r>
      <w:bookmarkStart w:id="380" w:name="_Toc296346587"/>
      <w:bookmarkStart w:id="381" w:name="_Toc296503086"/>
      <w:bookmarkStart w:id="382" w:name="_Toc337558790"/>
      <w:r>
        <w:rPr>
          <w:rFonts w:hint="eastAsia" w:ascii="宋体" w:hAnsi="宋体" w:eastAsia="宋体" w:cs="宋体"/>
          <w:b w:val="0"/>
          <w:color w:val="auto"/>
          <w:sz w:val="21"/>
          <w:szCs w:val="21"/>
          <w:highlight w:val="none"/>
        </w:rPr>
        <w:t>0.3变更程序</w:t>
      </w:r>
      <w:bookmarkEnd w:id="379"/>
    </w:p>
    <w:bookmarkEnd w:id="380"/>
    <w:bookmarkEnd w:id="381"/>
    <w:bookmarkEnd w:id="38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w:t>
      </w:r>
      <w:r>
        <w:rPr>
          <w:rFonts w:hint="eastAsia" w:ascii="宋体" w:hAnsi="宋体" w:eastAsia="宋体" w:cs="宋体"/>
          <w:color w:val="auto"/>
          <w:kern w:val="0"/>
          <w:sz w:val="21"/>
          <w:szCs w:val="21"/>
          <w:highlight w:val="none"/>
        </w:rPr>
        <w:t>.3.1 发包人提出变更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发包人提出变更的，应通过监理人向承包人发出变更指示，变更指示应说明计划变更的工程范围和变更的内容。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w:t>
      </w:r>
      <w:r>
        <w:rPr>
          <w:rFonts w:hint="eastAsia" w:ascii="宋体" w:hAnsi="宋体" w:eastAsia="宋体" w:cs="宋体"/>
          <w:color w:val="auto"/>
          <w:kern w:val="0"/>
          <w:sz w:val="21"/>
          <w:szCs w:val="21"/>
          <w:highlight w:val="none"/>
        </w:rPr>
        <w:t>.3.2 监理人提出变更建议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10.3.3 变更执行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83" w:name="_Toc351203571"/>
      <w:r>
        <w:rPr>
          <w:rFonts w:hint="eastAsia" w:ascii="宋体" w:hAnsi="宋体" w:eastAsia="宋体" w:cs="宋体"/>
          <w:b w:val="0"/>
          <w:color w:val="auto"/>
          <w:sz w:val="21"/>
          <w:szCs w:val="21"/>
          <w:highlight w:val="none"/>
        </w:rPr>
        <w:t>1</w:t>
      </w:r>
      <w:bookmarkStart w:id="384" w:name="_Toc296346588"/>
      <w:bookmarkStart w:id="385" w:name="_Toc296503087"/>
      <w:bookmarkStart w:id="386" w:name="_Toc337558791"/>
      <w:r>
        <w:rPr>
          <w:rFonts w:hint="eastAsia" w:ascii="宋体" w:hAnsi="宋体" w:eastAsia="宋体" w:cs="宋体"/>
          <w:b w:val="0"/>
          <w:color w:val="auto"/>
          <w:sz w:val="21"/>
          <w:szCs w:val="21"/>
          <w:highlight w:val="none"/>
        </w:rPr>
        <w:t>0.4变更估价</w:t>
      </w:r>
      <w:bookmarkEnd w:id="383"/>
    </w:p>
    <w:bookmarkEnd w:id="384"/>
    <w:bookmarkEnd w:id="385"/>
    <w:bookmarkEnd w:id="38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10.4.1 变更估价原则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除专用合同条款另有约定外，变更估价按照本款约定处理：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（1）已标价工程量清单或预算书有相同项目的，按照相同项目单价认定；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（2）已标价工程量清单或预算书中无相同项目，但有类似项目的，参照类似项目的单价认定；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10.4.2 变更估价程序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因变更引起的价格调整应计入最近一期的进度款中支付。</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87" w:name="_Toc351203572"/>
      <w:r>
        <w:rPr>
          <w:rFonts w:hint="eastAsia" w:ascii="宋体" w:hAnsi="宋体" w:eastAsia="宋体" w:cs="宋体"/>
          <w:b w:val="0"/>
          <w:color w:val="auto"/>
          <w:sz w:val="21"/>
          <w:szCs w:val="21"/>
          <w:highlight w:val="none"/>
        </w:rPr>
        <w:t>1</w:t>
      </w:r>
      <w:bookmarkStart w:id="388" w:name="_Toc296346595"/>
      <w:bookmarkStart w:id="389" w:name="_Toc296503094"/>
      <w:bookmarkStart w:id="390" w:name="_Toc337558792"/>
      <w:r>
        <w:rPr>
          <w:rFonts w:hint="eastAsia" w:ascii="宋体" w:hAnsi="宋体" w:eastAsia="宋体" w:cs="宋体"/>
          <w:b w:val="0"/>
          <w:color w:val="auto"/>
          <w:sz w:val="21"/>
          <w:szCs w:val="21"/>
          <w:highlight w:val="none"/>
        </w:rPr>
        <w:t>0.5承包人的合理化建议</w:t>
      </w:r>
      <w:bookmarkEnd w:id="387"/>
    </w:p>
    <w:bookmarkEnd w:id="388"/>
    <w:bookmarkEnd w:id="389"/>
    <w:bookmarkEnd w:id="39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承包人提出合理化建议的，应向监理人提交合理化建议说明，说明建议的内容和理由，以及实施该建议对合同价格和工期的影响。</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合理化建议降低了合同价格或者提高了工程经济效益的，发包人可对承包人给予奖励，奖励的方法和金额在专用合同条款中约定。</w:t>
      </w:r>
    </w:p>
    <w:p>
      <w:pPr>
        <w:pStyle w:val="266"/>
        <w:spacing w:before="120" w:after="120" w:line="400" w:lineRule="exact"/>
        <w:ind w:firstLine="420" w:firstLineChars="200"/>
        <w:outlineLvl w:val="5"/>
        <w:rPr>
          <w:rFonts w:hint="eastAsia" w:ascii="宋体" w:hAnsi="宋体" w:eastAsia="宋体" w:cs="宋体"/>
          <w:color w:val="auto"/>
          <w:sz w:val="21"/>
          <w:szCs w:val="21"/>
          <w:highlight w:val="none"/>
        </w:rPr>
      </w:pPr>
      <w:bookmarkStart w:id="391" w:name="_Toc351203573"/>
      <w:r>
        <w:rPr>
          <w:rFonts w:hint="eastAsia" w:ascii="宋体" w:hAnsi="宋体" w:eastAsia="宋体" w:cs="宋体"/>
          <w:b w:val="0"/>
          <w:color w:val="auto"/>
          <w:sz w:val="21"/>
          <w:szCs w:val="21"/>
          <w:highlight w:val="none"/>
        </w:rPr>
        <w:t>1</w:t>
      </w:r>
      <w:bookmarkStart w:id="392" w:name="_Toc337558793"/>
      <w:r>
        <w:rPr>
          <w:rFonts w:hint="eastAsia" w:ascii="宋体" w:hAnsi="宋体" w:eastAsia="宋体" w:cs="宋体"/>
          <w:b w:val="0"/>
          <w:color w:val="auto"/>
          <w:sz w:val="21"/>
          <w:szCs w:val="21"/>
          <w:highlight w:val="none"/>
        </w:rPr>
        <w:t>0.6变更引起的工期调整</w:t>
      </w:r>
      <w:bookmarkEnd w:id="391"/>
      <w:r>
        <w:rPr>
          <w:rFonts w:hint="eastAsia" w:ascii="宋体" w:hAnsi="宋体" w:eastAsia="宋体" w:cs="宋体"/>
          <w:b w:val="0"/>
          <w:color w:val="auto"/>
          <w:sz w:val="21"/>
          <w:szCs w:val="21"/>
          <w:highlight w:val="none"/>
        </w:rPr>
        <w:t xml:space="preserve"> </w:t>
      </w:r>
      <w:bookmarkEnd w:id="392"/>
      <w:r>
        <w:rPr>
          <w:rFonts w:hint="eastAsia" w:ascii="宋体" w:hAnsi="宋体" w:eastAsia="宋体" w:cs="宋体"/>
          <w:b w:val="0"/>
          <w:color w:val="auto"/>
          <w:sz w:val="21"/>
          <w:szCs w:val="21"/>
          <w:highlight w:val="none"/>
        </w:rPr>
        <w:t xml:space="preserve"> </w:t>
      </w:r>
      <w:r>
        <w:rPr>
          <w:rFonts w:hint="eastAsia" w:ascii="宋体" w:hAnsi="宋体" w:eastAsia="宋体" w:cs="宋体"/>
          <w:color w:val="auto"/>
          <w:sz w:val="21"/>
          <w:szCs w:val="21"/>
          <w:highlight w:val="none"/>
        </w:rPr>
        <w:t xml:space="preserve">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因变更引起工期变化的，合同当事人均可要求调整合同工期，由合同当事人按照第4.4款〔商定或确定〕并参考工程所在地的工期定额标准确定增减工期天数。</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93" w:name="_Toc351203574"/>
      <w:r>
        <w:rPr>
          <w:rFonts w:hint="eastAsia" w:ascii="宋体" w:hAnsi="宋体" w:eastAsia="宋体" w:cs="宋体"/>
          <w:b w:val="0"/>
          <w:color w:val="auto"/>
          <w:sz w:val="21"/>
          <w:szCs w:val="21"/>
          <w:highlight w:val="none"/>
        </w:rPr>
        <w:t>10.7暂估价</w:t>
      </w:r>
      <w:bookmarkEnd w:id="39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暂估价专业分包工程、服务、材料和工程设备的明细由合同当事人在专用合同条款中约定。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10.7.1</w:t>
      </w:r>
      <w:r>
        <w:rPr>
          <w:rFonts w:hint="eastAsia" w:ascii="宋体" w:hAnsi="宋体" w:eastAsia="宋体" w:cs="宋体"/>
          <w:color w:val="auto"/>
          <w:kern w:val="0"/>
          <w:sz w:val="21"/>
          <w:szCs w:val="21"/>
          <w:highlight w:val="none"/>
        </w:rPr>
        <w:t xml:space="preserve"> 依法必须招标的暂估价项目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对于依法必须招标的暂估价项目，采取以下第1种方式确定。合同当事人也可以在专用合同条款中选择其他招标方式。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第1种方式：对于依法必须招标的暂估价项目，由承包人招标，对该暂估价项目的确认和批准按照以下约定执行：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应当根据施工进度计划，提前14天将磋商文件通过监理人报送发包人审批，发包人应当在收到承包人报送的相关文件后7天内完成审批或提出修改意见；发包人有权确定招标控制价并按照法律规定参加评标；</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10.7.2</w:t>
      </w:r>
      <w:r>
        <w:rPr>
          <w:rFonts w:hint="eastAsia" w:ascii="宋体" w:hAnsi="宋体" w:eastAsia="宋体" w:cs="宋体"/>
          <w:color w:val="auto"/>
          <w:kern w:val="0"/>
          <w:sz w:val="21"/>
          <w:szCs w:val="21"/>
          <w:highlight w:val="none"/>
        </w:rPr>
        <w:t>不属于依法必须招标的暂估价项目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除专用合同条款另有约定外，对于不属于依法必须招标的暂估价项目，采取以下第1种方式确定： </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第1种方式：对于不属于依法必须招标的暂估价项目，按本项约定确认和批准：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（2）发包人认为承包人确定的供应商、分包人无法满足工程质量或合同要求的，发包人可以要求承包人重新确定暂估价项目的供应商、分包人;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（3）承包人应当在签订暂估价合同后7天内，将暂估价合同副本报送发包人留存。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第2种方式：承包人按照第10.7.1项〔依法必须招标的暂估价项目〕约定的第1种方式确定暂估价项目。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第3种方式：</w:t>
      </w:r>
      <w:r>
        <w:rPr>
          <w:rFonts w:hint="eastAsia" w:ascii="宋体" w:hAnsi="宋体" w:eastAsia="宋体" w:cs="宋体"/>
          <w:color w:val="auto"/>
          <w:kern w:val="0"/>
          <w:sz w:val="21"/>
          <w:szCs w:val="21"/>
          <w:highlight w:val="none"/>
        </w:rPr>
        <w:t>承包人直接实施的暂估价项目</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承包人具备实施暂估价项目的资格和条件的，经发包人和承包人协商一致后，可由承包人自行实施暂估价项目，合同当事人可以在专用合同条款约定具体事项。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94" w:name="_Toc351203575"/>
      <w:r>
        <w:rPr>
          <w:rFonts w:hint="eastAsia" w:ascii="宋体" w:hAnsi="宋体" w:eastAsia="宋体" w:cs="宋体"/>
          <w:b w:val="0"/>
          <w:color w:val="auto"/>
          <w:sz w:val="21"/>
          <w:szCs w:val="21"/>
          <w:highlight w:val="none"/>
        </w:rPr>
        <w:t>1</w:t>
      </w:r>
      <w:bookmarkStart w:id="395" w:name="_Toc337558794"/>
      <w:bookmarkStart w:id="396" w:name="_Toc296346591"/>
      <w:bookmarkStart w:id="397" w:name="_Toc322522561"/>
      <w:bookmarkStart w:id="398" w:name="_Toc296503090"/>
      <w:r>
        <w:rPr>
          <w:rFonts w:hint="eastAsia" w:ascii="宋体" w:hAnsi="宋体" w:eastAsia="宋体" w:cs="宋体"/>
          <w:b w:val="0"/>
          <w:color w:val="auto"/>
          <w:sz w:val="21"/>
          <w:szCs w:val="21"/>
          <w:highlight w:val="none"/>
        </w:rPr>
        <w:t>0.8暂列金额</w:t>
      </w:r>
      <w:bookmarkEnd w:id="394"/>
    </w:p>
    <w:bookmarkEnd w:id="395"/>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暂列金额应按照发包人的要求使用，发包人的要求应通过监理人发出。合同当事人可以在专用合同条款中协商确定有关事项。</w:t>
      </w:r>
    </w:p>
    <w:bookmarkEnd w:id="396"/>
    <w:bookmarkEnd w:id="397"/>
    <w:bookmarkEnd w:id="39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399" w:name="_Toc351203576"/>
      <w:r>
        <w:rPr>
          <w:rFonts w:hint="eastAsia" w:ascii="宋体" w:hAnsi="宋体" w:eastAsia="宋体" w:cs="宋体"/>
          <w:b w:val="0"/>
          <w:color w:val="auto"/>
          <w:sz w:val="21"/>
          <w:szCs w:val="21"/>
          <w:highlight w:val="none"/>
        </w:rPr>
        <w:t>1</w:t>
      </w:r>
      <w:bookmarkStart w:id="400" w:name="_Toc337558796"/>
      <w:bookmarkStart w:id="401" w:name="_Toc296346592"/>
      <w:bookmarkStart w:id="402" w:name="_Toc296503091"/>
      <w:r>
        <w:rPr>
          <w:rFonts w:hint="eastAsia" w:ascii="宋体" w:hAnsi="宋体" w:eastAsia="宋体" w:cs="宋体"/>
          <w:b w:val="0"/>
          <w:color w:val="auto"/>
          <w:sz w:val="21"/>
          <w:szCs w:val="21"/>
          <w:highlight w:val="none"/>
        </w:rPr>
        <w:t>0.9计日工</w:t>
      </w:r>
      <w:bookmarkEnd w:id="399"/>
      <w:r>
        <w:rPr>
          <w:rFonts w:hint="eastAsia" w:ascii="宋体" w:hAnsi="宋体" w:eastAsia="宋体" w:cs="宋体"/>
          <w:b w:val="0"/>
          <w:color w:val="auto"/>
          <w:sz w:val="21"/>
          <w:szCs w:val="21"/>
          <w:highlight w:val="none"/>
        </w:rPr>
        <w:t xml:space="preserve"> </w:t>
      </w:r>
      <w:bookmarkEnd w:id="400"/>
      <w:bookmarkEnd w:id="401"/>
      <w:bookmarkEnd w:id="402"/>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采用计日工计价的任何一项工作，承包人应在该项工作实施过程中，每天提交以下报表和有关凭证报送监理人审查：</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（1）工作名称、内容和数量；</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（2）投入该工作的所有人员的姓名、专业、工种、级别和耗用工时；</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（3）投入该工作的材料类别和数量；</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（4）投入该工作的施工设备型号、台数和耗用台时；</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（5）其他有关资料和凭证。</w:t>
      </w:r>
    </w:p>
    <w:p>
      <w:pPr>
        <w:pStyle w:val="261"/>
        <w:spacing w:line="400" w:lineRule="exact"/>
        <w:ind w:firstLine="315" w:firstLineChars="15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计日工由承包人汇总后，列入最近一期进度付款申请单，由监理人审查并经发包人批准后列入进度付款。</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03" w:name="_Toc351203577"/>
      <w:r>
        <w:rPr>
          <w:rFonts w:hint="eastAsia" w:ascii="宋体" w:hAnsi="宋体" w:eastAsia="宋体" w:cs="宋体"/>
          <w:b w:val="0"/>
          <w:color w:val="auto"/>
          <w:sz w:val="21"/>
          <w:szCs w:val="21"/>
          <w:highlight w:val="none"/>
        </w:rPr>
        <w:t>11. 价格调整</w:t>
      </w:r>
      <w:bookmarkEnd w:id="403"/>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04" w:name="_Toc351203578"/>
      <w:bookmarkStart w:id="405" w:name="_Toc337558797"/>
      <w:bookmarkStart w:id="406" w:name="_Toc296503092"/>
      <w:bookmarkStart w:id="407" w:name="_Toc296346593"/>
      <w:r>
        <w:rPr>
          <w:rFonts w:hint="eastAsia" w:ascii="宋体" w:hAnsi="宋体" w:eastAsia="宋体" w:cs="宋体"/>
          <w:b w:val="0"/>
          <w:color w:val="auto"/>
          <w:sz w:val="21"/>
          <w:szCs w:val="21"/>
          <w:highlight w:val="none"/>
        </w:rPr>
        <w:t>11.1市场价格波动引起的调整</w:t>
      </w:r>
      <w:bookmarkEnd w:id="404"/>
    </w:p>
    <w:bookmarkEnd w:id="405"/>
    <w:bookmarkEnd w:id="406"/>
    <w:bookmarkEnd w:id="407"/>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除专用合同条款另有约定外，市场价格波动超过合同当事人约定的范围，合同价格应当调整。合同当事人可以在专用合同条款中约定选择以下一种方式对合同价格进行调整：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第1种方式：采用价格指数进行价格调整。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（1）价格调整公式</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因人工、材料和设备等价格波动影响合同价格时，根据专用合同条款中约定的数据，按以下公式计算差额并调整合同价格：</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30"/>
          <w:sz w:val="21"/>
          <w:szCs w:val="21"/>
          <w:highlight w:val="none"/>
        </w:rPr>
        <w:object>
          <v:shape id="_x0000_i1025" o:spt="75" type="#_x0000_t75" style="height:43.9pt;width:359.85pt;" o:ole="t" filled="f" o:preferrelative="t" stroked="f" coordsize="21600,21600">
            <v:path/>
            <v:fill on="f" focussize="0,0"/>
            <v:stroke on="f"/>
            <v:imagedata r:id="rId9" embosscolor="#FFFFFF" o:title=""/>
            <o:lock v:ext="edit" grouping="f" rotation="f" text="f" aspectratio="t"/>
            <w10:wrap type="none"/>
            <w10:anchorlock/>
          </v:shape>
          <o:OLEObject Type="Embed" ProgID="Equation.KSEE3" ShapeID="_x0000_i1025" DrawAspect="Content" ObjectID="_1468075725" r:id="rId8">
            <o:LockedField>false</o:LockedField>
          </o:OLEObject>
        </w:object>
      </w:r>
    </w:p>
    <w:p>
      <w:pPr>
        <w:pStyle w:val="261"/>
        <w:tabs>
          <w:tab w:val="left" w:pos="0"/>
          <w:tab w:val="left" w:pos="360"/>
          <w:tab w:val="left" w:pos="540"/>
        </w:tabs>
        <w:spacing w:line="400" w:lineRule="exact"/>
        <w:ind w:firstLine="6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公式中：ΔP——需调整的价格差额；</w:t>
      </w:r>
    </w:p>
    <w:p>
      <w:pPr>
        <w:pStyle w:val="261"/>
        <w:tabs>
          <w:tab w:val="left" w:pos="0"/>
          <w:tab w:val="left" w:pos="360"/>
          <w:tab w:val="left" w:pos="540"/>
        </w:tabs>
        <w:spacing w:line="400" w:lineRule="exact"/>
        <w:ind w:firstLine="1260" w:firstLineChars="600"/>
        <w:rPr>
          <w:rFonts w:hint="eastAsia" w:ascii="宋体" w:hAnsi="宋体" w:eastAsia="宋体" w:cs="宋体"/>
          <w:color w:val="auto"/>
          <w:sz w:val="21"/>
          <w:szCs w:val="21"/>
          <w:highlight w:val="none"/>
        </w:rPr>
      </w:pPr>
      <w:r>
        <w:rPr>
          <w:rFonts w:hint="eastAsia" w:ascii="宋体" w:hAnsi="宋体" w:eastAsia="宋体" w:cs="宋体"/>
          <w:color w:val="auto"/>
          <w:position w:val="-6"/>
          <w:sz w:val="21"/>
          <w:szCs w:val="21"/>
          <w:highlight w:val="none"/>
        </w:rPr>
        <w:object>
          <v:shape id="_x0000_i1026" o:spt="75" type="#_x0000_t75" style="height:18pt;width:18pt;" o:ole="t" filled="f" o:preferrelative="t" stroked="f" coordsize="21600,21600">
            <v:path/>
            <v:fill on="f" focussize="0,0"/>
            <v:stroke on="f"/>
            <v:imagedata r:id="rId11" embosscolor="#FFFFFF" o:title=""/>
            <o:lock v:ext="edit" grouping="f" rotation="f" text="f" aspectratio="t"/>
            <w10:wrap type="none"/>
            <w10:anchorlock/>
          </v:shape>
          <o:OLEObject Type="Embed" ProgID="Equation.KSEE3" ShapeID="_x0000_i1026" DrawAspect="Content" ObjectID="_1468075726" r:id="rId10">
            <o:LockedField>false</o:LockedField>
          </o:OLEObject>
        </w:object>
      </w:r>
      <w:r>
        <w:rPr>
          <w:rFonts w:hint="eastAsia" w:ascii="宋体" w:hAnsi="宋体" w:eastAsia="宋体" w:cs="宋体"/>
          <w:color w:val="auto"/>
          <w:sz w:val="21"/>
          <w:szCs w:val="21"/>
          <w:highlight w:val="none"/>
        </w:rPr>
        <w:t>——约定的付款证书中承包人应得到的已完成工程量的金额。此项金额应不包括价格调整、不计质量保证金的扣留和支付、预付款的支付和扣回。约定的变更及其他金额已按现行价格计价的，也不计在内；</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A——定值权重（即不调部分的权重）；</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10"/>
          <w:sz w:val="21"/>
          <w:szCs w:val="21"/>
          <w:highlight w:val="none"/>
        </w:rPr>
        <w:object>
          <v:shape id="_x0000_i1027" o:spt="75" type="#_x0000_t75" style="height:20.9pt;width:101pt;" o:ole="t" filled="f" o:preferrelative="t" stroked="f" coordsize="21600,21600">
            <v:path/>
            <v:fill on="f" focussize="0,0"/>
            <v:stroke on="f"/>
            <v:imagedata r:id="rId13" embosscolor="#FFFFFF" o:title=""/>
            <o:lock v:ext="edit" grouping="f" rotation="f" text="f" aspectratio="t"/>
            <w10:wrap type="none"/>
            <w10:anchorlock/>
          </v:shape>
          <o:OLEObject Type="Embed" ProgID="Equation.KSEE3" ShapeID="_x0000_i1027" DrawAspect="Content" ObjectID="_1468075727" r:id="rId12">
            <o:LockedField>false</o:LockedField>
          </o:OLEObject>
        </w:object>
      </w:r>
      <w:r>
        <w:rPr>
          <w:rFonts w:hint="eastAsia" w:ascii="宋体" w:hAnsi="宋体" w:eastAsia="宋体" w:cs="宋体"/>
          <w:color w:val="auto"/>
          <w:sz w:val="21"/>
          <w:szCs w:val="21"/>
          <w:highlight w:val="none"/>
        </w:rPr>
        <w:t>——各可调因子的变值权重（即可调部分的权重），为各可调因子在签约合同价中所占的比例；</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10"/>
          <w:sz w:val="21"/>
          <w:szCs w:val="21"/>
          <w:highlight w:val="none"/>
        </w:rPr>
        <w:object>
          <v:shape id="_x0000_i1028" o:spt="75" type="#_x0000_t75" style="height:20.55pt;width:102.05pt;" o:ole="t" filled="f" o:preferrelative="t" stroked="f" coordsize="21600,21600">
            <v:path/>
            <v:fill on="f" focussize="0,0"/>
            <v:stroke on="f"/>
            <v:imagedata r:id="rId15" embosscolor="#FFFFFF" o:title=""/>
            <o:lock v:ext="edit" grouping="f" rotation="f" text="f" aspectratio="t"/>
            <w10:wrap type="none"/>
            <w10:anchorlock/>
          </v:shape>
          <o:OLEObject Type="Embed" ProgID="Equation.KSEE3" ShapeID="_x0000_i1028" DrawAspect="Content" ObjectID="_1468075728" r:id="rId14">
            <o:LockedField>false</o:LockedField>
          </o:OLEObject>
        </w:object>
      </w:r>
      <w:r>
        <w:rPr>
          <w:rFonts w:hint="eastAsia" w:ascii="宋体" w:hAnsi="宋体" w:eastAsia="宋体" w:cs="宋体"/>
          <w:color w:val="auto"/>
          <w:sz w:val="21"/>
          <w:szCs w:val="21"/>
          <w:highlight w:val="none"/>
        </w:rPr>
        <w:t>——各可调因子的现行价格指数，指约定的付款证书相关周期最后一天的前42天的各可调因子的价格指数；</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position w:val="-10"/>
          <w:sz w:val="21"/>
          <w:szCs w:val="21"/>
          <w:highlight w:val="none"/>
        </w:rPr>
        <w:object>
          <v:shape id="_x0000_i1029" o:spt="75" type="#_x0000_t75" style="height:20.2pt;width:107.95pt;" o:ole="t" filled="f" o:preferrelative="t" stroked="f" coordsize="21600,21600">
            <v:path/>
            <v:fill on="f" focussize="0,0"/>
            <v:stroke on="f"/>
            <v:imagedata r:id="rId17" embosscolor="#FFFFFF" o:title=""/>
            <o:lock v:ext="edit" grouping="f" rotation="f" text="f" aspectratio="t"/>
            <w10:wrap type="none"/>
            <w10:anchorlock/>
          </v:shape>
          <o:OLEObject Type="Embed" ProgID="Equation.KSEE3" ShapeID="_x0000_i1029" DrawAspect="Content" ObjectID="_1468075729" r:id="rId16">
            <o:LockedField>false</o:LockedField>
          </o:OLEObject>
        </w:object>
      </w:r>
      <w:r>
        <w:rPr>
          <w:rFonts w:hint="eastAsia" w:ascii="宋体" w:hAnsi="宋体" w:eastAsia="宋体" w:cs="宋体"/>
          <w:color w:val="auto"/>
          <w:sz w:val="21"/>
          <w:szCs w:val="21"/>
          <w:highlight w:val="none"/>
        </w:rPr>
        <w:t>——各可调因子的基本价格指数，指基准日期的各可调因子的价格指数。</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（2）暂时确定调整差额</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在计算调整差额时无现行价格指数的，合同当事人同意暂用前次价格指数计算。实际价格指数有调整的，合同当事人进行相应调整。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（3）权重的调整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因变更导致合同约定的权重不合理时，按照第4.4款〔商定或确定〕执行。</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（4）因承包人原因工期延误后的价格调整</w:t>
      </w:r>
    </w:p>
    <w:p>
      <w:pPr>
        <w:pStyle w:val="261"/>
        <w:tabs>
          <w:tab w:val="left" w:pos="0"/>
          <w:tab w:val="left" w:pos="360"/>
          <w:tab w:val="left" w:pos="540"/>
        </w:tabs>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因承包人原因未按期竣工的，对合同约定的竣工日期后继续施工的工程，在使用价格调整公式时，应采用计划竣工日期与实际竣工日期的两个价格指数中较低的一个作为现行价格指数。</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第2种方式：采用造价信息进行价格调整。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（2）材料、工程设备价格变化的价款调整按照发包人提供的基准价格，按以下风险范围规定执行:</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③承包人在已标价工程量清单或预算书中载明材料单价等于基准价格的：除专用合同条款另有约定外，合同履行期间材料单价涨跌幅以基准价格为基础超过±5%时，其超过部分据实调整。</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前述基准价格是指由发包人在磋商文件或专用合同条款中给定的材料、工程设备的价格，该价格原则上应当按照省级或行业建设主管部门或其授权的工程造价管理机构发布的信息价编制。</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（3）施工机械台班单价或施工机械使用费发生变化超过省级或行业建设主管部门或其授权的工程造价管理机构规定的范围时，按规定调整合同价格。</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第3种方式：专用合同条款约定的其他方式。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08" w:name="_Toc351203579"/>
      <w:bookmarkStart w:id="409" w:name="_Toc296503093"/>
      <w:bookmarkStart w:id="410" w:name="_Toc296346594"/>
      <w:bookmarkStart w:id="411" w:name="_Toc337558798"/>
      <w:r>
        <w:rPr>
          <w:rFonts w:hint="eastAsia" w:ascii="宋体" w:hAnsi="宋体" w:eastAsia="宋体" w:cs="宋体"/>
          <w:b w:val="0"/>
          <w:color w:val="auto"/>
          <w:sz w:val="21"/>
          <w:szCs w:val="21"/>
          <w:highlight w:val="none"/>
        </w:rPr>
        <w:t>11.2法律变化引起的调整</w:t>
      </w:r>
      <w:bookmarkEnd w:id="408"/>
    </w:p>
    <w:bookmarkEnd w:id="409"/>
    <w:bookmarkEnd w:id="410"/>
    <w:bookmarkEnd w:id="411"/>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因法律变化引起的合同价格和工期调整，合同当事人无法达成一致的，由总监理工程师按第4.4款〔商定或确定〕的约定处理。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因承包人原因造成工期延误，在工期延误期间出现法律变化的，由此增加的费用和（或）延误的工期由承包人承担。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12" w:name="_Toc351203580"/>
      <w:bookmarkStart w:id="413" w:name="_Toc337558799"/>
      <w:bookmarkStart w:id="414" w:name="_Toc296346597"/>
      <w:bookmarkStart w:id="415" w:name="_Toc296503096"/>
      <w:r>
        <w:rPr>
          <w:rFonts w:hint="eastAsia" w:ascii="宋体" w:hAnsi="宋体" w:eastAsia="宋体" w:cs="宋体"/>
          <w:b w:val="0"/>
          <w:color w:val="auto"/>
          <w:sz w:val="21"/>
          <w:szCs w:val="21"/>
          <w:highlight w:val="none"/>
        </w:rPr>
        <w:t>12. 合同价格、计量与支付</w:t>
      </w:r>
      <w:bookmarkEnd w:id="412"/>
    </w:p>
    <w:bookmarkEnd w:id="413"/>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16" w:name="_Toc351203581"/>
      <w:bookmarkStart w:id="417" w:name="_Toc337558800"/>
      <w:r>
        <w:rPr>
          <w:rFonts w:hint="eastAsia" w:ascii="宋体" w:hAnsi="宋体" w:eastAsia="宋体" w:cs="宋体"/>
          <w:b w:val="0"/>
          <w:color w:val="auto"/>
          <w:sz w:val="21"/>
          <w:szCs w:val="21"/>
          <w:highlight w:val="none"/>
        </w:rPr>
        <w:t>12.1 合同价</w:t>
      </w:r>
      <w:bookmarkEnd w:id="414"/>
      <w:bookmarkEnd w:id="415"/>
      <w:r>
        <w:rPr>
          <w:rFonts w:hint="eastAsia" w:ascii="宋体" w:hAnsi="宋体" w:eastAsia="宋体" w:cs="宋体"/>
          <w:b w:val="0"/>
          <w:color w:val="auto"/>
          <w:sz w:val="21"/>
          <w:szCs w:val="21"/>
          <w:highlight w:val="none"/>
        </w:rPr>
        <w:t>格形式</w:t>
      </w:r>
      <w:bookmarkEnd w:id="416"/>
    </w:p>
    <w:bookmarkEnd w:id="41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发包人和承包人应在合同协议书中选择下列一种合同价格形式：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1.单价合同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单价合同是指合同当事人约定以工程量清单及其综合单价进行合同价格计算、调整和确认的建设工程施工合同，</w:t>
      </w:r>
      <w:r>
        <w:rPr>
          <w:rFonts w:hint="eastAsia" w:ascii="宋体" w:hAnsi="宋体" w:eastAsia="宋体" w:cs="宋体"/>
          <w:color w:val="auto"/>
          <w:sz w:val="21"/>
          <w:szCs w:val="21"/>
          <w:highlight w:val="none"/>
        </w:rPr>
        <w:t>在约定的范围内合同单价不作调整</w:t>
      </w:r>
      <w:r>
        <w:rPr>
          <w:rFonts w:hint="eastAsia" w:ascii="宋体" w:hAnsi="宋体" w:eastAsia="宋体" w:cs="宋体"/>
          <w:color w:val="auto"/>
          <w:kern w:val="0"/>
          <w:sz w:val="21"/>
          <w:szCs w:val="21"/>
          <w:highlight w:val="none"/>
        </w:rPr>
        <w:t>。合同当事人应在专用合同条款中约定综合单价包含的风险范围和风险费用的计算方法</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并约定风险范围以外的合同价格的调整方法，其中因市场价格波动引起的调整按第11.1款〔市场价格波动引起的调整〕约定执行。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2.总价合同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总价合同是指合同当事人约定以施工图、已标价工程量清单或预算书及有关条件进行合同价格计算、调整和确认的建设工程施工合同，</w:t>
      </w:r>
      <w:r>
        <w:rPr>
          <w:rFonts w:hint="eastAsia" w:ascii="宋体" w:hAnsi="宋体" w:eastAsia="宋体" w:cs="宋体"/>
          <w:color w:val="auto"/>
          <w:sz w:val="21"/>
          <w:szCs w:val="21"/>
          <w:highlight w:val="none"/>
        </w:rPr>
        <w:t>在约定的范围内合同总价不作调整</w:t>
      </w:r>
      <w:r>
        <w:rPr>
          <w:rFonts w:hint="eastAsia" w:ascii="宋体" w:hAnsi="宋体" w:eastAsia="宋体" w:cs="宋体"/>
          <w:color w:val="auto"/>
          <w:kern w:val="0"/>
          <w:sz w:val="21"/>
          <w:szCs w:val="21"/>
          <w:highlight w:val="none"/>
        </w:rPr>
        <w:t>。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3.其它价格形式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合同当事人可在专用合同条款中约定其他合同价格形式。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18" w:name="_Toc296503097"/>
      <w:bookmarkStart w:id="419" w:name="_Toc296346598"/>
      <w:bookmarkStart w:id="420" w:name="_Toc351203582"/>
      <w:bookmarkStart w:id="421" w:name="_Toc337558801"/>
      <w:r>
        <w:rPr>
          <w:rFonts w:hint="eastAsia" w:ascii="宋体" w:hAnsi="宋体" w:eastAsia="宋体" w:cs="宋体"/>
          <w:b w:val="0"/>
          <w:color w:val="auto"/>
          <w:sz w:val="21"/>
          <w:szCs w:val="21"/>
          <w:highlight w:val="none"/>
        </w:rPr>
        <w:t>12.2预</w:t>
      </w:r>
      <w:bookmarkEnd w:id="418"/>
      <w:bookmarkEnd w:id="419"/>
      <w:bookmarkStart w:id="422" w:name="_Toc296346601"/>
      <w:bookmarkStart w:id="423" w:name="_Toc296503100"/>
      <w:r>
        <w:rPr>
          <w:rFonts w:hint="eastAsia" w:ascii="宋体" w:hAnsi="宋体" w:eastAsia="宋体" w:cs="宋体"/>
          <w:b w:val="0"/>
          <w:color w:val="auto"/>
          <w:sz w:val="21"/>
          <w:szCs w:val="21"/>
          <w:highlight w:val="none"/>
        </w:rPr>
        <w:t>付款</w:t>
      </w:r>
      <w:bookmarkEnd w:id="420"/>
    </w:p>
    <w:bookmarkEnd w:id="421"/>
    <w:bookmarkEnd w:id="422"/>
    <w:bookmarkEnd w:id="423"/>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12.2.</w:t>
      </w:r>
      <w:r>
        <w:rPr>
          <w:rFonts w:hint="eastAsia" w:ascii="宋体" w:hAnsi="宋体" w:eastAsia="宋体" w:cs="宋体"/>
          <w:color w:val="auto"/>
          <w:kern w:val="0"/>
          <w:sz w:val="21"/>
          <w:szCs w:val="21"/>
          <w:highlight w:val="none"/>
        </w:rPr>
        <w:t>1预付款的支付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预付款的支付按照专用合同条款约定执行，但至迟应在开工通知载明的开工日期7天前支付。预付款应当用于材料、工程设备、施工设备的采购及修建临时工程、组织施工队伍进场等。</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除专用合同条款另有约定外，预付款在进度付款中同比例扣回。在颁发工程接收证书前，提前解除合同的，尚未扣完的预付款应与合同价款一并结算。</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发包人逾期支付预付款超过7天的，承包人有权向发包人发出要求预付的催告通知，发包人收到通知后7天内仍未支付的，承包人有权暂停施工，并按第16.1.1项〔发包人违约的情形〕执行。</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12.2.2 预付款担保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发包人在工程款中逐期扣回预付款后，预付款担保额度应相应减少，但剩余的预付款担保金额不得低于未被扣回的预付款金额。</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24" w:name="_Toc351203583"/>
      <w:bookmarkStart w:id="425" w:name="_Toc337558802"/>
      <w:r>
        <w:rPr>
          <w:rFonts w:hint="eastAsia" w:ascii="宋体" w:hAnsi="宋体" w:eastAsia="宋体" w:cs="宋体"/>
          <w:b w:val="0"/>
          <w:color w:val="auto"/>
          <w:sz w:val="21"/>
          <w:szCs w:val="21"/>
          <w:highlight w:val="none"/>
        </w:rPr>
        <w:t>12.3计量</w:t>
      </w:r>
      <w:bookmarkEnd w:id="424"/>
    </w:p>
    <w:bookmarkEnd w:id="425"/>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12.3.1 计量原则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工程量计量按照合同约定的工程量计算规则、图纸及变更指示等进行计量。工程量计算规则应以相关的国家标准、行业标准等为依据，由合同当事人在专用合同条款中约定。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12.3.2 计量周期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除专用合同条款另有约定外，工程量的计量按月进行。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12.3.3 单价合同的计量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除专用合同条款另有约定外，单价合同的计量按照本项约定执行：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（1）承包人应于每月25日向监理人报送上月20日至当月19日已完成的工程量报告，并附具进度付款申请单、已完成工程量报表和有关资料。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（3）监理人未在收到承包人提交的工程量报表后的7天内完成审核的，承包人报送的工程量报告中的工程量视为承包人实际完成的工程量，据此计算工程价款。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12.3.4 总价合同的计量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除专用合同条款另有约定外，按月计量支付的总价合同，按照本项约定执行：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（1）承包人应于每月25日向监理人报送上月20日至当月19日已完成的工程量报告，并附具进度付款申请单、已完成工程量报表和有关资料。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（3）监理人未在收到承包人提交的工程量报表后的7天内完成复核的，承包人提交的工程量报告中的工程量视为承包人实际完成的工程量。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12.3.5 总价合同采用支付分解表计量支付的，可以按照第12.3.4项〔总价合同的计量〕约定进行计量，但合同价款按照支付分解表进行支付。</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12.3.6 其他价格形式合同的计量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合同当事人可在专用合同条款中约定其他价格形式合同的计量方式和程序。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26" w:name="_Toc296503101"/>
      <w:bookmarkStart w:id="427" w:name="_Toc296346602"/>
      <w:bookmarkStart w:id="428" w:name="_Toc351203584"/>
      <w:bookmarkStart w:id="429" w:name="_Toc337558803"/>
      <w:r>
        <w:rPr>
          <w:rFonts w:hint="eastAsia" w:ascii="宋体" w:hAnsi="宋体" w:eastAsia="宋体" w:cs="宋体"/>
          <w:b w:val="0"/>
          <w:color w:val="auto"/>
          <w:sz w:val="21"/>
          <w:szCs w:val="21"/>
          <w:highlight w:val="none"/>
        </w:rPr>
        <w:t>12.4工程进度款支</w:t>
      </w:r>
      <w:bookmarkEnd w:id="426"/>
      <w:bookmarkEnd w:id="427"/>
      <w:r>
        <w:rPr>
          <w:rFonts w:hint="eastAsia" w:ascii="宋体" w:hAnsi="宋体" w:eastAsia="宋体" w:cs="宋体"/>
          <w:b w:val="0"/>
          <w:color w:val="auto"/>
          <w:sz w:val="21"/>
          <w:szCs w:val="21"/>
          <w:highlight w:val="none"/>
        </w:rPr>
        <w:t>付</w:t>
      </w:r>
      <w:bookmarkEnd w:id="428"/>
    </w:p>
    <w:bookmarkEnd w:id="429"/>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430" w:name="_Toc531247228"/>
      <w:bookmarkStart w:id="431" w:name="_Toc526086061"/>
      <w:bookmarkStart w:id="432" w:name="_Toc17185758"/>
      <w:bookmarkStart w:id="433" w:name="_Toc526086161"/>
      <w:bookmarkStart w:id="434" w:name="_Toc19097046"/>
      <w:bookmarkStart w:id="435" w:name="_Toc22892082"/>
      <w:bookmarkStart w:id="436" w:name="_Toc17185655"/>
      <w:r>
        <w:rPr>
          <w:rFonts w:hint="eastAsia" w:ascii="宋体" w:hAnsi="宋体" w:eastAsia="宋体" w:cs="宋体"/>
          <w:color w:val="auto"/>
          <w:sz w:val="21"/>
          <w:szCs w:val="21"/>
          <w:highlight w:val="none"/>
        </w:rPr>
        <w:t>12.4</w:t>
      </w:r>
      <w:r>
        <w:rPr>
          <w:rFonts w:hint="eastAsia" w:ascii="宋体" w:hAnsi="宋体" w:eastAsia="宋体" w:cs="宋体"/>
          <w:color w:val="auto"/>
          <w:kern w:val="0"/>
          <w:sz w:val="21"/>
          <w:szCs w:val="21"/>
          <w:highlight w:val="none"/>
        </w:rPr>
        <w:t>.1 付款周期</w:t>
      </w:r>
      <w:bookmarkEnd w:id="430"/>
      <w:bookmarkEnd w:id="431"/>
      <w:bookmarkEnd w:id="432"/>
      <w:bookmarkEnd w:id="433"/>
      <w:bookmarkEnd w:id="434"/>
      <w:bookmarkEnd w:id="435"/>
      <w:bookmarkEnd w:id="436"/>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除专用合同条款另有约定外，付款周期应按照第12.3.2项〔计量周期〕的约定与计量周期保持一致。</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12.4</w:t>
      </w:r>
      <w:r>
        <w:rPr>
          <w:rFonts w:hint="eastAsia" w:ascii="宋体" w:hAnsi="宋体" w:eastAsia="宋体" w:cs="宋体"/>
          <w:color w:val="auto"/>
          <w:kern w:val="0"/>
          <w:sz w:val="21"/>
          <w:szCs w:val="21"/>
          <w:highlight w:val="none"/>
        </w:rPr>
        <w:t>.2 进度付款申请单的编制</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除专用合同条款另有约定外，进度付款申请单应包括下列内容：</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（1）截至本次付款周期已完成工作对应的金额；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（2）根据第10条〔变更〕应增加和扣减的变更金额；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（3）根据第12.2款〔预付款〕约定应支付的预付款和扣减的返还预付款；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（4）根据第15.3款〔质量保证金〕约定应扣减的质量保证金；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（5）根据第19条〔索赔〕应增加和扣减的索赔金额；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（6）对已签发的进度款支付证书中出现错误的修正，应在本次进度付款中支付或扣除的金额；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（7）根据合同约定应增加和扣减的其他金额。</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437" w:name="_Toc531247229"/>
      <w:bookmarkStart w:id="438" w:name="_Toc17185759"/>
      <w:bookmarkStart w:id="439" w:name="_Toc19097047"/>
      <w:bookmarkStart w:id="440" w:name="_Toc526086062"/>
      <w:bookmarkStart w:id="441" w:name="_Toc17185656"/>
      <w:bookmarkStart w:id="442" w:name="_Toc526086162"/>
      <w:bookmarkStart w:id="443" w:name="_Toc22892083"/>
      <w:r>
        <w:rPr>
          <w:rFonts w:hint="eastAsia" w:ascii="宋体" w:hAnsi="宋体" w:eastAsia="宋体" w:cs="宋体"/>
          <w:color w:val="auto"/>
          <w:kern w:val="0"/>
          <w:sz w:val="21"/>
          <w:szCs w:val="21"/>
          <w:highlight w:val="none"/>
        </w:rPr>
        <w:t>12.4.3 进度付款申请单的提交</w:t>
      </w:r>
      <w:bookmarkEnd w:id="437"/>
      <w:bookmarkEnd w:id="438"/>
      <w:bookmarkEnd w:id="439"/>
      <w:bookmarkEnd w:id="440"/>
      <w:bookmarkEnd w:id="441"/>
      <w:bookmarkEnd w:id="442"/>
      <w:bookmarkEnd w:id="44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（1）单价合同进度付款申请单的提交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单价合同的进度付款申请单，按照第12.3.3项〔单价合同的计量〕约定的时间按月向监理人提交，并附上已完成工程量报表和有关资料。单价合同中的总价项目按月进行支付分解，并汇总列入当期进度付款申请单。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（2）总价合同进度付款申请单的提交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总价合同按月计量支付的，承包人按照第12.3.4项〔总价合同的计量〕约定的时间按月向监理人提交进度付款申请单，并附上已完成工程量报表和有关资料。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总价合同按支付分解表支付的，承包人应按照第12.4.6项〔支付分解表〕及第12.4.2项〔进度付款申请单的编制〕的约定向监理人提交进度付款申请单。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（3）其他价格形式合同的进度付款申请单的提交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合同当事人可在专用合同条款中约定其他价格形式合同的进度付款申请单的编制和提交程序。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12.4</w:t>
      </w:r>
      <w:r>
        <w:rPr>
          <w:rFonts w:hint="eastAsia" w:ascii="宋体" w:hAnsi="宋体" w:eastAsia="宋体" w:cs="宋体"/>
          <w:color w:val="auto"/>
          <w:kern w:val="0"/>
          <w:sz w:val="21"/>
          <w:szCs w:val="21"/>
          <w:highlight w:val="none"/>
        </w:rPr>
        <w:t>.4 进度款审核和支付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（2）除专用合同条款另有约定外，发包人应在进度款支付证书或临时进度款支付证书签发后14天内完成支付，发包人逾期支付进度款的，应按照中国人民银行发布的同期同类贷款基准利率支付违约金。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（3）发包人签发进度款支付证书或临时进度款支付证书，不表明发包人已同意、批准或接受了承包人完成的相应部分的工作。</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12.4.5 进度付款的修正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在对已签发的进度款支付证书进行阶段汇总和复核中发现错误、遗漏或重复的，发包人和承包人均有权提出修正申请。经发包人和承包人同意的修正，应在下期进度付款中支付或扣除。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12.4.6 支付分解表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1.支付分解表的编制要求</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（1）支付分解表中所列的每期付款金额，应为第12.4.2项〔进度付款申请单的编制〕第（1）目的估算金额；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（2）实际进度与施工进度计划不一致的，合同当事人可按照第4.4款〔商定或确定〕修改支付分解表；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（3）不采用支付分解表的，承包人应向发包人和监理人提交按季度编制的支付估算分解表，用于支付参考。</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2.总价合同支付分解表的编制与审批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（2）监理人应在收到支付分解表后7天内完成审核并报送发包人。发包人应在收到经监理人审核的支付分解表后7天内完成审批，经发包人批准的支付分解表为有约束力的支付分解表。</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（3）发包人逾期未完成支付分解表审批的，也未及时要求承包人进行修正和提供补充资料的，则承包人提交的支付分解表视为已经获得发包人批准。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3.单价合同的总价项目支付分解表的编制与审批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44" w:name="_Toc351203585"/>
      <w:r>
        <w:rPr>
          <w:rFonts w:hint="eastAsia" w:ascii="宋体" w:hAnsi="宋体" w:eastAsia="宋体" w:cs="宋体"/>
          <w:b w:val="0"/>
          <w:color w:val="auto"/>
          <w:sz w:val="21"/>
          <w:szCs w:val="21"/>
          <w:highlight w:val="none"/>
        </w:rPr>
        <w:t>12.5支付账户</w:t>
      </w:r>
      <w:bookmarkEnd w:id="444"/>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发包人应将合同价款支付至合同协议书中约定的承包人账户。</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45" w:name="_Toc351203586"/>
      <w:bookmarkStart w:id="446" w:name="_Toc296346607"/>
      <w:bookmarkStart w:id="447" w:name="_Toc296503106"/>
      <w:bookmarkStart w:id="448" w:name="_Toc322522574"/>
      <w:bookmarkStart w:id="449" w:name="_Toc337558804"/>
      <w:r>
        <w:rPr>
          <w:rFonts w:hint="eastAsia" w:ascii="宋体" w:hAnsi="宋体" w:eastAsia="宋体" w:cs="宋体"/>
          <w:b w:val="0"/>
          <w:color w:val="auto"/>
          <w:sz w:val="21"/>
          <w:szCs w:val="21"/>
          <w:highlight w:val="none"/>
        </w:rPr>
        <w:t>13. 验收和工程试车</w:t>
      </w:r>
      <w:bookmarkEnd w:id="445"/>
    </w:p>
    <w:bookmarkEnd w:id="446"/>
    <w:bookmarkEnd w:id="447"/>
    <w:bookmarkEnd w:id="448"/>
    <w:bookmarkEnd w:id="449"/>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50" w:name="_Toc351203587"/>
      <w:bookmarkStart w:id="451" w:name="_Toc337558805"/>
      <w:bookmarkStart w:id="452" w:name="_Toc296346611"/>
      <w:bookmarkStart w:id="453" w:name="_Toc296503110"/>
      <w:r>
        <w:rPr>
          <w:rFonts w:hint="eastAsia" w:ascii="宋体" w:hAnsi="宋体" w:eastAsia="宋体" w:cs="宋体"/>
          <w:b w:val="0"/>
          <w:color w:val="auto"/>
          <w:sz w:val="21"/>
          <w:szCs w:val="21"/>
          <w:highlight w:val="none"/>
        </w:rPr>
        <w:t>13.1分部分项工程验收</w:t>
      </w:r>
      <w:bookmarkEnd w:id="450"/>
    </w:p>
    <w:bookmarkEnd w:id="451"/>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13.1.1 分部分项工程质量应符合国家有关工程施工验收规范、标准及合同约定，承包人应按照施工组织设计的要求完成分部分项工程施工。</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13.1.2 除专用合同条款另有约定外，分部分项工程经承包人自检合格并具备验收条件的，承包人应提前48小时通知监理人进行验收。</w:t>
      </w:r>
      <w:r>
        <w:rPr>
          <w:rFonts w:hint="eastAsia" w:ascii="宋体" w:hAnsi="宋体" w:eastAsia="宋体" w:cs="宋体"/>
          <w:color w:val="auto"/>
          <w:kern w:val="0"/>
          <w:sz w:val="21"/>
          <w:szCs w:val="21"/>
          <w:highlight w:val="none"/>
        </w:rPr>
        <w:t>监理人不能按时进行验收的，应在验收前24小时向承包人提交书面延期要求，但延期不能超过48小时。监理人未按时进行验收，也未提出延期要求的，承包人有权自行验收，监理人应认可验收结果。</w:t>
      </w:r>
      <w:r>
        <w:rPr>
          <w:rFonts w:hint="eastAsia" w:ascii="宋体" w:hAnsi="宋体" w:eastAsia="宋体" w:cs="宋体"/>
          <w:color w:val="auto"/>
          <w:sz w:val="21"/>
          <w:szCs w:val="21"/>
          <w:highlight w:val="none"/>
        </w:rPr>
        <w:t>分部分项工程未经验收的，不得进入下一道工序施工。</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分部分项工程的验收资料应当作为竣工资料的组成部分。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54" w:name="_Toc351203588"/>
      <w:bookmarkStart w:id="455" w:name="_Toc337558806"/>
      <w:r>
        <w:rPr>
          <w:rFonts w:hint="eastAsia" w:ascii="宋体" w:hAnsi="宋体" w:eastAsia="宋体" w:cs="宋体"/>
          <w:b w:val="0"/>
          <w:color w:val="auto"/>
          <w:sz w:val="21"/>
          <w:szCs w:val="21"/>
          <w:highlight w:val="none"/>
        </w:rPr>
        <w:t>13.2竣工验收</w:t>
      </w:r>
      <w:bookmarkEnd w:id="454"/>
    </w:p>
    <w:bookmarkEnd w:id="452"/>
    <w:bookmarkEnd w:id="453"/>
    <w:bookmarkEnd w:id="455"/>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13.2.1竣工验收条件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工程具备以下条件的，承包人可以申请竣工验收：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（1）除发包人同意的甩项工作和缺陷修补工作外，合同范围内的全部工程以及有关工作，包括合同要求的试验、试运行以及检验均已完成，并符合合同要求；</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（2）已按合同约定编制了甩项工作和缺陷修补工作清单以及相应的施工计划；</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（3）已按合同约定的内容和份数备齐竣工资料。</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13.2.2竣工验收程序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除专用合同条款另有约定外，承包人申请竣工验收的，应当按照以下程序进行：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（2）监理人审查后认为已具备竣工验收条件的，应将竣工验收申请报告提交发包人，发包人应在收到经监理人审核的竣工验收申请报告后28天内审批完毕并组织监理人、承包人、设计人等相关单位完成竣工验收。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（3）竣工验收合格的，发包人应在验收合格后14天内向承包人签发工程接收证书。发包人无正当理由逾期不颁发工程接收证书的，自验收合格后第15天起视为已颁发工程接收证书。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（5）工程未经验收或验收不合格，发包人擅自使用的，应在转移占有工程后7天内向承包人颁发工程接收证书；发包人无正当理由逾期不颁发工程接收证书的，自转移占有后第15天起视为已颁发工程接收证书。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除专用合同条款另有约定外，发包人不按照本项约定组织竣工验收、颁发工程接收证书的，每逾期一天，应以签约合同价为基数，按照中国人民银行发布的同期同类贷款基准利率支付违约金。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13.2.3竣工日期</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456" w:name="#go14"/>
      <w:bookmarkEnd w:id="456"/>
      <w:r>
        <w:rPr>
          <w:rFonts w:hint="eastAsia" w:ascii="宋体" w:hAnsi="宋体" w:eastAsia="宋体" w:cs="宋体"/>
          <w:color w:val="auto"/>
          <w:kern w:val="0"/>
          <w:sz w:val="21"/>
          <w:szCs w:val="21"/>
          <w:highlight w:val="none"/>
        </w:rPr>
        <w:t>收申请报告的日期为实际竣工日期；工程未经竣工验收，发包人擅自使用的，以转移占有工程之日为实际竣工日期。</w:t>
      </w:r>
    </w:p>
    <w:p>
      <w:pPr>
        <w:pStyle w:val="261"/>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457" w:name="_Toc526086063"/>
      <w:bookmarkStart w:id="458" w:name="_Toc17185657"/>
      <w:bookmarkStart w:id="459" w:name="_Toc531247230"/>
      <w:bookmarkStart w:id="460" w:name="_Toc526086163"/>
      <w:bookmarkStart w:id="461" w:name="_Toc17185760"/>
      <w:bookmarkStart w:id="462" w:name="_Toc22892084"/>
      <w:bookmarkStart w:id="463" w:name="_Toc19097048"/>
      <w:r>
        <w:rPr>
          <w:rFonts w:hint="eastAsia" w:ascii="宋体" w:hAnsi="宋体" w:eastAsia="宋体" w:cs="宋体"/>
          <w:color w:val="auto"/>
          <w:kern w:val="0"/>
          <w:sz w:val="21"/>
          <w:szCs w:val="21"/>
          <w:highlight w:val="none"/>
        </w:rPr>
        <w:t>13.2.4 拒绝接收全部或部分工程</w:t>
      </w:r>
      <w:bookmarkEnd w:id="457"/>
      <w:bookmarkEnd w:id="458"/>
      <w:bookmarkEnd w:id="459"/>
      <w:bookmarkEnd w:id="460"/>
      <w:bookmarkEnd w:id="461"/>
      <w:bookmarkEnd w:id="462"/>
      <w:bookmarkEnd w:id="463"/>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13.2.5 移交、接收全部与部分工程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除专用合同条款另有约定外，合同当事人应当在颁发工程接收证书后7天内完成工程的移交。</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发包人无正当理由不接收工程的，发包人自应当接收工程之日起，承担工程照管、成品保护、保管等与工程有关的各项费用，合同当事人可以在专用合同条款中另行约定发包人逾期接收工程的违约责任。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承包人无正当理由不移交工程的，承包人应承担工程照管、成品保护、保管等与工程有关的各项费用，合同当事人可以在专用合同条款中另行约定承包人无正当理由不移交工程的违约责任。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64" w:name="_Toc351203589"/>
      <w:bookmarkStart w:id="465" w:name="_Toc337558807"/>
      <w:bookmarkStart w:id="466" w:name="_Toc296346612"/>
      <w:bookmarkStart w:id="467" w:name="_Toc296503111"/>
      <w:r>
        <w:rPr>
          <w:rFonts w:hint="eastAsia" w:ascii="宋体" w:hAnsi="宋体" w:eastAsia="宋体" w:cs="宋体"/>
          <w:b w:val="0"/>
          <w:color w:val="auto"/>
          <w:sz w:val="21"/>
          <w:szCs w:val="21"/>
          <w:highlight w:val="none"/>
        </w:rPr>
        <w:t>13.3工程试车</w:t>
      </w:r>
      <w:bookmarkEnd w:id="464"/>
    </w:p>
    <w:bookmarkEnd w:id="465"/>
    <w:bookmarkEnd w:id="466"/>
    <w:bookmarkEnd w:id="467"/>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13.3.1试车程序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工程需要试车的，除专用合同条款另有约定外，试车内容应与承包人承包范围相一致，试车费用由承包人承担。工程试车应按如下程序进行：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13.3.2 试车中的责任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13.3.3 投料试车</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如需进行投料试车的，发包人应在工程竣工验收后组织投料试车。发包人要求在工程竣工验收前进行或需要承包人配合时，应征得承包人同意，并在专用合同条款中约定有关事项。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pPr>
        <w:pStyle w:val="266"/>
        <w:spacing w:before="120" w:after="120" w:line="400" w:lineRule="exact"/>
        <w:outlineLvl w:val="5"/>
        <w:rPr>
          <w:rFonts w:hint="eastAsia" w:ascii="宋体" w:hAnsi="宋体" w:eastAsia="宋体" w:cs="宋体"/>
          <w:b w:val="0"/>
          <w:color w:val="auto"/>
          <w:sz w:val="21"/>
          <w:szCs w:val="21"/>
          <w:highlight w:val="none"/>
        </w:rPr>
      </w:pPr>
      <w:bookmarkStart w:id="468" w:name="_Toc337558808"/>
      <w:r>
        <w:rPr>
          <w:rFonts w:hint="eastAsia" w:ascii="宋体" w:hAnsi="宋体" w:eastAsia="宋体" w:cs="宋体"/>
          <w:b w:val="0"/>
          <w:color w:val="auto"/>
          <w:sz w:val="21"/>
          <w:szCs w:val="21"/>
          <w:highlight w:val="none"/>
        </w:rPr>
        <w:t xml:space="preserve">    </w:t>
      </w:r>
      <w:bookmarkStart w:id="469" w:name="_Toc351203590"/>
      <w:r>
        <w:rPr>
          <w:rFonts w:hint="eastAsia" w:ascii="宋体" w:hAnsi="宋体" w:eastAsia="宋体" w:cs="宋体"/>
          <w:b w:val="0"/>
          <w:color w:val="auto"/>
          <w:sz w:val="21"/>
          <w:szCs w:val="21"/>
          <w:highlight w:val="none"/>
        </w:rPr>
        <w:t>13.4提前交付单位工程的验收</w:t>
      </w:r>
      <w:bookmarkEnd w:id="469"/>
    </w:p>
    <w:bookmarkEnd w:id="46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13.4.1 发包人需要在工程竣工前使用单位工程的，或承包人提出提前交付已经竣工的单位工程且经发包人同意的，可进行单位工程验收，验收的程序按照第13.2款〔竣工验收〕的约定进行。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验收合格后，由监理人向承包人出具经发包人签认的单位工程接收证书。已签发单位工程接收证书的单位工程由发包人负责照管。单位工程的验收成果和结论作为整体工程竣工验收申请报告的附件。</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13.4.2 发包人要求在工程竣工前交付单位工程，由此导致承包人费用增加和（或）工期延误的，由发包人承担由此增加的费用和（或）延误的工期，并支付承包人合理的利润。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70" w:name="_Toc351203591"/>
      <w:r>
        <w:rPr>
          <w:rFonts w:hint="eastAsia" w:ascii="宋体" w:hAnsi="宋体" w:eastAsia="宋体" w:cs="宋体"/>
          <w:b w:val="0"/>
          <w:color w:val="auto"/>
          <w:sz w:val="21"/>
          <w:szCs w:val="21"/>
          <w:highlight w:val="none"/>
        </w:rPr>
        <w:t>13.5 施工期运行</w:t>
      </w:r>
      <w:bookmarkEnd w:id="470"/>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13.5.2 在施工期运行中发现工程或工程设备损坏或存在缺陷的，由承包人按第15.2款〔缺陷责任期〕约定进行修复。</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71" w:name="_Toc296503112"/>
      <w:bookmarkStart w:id="472" w:name="_Toc296346613"/>
      <w:bookmarkStart w:id="473" w:name="_Toc351203592"/>
      <w:bookmarkStart w:id="474" w:name="_Toc337558809"/>
      <w:r>
        <w:rPr>
          <w:rFonts w:hint="eastAsia" w:ascii="宋体" w:hAnsi="宋体" w:eastAsia="宋体" w:cs="宋体"/>
          <w:b w:val="0"/>
          <w:color w:val="auto"/>
          <w:sz w:val="21"/>
          <w:szCs w:val="21"/>
          <w:highlight w:val="none"/>
        </w:rPr>
        <w:t>13.6 竣工退</w:t>
      </w:r>
      <w:bookmarkEnd w:id="471"/>
      <w:bookmarkEnd w:id="472"/>
      <w:r>
        <w:rPr>
          <w:rFonts w:hint="eastAsia" w:ascii="宋体" w:hAnsi="宋体" w:eastAsia="宋体" w:cs="宋体"/>
          <w:b w:val="0"/>
          <w:color w:val="auto"/>
          <w:sz w:val="21"/>
          <w:szCs w:val="21"/>
          <w:highlight w:val="none"/>
        </w:rPr>
        <w:t>场</w:t>
      </w:r>
      <w:bookmarkEnd w:id="473"/>
    </w:p>
    <w:bookmarkEnd w:id="474"/>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13.6.1 竣工退场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颁发工程接收证书后，承包人应按以下要求对施工现场进行清理：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（1）施工现场内残留的垃圾已全部清除出场；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（2）临时工程已拆除，场地已进行清理、平整或复原；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（3）按合同约定应撤离的人员、承包人施工设备和剩余的材料，包括废弃的施工设备和材料，已按计划撤离施工现场；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（4）施工现场周边及其附近道路、河道的施工堆积物，已全部清理；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（5）施工现场其他场地清理工作已全部完成。</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13.6.2 地表还原</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75" w:name="_Toc351203593"/>
      <w:bookmarkStart w:id="476" w:name="_Toc337558810"/>
      <w:bookmarkStart w:id="477" w:name="_Toc296503113"/>
      <w:bookmarkStart w:id="478" w:name="_Toc296346614"/>
      <w:r>
        <w:rPr>
          <w:rFonts w:hint="eastAsia" w:ascii="宋体" w:hAnsi="宋体" w:eastAsia="宋体" w:cs="宋体"/>
          <w:b w:val="0"/>
          <w:color w:val="auto"/>
          <w:sz w:val="21"/>
          <w:szCs w:val="21"/>
          <w:highlight w:val="none"/>
        </w:rPr>
        <w:t>14. 竣工结算</w:t>
      </w:r>
      <w:bookmarkEnd w:id="475"/>
    </w:p>
    <w:bookmarkEnd w:id="476"/>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79" w:name="_Toc351203594"/>
      <w:bookmarkStart w:id="480" w:name="_Toc337558811"/>
      <w:r>
        <w:rPr>
          <w:rFonts w:hint="eastAsia" w:ascii="宋体" w:hAnsi="宋体" w:eastAsia="宋体" w:cs="宋体"/>
          <w:b w:val="0"/>
          <w:color w:val="auto"/>
          <w:sz w:val="21"/>
          <w:szCs w:val="21"/>
          <w:highlight w:val="none"/>
        </w:rPr>
        <w:t>14.1 竣工结算申请</w:t>
      </w:r>
      <w:bookmarkEnd w:id="479"/>
    </w:p>
    <w:bookmarkEnd w:id="480"/>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除专用合同条款另有约定外，</w:t>
      </w:r>
      <w:r>
        <w:rPr>
          <w:rFonts w:hint="eastAsia" w:ascii="宋体" w:hAnsi="宋体" w:eastAsia="宋体" w:cs="宋体"/>
          <w:color w:val="auto"/>
          <w:sz w:val="21"/>
          <w:szCs w:val="21"/>
          <w:highlight w:val="none"/>
        </w:rPr>
        <w:t>承包人应在工程竣工验收合格后28天内向发包人和监理人提交竣工结算申请单，并提交完整的结算资料，有关竣工结算申请单的资料清单和份数等要求由合同当事人在专用合同条款中约定。</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除专用合同条款另有约定外，竣工结算申请单应包括以下内容：</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（1）竣工结算合同价格；</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（2）发包人已支付承包人的款项；</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（3）应扣留的质量保证金。已缴纳履约保证金的或提供其他工程质量担保方式的除外； </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（4）发包人应支付承包人的合同价款。</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1" w:name="_Toc351203595"/>
      <w:bookmarkStart w:id="482" w:name="_Toc337558812"/>
      <w:r>
        <w:rPr>
          <w:rFonts w:hint="eastAsia" w:ascii="宋体" w:hAnsi="宋体" w:eastAsia="宋体" w:cs="宋体"/>
          <w:b w:val="0"/>
          <w:color w:val="auto"/>
          <w:sz w:val="21"/>
          <w:szCs w:val="21"/>
          <w:highlight w:val="none"/>
        </w:rPr>
        <w:t>14.2 竣工结算审核</w:t>
      </w:r>
      <w:bookmarkEnd w:id="481"/>
    </w:p>
    <w:bookmarkEnd w:id="48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w:t>
      </w:r>
      <w:r>
        <w:rPr>
          <w:rFonts w:hint="eastAsia" w:ascii="宋体" w:hAnsi="宋体" w:eastAsia="宋体" w:cs="宋体"/>
          <w:color w:val="auto"/>
          <w:sz w:val="21"/>
          <w:szCs w:val="21"/>
          <w:highlight w:val="none"/>
        </w:rPr>
        <w:t>发包人对竣工</w:t>
      </w:r>
      <w:r>
        <w:rPr>
          <w:rFonts w:hint="eastAsia" w:ascii="宋体" w:hAnsi="宋体" w:eastAsia="宋体" w:cs="宋体"/>
          <w:color w:val="auto"/>
          <w:kern w:val="0"/>
          <w:sz w:val="21"/>
          <w:szCs w:val="21"/>
          <w:highlight w:val="none"/>
        </w:rPr>
        <w:t>结算</w:t>
      </w:r>
      <w:r>
        <w:rPr>
          <w:rFonts w:hint="eastAsia" w:ascii="宋体" w:hAnsi="宋体" w:eastAsia="宋体" w:cs="宋体"/>
          <w:color w:val="auto"/>
          <w:sz w:val="21"/>
          <w:szCs w:val="21"/>
          <w:highlight w:val="none"/>
        </w:rPr>
        <w:t>申请单有异议的，有权要求承包人进行修正和提供补充资料，承包人应提交修正后的竣工</w:t>
      </w:r>
      <w:r>
        <w:rPr>
          <w:rFonts w:hint="eastAsia" w:ascii="宋体" w:hAnsi="宋体" w:eastAsia="宋体" w:cs="宋体"/>
          <w:color w:val="auto"/>
          <w:kern w:val="0"/>
          <w:sz w:val="21"/>
          <w:szCs w:val="21"/>
          <w:highlight w:val="none"/>
        </w:rPr>
        <w:t>结算</w:t>
      </w:r>
      <w:r>
        <w:rPr>
          <w:rFonts w:hint="eastAsia" w:ascii="宋体" w:hAnsi="宋体" w:eastAsia="宋体" w:cs="宋体"/>
          <w:color w:val="auto"/>
          <w:sz w:val="21"/>
          <w:szCs w:val="21"/>
          <w:highlight w:val="none"/>
        </w:rPr>
        <w:t>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3" w:name="_Toc351203596"/>
      <w:bookmarkStart w:id="484" w:name="_Toc337558813"/>
      <w:r>
        <w:rPr>
          <w:rFonts w:hint="eastAsia" w:ascii="宋体" w:hAnsi="宋体" w:eastAsia="宋体" w:cs="宋体"/>
          <w:b w:val="0"/>
          <w:color w:val="auto"/>
          <w:sz w:val="21"/>
          <w:szCs w:val="21"/>
          <w:highlight w:val="none"/>
        </w:rPr>
        <w:t>14.3 甩项竣工协议</w:t>
      </w:r>
      <w:bookmarkEnd w:id="483"/>
    </w:p>
    <w:bookmarkEnd w:id="484"/>
    <w:p>
      <w:pPr>
        <w:pStyle w:val="261"/>
        <w:autoSpaceDE w:val="0"/>
        <w:autoSpaceDN w:val="0"/>
        <w:adjustRightInd w:val="0"/>
        <w:spacing w:line="400" w:lineRule="exact"/>
        <w:ind w:firstLine="411" w:firstLineChars="196"/>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发包人要求甩项竣工的，合同当事人应签订甩项竣工协议。在甩项竣工协议中应明确，合同当事人按照第14.1款〔竣工结算申请〕及14.2款〔竣工结算审核〕的约定，对已完合格工程进行结算，并支付相应合同价款。</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5" w:name="_Toc351203597"/>
      <w:bookmarkStart w:id="486" w:name="_Toc337558814"/>
      <w:r>
        <w:rPr>
          <w:rFonts w:hint="eastAsia" w:ascii="宋体" w:hAnsi="宋体" w:eastAsia="宋体" w:cs="宋体"/>
          <w:b w:val="0"/>
          <w:color w:val="auto"/>
          <w:sz w:val="21"/>
          <w:szCs w:val="21"/>
          <w:highlight w:val="none"/>
        </w:rPr>
        <w:t>14.4 最终结清</w:t>
      </w:r>
      <w:bookmarkEnd w:id="485"/>
    </w:p>
    <w:bookmarkEnd w:id="48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14.4.1 最终结清申请单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（1）除专用合同条款另有约定外，承包人应在缺陷责任期终止证书颁发后7天内，按专用合同条款约定的份数向发包人提交最终结清申请单，并提供相关证明材料。</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w:t>
      </w:r>
      <w:r>
        <w:rPr>
          <w:rFonts w:hint="eastAsia" w:ascii="宋体" w:hAnsi="宋体" w:eastAsia="宋体" w:cs="宋体"/>
          <w:color w:val="auto"/>
          <w:kern w:val="0"/>
          <w:sz w:val="21"/>
          <w:szCs w:val="21"/>
          <w:highlight w:val="none"/>
        </w:rPr>
        <w:t>最终结清申请单</w:t>
      </w:r>
      <w:r>
        <w:rPr>
          <w:rFonts w:hint="eastAsia" w:ascii="宋体" w:hAnsi="宋体" w:eastAsia="宋体" w:cs="宋体"/>
          <w:color w:val="auto"/>
          <w:sz w:val="21"/>
          <w:szCs w:val="21"/>
          <w:highlight w:val="none"/>
        </w:rPr>
        <w:t>应列明质量保证金、应扣除的质量保证金、缺陷责任期内发生的增减费用。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（2）发包人对最终结清申请单内容有异议的，有权要求承包人进行修正和提供补充资料，承包人应向发包人提交修正后的最终结清申请单。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14.4.2 最终结清证书和支付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（3）承包人对发包人颁发的最终结清证书有异议的，按第20条〔争议解决〕的约定办理。</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487" w:name="_Toc351203598"/>
      <w:bookmarkStart w:id="488" w:name="_Toc337558815"/>
      <w:r>
        <w:rPr>
          <w:rFonts w:hint="eastAsia" w:ascii="宋体" w:hAnsi="宋体" w:eastAsia="宋体" w:cs="宋体"/>
          <w:b w:val="0"/>
          <w:color w:val="auto"/>
          <w:sz w:val="21"/>
          <w:szCs w:val="21"/>
          <w:highlight w:val="none"/>
        </w:rPr>
        <w:t>15. 缺陷责任与保修</w:t>
      </w:r>
      <w:bookmarkEnd w:id="487"/>
    </w:p>
    <w:bookmarkEnd w:id="477"/>
    <w:bookmarkEnd w:id="478"/>
    <w:bookmarkEnd w:id="488"/>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89" w:name="_Toc351203599"/>
      <w:bookmarkStart w:id="490" w:name="_Toc337558816"/>
      <w:bookmarkStart w:id="491" w:name="_Toc296503114"/>
      <w:bookmarkStart w:id="492" w:name="_Toc296346615"/>
      <w:r>
        <w:rPr>
          <w:rFonts w:hint="eastAsia" w:ascii="宋体" w:hAnsi="宋体" w:eastAsia="宋体" w:cs="宋体"/>
          <w:b w:val="0"/>
          <w:color w:val="auto"/>
          <w:sz w:val="21"/>
          <w:szCs w:val="21"/>
          <w:highlight w:val="none"/>
        </w:rPr>
        <w:t>15.1 工程保修的原则</w:t>
      </w:r>
      <w:bookmarkEnd w:id="489"/>
    </w:p>
    <w:bookmarkEnd w:id="49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在工程移交发包人后，因承包人原因产生的质量缺陷，承包人应承担质量缺陷责任和保修义务。缺陷责任期届满，承包人仍应按合同约定的工程各部位保修年限承担保修义务。</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93" w:name="_Toc351203600"/>
      <w:bookmarkStart w:id="494" w:name="_Toc337558817"/>
      <w:r>
        <w:rPr>
          <w:rFonts w:hint="eastAsia" w:ascii="宋体" w:hAnsi="宋体" w:eastAsia="宋体" w:cs="宋体"/>
          <w:b w:val="0"/>
          <w:color w:val="auto"/>
          <w:sz w:val="21"/>
          <w:szCs w:val="21"/>
          <w:highlight w:val="none"/>
        </w:rPr>
        <w:t>15.2 缺陷责任期</w:t>
      </w:r>
      <w:bookmarkEnd w:id="491"/>
      <w:bookmarkEnd w:id="492"/>
      <w:bookmarkEnd w:id="493"/>
    </w:p>
    <w:bookmarkEnd w:id="49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15.2.1 缺陷责任期从工程通过竣工验收之日起计算，合同当事人应在专用合同条款约定缺陷责任期的具体期限，但该期限最长不超过24个月。</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w:t>
      </w:r>
      <w:r>
        <w:rPr>
          <w:rFonts w:hint="eastAsia" w:ascii="宋体" w:hAnsi="宋体" w:eastAsia="宋体" w:cs="宋体"/>
          <w:bCs/>
          <w:color w:val="auto"/>
          <w:sz w:val="21"/>
          <w:szCs w:val="21"/>
          <w:highlight w:val="none"/>
        </w:rPr>
        <w:t>包人延长缺陷责任期，</w:t>
      </w:r>
      <w:r>
        <w:rPr>
          <w:rFonts w:hint="eastAsia" w:ascii="宋体" w:hAnsi="宋体" w:eastAsia="宋体" w:cs="宋体"/>
          <w:color w:val="auto"/>
          <w:kern w:val="0"/>
          <w:sz w:val="21"/>
          <w:szCs w:val="21"/>
          <w:highlight w:val="none"/>
        </w:rPr>
        <w:t>并应在原缺陷责任期届满前发出延长通知。</w:t>
      </w:r>
      <w:r>
        <w:rPr>
          <w:rFonts w:hint="eastAsia" w:ascii="宋体" w:hAnsi="宋体" w:eastAsia="宋体" w:cs="宋体"/>
          <w:bCs/>
          <w:color w:val="auto"/>
          <w:sz w:val="21"/>
          <w:szCs w:val="21"/>
          <w:highlight w:val="none"/>
        </w:rPr>
        <w:t>但缺陷责任期（含延长部分）最长</w:t>
      </w:r>
      <w:r>
        <w:rPr>
          <w:rFonts w:hint="eastAsia" w:ascii="宋体" w:hAnsi="宋体" w:eastAsia="宋体" w:cs="宋体"/>
          <w:color w:val="auto"/>
          <w:kern w:val="0"/>
          <w:sz w:val="21"/>
          <w:szCs w:val="21"/>
          <w:highlight w:val="none"/>
        </w:rPr>
        <w:t>不能超过24个月。</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由他人原因造成的缺陷，发包人负责组织维修，承包人不承担费用，且发包人不得从保证金中扣除费用。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15.2.3 任何一项缺陷或损坏修复后，经检查证明其影响了工程或工程设备的使用性能，承包人应重新进行合同约定的试验和试运行，试验和试运行的全部费用应由责任方承担。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495" w:name="_Toc351203601"/>
      <w:bookmarkStart w:id="496" w:name="_Toc337558818"/>
      <w:bookmarkStart w:id="497" w:name="_Toc296503115"/>
      <w:bookmarkStart w:id="498" w:name="_Toc296346616"/>
      <w:r>
        <w:rPr>
          <w:rFonts w:hint="eastAsia" w:ascii="宋体" w:hAnsi="宋体" w:eastAsia="宋体" w:cs="宋体"/>
          <w:b w:val="0"/>
          <w:color w:val="auto"/>
          <w:sz w:val="21"/>
          <w:szCs w:val="21"/>
          <w:highlight w:val="none"/>
        </w:rPr>
        <w:t>15.3 质量保证金</w:t>
      </w:r>
      <w:bookmarkEnd w:id="495"/>
    </w:p>
    <w:bookmarkEnd w:id="49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经合同当事人协商一致扣留质量保证金的，应在专用合同条款中予以明确。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在工程项目竣工前，承包人已经提供履约担保的，发包人不得同时预留工程质量保证金。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15.3.1 承包人提供质量保证金的方式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承包人提供质量保证金有以下三种方式：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（1）质量保证金保函；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（2）相应比例的工程款；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（3）双方约定的其他方式。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除专用合同条款另有约定外，质量保证金原则上采用上述第（1）种方式。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15.3.2 质量保证金的扣留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质量保证金的扣留有以下三种方式：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（1）在支付工程进度款时逐次扣留，在此情形下，质量保证金的计算基数不包括预付款的支付、扣回以及价格调整的金额；</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（2）工</w:t>
      </w:r>
      <w:bookmarkStart w:id="499" w:name="#go6"/>
      <w:bookmarkEnd w:id="499"/>
      <w:r>
        <w:rPr>
          <w:rFonts w:hint="eastAsia" w:ascii="宋体" w:hAnsi="宋体" w:eastAsia="宋体" w:cs="宋体"/>
          <w:color w:val="auto"/>
          <w:kern w:val="0"/>
          <w:sz w:val="21"/>
          <w:szCs w:val="21"/>
          <w:highlight w:val="none"/>
        </w:rPr>
        <w:t>程竣工结算时一次性扣留质量保证金；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（3）双方约定的其他扣留方式。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除专用合同条款另有约定外，质量保证金的扣留原则上采用上述第（1）种方式。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w:t>
      </w:r>
      <w:bookmarkStart w:id="500" w:name="#go4"/>
      <w:bookmarkEnd w:id="500"/>
      <w:r>
        <w:rPr>
          <w:rFonts w:hint="eastAsia" w:ascii="宋体" w:hAnsi="宋体" w:eastAsia="宋体" w:cs="宋体"/>
          <w:color w:val="auto"/>
          <w:kern w:val="0"/>
          <w:sz w:val="21"/>
          <w:szCs w:val="21"/>
          <w:highlight w:val="none"/>
        </w:rPr>
        <w:t>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发包人在退还质量保证金的同时按照中国人民银行发布的同期同类贷款基准利率支付利息。</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15.3.3 </w:t>
      </w:r>
      <w:r>
        <w:rPr>
          <w:rFonts w:hint="eastAsia" w:ascii="宋体" w:hAnsi="宋体" w:eastAsia="宋体" w:cs="宋体"/>
          <w:color w:val="auto"/>
          <w:sz w:val="21"/>
          <w:szCs w:val="21"/>
          <w:highlight w:val="none"/>
        </w:rPr>
        <w:t>质量保证金</w:t>
      </w:r>
      <w:r>
        <w:rPr>
          <w:rFonts w:hint="eastAsia" w:ascii="宋体" w:hAnsi="宋体" w:eastAsia="宋体" w:cs="宋体"/>
          <w:color w:val="auto"/>
          <w:kern w:val="0"/>
          <w:sz w:val="21"/>
          <w:szCs w:val="21"/>
          <w:highlight w:val="none"/>
        </w:rPr>
        <w:t>的退还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缺陷责任期内，承包人认真履行合同约定的责任，到期后，承包人可向发包人申请返还保证金。</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发包人和承包人对保证金预留、返还以及工程维修质量、费用有争议的，按本合同第20条约定的争议和纠纷解决程序处理。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01" w:name="_Toc351203602"/>
      <w:bookmarkStart w:id="502" w:name="_Toc337558819"/>
      <w:r>
        <w:rPr>
          <w:rFonts w:hint="eastAsia" w:ascii="宋体" w:hAnsi="宋体" w:eastAsia="宋体" w:cs="宋体"/>
          <w:b w:val="0"/>
          <w:color w:val="auto"/>
          <w:sz w:val="21"/>
          <w:szCs w:val="21"/>
          <w:highlight w:val="none"/>
        </w:rPr>
        <w:t>15.4 保修</w:t>
      </w:r>
      <w:bookmarkEnd w:id="501"/>
    </w:p>
    <w:bookmarkEnd w:id="497"/>
    <w:bookmarkEnd w:id="498"/>
    <w:bookmarkEnd w:id="502"/>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15.4.1保修责任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发包人未经竣工验收擅自使用工程的，保修期自</w:t>
      </w:r>
      <w:r>
        <w:rPr>
          <w:rFonts w:hint="eastAsia" w:ascii="宋体" w:hAnsi="宋体" w:eastAsia="宋体" w:cs="宋体"/>
          <w:color w:val="auto"/>
          <w:kern w:val="0"/>
          <w:sz w:val="21"/>
          <w:szCs w:val="21"/>
          <w:highlight w:val="none"/>
        </w:rPr>
        <w:t>转移占有之日起算</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15.4.2 修复费用</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保修期内，修复的费用按照以下约定处理：</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（1）保修期内，因承包人原因造成工程的缺陷、损坏，承包人应负责修复，并承担修复的费用以及因工程的缺陷、损坏造成的人身伤害和财产损失；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（2）保修期内，因发包人使用不当造成工程的缺陷、损坏，可以委托承包人修复，但发包人应承担修复的费用，并支付承包人合理利润；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（3）因其他原因造成工程的缺陷、损坏，可以委托承包人修复，发包人应承担修复的费用，并支付承包人合理的利润，因工程的缺陷、损坏造成的人身伤害和财产损失由责任方承担。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15.4.3 修复通知</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15.4.4 未能修复</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15.4.5 承包人出入权</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03" w:name="_Toc351203603"/>
      <w:bookmarkStart w:id="504" w:name="_Toc337558820"/>
      <w:r>
        <w:rPr>
          <w:rFonts w:hint="eastAsia" w:ascii="宋体" w:hAnsi="宋体" w:eastAsia="宋体" w:cs="宋体"/>
          <w:b w:val="0"/>
          <w:color w:val="auto"/>
          <w:sz w:val="21"/>
          <w:szCs w:val="21"/>
          <w:highlight w:val="none"/>
        </w:rPr>
        <w:t>16. 违约</w:t>
      </w:r>
      <w:bookmarkEnd w:id="503"/>
    </w:p>
    <w:bookmarkEnd w:id="504"/>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05" w:name="_Toc296503129"/>
      <w:bookmarkStart w:id="506" w:name="_Toc296346630"/>
      <w:bookmarkStart w:id="507" w:name="_Toc351203604"/>
      <w:bookmarkStart w:id="508" w:name="_Toc337558821"/>
      <w:r>
        <w:rPr>
          <w:rFonts w:hint="eastAsia" w:ascii="宋体" w:hAnsi="宋体" w:eastAsia="宋体" w:cs="宋体"/>
          <w:b w:val="0"/>
          <w:color w:val="auto"/>
          <w:sz w:val="21"/>
          <w:szCs w:val="21"/>
          <w:highlight w:val="none"/>
        </w:rPr>
        <w:t>16.1 发</w:t>
      </w:r>
      <w:bookmarkEnd w:id="505"/>
      <w:bookmarkEnd w:id="506"/>
      <w:r>
        <w:rPr>
          <w:rFonts w:hint="eastAsia" w:ascii="宋体" w:hAnsi="宋体" w:eastAsia="宋体" w:cs="宋体"/>
          <w:b w:val="0"/>
          <w:color w:val="auto"/>
          <w:sz w:val="21"/>
          <w:szCs w:val="21"/>
          <w:highlight w:val="none"/>
        </w:rPr>
        <w:t>包人违约</w:t>
      </w:r>
      <w:bookmarkEnd w:id="507"/>
    </w:p>
    <w:bookmarkEnd w:id="50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16.1.1 发包人违约的情形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在合同履行过程中发生的下列情形，属于发包人违约：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（1）因发包人原因未能在计划开工日期前7天内下达开工通知的；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（2）因发包人原因未能按合同约定支付合同价款的；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（3）发包人违反第10.1款〔变更的范围〕第（2）项约定，自行实施被取消的工作或转由他人实施的；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（4）发包人提供的材料、工程设备的规格、数量或质量不符合合同约定，或因发包人原因导致交货日期延误或交货地点变更等情况的；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（5）因发包人违反合同约定造成暂停施工的；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（6）发包人无正当理由没有在约定期限内发出复工指示，导致承包人无法复工的；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（7）发包人明确表示或者以其行为表明不履行合同主要义务的；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（8）发包人未能按照合同约定履行其他义务的。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16.1.2 发包人违约的责任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发包人应承担因其违约给承包人增加的费用和（或）延误的工期，并支付承包人合理的利润。此外，合同当事人可在专用合同条款中另行约定发包人违约责任的承担方式和计算方法。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16.1.3 因发包人违约解除合同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16.1.4 因发包人违约解除合同后的付款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承包人按照本款约定解除合同的，发包人应在解除合同后28天内支付下列款项，并解除履约担保：</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（1）合同解除前所完成工作的价款；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（2）承包人为工程施工订购并已付款的材料、工程设备和其他物品的价款；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（3）承包人撤离施工现场以及遣散承包人人员的款项；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（4）按照合同约定在合同解除前应支付的违约金；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（5）按照合同约定应当支付给承包人的其他款项；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（6）按照合同约定应退还的质量保证金；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（7）因解除合同给承包人造成的损失。</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合同当事人未能就解除合同后的结清达成一致的，按照第20条〔争议解决〕的约定处理。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承包人应妥善做好已完工程和与工程有关的已购材料、工程设备的保护和移交工作，并将施工设备和人员撤出施工现场，发包人应为承包人撤出提供必要条件。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09" w:name="_Toc351203605"/>
      <w:bookmarkStart w:id="510" w:name="_Toc296346632"/>
      <w:bookmarkStart w:id="511" w:name="_Toc296503131"/>
      <w:bookmarkStart w:id="512" w:name="_Toc337558822"/>
      <w:r>
        <w:rPr>
          <w:rFonts w:hint="eastAsia" w:ascii="宋体" w:hAnsi="宋体" w:eastAsia="宋体" w:cs="宋体"/>
          <w:b w:val="0"/>
          <w:color w:val="auto"/>
          <w:sz w:val="21"/>
          <w:szCs w:val="21"/>
          <w:highlight w:val="none"/>
        </w:rPr>
        <w:t>16.2 承包人违约</w:t>
      </w:r>
      <w:bookmarkEnd w:id="509"/>
    </w:p>
    <w:bookmarkEnd w:id="510"/>
    <w:bookmarkEnd w:id="511"/>
    <w:bookmarkEnd w:id="512"/>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16.2.1 承包人违约的情形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在合同履行过程中发生的下列情形，属于承包人违约：</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（1）承包人违反合同约定进行转包或违法分包的；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（2）承包人违反合同约定采购和使用不合格的材料和工程设备的；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（3）因承包人原因导致工程质量不符合合同要求的；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（4）承包人违反第8.9款〔材料与设备专用要求〕的约定，未经批准，私自将已按照合同约定进入施工现场的材料或设备撤离施工现场的；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（5）承包人未能按施工进度计划及时完成合同约定的工作，造成工期延误的；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（6）承包人在缺陷责任期及保修期内，未能在合理期限对工程缺陷进行修复，或拒绝按发包人要求进行修复的；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（7）承包人明确表示或者以其行为表明不履行合同主要义务的；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（8）承包人未能按照合同约定履行其他义务的。</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承包人发生除本项第（7）目约定以外的其他违约情况时，监理人可向承包人发出整改通知，要求其在指定的期限内改正。</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16.2.2 承包人违约的责任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承包人应承担因其违约行为而增加的费用和（或）延误的工期。此外，合同当事人可在专用合同条款中另行约定承包人违约责任的承担方式和计算方法。</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16.2.3 因承包人违约解除合同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16.2.4因承包人违约解除合同后的处理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因承包人原因导致合同解除的，则合同当事人应在合同解除后28天内完成估价、付款和清算，并按以下约定执行：</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（1）合同解除后，按第4.4款〔商定或确定〕商定或确定承包人实际完成工作对应的合同价款，以及承包人已提供的材料、工程设备、施工设备和临时工程等的价值；</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（2）合同解除后，承包人应支付的违约金；</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（3）合同解除后，因解除合同给发包人造成的损失；</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（4）合同解除后，承包人应按照发包人要求和监理人的指示完成现场的清理和撤离；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（5）发包人和承包人应在合同解除后进行清算，出具最终结清付款证书，结清全部款项。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因承包人违约解除合同的，发包人有权暂停对承包人的付款，查清各项付款和已扣款项。发包人和承包人未能就合同解除后的清算和款项支付达成一致的，按照第20条〔争议解决〕的约定处理。</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16.2.5采购合同权益转让</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13" w:name="_Toc351203606"/>
      <w:r>
        <w:rPr>
          <w:rFonts w:hint="eastAsia" w:ascii="宋体" w:hAnsi="宋体" w:eastAsia="宋体" w:cs="宋体"/>
          <w:b w:val="0"/>
          <w:color w:val="auto"/>
          <w:sz w:val="21"/>
          <w:szCs w:val="21"/>
          <w:highlight w:val="none"/>
        </w:rPr>
        <w:t>16.3 第三人造成的违约</w:t>
      </w:r>
      <w:bookmarkEnd w:id="513"/>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在履行合同过程中，一方当事人因第三人的原因造成违约的，应当向对方当事人承担违约责任。一方当事人和第三人之间的纠纷，依照法律规定或者按照约定解决。</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14" w:name="_Toc351203607"/>
      <w:bookmarkStart w:id="515" w:name="_Toc337558823"/>
      <w:bookmarkStart w:id="516" w:name="_Toc296346617"/>
      <w:bookmarkStart w:id="517" w:name="_Toc296503116"/>
      <w:r>
        <w:rPr>
          <w:rFonts w:hint="eastAsia" w:ascii="宋体" w:hAnsi="宋体" w:eastAsia="宋体" w:cs="宋体"/>
          <w:b w:val="0"/>
          <w:color w:val="auto"/>
          <w:sz w:val="21"/>
          <w:szCs w:val="21"/>
          <w:highlight w:val="none"/>
        </w:rPr>
        <w:t>17. 不可抗力</w:t>
      </w:r>
      <w:bookmarkEnd w:id="514"/>
      <w:r>
        <w:rPr>
          <w:rFonts w:hint="eastAsia" w:ascii="宋体" w:hAnsi="宋体" w:eastAsia="宋体" w:cs="宋体"/>
          <w:b w:val="0"/>
          <w:color w:val="auto"/>
          <w:sz w:val="21"/>
          <w:szCs w:val="21"/>
          <w:highlight w:val="none"/>
        </w:rPr>
        <w:t xml:space="preserve"> </w:t>
      </w:r>
      <w:bookmarkEnd w:id="515"/>
      <w:bookmarkEnd w:id="516"/>
      <w:bookmarkEnd w:id="517"/>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18" w:name="_Toc351203608"/>
      <w:bookmarkStart w:id="519" w:name="_Toc296346618"/>
      <w:bookmarkStart w:id="520" w:name="_Toc296503117"/>
      <w:bookmarkStart w:id="521" w:name="_Toc337558824"/>
      <w:r>
        <w:rPr>
          <w:rFonts w:hint="eastAsia" w:ascii="宋体" w:hAnsi="宋体" w:eastAsia="宋体" w:cs="宋体"/>
          <w:b w:val="0"/>
          <w:color w:val="auto"/>
          <w:sz w:val="21"/>
          <w:szCs w:val="21"/>
          <w:highlight w:val="none"/>
        </w:rPr>
        <w:t>17.1 不可抗力的确认</w:t>
      </w:r>
      <w:bookmarkEnd w:id="518"/>
    </w:p>
    <w:bookmarkEnd w:id="519"/>
    <w:bookmarkEnd w:id="520"/>
    <w:bookmarkEnd w:id="521"/>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不可抗力是指合同当事人在签订合同时不可预见，在合同履行过程中不可避免且不能克服的自然灾害和社会性突发事件，如地震、海啸、瘟疫、骚乱、戒严、暴动、战争和专用合同条款中约定的其他情形。</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22" w:name="_Toc351203609"/>
      <w:bookmarkStart w:id="523" w:name="_Toc337558825"/>
      <w:bookmarkStart w:id="524" w:name="_Toc296346619"/>
      <w:bookmarkStart w:id="525" w:name="_Toc296503118"/>
      <w:r>
        <w:rPr>
          <w:rFonts w:hint="eastAsia" w:ascii="宋体" w:hAnsi="宋体" w:eastAsia="宋体" w:cs="宋体"/>
          <w:b w:val="0"/>
          <w:color w:val="auto"/>
          <w:sz w:val="21"/>
          <w:szCs w:val="21"/>
          <w:highlight w:val="none"/>
        </w:rPr>
        <w:t>17.2 不可抗力的通知</w:t>
      </w:r>
      <w:bookmarkEnd w:id="522"/>
    </w:p>
    <w:bookmarkEnd w:id="523"/>
    <w:bookmarkEnd w:id="524"/>
    <w:bookmarkEnd w:id="525"/>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合同一方当事人遇到不可抗力事件，使其履行合同义务受到阻碍时，应立即通知合同另一方当事人和监理人，书面说明不可抗力和受阻碍的详细情况，并提供必要的证明。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不可抗力持续发生的，合同一方当事人应及时向合同另一方当事人和监理人提交中间报告，说明不可抗力和履行合同受阻的情况，并于不可抗力事件结束后28天内提交最终报告及有关资料。</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26" w:name="_Toc351203610"/>
      <w:bookmarkStart w:id="527" w:name="_Toc337558826"/>
      <w:bookmarkStart w:id="528" w:name="_Toc296346620"/>
      <w:bookmarkStart w:id="529" w:name="_Toc296503119"/>
      <w:r>
        <w:rPr>
          <w:rFonts w:hint="eastAsia" w:ascii="宋体" w:hAnsi="宋体" w:eastAsia="宋体" w:cs="宋体"/>
          <w:b w:val="0"/>
          <w:color w:val="auto"/>
          <w:sz w:val="21"/>
          <w:szCs w:val="21"/>
          <w:highlight w:val="none"/>
        </w:rPr>
        <w:t>17.3 不可抗力后果的承担</w:t>
      </w:r>
      <w:bookmarkEnd w:id="526"/>
    </w:p>
    <w:bookmarkEnd w:id="527"/>
    <w:bookmarkEnd w:id="528"/>
    <w:bookmarkEnd w:id="52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17.3.1 不可抗力引起的后果及造成的损失由合同当事人按照法律规定及合同约定各自承担。不可抗力发生前已完成的工程应当按照合同约定进行计量支付。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17.3.2 不可抗力导致的人员伤亡、财产损失、费用增加和（或）工期延误等后果，由合同当事人按以下原则承担：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（1）永久工程、已运至施工现场的材料和工程设备的损坏，以及因工程损坏造成的第三人人员伤亡和财产损失由发包人承担；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（2）承包人施工设备的损坏由承包人承担；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（3）发包人和承包人承担各自人员伤亡和财产的损失；</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（4）因不可抗力影响承包人履行合同约定的义务，已经引起或将引起工期延误的，应当顺延工期，由此导致承包人停工的费用损失由发包人和承包人合理分担，停工期间必须支付的工人工资由发包人承担；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（5）因不可抗力引起或将引起工期延误，发包人要求赶工的，由此增加的赶工费用由发包人承担；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（6）承包人在停工期间按照发包人要求照管、清理和修复工程的费用由发包人承担。</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不可抗力发生后，合同当事人均应采取措施尽量避免和减少损失的扩大，任何一方当事人没有采取有效措施导致损失扩大的，应对扩大的损失承担责任。</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因合同一方迟延履行合同义务，在迟延履行期间遭遇不可抗力的，不免除其违约责任。</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30" w:name="_Toc351203611"/>
      <w:bookmarkStart w:id="531" w:name="_Toc337558827"/>
      <w:r>
        <w:rPr>
          <w:rFonts w:hint="eastAsia" w:ascii="宋体" w:hAnsi="宋体" w:eastAsia="宋体" w:cs="宋体"/>
          <w:b w:val="0"/>
          <w:color w:val="auto"/>
          <w:sz w:val="21"/>
          <w:szCs w:val="21"/>
          <w:highlight w:val="none"/>
        </w:rPr>
        <w:t>17.4 因不可抗力解除合同</w:t>
      </w:r>
      <w:bookmarkEnd w:id="530"/>
    </w:p>
    <w:bookmarkEnd w:id="531"/>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因不可抗力导致合同无法履行连续超过84天或累计超过140天的，发包人和承包人均有权解除合同。合同解除后，由双方当事人按照第4.4款〔商定或确定〕商定或确定发包人应支付的款项，该款项包括：</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（1）合同解除前承包人已完成工作的价款；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（2）承包人为工程订购的并已交付给承包人，或承包人有责任接受交付的材料、工程设备和其他物品的价款；</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（3）发包人要求承包人退货或解除订货合同而产生的费用，或因不能退货或解除合同而产生的损失；</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（4）承包人撤离施工现场以及遣散承包人人员的费用；</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（5）按照合同约定在合同解除前应支付给承包人的其他款项；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（6）扣减承包人按照合同约定应向发包人支付的款项；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（7）双方商定或确定的其他款项。</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除专用合同条款另有约定外，合同解除后，发包人应在商定或确定上述款项后28天内完成上述款项的支付。</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32" w:name="_Toc351203612"/>
      <w:bookmarkStart w:id="533" w:name="_Toc296346621"/>
      <w:bookmarkStart w:id="534" w:name="_Toc337558828"/>
      <w:bookmarkStart w:id="535" w:name="_Toc296503120"/>
      <w:r>
        <w:rPr>
          <w:rFonts w:hint="eastAsia" w:ascii="宋体" w:hAnsi="宋体" w:eastAsia="宋体" w:cs="宋体"/>
          <w:b w:val="0"/>
          <w:color w:val="auto"/>
          <w:sz w:val="21"/>
          <w:szCs w:val="21"/>
          <w:highlight w:val="none"/>
        </w:rPr>
        <w:t>18. 保险</w:t>
      </w:r>
      <w:bookmarkEnd w:id="532"/>
    </w:p>
    <w:bookmarkEnd w:id="533"/>
    <w:bookmarkEnd w:id="534"/>
    <w:bookmarkEnd w:id="535"/>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36" w:name="_Toc351203613"/>
      <w:bookmarkStart w:id="537" w:name="_Toc337558829"/>
      <w:bookmarkStart w:id="538" w:name="_Toc296503121"/>
      <w:bookmarkStart w:id="539" w:name="_Toc296346622"/>
      <w:r>
        <w:rPr>
          <w:rFonts w:hint="eastAsia" w:ascii="宋体" w:hAnsi="宋体" w:eastAsia="宋体" w:cs="宋体"/>
          <w:b w:val="0"/>
          <w:color w:val="auto"/>
          <w:sz w:val="21"/>
          <w:szCs w:val="21"/>
          <w:highlight w:val="none"/>
        </w:rPr>
        <w:t>18.1 工程保险</w:t>
      </w:r>
      <w:bookmarkEnd w:id="536"/>
    </w:p>
    <w:bookmarkEnd w:id="537"/>
    <w:bookmarkEnd w:id="538"/>
    <w:bookmarkEnd w:id="53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除专用合同条款另有约定外，发包人应投保</w:t>
      </w:r>
      <w:r>
        <w:rPr>
          <w:rFonts w:hint="eastAsia" w:ascii="宋体" w:hAnsi="宋体" w:eastAsia="宋体" w:cs="宋体"/>
          <w:color w:val="auto"/>
          <w:kern w:val="0"/>
          <w:sz w:val="21"/>
          <w:szCs w:val="21"/>
          <w:highlight w:val="none"/>
          <w:lang w:eastAsia="zh-CN"/>
        </w:rPr>
        <w:t>建筑工程</w:t>
      </w:r>
      <w:r>
        <w:rPr>
          <w:rFonts w:hint="eastAsia" w:ascii="宋体" w:hAnsi="宋体" w:eastAsia="宋体" w:cs="宋体"/>
          <w:color w:val="auto"/>
          <w:kern w:val="0"/>
          <w:sz w:val="21"/>
          <w:szCs w:val="21"/>
          <w:highlight w:val="none"/>
        </w:rPr>
        <w:t>一切险或安装工程一切险；发包人委托承包人投保的，因投保产生的保险费和其他相关费用由发包人承担。</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0" w:name="_Toc351203614"/>
      <w:bookmarkStart w:id="541" w:name="_Toc296503122"/>
      <w:bookmarkStart w:id="542" w:name="_Toc337558830"/>
      <w:bookmarkStart w:id="543" w:name="_Toc296346623"/>
      <w:r>
        <w:rPr>
          <w:rFonts w:hint="eastAsia" w:ascii="宋体" w:hAnsi="宋体" w:eastAsia="宋体" w:cs="宋体"/>
          <w:b w:val="0"/>
          <w:color w:val="auto"/>
          <w:sz w:val="21"/>
          <w:szCs w:val="21"/>
          <w:highlight w:val="none"/>
        </w:rPr>
        <w:t>18.2 工伤保险</w:t>
      </w:r>
      <w:bookmarkEnd w:id="540"/>
    </w:p>
    <w:bookmarkEnd w:id="541"/>
    <w:bookmarkEnd w:id="542"/>
    <w:bookmarkEnd w:id="54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18.2.1 发包人应依照法律规定参加工伤保险，并为在施工现场的全部员工办理工伤保险，缴纳工伤保险费，并要求监理人及由发包人为履行合同聘请的第三方依法参加工伤保险。</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18.2.2 承包人应依照法律规定参加工伤保险，并为其履行合同的全部员工办理工伤保险，缴纳工伤保险费，并要求分包人及由承包人为履行合同聘请的第三方依法参加工伤保险。</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4" w:name="_Toc351203615"/>
      <w:bookmarkStart w:id="545" w:name="_Toc337558831"/>
      <w:bookmarkStart w:id="546" w:name="_Toc296346626"/>
      <w:bookmarkStart w:id="547" w:name="_Toc296503125"/>
      <w:r>
        <w:rPr>
          <w:rFonts w:hint="eastAsia" w:ascii="宋体" w:hAnsi="宋体" w:eastAsia="宋体" w:cs="宋体"/>
          <w:b w:val="0"/>
          <w:color w:val="auto"/>
          <w:sz w:val="21"/>
          <w:szCs w:val="21"/>
          <w:highlight w:val="none"/>
        </w:rPr>
        <w:t>18.3其他保险</w:t>
      </w:r>
      <w:bookmarkEnd w:id="544"/>
    </w:p>
    <w:bookmarkEnd w:id="545"/>
    <w:bookmarkEnd w:id="546"/>
    <w:bookmarkEnd w:id="547"/>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发包人和承包人可以为其施工现场的全部人员办理意外伤害保险并支付保险费，包括其员工及为履行合同聘请的第三方的人员，具体事项由合同当事人在专用合同条款约定。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除专用合同条款另有约定外，承包人应为其施工设备等办理财产保险。</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8" w:name="_Toc351203616"/>
      <w:r>
        <w:rPr>
          <w:rFonts w:hint="eastAsia" w:ascii="宋体" w:hAnsi="宋体" w:eastAsia="宋体" w:cs="宋体"/>
          <w:b w:val="0"/>
          <w:color w:val="auto"/>
          <w:sz w:val="21"/>
          <w:szCs w:val="21"/>
          <w:highlight w:val="none"/>
        </w:rPr>
        <w:t>18.4持续保险</w:t>
      </w:r>
      <w:bookmarkEnd w:id="548"/>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合同当事人应与保险人保持联系，使保险人能够随时了解工程实施中的变动，并确保按保险合同条款要求持续保险。</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49" w:name="_Toc351203617"/>
      <w:bookmarkStart w:id="550" w:name="_Toc337558832"/>
      <w:bookmarkStart w:id="551" w:name="_Toc296503126"/>
      <w:bookmarkStart w:id="552" w:name="_Toc296346627"/>
      <w:r>
        <w:rPr>
          <w:rFonts w:hint="eastAsia" w:ascii="宋体" w:hAnsi="宋体" w:eastAsia="宋体" w:cs="宋体"/>
          <w:b w:val="0"/>
          <w:color w:val="auto"/>
          <w:sz w:val="21"/>
          <w:szCs w:val="21"/>
          <w:highlight w:val="none"/>
        </w:rPr>
        <w:t>18.5 保险凭证</w:t>
      </w:r>
      <w:bookmarkEnd w:id="549"/>
    </w:p>
    <w:bookmarkEnd w:id="550"/>
    <w:bookmarkEnd w:id="551"/>
    <w:bookmarkEnd w:id="552"/>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合同当事人应及时向另一方当事人提交其已投保的各项保险的凭证和保险单复印件。</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53" w:name="_Toc351203618"/>
      <w:bookmarkStart w:id="554" w:name="_Toc296346628"/>
      <w:bookmarkStart w:id="555" w:name="_Toc296503127"/>
      <w:bookmarkStart w:id="556" w:name="_Toc337558833"/>
      <w:r>
        <w:rPr>
          <w:rFonts w:hint="eastAsia" w:ascii="宋体" w:hAnsi="宋体" w:eastAsia="宋体" w:cs="宋体"/>
          <w:b w:val="0"/>
          <w:color w:val="auto"/>
          <w:sz w:val="21"/>
          <w:szCs w:val="21"/>
          <w:highlight w:val="none"/>
        </w:rPr>
        <w:t>18.6 未按约定投保的补救</w:t>
      </w:r>
      <w:bookmarkEnd w:id="553"/>
    </w:p>
    <w:bookmarkEnd w:id="554"/>
    <w:bookmarkEnd w:id="555"/>
    <w:bookmarkEnd w:id="556"/>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18.6.1发包人未按合同约定办理保险，或未能使保险持续有效的，则承包人可代为办理，所需费用由发包人承担。发包人未按合同约定办理保险，导致未能得到足额赔偿的，由发包人负责补足。</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18.6.2承包人未按合同约定办理保险，或未能使保险持续有效的，则发包人可代为办理，所需费用由承包人承担。承包人未按合同约定办理保险，导致未能得到足额赔偿的，由承包人负责补足。</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57" w:name="_Toc351203619"/>
      <w:bookmarkStart w:id="558" w:name="_Toc337558834"/>
      <w:r>
        <w:rPr>
          <w:rFonts w:hint="eastAsia" w:ascii="宋体" w:hAnsi="宋体" w:eastAsia="宋体" w:cs="宋体"/>
          <w:b w:val="0"/>
          <w:color w:val="auto"/>
          <w:sz w:val="21"/>
          <w:szCs w:val="21"/>
          <w:highlight w:val="none"/>
        </w:rPr>
        <w:t>18.7 通知义务</w:t>
      </w:r>
      <w:bookmarkEnd w:id="557"/>
    </w:p>
    <w:bookmarkEnd w:id="558"/>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除专用合同条款另有约定外，发包人变更除工伤保险之外的保险合同时，应事先征得承包人同意，并通知监理人；承包人变更除工伤保险之外的保险合同时，应事先征得发包人同意，并通知监理人。</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保险事故发生时，投保人应按照保险合同规定的条件和期限及时向保险人报告。发包人和承包人应当在知道保险事故发生后及时通知对方。</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59" w:name="_Toc351203620"/>
      <w:bookmarkStart w:id="560" w:name="_Toc296346641"/>
      <w:bookmarkStart w:id="561" w:name="_Toc296503140"/>
      <w:bookmarkStart w:id="562" w:name="_Toc337558835"/>
      <w:r>
        <w:rPr>
          <w:rFonts w:hint="eastAsia" w:ascii="宋体" w:hAnsi="宋体" w:eastAsia="宋体" w:cs="宋体"/>
          <w:b w:val="0"/>
          <w:color w:val="auto"/>
          <w:sz w:val="21"/>
          <w:szCs w:val="21"/>
          <w:highlight w:val="none"/>
        </w:rPr>
        <w:t>19. 索赔</w:t>
      </w:r>
      <w:bookmarkEnd w:id="559"/>
    </w:p>
    <w:bookmarkEnd w:id="560"/>
    <w:bookmarkEnd w:id="561"/>
    <w:bookmarkEnd w:id="562"/>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63" w:name="_Toc351203621"/>
      <w:bookmarkStart w:id="564" w:name="_Toc337558836"/>
      <w:bookmarkStart w:id="565" w:name="_Toc296503141"/>
      <w:bookmarkStart w:id="566" w:name="_Toc296346642"/>
      <w:r>
        <w:rPr>
          <w:rFonts w:hint="eastAsia" w:ascii="宋体" w:hAnsi="宋体" w:eastAsia="宋体" w:cs="宋体"/>
          <w:b w:val="0"/>
          <w:color w:val="auto"/>
          <w:sz w:val="21"/>
          <w:szCs w:val="21"/>
          <w:highlight w:val="none"/>
        </w:rPr>
        <w:t>19.1承包人的索赔</w:t>
      </w:r>
      <w:bookmarkEnd w:id="563"/>
    </w:p>
    <w:bookmarkEnd w:id="564"/>
    <w:bookmarkEnd w:id="565"/>
    <w:bookmarkEnd w:id="566"/>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根据合同约定，承包人认为有权得到追加付款和（或）延长工期的，应按以下程序向发包人提出索赔：</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（1）承包人应在知道或应当知道索赔事件发生后28天内，向监理人递交索赔意向通知书，并说明发生索赔事件的事由；承包人未在前述28天内发出索赔意向通知书的，丧失要求追加付款和（或）延长工期的权利；</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（2）承包人应在发出索赔意向通知书后28天内，向监理人正式递交索赔报告；索赔报告应详细说明索赔理由以及要求追加的付款金额和（或）延长的工期，并附必要的记录和证明材料；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（3）索赔事件具有持续影响的，承包人应按合理时间间隔继续递交延续索赔通知，说明持续影响的实际情况和记录，列出累计的追加付款金额和（或）工期延长天数；</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（4）在索赔事件影响结束后28天内，承包人应向监理人递交最终索赔报告，说明最终要求索赔的追加付款金额和（或）延长的工期，并附必要的记录和证明材料。</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67" w:name="_Toc351203622"/>
      <w:bookmarkStart w:id="568" w:name="_Toc296346643"/>
      <w:bookmarkStart w:id="569" w:name="_Toc337558837"/>
      <w:bookmarkStart w:id="570" w:name="_Toc296503142"/>
      <w:r>
        <w:rPr>
          <w:rFonts w:hint="eastAsia" w:ascii="宋体" w:hAnsi="宋体" w:eastAsia="宋体" w:cs="宋体"/>
          <w:b w:val="0"/>
          <w:color w:val="auto"/>
          <w:sz w:val="21"/>
          <w:szCs w:val="21"/>
          <w:highlight w:val="none"/>
        </w:rPr>
        <w:t>19.2 对承包人索赔的处理</w:t>
      </w:r>
      <w:bookmarkEnd w:id="567"/>
    </w:p>
    <w:bookmarkEnd w:id="568"/>
    <w:bookmarkEnd w:id="569"/>
    <w:bookmarkEnd w:id="570"/>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对承包人索赔的处理如下：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（1）监理人应在收到索赔报告后14天内完成审查并报送发包人。监理人对索赔报告存在异议的，有权要求承包人提交全部原始记录副本；</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（2）发包人应在监理人收到索赔报告或有关索赔的进一步证明材料后的28天内，由监理人向承包人出具经发包人签认的索赔处理结果。发包人逾期答复的，则视为认可承包人的索赔要求；</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（3）承包人接受索赔处理结果的，索赔款项在当期进度款中进行支付；承包人不接受索赔处理结果的，按照第20条〔争议解决〕约定处理。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71" w:name="_Toc351203623"/>
      <w:bookmarkStart w:id="572" w:name="_Toc296346644"/>
      <w:bookmarkStart w:id="573" w:name="_Toc337558838"/>
      <w:bookmarkStart w:id="574" w:name="_Toc296503143"/>
      <w:r>
        <w:rPr>
          <w:rFonts w:hint="eastAsia" w:ascii="宋体" w:hAnsi="宋体" w:eastAsia="宋体" w:cs="宋体"/>
          <w:b w:val="0"/>
          <w:color w:val="auto"/>
          <w:sz w:val="21"/>
          <w:szCs w:val="21"/>
          <w:highlight w:val="none"/>
        </w:rPr>
        <w:t>19.3发包人的索赔</w:t>
      </w:r>
      <w:bookmarkEnd w:id="571"/>
    </w:p>
    <w:bookmarkEnd w:id="572"/>
    <w:bookmarkEnd w:id="573"/>
    <w:bookmarkEnd w:id="574"/>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根据合同约定，发包人认为有权得到赔付金额和（或）延长缺陷责任期的，监理人应向承包人发出通知并附有详细的证明。</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75" w:name="_Toc351203624"/>
      <w:bookmarkStart w:id="576" w:name="_Toc296503144"/>
      <w:bookmarkStart w:id="577" w:name="_Toc337558839"/>
      <w:bookmarkStart w:id="578" w:name="_Toc296346645"/>
      <w:r>
        <w:rPr>
          <w:rFonts w:hint="eastAsia" w:ascii="宋体" w:hAnsi="宋体" w:eastAsia="宋体" w:cs="宋体"/>
          <w:b w:val="0"/>
          <w:color w:val="auto"/>
          <w:sz w:val="21"/>
          <w:szCs w:val="21"/>
          <w:highlight w:val="none"/>
        </w:rPr>
        <w:t>19.4 对发包人索赔的处理</w:t>
      </w:r>
      <w:bookmarkEnd w:id="575"/>
    </w:p>
    <w:bookmarkEnd w:id="576"/>
    <w:bookmarkEnd w:id="577"/>
    <w:bookmarkEnd w:id="578"/>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对发包人索赔的处理如下：</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（1）承包人收到发包人提交的索赔报告后，应及时审查索赔报告的内容、查验发包人证明材料；</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（2）承包人应在收到索赔报告或有关索赔的进一步证明材料后28天内，将索赔处理结果答复发包人。如果承包人未在上述期限内作出答复的，则视为对发包人索赔要求的认可；</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（3）承包人接受索赔处理结果的，发包人可从应支付给承包人的合同价款中扣除赔付的金额或延长缺陷责任期；发包人不接受索赔处理结果的，按第20条〔争议解决〕约定处理。</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79" w:name="_Toc351203625"/>
      <w:r>
        <w:rPr>
          <w:rFonts w:hint="eastAsia" w:ascii="宋体" w:hAnsi="宋体" w:eastAsia="宋体" w:cs="宋体"/>
          <w:b w:val="0"/>
          <w:color w:val="auto"/>
          <w:sz w:val="21"/>
          <w:szCs w:val="21"/>
          <w:highlight w:val="none"/>
        </w:rPr>
        <w:t>19.5 提出索赔的期限</w:t>
      </w:r>
      <w:bookmarkEnd w:id="579"/>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（1）承包人按第14.2款〔竣工结算审核〕约定接收竣工付款证书后，应被视为已无权再提出在工程接收证书颁发前所发生的任何索赔。</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（2）承包人按第14.4款〔最终结清〕提交的最终结清申请单中，只限于提出工程接收证书颁发后发生的索赔。提出索赔的期限自接受最终结清证书时终止。</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580" w:name="_Toc351203626"/>
      <w:r>
        <w:rPr>
          <w:rFonts w:hint="eastAsia" w:ascii="宋体" w:hAnsi="宋体" w:eastAsia="宋体" w:cs="宋体"/>
          <w:b w:val="0"/>
          <w:color w:val="auto"/>
          <w:sz w:val="21"/>
          <w:szCs w:val="21"/>
          <w:highlight w:val="none"/>
        </w:rPr>
        <w:t>20</w:t>
      </w:r>
      <w:bookmarkStart w:id="581" w:name="_Toc337558840"/>
      <w:bookmarkStart w:id="582" w:name="_Toc296346647"/>
      <w:bookmarkStart w:id="583" w:name="_Toc296503146"/>
      <w:r>
        <w:rPr>
          <w:rFonts w:hint="eastAsia" w:ascii="宋体" w:hAnsi="宋体" w:eastAsia="宋体" w:cs="宋体"/>
          <w:b w:val="0"/>
          <w:color w:val="auto"/>
          <w:sz w:val="21"/>
          <w:szCs w:val="21"/>
          <w:highlight w:val="none"/>
        </w:rPr>
        <w:t>. 争议解决</w:t>
      </w:r>
      <w:bookmarkEnd w:id="580"/>
    </w:p>
    <w:bookmarkEnd w:id="581"/>
    <w:bookmarkEnd w:id="582"/>
    <w:bookmarkEnd w:id="583"/>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84" w:name="_Toc351203627"/>
      <w:bookmarkStart w:id="585" w:name="_Toc296346648"/>
      <w:bookmarkStart w:id="586" w:name="_Toc296503147"/>
      <w:bookmarkStart w:id="587" w:name="_Toc337558841"/>
      <w:r>
        <w:rPr>
          <w:rFonts w:hint="eastAsia" w:ascii="宋体" w:hAnsi="宋体" w:eastAsia="宋体" w:cs="宋体"/>
          <w:b w:val="0"/>
          <w:color w:val="auto"/>
          <w:sz w:val="21"/>
          <w:szCs w:val="21"/>
          <w:highlight w:val="none"/>
        </w:rPr>
        <w:t>20.1和解</w:t>
      </w:r>
      <w:bookmarkEnd w:id="584"/>
    </w:p>
    <w:bookmarkEnd w:id="585"/>
    <w:bookmarkEnd w:id="586"/>
    <w:bookmarkEnd w:id="587"/>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合同当事人可以就争议自行和解，自行和解达成协议的经双方签字并盖章后作为合同补充文件，双方均应遵照执行。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88" w:name="_Toc351203628"/>
      <w:r>
        <w:rPr>
          <w:rFonts w:hint="eastAsia" w:ascii="宋体" w:hAnsi="宋体" w:eastAsia="宋体" w:cs="宋体"/>
          <w:b w:val="0"/>
          <w:color w:val="auto"/>
          <w:sz w:val="21"/>
          <w:szCs w:val="21"/>
          <w:highlight w:val="none"/>
        </w:rPr>
        <w:t>20</w:t>
      </w:r>
      <w:bookmarkStart w:id="589" w:name="_Toc337558842"/>
      <w:bookmarkStart w:id="590" w:name="_Toc296503148"/>
      <w:bookmarkStart w:id="591" w:name="_Toc296346649"/>
      <w:r>
        <w:rPr>
          <w:rFonts w:hint="eastAsia" w:ascii="宋体" w:hAnsi="宋体" w:eastAsia="宋体" w:cs="宋体"/>
          <w:b w:val="0"/>
          <w:color w:val="auto"/>
          <w:sz w:val="21"/>
          <w:szCs w:val="21"/>
          <w:highlight w:val="none"/>
        </w:rPr>
        <w:t>.2调解</w:t>
      </w:r>
      <w:bookmarkEnd w:id="588"/>
    </w:p>
    <w:bookmarkEnd w:id="589"/>
    <w:bookmarkEnd w:id="590"/>
    <w:bookmarkEnd w:id="591"/>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合同当事人可以就争议请求建设行政主管部门、行业协会或其他第三方进行调解，调解达成协议的，经双方签字并盖章后作为合同补充文件，双方均应遵照执行。</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92" w:name="_Toc351203629"/>
      <w:bookmarkStart w:id="593" w:name="_Toc337558843"/>
      <w:bookmarkStart w:id="594" w:name="_Toc296346650"/>
      <w:bookmarkStart w:id="595" w:name="_Toc296503149"/>
      <w:r>
        <w:rPr>
          <w:rFonts w:hint="eastAsia" w:ascii="宋体" w:hAnsi="宋体" w:eastAsia="宋体" w:cs="宋体"/>
          <w:b w:val="0"/>
          <w:color w:val="auto"/>
          <w:sz w:val="21"/>
          <w:szCs w:val="21"/>
          <w:highlight w:val="none"/>
        </w:rPr>
        <w:t>20.3争议评审</w:t>
      </w:r>
      <w:bookmarkEnd w:id="592"/>
    </w:p>
    <w:bookmarkEnd w:id="593"/>
    <w:bookmarkEnd w:id="594"/>
    <w:bookmarkEnd w:id="595"/>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合同当事人在专用合同条款中约定采取争议评审方式解决争议以及评审规则，并按下列约定执行：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20.3.1 争议评审小组的确定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合同当事人可以共同选择一名或三名争议评审员，组成争议评审小组。除专用合同条款另有约定外，合同当事人应当自合同签订后28天内，或者争议发生后14天内，选定争议评审员。</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除专用合同条款另有约定外，评审员报酬由发包人和承包人各承担一半。</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20.3.2 争议评审小组的决定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20.3.3 争议评审小组决定的效力</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争议评审小组作出的书面决定经合同当事人签字确认后，对双方具有约束力，双方应遵照执行。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任何一方当事人不接受争议评审小组决定或不履行争议评审小组决定的，双方可选择采用其他争议解决方式。</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596" w:name="_Toc351203630"/>
      <w:bookmarkStart w:id="597" w:name="_Toc296503150"/>
      <w:bookmarkStart w:id="598" w:name="_Toc337558844"/>
      <w:bookmarkStart w:id="599" w:name="_Toc296346651"/>
      <w:r>
        <w:rPr>
          <w:rFonts w:hint="eastAsia" w:ascii="宋体" w:hAnsi="宋体" w:eastAsia="宋体" w:cs="宋体"/>
          <w:b w:val="0"/>
          <w:color w:val="auto"/>
          <w:sz w:val="21"/>
          <w:szCs w:val="21"/>
          <w:highlight w:val="none"/>
        </w:rPr>
        <w:t>20.4仲裁或诉讼</w:t>
      </w:r>
      <w:bookmarkEnd w:id="596"/>
    </w:p>
    <w:bookmarkEnd w:id="597"/>
    <w:bookmarkEnd w:id="598"/>
    <w:bookmarkEnd w:id="599"/>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因合同及合同有关事项产生的争议，合同当事人可以在专用合同条款中约定以下一种方式解决争议：</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（1）向约定的仲裁委员会申请仲裁；</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（2）向有管辖权的人民法院起诉。</w:t>
      </w:r>
    </w:p>
    <w:p>
      <w:pPr>
        <w:pStyle w:val="266"/>
        <w:spacing w:before="120" w:after="120" w:line="400" w:lineRule="exact"/>
        <w:ind w:firstLine="420" w:firstLineChars="200"/>
        <w:outlineLvl w:val="5"/>
        <w:rPr>
          <w:rFonts w:hint="eastAsia" w:ascii="宋体" w:hAnsi="宋体" w:eastAsia="宋体" w:cs="宋体"/>
          <w:b w:val="0"/>
          <w:color w:val="auto"/>
          <w:sz w:val="21"/>
          <w:szCs w:val="21"/>
          <w:highlight w:val="none"/>
        </w:rPr>
      </w:pPr>
      <w:bookmarkStart w:id="600" w:name="_Toc351203631"/>
      <w:bookmarkStart w:id="601" w:name="_Toc337558845"/>
      <w:bookmarkStart w:id="602" w:name="_Toc296503152"/>
      <w:bookmarkStart w:id="603" w:name="_Toc296346653"/>
      <w:r>
        <w:rPr>
          <w:rFonts w:hint="eastAsia" w:ascii="宋体" w:hAnsi="宋体" w:eastAsia="宋体" w:cs="宋体"/>
          <w:b w:val="0"/>
          <w:color w:val="auto"/>
          <w:sz w:val="21"/>
          <w:szCs w:val="21"/>
          <w:highlight w:val="none"/>
        </w:rPr>
        <w:t>20.5争议解决条款效力</w:t>
      </w:r>
      <w:bookmarkEnd w:id="600"/>
    </w:p>
    <w:bookmarkEnd w:id="601"/>
    <w:bookmarkEnd w:id="602"/>
    <w:bookmarkEnd w:id="603"/>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合同有关争议解决的条款独立存在，合同的变更、解除、终止、无效或者被撤销均不影响其效力。</w:t>
      </w:r>
    </w:p>
    <w:p>
      <w:pPr>
        <w:pStyle w:val="264"/>
        <w:widowControl/>
        <w:tabs>
          <w:tab w:val="left" w:pos="720"/>
        </w:tabs>
        <w:spacing w:before="120" w:after="120" w:line="240" w:lineRule="auto"/>
        <w:jc w:val="center"/>
        <w:outlineLvl w:val="3"/>
        <w:rPr>
          <w:rFonts w:ascii="宋体" w:hAnsi="宋体"/>
          <w:color w:val="auto"/>
          <w:sz w:val="44"/>
          <w:szCs w:val="44"/>
          <w:highlight w:val="none"/>
        </w:rPr>
      </w:pPr>
      <w:bookmarkStart w:id="604" w:name="_Toc526086064"/>
      <w:bookmarkStart w:id="605" w:name="_Toc526086164"/>
      <w:bookmarkStart w:id="606" w:name="_Toc351203632"/>
      <w:r>
        <w:rPr>
          <w:rFonts w:ascii="宋体" w:hAnsi="宋体"/>
          <w:color w:val="auto"/>
          <w:sz w:val="44"/>
          <w:szCs w:val="44"/>
          <w:highlight w:val="none"/>
        </w:rPr>
        <w:t xml:space="preserve">第三部分 </w:t>
      </w:r>
      <w:r>
        <w:rPr>
          <w:rFonts w:hint="eastAsia" w:ascii="宋体" w:hAnsi="宋体"/>
          <w:color w:val="auto"/>
          <w:sz w:val="44"/>
          <w:szCs w:val="44"/>
          <w:highlight w:val="none"/>
        </w:rPr>
        <w:t>专用合同条款</w:t>
      </w:r>
      <w:bookmarkEnd w:id="604"/>
      <w:bookmarkEnd w:id="605"/>
      <w:bookmarkEnd w:id="606"/>
    </w:p>
    <w:p>
      <w:pPr>
        <w:pStyle w:val="265"/>
        <w:spacing w:before="120" w:after="120" w:line="400" w:lineRule="exact"/>
        <w:outlineLvl w:val="4"/>
        <w:rPr>
          <w:rFonts w:hint="eastAsia" w:ascii="宋体" w:hAnsi="宋体" w:eastAsia="宋体" w:cs="宋体"/>
          <w:b w:val="0"/>
          <w:color w:val="auto"/>
          <w:sz w:val="21"/>
          <w:szCs w:val="21"/>
          <w:highlight w:val="none"/>
        </w:rPr>
      </w:pPr>
      <w:bookmarkStart w:id="607" w:name="_Toc351203633"/>
      <w:r>
        <w:rPr>
          <w:rFonts w:hint="eastAsia" w:ascii="宋体" w:hAnsi="宋体" w:eastAsia="宋体" w:cs="宋体"/>
          <w:b w:val="0"/>
          <w:color w:val="auto"/>
          <w:sz w:val="21"/>
          <w:szCs w:val="21"/>
          <w:highlight w:val="none"/>
        </w:rPr>
        <w:t>1</w:t>
      </w:r>
      <w:bookmarkStart w:id="608" w:name="_Toc296347155"/>
      <w:bookmarkStart w:id="609" w:name="_Toc296891196"/>
      <w:bookmarkStart w:id="610" w:name="_Toc296890984"/>
      <w:bookmarkStart w:id="611" w:name="_Toc296503156"/>
      <w:bookmarkStart w:id="612" w:name="_Toc297120456"/>
      <w:bookmarkStart w:id="613" w:name="_Toc296346657"/>
      <w:bookmarkStart w:id="614" w:name="_Toc296944495"/>
      <w:bookmarkStart w:id="615" w:name="_Toc297048342"/>
      <w:bookmarkStart w:id="616" w:name="_Toc292559361"/>
      <w:bookmarkStart w:id="617" w:name="_Toc292559866"/>
      <w:r>
        <w:rPr>
          <w:rFonts w:hint="eastAsia" w:ascii="宋体" w:hAnsi="宋体" w:eastAsia="宋体" w:cs="宋体"/>
          <w:b w:val="0"/>
          <w:color w:val="auto"/>
          <w:sz w:val="21"/>
          <w:szCs w:val="21"/>
          <w:highlight w:val="none"/>
        </w:rPr>
        <w:t>. 一般约定</w:t>
      </w:r>
      <w:bookmarkEnd w:id="607"/>
    </w:p>
    <w:bookmarkEnd w:id="608"/>
    <w:bookmarkEnd w:id="609"/>
    <w:bookmarkEnd w:id="610"/>
    <w:bookmarkEnd w:id="611"/>
    <w:bookmarkEnd w:id="612"/>
    <w:bookmarkEnd w:id="613"/>
    <w:bookmarkEnd w:id="614"/>
    <w:bookmarkEnd w:id="615"/>
    <w:bookmarkEnd w:id="616"/>
    <w:bookmarkEnd w:id="617"/>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18" w:name="_Toc19097049"/>
      <w:bookmarkStart w:id="619" w:name="_Toc17185658"/>
      <w:bookmarkStart w:id="620" w:name="_Toc531247231"/>
      <w:bookmarkStart w:id="621" w:name="_Toc17185761"/>
      <w:bookmarkStart w:id="622" w:name="_Toc22892085"/>
      <w:bookmarkStart w:id="623" w:name="_Toc526086065"/>
      <w:bookmarkStart w:id="624" w:name="_Toc526086165"/>
      <w:r>
        <w:rPr>
          <w:rFonts w:hint="eastAsia" w:ascii="宋体" w:hAnsi="宋体" w:eastAsia="宋体" w:cs="宋体"/>
          <w:color w:val="auto"/>
          <w:sz w:val="21"/>
          <w:szCs w:val="21"/>
          <w:highlight w:val="none"/>
        </w:rPr>
        <w:t>1.1 词语定义</w:t>
      </w:r>
      <w:bookmarkEnd w:id="618"/>
      <w:bookmarkEnd w:id="619"/>
      <w:bookmarkEnd w:id="620"/>
      <w:bookmarkEnd w:id="621"/>
      <w:bookmarkEnd w:id="622"/>
      <w:bookmarkEnd w:id="623"/>
      <w:bookmarkEnd w:id="624"/>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1.1.1合同</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1.1.1.10其他合同文件包括：</w:t>
      </w:r>
      <w:r>
        <w:rPr>
          <w:rFonts w:hint="eastAsia" w:ascii="宋体" w:hAnsi="宋体" w:eastAsia="宋体" w:cs="宋体"/>
          <w:color w:val="auto"/>
          <w:sz w:val="21"/>
          <w:szCs w:val="21"/>
          <w:highlight w:val="none"/>
          <w:u w:val="single"/>
        </w:rPr>
        <w:t xml:space="preserve">                      </w:t>
      </w:r>
    </w:p>
    <w:p>
      <w:pPr>
        <w:pStyle w:val="261"/>
        <w:spacing w:line="400" w:lineRule="exact"/>
        <w:ind w:left="1320" w:hanging="1155" w:hangingChars="55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w:t>
      </w:r>
    </w:p>
    <w:p>
      <w:pPr>
        <w:pStyle w:val="261"/>
        <w:spacing w:line="400" w:lineRule="exact"/>
        <w:ind w:left="1320" w:hanging="1155" w:hangingChars="55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 合同当事人及其他相关方</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1.1.2.4监理人：</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资质类别和等级：</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1.1.2.5 设计人：</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资质类别和等级：</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 工程和设备</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1.1.3.7 作为施工现场组成部分的其他场所包括：</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1.1.3.9 永久占地包括：</w:t>
      </w: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1.1.3.10 临时占地包括：</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1.3法律 </w:t>
      </w:r>
    </w:p>
    <w:p>
      <w:pPr>
        <w:pStyle w:val="261"/>
        <w:autoSpaceDE w:val="0"/>
        <w:autoSpaceDN w:val="0"/>
        <w:adjustRightInd w:val="0"/>
        <w:spacing w:line="400" w:lineRule="exact"/>
        <w:ind w:left="596" w:leftChars="284"/>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适用于合同的其他规范性文件：</w:t>
      </w:r>
      <w:r>
        <w:rPr>
          <w:rFonts w:hint="eastAsia" w:ascii="宋体" w:hAnsi="宋体" w:eastAsia="宋体" w:cs="宋体"/>
          <w:color w:val="auto"/>
          <w:sz w:val="21"/>
          <w:szCs w:val="21"/>
          <w:highlight w:val="none"/>
          <w:u w:val="single"/>
        </w:rPr>
        <w:t xml:space="preserve">    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 标准和规范</w:t>
      </w:r>
    </w:p>
    <w:p>
      <w:pPr>
        <w:pStyle w:val="261"/>
        <w:spacing w:line="400" w:lineRule="exact"/>
        <w:ind w:left="596" w:leftChars="28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1.4.1适用于工程的标准规范包括：</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outlineLvl w:val="1"/>
        <w:rPr>
          <w:rFonts w:hint="eastAsia" w:ascii="宋体" w:hAnsi="宋体" w:eastAsia="宋体" w:cs="宋体"/>
          <w:color w:val="auto"/>
          <w:kern w:val="0"/>
          <w:sz w:val="21"/>
          <w:szCs w:val="21"/>
          <w:highlight w:val="none"/>
          <w:u w:val="single"/>
        </w:rPr>
      </w:pPr>
      <w:bookmarkStart w:id="625" w:name="_Toc531247232"/>
      <w:bookmarkStart w:id="626" w:name="_Toc17185659"/>
      <w:bookmarkStart w:id="627" w:name="_Toc526086066"/>
      <w:bookmarkStart w:id="628" w:name="_Toc526086166"/>
      <w:bookmarkStart w:id="629" w:name="_Toc22892086"/>
      <w:bookmarkStart w:id="630" w:name="_Toc17185762"/>
      <w:bookmarkStart w:id="631" w:name="_Toc19097050"/>
      <w:r>
        <w:rPr>
          <w:rFonts w:hint="eastAsia" w:ascii="宋体" w:hAnsi="宋体" w:eastAsia="宋体" w:cs="宋体"/>
          <w:color w:val="auto"/>
          <w:kern w:val="0"/>
          <w:sz w:val="21"/>
          <w:szCs w:val="21"/>
          <w:highlight w:val="none"/>
        </w:rPr>
        <w:t>1.4.2 发包人提供国外标准、规范的名称：</w:t>
      </w:r>
      <w:bookmarkEnd w:id="625"/>
      <w:bookmarkEnd w:id="626"/>
      <w:bookmarkEnd w:id="627"/>
      <w:bookmarkEnd w:id="628"/>
      <w:bookmarkEnd w:id="629"/>
      <w:bookmarkEnd w:id="630"/>
      <w:bookmarkEnd w:id="631"/>
      <w:r>
        <w:rPr>
          <w:rFonts w:hint="eastAsia" w:ascii="宋体" w:hAnsi="宋体" w:eastAsia="宋体" w:cs="宋体"/>
          <w:color w:val="auto"/>
          <w:kern w:val="0"/>
          <w:sz w:val="21"/>
          <w:szCs w:val="21"/>
          <w:highlight w:val="none"/>
          <w:u w:val="single"/>
        </w:rPr>
        <w:t xml:space="preserve">                 </w:t>
      </w:r>
    </w:p>
    <w:p>
      <w:pPr>
        <w:pStyle w:val="261"/>
        <w:spacing w:line="400" w:lineRule="exac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发包人提供国外标准、规范的份数：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发包人提供国外标准、规范的名称：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left="596" w:leftChars="28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1.4.3发包人对工程的技术标准和功能要求的特殊要求：</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32" w:name="_Toc22892087"/>
      <w:bookmarkStart w:id="633" w:name="_Toc526086167"/>
      <w:bookmarkStart w:id="634" w:name="_Toc17185763"/>
      <w:bookmarkStart w:id="635" w:name="_Toc19097051"/>
      <w:bookmarkStart w:id="636" w:name="_Toc17185660"/>
      <w:bookmarkStart w:id="637" w:name="_Toc526086067"/>
      <w:bookmarkStart w:id="638" w:name="_Toc531247233"/>
      <w:r>
        <w:rPr>
          <w:rFonts w:hint="eastAsia" w:ascii="宋体" w:hAnsi="宋体" w:eastAsia="宋体" w:cs="宋体"/>
          <w:color w:val="auto"/>
          <w:sz w:val="21"/>
          <w:szCs w:val="21"/>
          <w:highlight w:val="none"/>
        </w:rPr>
        <w:t>1.5 合同文件的优先顺序</w:t>
      </w:r>
      <w:bookmarkEnd w:id="632"/>
      <w:bookmarkEnd w:id="633"/>
      <w:bookmarkEnd w:id="634"/>
      <w:bookmarkEnd w:id="635"/>
      <w:bookmarkEnd w:id="636"/>
      <w:bookmarkEnd w:id="637"/>
      <w:bookmarkEnd w:id="638"/>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合同文件组成及优先顺序为：</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                                       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39" w:name="_Toc531247234"/>
      <w:bookmarkStart w:id="640" w:name="_Toc17185764"/>
      <w:bookmarkStart w:id="641" w:name="_Toc17185661"/>
      <w:bookmarkStart w:id="642" w:name="_Toc19097052"/>
      <w:bookmarkStart w:id="643" w:name="_Toc22892088"/>
      <w:bookmarkStart w:id="644" w:name="_Toc526086068"/>
      <w:bookmarkStart w:id="645" w:name="_Toc526086168"/>
      <w:r>
        <w:rPr>
          <w:rFonts w:hint="eastAsia" w:ascii="宋体" w:hAnsi="宋体" w:eastAsia="宋体" w:cs="宋体"/>
          <w:color w:val="auto"/>
          <w:sz w:val="21"/>
          <w:szCs w:val="21"/>
          <w:highlight w:val="none"/>
        </w:rPr>
        <w:t>1.6 图纸和承包人文件</w:t>
      </w:r>
      <w:bookmarkEnd w:id="639"/>
      <w:bookmarkEnd w:id="640"/>
      <w:bookmarkEnd w:id="641"/>
      <w:bookmarkEnd w:id="642"/>
      <w:bookmarkEnd w:id="643"/>
      <w:bookmarkEnd w:id="644"/>
      <w:bookmarkEnd w:id="645"/>
      <w:r>
        <w:rPr>
          <w:rFonts w:hint="eastAsia" w:ascii="宋体" w:hAnsi="宋体" w:eastAsia="宋体" w:cs="宋体"/>
          <w:color w:val="auto"/>
          <w:sz w:val="21"/>
          <w:szCs w:val="21"/>
          <w:highlight w:val="none"/>
        </w:rPr>
        <w:tab/>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 图纸的提供</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发包人向承包人提供图纸的期限：</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发包人向承包人提供图纸的数量：</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发包人向承包人提供图纸的内容：</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1.6.4 承包人文件</w:t>
      </w:r>
    </w:p>
    <w:p>
      <w:pPr>
        <w:pStyle w:val="261"/>
        <w:spacing w:line="400" w:lineRule="exact"/>
        <w:ind w:left="596" w:leftChars="284"/>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需要由承包人提供的文件，包括：</w:t>
      </w:r>
      <w:r>
        <w:rPr>
          <w:rFonts w:hint="eastAsia" w:ascii="宋体" w:hAnsi="宋体" w:eastAsia="宋体" w:cs="宋体"/>
          <w:color w:val="auto"/>
          <w:sz w:val="21"/>
          <w:szCs w:val="21"/>
          <w:highlight w:val="none"/>
          <w:u w:val="single"/>
        </w:rPr>
        <w:t>          </w:t>
      </w:r>
    </w:p>
    <w:p>
      <w:pPr>
        <w:pStyle w:val="261"/>
        <w:spacing w:line="400" w:lineRule="exact"/>
        <w:ind w:left="596" w:leftChars="284"/>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承包人提供的文件的期限为：</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承包人提供的文件的数量为：</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承包人提供的文件的形式为：</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发包人审批承包人文件的期限：</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1.6.5 现场图纸准备</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关于现场图纸准备的约定：</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46" w:name="_Toc17185662"/>
      <w:bookmarkStart w:id="647" w:name="_Toc531247235"/>
      <w:bookmarkStart w:id="648" w:name="_Toc19097053"/>
      <w:bookmarkStart w:id="649" w:name="_Toc526086069"/>
      <w:bookmarkStart w:id="650" w:name="_Toc526086169"/>
      <w:bookmarkStart w:id="651" w:name="_Toc17185765"/>
      <w:bookmarkStart w:id="652" w:name="_Toc22892089"/>
      <w:r>
        <w:rPr>
          <w:rFonts w:hint="eastAsia" w:ascii="宋体" w:hAnsi="宋体" w:eastAsia="宋体" w:cs="宋体"/>
          <w:color w:val="auto"/>
          <w:sz w:val="21"/>
          <w:szCs w:val="21"/>
          <w:highlight w:val="none"/>
        </w:rPr>
        <w:t>1.7 联络</w:t>
      </w:r>
      <w:bookmarkEnd w:id="646"/>
      <w:bookmarkEnd w:id="647"/>
      <w:bookmarkEnd w:id="648"/>
      <w:bookmarkEnd w:id="649"/>
      <w:bookmarkEnd w:id="650"/>
      <w:bookmarkEnd w:id="651"/>
      <w:bookmarkEnd w:id="652"/>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1.7.1发包人和承包人应当在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天内将与合同有关的通知、批准、证明、证书、指示、指令、要求、请求、同意、意见、确定和决定等书面函件送达对方当事人。</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1.7.2 发包人接收文件的地点：</w:t>
      </w:r>
      <w:r>
        <w:rPr>
          <w:rFonts w:hint="eastAsia" w:ascii="宋体" w:hAnsi="宋体" w:eastAsia="宋体" w:cs="宋体"/>
          <w:color w:val="auto"/>
          <w:sz w:val="21"/>
          <w:szCs w:val="21"/>
          <w:highlight w:val="none"/>
          <w:u w:val="single"/>
        </w:rPr>
        <w:t>  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发包人指定的接收人为：</w:t>
      </w:r>
      <w:r>
        <w:rPr>
          <w:rFonts w:hint="eastAsia" w:ascii="宋体" w:hAnsi="宋体" w:eastAsia="宋体" w:cs="宋体"/>
          <w:color w:val="auto"/>
          <w:sz w:val="21"/>
          <w:szCs w:val="21"/>
          <w:highlight w:val="none"/>
          <w:u w:val="single"/>
        </w:rPr>
        <w:t>       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承包人接收文件的地点：</w:t>
      </w:r>
      <w:r>
        <w:rPr>
          <w:rFonts w:hint="eastAsia" w:ascii="宋体" w:hAnsi="宋体" w:eastAsia="宋体" w:cs="宋体"/>
          <w:color w:val="auto"/>
          <w:sz w:val="21"/>
          <w:szCs w:val="21"/>
          <w:highlight w:val="none"/>
          <w:u w:val="single"/>
        </w:rPr>
        <w:t>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承包人指定的接收人为：</w:t>
      </w:r>
      <w:r>
        <w:rPr>
          <w:rFonts w:hint="eastAsia" w:ascii="宋体" w:hAnsi="宋体" w:eastAsia="宋体" w:cs="宋体"/>
          <w:color w:val="auto"/>
          <w:sz w:val="21"/>
          <w:szCs w:val="21"/>
          <w:highlight w:val="none"/>
          <w:u w:val="single"/>
        </w:rPr>
        <w:t>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监理人接收文件的地点：</w:t>
      </w:r>
      <w:r>
        <w:rPr>
          <w:rFonts w:hint="eastAsia" w:ascii="宋体" w:hAnsi="宋体" w:eastAsia="宋体" w:cs="宋体"/>
          <w:color w:val="auto"/>
          <w:sz w:val="21"/>
          <w:szCs w:val="21"/>
          <w:highlight w:val="none"/>
          <w:u w:val="single"/>
        </w:rPr>
        <w:t> 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监理人指定的接收人为：</w:t>
      </w:r>
      <w:r>
        <w:rPr>
          <w:rFonts w:hint="eastAsia" w:ascii="宋体" w:hAnsi="宋体" w:eastAsia="宋体" w:cs="宋体"/>
          <w:color w:val="auto"/>
          <w:sz w:val="21"/>
          <w:szCs w:val="21"/>
          <w:highlight w:val="none"/>
          <w:u w:val="single"/>
        </w:rPr>
        <w:t>          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53" w:name="_Toc531247236"/>
      <w:bookmarkStart w:id="654" w:name="_Toc22892090"/>
      <w:bookmarkStart w:id="655" w:name="_Toc17185663"/>
      <w:bookmarkStart w:id="656" w:name="_Toc19097054"/>
      <w:bookmarkStart w:id="657" w:name="_Toc526086070"/>
      <w:bookmarkStart w:id="658" w:name="_Toc17185766"/>
      <w:bookmarkStart w:id="659" w:name="_Toc526086170"/>
      <w:r>
        <w:rPr>
          <w:rFonts w:hint="eastAsia" w:ascii="宋体" w:hAnsi="宋体" w:eastAsia="宋体" w:cs="宋体"/>
          <w:color w:val="auto"/>
          <w:sz w:val="21"/>
          <w:szCs w:val="21"/>
          <w:highlight w:val="none"/>
        </w:rPr>
        <w:t>1.10 交通运输</w:t>
      </w:r>
      <w:bookmarkEnd w:id="653"/>
      <w:bookmarkEnd w:id="654"/>
      <w:bookmarkEnd w:id="655"/>
      <w:bookmarkEnd w:id="656"/>
      <w:bookmarkEnd w:id="657"/>
      <w:bookmarkEnd w:id="658"/>
      <w:bookmarkEnd w:id="659"/>
    </w:p>
    <w:p>
      <w:pPr>
        <w:pStyle w:val="261"/>
        <w:spacing w:line="400" w:lineRule="exact"/>
        <w:ind w:firstLine="420" w:firstLineChars="200"/>
        <w:outlineLvl w:val="1"/>
        <w:rPr>
          <w:rFonts w:hint="eastAsia" w:ascii="宋体" w:hAnsi="宋体" w:eastAsia="宋体" w:cs="宋体"/>
          <w:color w:val="auto"/>
          <w:sz w:val="21"/>
          <w:szCs w:val="21"/>
          <w:highlight w:val="none"/>
        </w:rPr>
      </w:pPr>
      <w:bookmarkStart w:id="660" w:name="_Toc17185664"/>
      <w:bookmarkStart w:id="661" w:name="_Toc531247237"/>
      <w:bookmarkStart w:id="662" w:name="_Toc526086071"/>
      <w:bookmarkStart w:id="663" w:name="_Toc22892091"/>
      <w:bookmarkStart w:id="664" w:name="_Toc17185767"/>
      <w:bookmarkStart w:id="665" w:name="_Toc526086171"/>
      <w:bookmarkStart w:id="666" w:name="_Toc19097055"/>
      <w:r>
        <w:rPr>
          <w:rFonts w:hint="eastAsia" w:ascii="宋体" w:hAnsi="宋体" w:eastAsia="宋体" w:cs="宋体"/>
          <w:color w:val="auto"/>
          <w:sz w:val="21"/>
          <w:szCs w:val="21"/>
          <w:highlight w:val="none"/>
        </w:rPr>
        <w:t>1</w:t>
      </w:r>
      <w:bookmarkStart w:id="667" w:name="_Toc303539100"/>
      <w:bookmarkStart w:id="668" w:name="_Toc312677986"/>
      <w:bookmarkStart w:id="669" w:name="_Toc300934943"/>
      <w:bookmarkStart w:id="670" w:name="_Toc318581155"/>
      <w:bookmarkStart w:id="671" w:name="_Toc304295521"/>
      <w:r>
        <w:rPr>
          <w:rFonts w:hint="eastAsia" w:ascii="宋体" w:hAnsi="宋体" w:eastAsia="宋体" w:cs="宋体"/>
          <w:color w:val="auto"/>
          <w:sz w:val="21"/>
          <w:szCs w:val="21"/>
          <w:highlight w:val="none"/>
        </w:rPr>
        <w:t>.10.1 出入现场的权利</w:t>
      </w:r>
      <w:bookmarkEnd w:id="660"/>
      <w:bookmarkEnd w:id="661"/>
      <w:bookmarkEnd w:id="662"/>
      <w:bookmarkEnd w:id="663"/>
      <w:bookmarkEnd w:id="664"/>
      <w:bookmarkEnd w:id="665"/>
      <w:bookmarkEnd w:id="666"/>
    </w:p>
    <w:p>
      <w:pPr>
        <w:pStyle w:val="261"/>
        <w:spacing w:line="400" w:lineRule="exact"/>
        <w:ind w:left="596" w:leftChars="284"/>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关于出入现场的权利的约定：</w:t>
      </w:r>
      <w:r>
        <w:rPr>
          <w:rFonts w:hint="eastAsia" w:ascii="宋体" w:hAnsi="宋体" w:eastAsia="宋体" w:cs="宋体"/>
          <w:color w:val="auto"/>
          <w:sz w:val="21"/>
          <w:szCs w:val="21"/>
          <w:highlight w:val="none"/>
          <w:u w:val="single"/>
        </w:rPr>
        <w:t> 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         </w:t>
      </w:r>
      <w:r>
        <w:rPr>
          <w:rFonts w:hint="eastAsia" w:ascii="宋体" w:hAnsi="宋体" w:eastAsia="宋体" w:cs="宋体"/>
          <w:color w:val="auto"/>
          <w:sz w:val="21"/>
          <w:szCs w:val="21"/>
          <w:highlight w:val="none"/>
        </w:rPr>
        <w:t>。</w:t>
      </w:r>
    </w:p>
    <w:bookmarkEnd w:id="667"/>
    <w:bookmarkEnd w:id="668"/>
    <w:bookmarkEnd w:id="669"/>
    <w:bookmarkEnd w:id="670"/>
    <w:bookmarkEnd w:id="671"/>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672" w:name="_Toc526086072"/>
      <w:bookmarkStart w:id="673" w:name="_Toc526086172"/>
      <w:bookmarkStart w:id="674" w:name="_Toc17185768"/>
      <w:bookmarkStart w:id="675" w:name="_Toc17185665"/>
      <w:bookmarkStart w:id="676" w:name="_Toc22892092"/>
      <w:bookmarkStart w:id="677" w:name="_Toc19097056"/>
      <w:bookmarkStart w:id="678" w:name="_Toc531247238"/>
      <w:r>
        <w:rPr>
          <w:rFonts w:hint="eastAsia" w:ascii="宋体" w:hAnsi="宋体" w:eastAsia="宋体" w:cs="宋体"/>
          <w:color w:val="auto"/>
          <w:sz w:val="21"/>
          <w:szCs w:val="21"/>
          <w:highlight w:val="none"/>
        </w:rPr>
        <w:t>1</w:t>
      </w:r>
      <w:bookmarkStart w:id="679" w:name="_Toc303539101"/>
      <w:bookmarkStart w:id="680" w:name="_Toc300934944"/>
      <w:bookmarkStart w:id="681" w:name="_Toc312677987"/>
      <w:bookmarkStart w:id="682" w:name="_Toc318581156"/>
      <w:bookmarkStart w:id="683" w:name="_Toc304295522"/>
      <w:r>
        <w:rPr>
          <w:rFonts w:hint="eastAsia" w:ascii="宋体" w:hAnsi="宋体" w:eastAsia="宋体" w:cs="宋体"/>
          <w:color w:val="auto"/>
          <w:sz w:val="21"/>
          <w:szCs w:val="21"/>
          <w:highlight w:val="none"/>
        </w:rPr>
        <w:t>.10.3 场内交通</w:t>
      </w:r>
      <w:bookmarkEnd w:id="672"/>
      <w:bookmarkEnd w:id="673"/>
      <w:bookmarkEnd w:id="674"/>
      <w:bookmarkEnd w:id="675"/>
      <w:bookmarkEnd w:id="676"/>
      <w:bookmarkEnd w:id="677"/>
      <w:bookmarkEnd w:id="67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关于场外交通和场内交通的边界的约定：</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关于发包人向承包人免费提供满足工程施工需要的场内道路和交通设施的约定：</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bookmarkEnd w:id="679"/>
      <w:bookmarkEnd w:id="680"/>
      <w:bookmarkEnd w:id="681"/>
      <w:bookmarkEnd w:id="682"/>
      <w:bookmarkEnd w:id="683"/>
      <w:bookmarkStart w:id="684" w:name="_Toc318581157"/>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1.10.4超大件和超重件的运输</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运输超大件或超重件所需的道路和桥梁临时加固改造费用和其他有关费用由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承担。</w:t>
      </w:r>
    </w:p>
    <w:bookmarkEnd w:id="684"/>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685" w:name="_Toc22892093"/>
      <w:bookmarkStart w:id="686" w:name="_Toc17185769"/>
      <w:bookmarkStart w:id="687" w:name="_Toc17185666"/>
      <w:bookmarkStart w:id="688" w:name="_Toc526086173"/>
      <w:bookmarkStart w:id="689" w:name="_Toc531247239"/>
      <w:bookmarkStart w:id="690" w:name="_Toc526086073"/>
      <w:bookmarkStart w:id="691" w:name="_Toc19097057"/>
      <w:r>
        <w:rPr>
          <w:rFonts w:hint="eastAsia" w:ascii="宋体" w:hAnsi="宋体" w:eastAsia="宋体" w:cs="宋体"/>
          <w:color w:val="auto"/>
          <w:sz w:val="21"/>
          <w:szCs w:val="21"/>
          <w:highlight w:val="none"/>
        </w:rPr>
        <w:t>1.11 知识产权</w:t>
      </w:r>
      <w:bookmarkEnd w:id="685"/>
      <w:bookmarkEnd w:id="686"/>
      <w:bookmarkEnd w:id="687"/>
      <w:bookmarkEnd w:id="688"/>
      <w:bookmarkEnd w:id="689"/>
      <w:bookmarkEnd w:id="690"/>
      <w:bookmarkEnd w:id="691"/>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color w:val="auto"/>
          <w:sz w:val="21"/>
          <w:szCs w:val="21"/>
          <w:highlight w:val="none"/>
          <w:u w:val="single"/>
        </w:rPr>
        <w:t></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line="400" w:lineRule="exact"/>
        <w:ind w:left="596" w:leftChars="28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关于发包人提供的上述文件的使用限制的要求：</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left="596" w:leftChars="284"/>
        <w:outlineLvl w:val="1"/>
        <w:rPr>
          <w:rFonts w:hint="eastAsia" w:ascii="宋体" w:hAnsi="宋体" w:eastAsia="宋体" w:cs="宋体"/>
          <w:color w:val="auto"/>
          <w:sz w:val="21"/>
          <w:szCs w:val="21"/>
          <w:highlight w:val="none"/>
        </w:rPr>
      </w:pPr>
      <w:bookmarkStart w:id="692" w:name="_Toc19097058"/>
      <w:bookmarkStart w:id="693" w:name="_Toc17185770"/>
      <w:bookmarkStart w:id="694" w:name="_Toc531247240"/>
      <w:bookmarkStart w:id="695" w:name="_Toc22892094"/>
      <w:bookmarkStart w:id="696" w:name="_Toc17185667"/>
      <w:bookmarkStart w:id="697" w:name="_Toc526086074"/>
      <w:bookmarkStart w:id="698" w:name="_Toc526086174"/>
      <w:r>
        <w:rPr>
          <w:rFonts w:hint="eastAsia" w:ascii="宋体" w:hAnsi="宋体" w:eastAsia="宋体" w:cs="宋体"/>
          <w:color w:val="auto"/>
          <w:sz w:val="21"/>
          <w:szCs w:val="21"/>
          <w:highlight w:val="none"/>
        </w:rPr>
        <w:t>1.11.2 关于承包人为实施工程所编制文件的著作权的归属：</w:t>
      </w:r>
      <w:bookmarkEnd w:id="692"/>
      <w:bookmarkEnd w:id="693"/>
      <w:bookmarkEnd w:id="694"/>
      <w:bookmarkEnd w:id="695"/>
      <w:bookmarkEnd w:id="696"/>
      <w:bookmarkEnd w:id="697"/>
      <w:bookmarkEnd w:id="698"/>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关于承包人提供的上述文件的使用限制的要求：</w:t>
      </w:r>
      <w:r>
        <w:rPr>
          <w:rFonts w:hint="eastAsia" w:ascii="宋体" w:hAnsi="宋体" w:eastAsia="宋体" w:cs="宋体"/>
          <w:color w:val="auto"/>
          <w:sz w:val="21"/>
          <w:szCs w:val="21"/>
          <w:highlight w:val="none"/>
          <w:u w:val="single"/>
        </w:rPr>
        <w:t>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line="400" w:lineRule="exact"/>
        <w:ind w:firstLine="420" w:firstLineChars="200"/>
        <w:outlineLvl w:val="1"/>
        <w:rPr>
          <w:rFonts w:hint="eastAsia" w:ascii="宋体" w:hAnsi="宋体" w:eastAsia="宋体" w:cs="宋体"/>
          <w:color w:val="auto"/>
          <w:kern w:val="0"/>
          <w:sz w:val="21"/>
          <w:szCs w:val="21"/>
          <w:highlight w:val="none"/>
        </w:rPr>
      </w:pPr>
      <w:bookmarkStart w:id="699" w:name="_Toc17185668"/>
      <w:bookmarkStart w:id="700" w:name="_Toc22892095"/>
      <w:bookmarkStart w:id="701" w:name="_Toc526086075"/>
      <w:bookmarkStart w:id="702" w:name="_Toc17185771"/>
      <w:bookmarkStart w:id="703" w:name="_Toc19097059"/>
      <w:bookmarkStart w:id="704" w:name="_Toc531247241"/>
      <w:bookmarkStart w:id="705" w:name="_Toc526086175"/>
      <w:r>
        <w:rPr>
          <w:rFonts w:hint="eastAsia" w:ascii="宋体" w:hAnsi="宋体" w:eastAsia="宋体" w:cs="宋体"/>
          <w:color w:val="auto"/>
          <w:sz w:val="21"/>
          <w:szCs w:val="21"/>
          <w:highlight w:val="none"/>
        </w:rPr>
        <w:t>1.11.4 承包人在施工过程中所采用的专利、专有技术、技术秘密的使用费的承担方式：</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kern w:val="0"/>
          <w:sz w:val="21"/>
          <w:szCs w:val="21"/>
          <w:highlight w:val="none"/>
        </w:rPr>
        <w:t>。</w:t>
      </w:r>
      <w:bookmarkEnd w:id="699"/>
      <w:bookmarkEnd w:id="700"/>
      <w:bookmarkEnd w:id="701"/>
      <w:bookmarkEnd w:id="702"/>
      <w:bookmarkEnd w:id="703"/>
      <w:bookmarkEnd w:id="704"/>
      <w:bookmarkEnd w:id="705"/>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1.13工程量清单错误的修正</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出现工程量清单错误时，是否调整合同价格：</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kern w:val="0"/>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允许调整合同价格的工程量偏差范围：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706" w:name="_Toc351203634"/>
      <w:r>
        <w:rPr>
          <w:rFonts w:hint="eastAsia" w:ascii="宋体" w:hAnsi="宋体" w:eastAsia="宋体" w:cs="宋体"/>
          <w:b w:val="0"/>
          <w:color w:val="auto"/>
          <w:sz w:val="21"/>
          <w:szCs w:val="21"/>
          <w:highlight w:val="none"/>
        </w:rPr>
        <w:t>2</w:t>
      </w:r>
      <w:bookmarkStart w:id="707" w:name="_Toc296347156"/>
      <w:bookmarkStart w:id="708" w:name="_Toc292559867"/>
      <w:bookmarkStart w:id="709" w:name="_Toc297120457"/>
      <w:bookmarkStart w:id="710" w:name="_Toc296890985"/>
      <w:bookmarkStart w:id="711" w:name="_Toc296944496"/>
      <w:bookmarkStart w:id="712" w:name="_Toc296346658"/>
      <w:bookmarkStart w:id="713" w:name="_Toc296503157"/>
      <w:bookmarkStart w:id="714" w:name="_Toc292559362"/>
      <w:bookmarkStart w:id="715" w:name="_Toc296891197"/>
      <w:bookmarkStart w:id="716" w:name="_Toc297048343"/>
      <w:r>
        <w:rPr>
          <w:rFonts w:hint="eastAsia" w:ascii="宋体" w:hAnsi="宋体" w:eastAsia="宋体" w:cs="宋体"/>
          <w:b w:val="0"/>
          <w:color w:val="auto"/>
          <w:sz w:val="21"/>
          <w:szCs w:val="21"/>
          <w:highlight w:val="none"/>
        </w:rPr>
        <w:t>. 发包人</w:t>
      </w:r>
      <w:bookmarkEnd w:id="706"/>
    </w:p>
    <w:bookmarkEnd w:id="707"/>
    <w:bookmarkEnd w:id="708"/>
    <w:bookmarkEnd w:id="709"/>
    <w:bookmarkEnd w:id="710"/>
    <w:bookmarkEnd w:id="711"/>
    <w:bookmarkEnd w:id="712"/>
    <w:bookmarkEnd w:id="713"/>
    <w:bookmarkEnd w:id="714"/>
    <w:bookmarkEnd w:id="715"/>
    <w:bookmarkEnd w:id="716"/>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717" w:name="_Toc526086076"/>
      <w:bookmarkStart w:id="718" w:name="_Toc17185772"/>
      <w:bookmarkStart w:id="719" w:name="_Toc531247242"/>
      <w:bookmarkStart w:id="720" w:name="_Toc17185669"/>
      <w:bookmarkStart w:id="721" w:name="_Toc22892096"/>
      <w:bookmarkStart w:id="722" w:name="_Toc526086176"/>
      <w:bookmarkStart w:id="723" w:name="_Toc19097060"/>
      <w:r>
        <w:rPr>
          <w:rFonts w:hint="eastAsia" w:ascii="宋体" w:hAnsi="宋体" w:eastAsia="宋体" w:cs="宋体"/>
          <w:color w:val="auto"/>
          <w:sz w:val="21"/>
          <w:szCs w:val="21"/>
          <w:highlight w:val="none"/>
        </w:rPr>
        <w:t>2.2 发包人代表</w:t>
      </w:r>
      <w:bookmarkEnd w:id="717"/>
      <w:bookmarkEnd w:id="718"/>
      <w:bookmarkEnd w:id="719"/>
      <w:bookmarkEnd w:id="720"/>
      <w:bookmarkEnd w:id="721"/>
      <w:bookmarkEnd w:id="722"/>
      <w:bookmarkEnd w:id="723"/>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发包人代表：</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发包人对发包人代表的授权范围如下：</w:t>
      </w:r>
      <w:r>
        <w:rPr>
          <w:rFonts w:hint="eastAsia" w:ascii="宋体" w:hAnsi="宋体" w:eastAsia="宋体" w:cs="宋体"/>
          <w:color w:val="auto"/>
          <w:sz w:val="21"/>
          <w:szCs w:val="21"/>
          <w:highlight w:val="none"/>
          <w:u w:val="single"/>
        </w:rPr>
        <w:t>     </w:t>
      </w:r>
    </w:p>
    <w:p>
      <w:pPr>
        <w:pStyle w:val="261"/>
        <w:spacing w:line="400" w:lineRule="exac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724" w:name="_Toc19097061"/>
      <w:bookmarkStart w:id="725" w:name="_Toc531247243"/>
      <w:bookmarkStart w:id="726" w:name="_Toc526086177"/>
      <w:bookmarkStart w:id="727" w:name="_Toc17185670"/>
      <w:bookmarkStart w:id="728" w:name="_Toc17185773"/>
      <w:bookmarkStart w:id="729" w:name="_Toc22892097"/>
      <w:bookmarkStart w:id="730" w:name="_Toc526086077"/>
      <w:r>
        <w:rPr>
          <w:rFonts w:hint="eastAsia" w:ascii="宋体" w:hAnsi="宋体" w:eastAsia="宋体" w:cs="宋体"/>
          <w:color w:val="auto"/>
          <w:sz w:val="21"/>
          <w:szCs w:val="21"/>
          <w:highlight w:val="none"/>
        </w:rPr>
        <w:t>2.4 施工现场、施工条件和基础资料的提供</w:t>
      </w:r>
      <w:bookmarkEnd w:id="724"/>
      <w:bookmarkEnd w:id="725"/>
      <w:bookmarkEnd w:id="726"/>
      <w:bookmarkEnd w:id="727"/>
      <w:bookmarkEnd w:id="728"/>
      <w:bookmarkEnd w:id="729"/>
      <w:bookmarkEnd w:id="730"/>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 提供施工现场</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关于发包人移交施工现场的期限要求：</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 提供施工条件</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关于发包人应负责提供施工所需要的条件，包括：</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731" w:name="_Toc17185671"/>
      <w:bookmarkStart w:id="732" w:name="_Toc19097062"/>
      <w:bookmarkStart w:id="733" w:name="_Toc526086078"/>
      <w:bookmarkStart w:id="734" w:name="_Toc526086178"/>
      <w:bookmarkStart w:id="735" w:name="_Toc22892098"/>
      <w:bookmarkStart w:id="736" w:name="_Toc531247244"/>
      <w:bookmarkStart w:id="737" w:name="_Toc17185774"/>
      <w:r>
        <w:rPr>
          <w:rFonts w:hint="eastAsia" w:ascii="宋体" w:hAnsi="宋体" w:eastAsia="宋体" w:cs="宋体"/>
          <w:color w:val="auto"/>
          <w:sz w:val="21"/>
          <w:szCs w:val="21"/>
          <w:highlight w:val="none"/>
        </w:rPr>
        <w:t>2.5 资金来源证明及支付担保</w:t>
      </w:r>
      <w:bookmarkEnd w:id="731"/>
      <w:bookmarkEnd w:id="732"/>
      <w:bookmarkEnd w:id="733"/>
      <w:bookmarkEnd w:id="734"/>
      <w:bookmarkEnd w:id="735"/>
      <w:bookmarkEnd w:id="736"/>
      <w:bookmarkEnd w:id="737"/>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发包人提供资金来源证明的期限要求：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发包人是否提供支付担保：</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发包人提供支付担保的形式：</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738" w:name="_Toc351203635"/>
      <w:r>
        <w:rPr>
          <w:rFonts w:hint="eastAsia" w:ascii="宋体" w:hAnsi="宋体" w:eastAsia="宋体" w:cs="宋体"/>
          <w:b w:val="0"/>
          <w:color w:val="auto"/>
          <w:sz w:val="21"/>
          <w:szCs w:val="21"/>
          <w:highlight w:val="none"/>
        </w:rPr>
        <w:t>3</w:t>
      </w:r>
      <w:bookmarkStart w:id="739" w:name="_Toc292559363"/>
      <w:bookmarkStart w:id="740" w:name="_Toc296890986"/>
      <w:bookmarkStart w:id="741" w:name="_Toc296347157"/>
      <w:bookmarkStart w:id="742" w:name="_Toc296944497"/>
      <w:bookmarkStart w:id="743" w:name="_Toc297048344"/>
      <w:bookmarkStart w:id="744" w:name="_Toc296891198"/>
      <w:bookmarkStart w:id="745" w:name="_Toc296346659"/>
      <w:bookmarkStart w:id="746" w:name="_Toc296503158"/>
      <w:bookmarkStart w:id="747" w:name="_Toc292559868"/>
      <w:bookmarkStart w:id="748" w:name="_Toc297120458"/>
      <w:r>
        <w:rPr>
          <w:rFonts w:hint="eastAsia" w:ascii="宋体" w:hAnsi="宋体" w:eastAsia="宋体" w:cs="宋体"/>
          <w:b w:val="0"/>
          <w:color w:val="auto"/>
          <w:sz w:val="21"/>
          <w:szCs w:val="21"/>
          <w:highlight w:val="none"/>
        </w:rPr>
        <w:t>. 承包人</w:t>
      </w:r>
      <w:bookmarkEnd w:id="738"/>
    </w:p>
    <w:bookmarkEnd w:id="739"/>
    <w:bookmarkEnd w:id="740"/>
    <w:bookmarkEnd w:id="741"/>
    <w:bookmarkEnd w:id="742"/>
    <w:bookmarkEnd w:id="743"/>
    <w:bookmarkEnd w:id="744"/>
    <w:bookmarkEnd w:id="745"/>
    <w:bookmarkEnd w:id="746"/>
    <w:bookmarkEnd w:id="747"/>
    <w:bookmarkEnd w:id="748"/>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 承包人的一般义务</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（9）</w:t>
      </w:r>
      <w:r>
        <w:rPr>
          <w:rFonts w:hint="eastAsia" w:ascii="宋体" w:hAnsi="宋体" w:eastAsia="宋体" w:cs="宋体"/>
          <w:color w:val="auto"/>
          <w:sz w:val="21"/>
          <w:szCs w:val="21"/>
          <w:highlight w:val="none"/>
        </w:rPr>
        <w:t>承包人提交的竣工资料的内容：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承包人需要提交的竣工资料套数：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left="638" w:leftChars="304"/>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承包人提交的竣工资料的费用承担：</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left="638" w:leftChars="304"/>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承包人提交的竣工资料移交时间：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承包人提交的竣工资料形式要求：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（10）承包人应履行的其他义务：</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 项目经理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3.2.1 </w:t>
      </w:r>
      <w:r>
        <w:rPr>
          <w:rFonts w:hint="eastAsia" w:ascii="宋体" w:hAnsi="宋体" w:eastAsia="宋体" w:cs="宋体"/>
          <w:color w:val="auto"/>
          <w:sz w:val="21"/>
          <w:szCs w:val="21"/>
          <w:highlight w:val="none"/>
        </w:rPr>
        <w:t>项目经理：</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建造师执业资格等级：</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建造师注册证书号：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建造师执业印章号：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安全生产考核合格证书号：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承包人对项目经理的授权范围如下：</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关于项目经理每月在施工现场的时间要求：</w:t>
      </w:r>
      <w:r>
        <w:rPr>
          <w:rFonts w:hint="eastAsia" w:ascii="宋体" w:hAnsi="宋体" w:eastAsia="宋体" w:cs="宋体"/>
          <w:color w:val="auto"/>
          <w:sz w:val="21"/>
          <w:szCs w:val="21"/>
          <w:highlight w:val="none"/>
          <w:u w:val="single"/>
        </w:rPr>
        <w:t xml:space="preserve">       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承包人未提交劳动合同，以及没有为项目经理缴纳社会保险证明的违约责任：</w:t>
      </w:r>
      <w:r>
        <w:rPr>
          <w:rFonts w:hint="eastAsia" w:ascii="宋体" w:hAnsi="宋体" w:eastAsia="宋体" w:cs="宋体"/>
          <w:color w:val="auto"/>
          <w:sz w:val="21"/>
          <w:szCs w:val="21"/>
          <w:highlight w:val="none"/>
          <w:u w:val="single"/>
        </w:rPr>
        <w:t xml:space="preserve">          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项目经理未经批准，擅自离开施工现场的违约责任：</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3.2.3 承包人擅自更换项目经理的违约责任：</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bookmarkStart w:id="749" w:name="_Toc19097063"/>
      <w:bookmarkStart w:id="750" w:name="_Toc17185672"/>
      <w:bookmarkStart w:id="751" w:name="_Toc22892099"/>
      <w:bookmarkStart w:id="752" w:name="_Toc17185775"/>
      <w:bookmarkStart w:id="753" w:name="_Toc526086179"/>
      <w:bookmarkStart w:id="754" w:name="_Toc526086079"/>
      <w:bookmarkStart w:id="755" w:name="_Toc531247245"/>
      <w:r>
        <w:rPr>
          <w:rFonts w:hint="eastAsia" w:ascii="宋体" w:hAnsi="宋体" w:eastAsia="宋体" w:cs="宋体"/>
          <w:color w:val="auto"/>
          <w:sz w:val="21"/>
          <w:szCs w:val="21"/>
          <w:highlight w:val="none"/>
        </w:rPr>
        <w:t>3.2.4 承包人无正当理由拒绝更换项目经理的违约责任：</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bookmarkEnd w:id="749"/>
      <w:bookmarkEnd w:id="750"/>
      <w:bookmarkEnd w:id="751"/>
      <w:bookmarkEnd w:id="752"/>
      <w:bookmarkEnd w:id="753"/>
      <w:bookmarkEnd w:id="754"/>
      <w:bookmarkEnd w:id="755"/>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 承包人人员</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3.3.1 承包人提交项目管理机构及施工现场管理人员安排报告的期限：</w:t>
      </w:r>
      <w:r>
        <w:rPr>
          <w:rFonts w:hint="eastAsia" w:ascii="宋体" w:hAnsi="宋体" w:eastAsia="宋体" w:cs="宋体"/>
          <w:color w:val="auto"/>
          <w:sz w:val="21"/>
          <w:szCs w:val="21"/>
          <w:highlight w:val="none"/>
          <w:u w:val="single"/>
        </w:rPr>
        <w:t xml:space="preserve">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3.3.3 承包人无正当理由拒绝撤换主要施工管理人员的违约责任：</w:t>
      </w:r>
      <w:r>
        <w:rPr>
          <w:rFonts w:hint="eastAsia" w:ascii="宋体" w:hAnsi="宋体" w:eastAsia="宋体" w:cs="宋体"/>
          <w:color w:val="auto"/>
          <w:sz w:val="21"/>
          <w:szCs w:val="21"/>
          <w:highlight w:val="none"/>
          <w:u w:val="single"/>
        </w:rPr>
        <w:t xml:space="preserve">                          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xml:space="preserve">3.3.4 承包人主要施工管理人员离开施工现场的批准要求：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3.3.5承包人擅自更换主要施工管理人员的违约责任：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承包人主要施工管理人员擅自离开施工现场的违约责任：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bookmarkStart w:id="756" w:name="_Toc296891199"/>
      <w:bookmarkStart w:id="757" w:name="_Toc292559364"/>
      <w:bookmarkStart w:id="758" w:name="_Toc297120459"/>
      <w:bookmarkStart w:id="759" w:name="_Toc297123492"/>
      <w:bookmarkStart w:id="760" w:name="_Toc312677988"/>
      <w:bookmarkStart w:id="761" w:name="_Toc292559869"/>
      <w:bookmarkStart w:id="762" w:name="_Toc297216151"/>
      <w:bookmarkStart w:id="763" w:name="_Toc304295523"/>
      <w:bookmarkStart w:id="764" w:name="_Toc297048345"/>
      <w:bookmarkStart w:id="765" w:name="_Toc300934945"/>
      <w:bookmarkStart w:id="766" w:name="_Toc296890987"/>
      <w:bookmarkStart w:id="767" w:name="_Toc296944498"/>
      <w:bookmarkStart w:id="768" w:name="_Toc303539102"/>
      <w:bookmarkStart w:id="769" w:name="_Toc296347158"/>
      <w:bookmarkStart w:id="770" w:name="_Toc296503159"/>
      <w:bookmarkStart w:id="771" w:name="_Toc296346660"/>
      <w:r>
        <w:rPr>
          <w:rFonts w:hint="eastAsia" w:ascii="宋体" w:hAnsi="宋体" w:eastAsia="宋体" w:cs="宋体"/>
          <w:color w:val="auto"/>
          <w:sz w:val="21"/>
          <w:szCs w:val="21"/>
          <w:highlight w:val="none"/>
        </w:rPr>
        <w:t>.5 分包</w:t>
      </w:r>
    </w:p>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bookmarkStart w:id="772" w:name="_Toc296347159"/>
      <w:bookmarkStart w:id="773" w:name="_Toc304295524"/>
      <w:bookmarkStart w:id="774" w:name="_Toc297123493"/>
      <w:bookmarkStart w:id="775" w:name="_Toc300934946"/>
      <w:bookmarkStart w:id="776" w:name="_Toc296503160"/>
      <w:bookmarkStart w:id="777" w:name="_Toc296890988"/>
      <w:bookmarkStart w:id="778" w:name="_Toc296891200"/>
      <w:bookmarkStart w:id="779" w:name="_Toc296944499"/>
      <w:bookmarkStart w:id="780" w:name="_Toc292559870"/>
      <w:bookmarkStart w:id="781" w:name="_Toc297048346"/>
      <w:bookmarkStart w:id="782" w:name="_Toc297216152"/>
      <w:bookmarkStart w:id="783" w:name="_Toc296346661"/>
      <w:bookmarkStart w:id="784" w:name="_Toc292559365"/>
      <w:bookmarkStart w:id="785" w:name="_Toc303539103"/>
      <w:bookmarkStart w:id="786" w:name="_Toc297120460"/>
      <w:bookmarkStart w:id="787" w:name="_Toc312677989"/>
      <w:bookmarkStart w:id="788" w:name="_Toc318581158"/>
      <w:r>
        <w:rPr>
          <w:rFonts w:hint="eastAsia" w:ascii="宋体" w:hAnsi="宋体" w:eastAsia="宋体" w:cs="宋体"/>
          <w:color w:val="auto"/>
          <w:sz w:val="21"/>
          <w:szCs w:val="21"/>
          <w:highlight w:val="none"/>
        </w:rPr>
        <w:t>.5.1 分包的一般约定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禁止分包的工程包括：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主体结构、关键性工作的范围：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Start w:id="789" w:name="_Toc296944500"/>
      <w:bookmarkStart w:id="790" w:name="_Toc297120461"/>
      <w:bookmarkStart w:id="791" w:name="_Toc297048347"/>
      <w:bookmarkStart w:id="792" w:name="_Toc297216153"/>
      <w:bookmarkStart w:id="793" w:name="_Toc300934947"/>
      <w:bookmarkStart w:id="794" w:name="_Toc296503161"/>
      <w:bookmarkStart w:id="795" w:name="_Toc296890989"/>
      <w:bookmarkStart w:id="796" w:name="_Toc296346662"/>
      <w:bookmarkStart w:id="797" w:name="_Toc297123494"/>
      <w:bookmarkStart w:id="798" w:name="_Toc304295525"/>
      <w:bookmarkStart w:id="799" w:name="_Toc303539104"/>
      <w:bookmarkStart w:id="800" w:name="_Toc296347160"/>
      <w:bookmarkStart w:id="801" w:name="_Toc296891201"/>
    </w:p>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3</w:t>
      </w:r>
      <w:bookmarkStart w:id="802" w:name="_Toc312677990"/>
      <w:bookmarkStart w:id="803" w:name="_Toc318581159"/>
      <w:r>
        <w:rPr>
          <w:rFonts w:hint="eastAsia" w:ascii="宋体" w:hAnsi="宋体" w:eastAsia="宋体" w:cs="宋体"/>
          <w:color w:val="auto"/>
          <w:sz w:val="21"/>
          <w:szCs w:val="21"/>
          <w:highlight w:val="none"/>
        </w:rPr>
        <w:t>.5.2分包的确定</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允许分包的专业工程包括：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其他关于分包的约定：</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3.5.4 分包合同价款</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关于分包合同价款支付的约定：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02"/>
    <w:bookmarkEnd w:id="803"/>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 工程照管与成品、半成品保护</w:t>
      </w:r>
    </w:p>
    <w:p>
      <w:pPr>
        <w:pStyle w:val="261"/>
        <w:spacing w:before="120" w:after="120" w:line="400" w:lineRule="exact"/>
        <w:ind w:firstLine="420" w:firstLineChars="200"/>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承包人负责照管工程及工程相关的材料、工程设备的起始时间：</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 履约担保</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承包人是否提供履约担保：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承包人提供履约担保的形式、金额及期限的：</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804" w:name="_Toc351203636"/>
      <w:r>
        <w:rPr>
          <w:rFonts w:hint="eastAsia" w:ascii="宋体" w:hAnsi="宋体" w:eastAsia="宋体" w:cs="宋体"/>
          <w:b w:val="0"/>
          <w:color w:val="auto"/>
          <w:sz w:val="21"/>
          <w:szCs w:val="21"/>
          <w:highlight w:val="none"/>
        </w:rPr>
        <w:t>4</w:t>
      </w:r>
      <w:bookmarkStart w:id="805" w:name="_Toc296944501"/>
      <w:bookmarkStart w:id="806" w:name="_Toc297120462"/>
      <w:bookmarkStart w:id="807" w:name="_Toc296503162"/>
      <w:bookmarkStart w:id="808" w:name="_Toc296346663"/>
      <w:bookmarkStart w:id="809" w:name="_Toc296890990"/>
      <w:bookmarkStart w:id="810" w:name="_Toc296347161"/>
      <w:bookmarkStart w:id="811" w:name="_Toc297048348"/>
      <w:bookmarkStart w:id="812" w:name="_Toc296891202"/>
      <w:bookmarkStart w:id="813" w:name="_Toc292559871"/>
      <w:bookmarkStart w:id="814" w:name="_Toc292559366"/>
      <w:bookmarkStart w:id="815" w:name="_Toc267251413"/>
      <w:r>
        <w:rPr>
          <w:rFonts w:hint="eastAsia" w:ascii="宋体" w:hAnsi="宋体" w:eastAsia="宋体" w:cs="宋体"/>
          <w:b w:val="0"/>
          <w:color w:val="auto"/>
          <w:sz w:val="21"/>
          <w:szCs w:val="21"/>
          <w:highlight w:val="none"/>
        </w:rPr>
        <w:t>. 监</w:t>
      </w:r>
      <w:bookmarkEnd w:id="805"/>
      <w:bookmarkEnd w:id="806"/>
      <w:bookmarkEnd w:id="807"/>
      <w:bookmarkEnd w:id="808"/>
      <w:bookmarkEnd w:id="809"/>
      <w:bookmarkEnd w:id="810"/>
      <w:bookmarkEnd w:id="811"/>
      <w:bookmarkEnd w:id="812"/>
      <w:bookmarkEnd w:id="813"/>
      <w:bookmarkEnd w:id="814"/>
      <w:bookmarkEnd w:id="815"/>
      <w:r>
        <w:rPr>
          <w:rFonts w:hint="eastAsia" w:ascii="宋体" w:hAnsi="宋体" w:eastAsia="宋体" w:cs="宋体"/>
          <w:b w:val="0"/>
          <w:color w:val="auto"/>
          <w:sz w:val="21"/>
          <w:szCs w:val="21"/>
          <w:highlight w:val="none"/>
        </w:rPr>
        <w:t>理人</w:t>
      </w:r>
      <w:bookmarkEnd w:id="804"/>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4.1监理人的一般规定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关于监理人的监理内容：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关于监理人的监理权限：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关于监理人在施工现场的办公场所、生活场所的提供和费用承担的约定：</w:t>
      </w:r>
      <w:r>
        <w:rPr>
          <w:rFonts w:hint="eastAsia" w:ascii="宋体" w:hAnsi="宋体" w:eastAsia="宋体" w:cs="宋体"/>
          <w:color w:val="auto"/>
          <w:sz w:val="21"/>
          <w:szCs w:val="21"/>
          <w:highlight w:val="none"/>
          <w:u w:val="single"/>
        </w:rPr>
        <w:t xml:space="preserve">                                                </w:t>
      </w:r>
    </w:p>
    <w:p>
      <w:pPr>
        <w:pStyle w:val="26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 监理人员</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总监理工程师：</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监理工程师执业资格证书号：</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关于监理人的其他约定：</w:t>
      </w:r>
      <w:r>
        <w:rPr>
          <w:rFonts w:hint="eastAsia" w:ascii="宋体" w:hAnsi="宋体" w:eastAsia="宋体" w:cs="宋体"/>
          <w:color w:val="auto"/>
          <w:sz w:val="21"/>
          <w:szCs w:val="21"/>
          <w:highlight w:val="none"/>
          <w:u w:val="single"/>
        </w:rPr>
        <w:t>  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 商定或确定</w:t>
      </w:r>
    </w:p>
    <w:p>
      <w:pPr>
        <w:pStyle w:val="261"/>
        <w:spacing w:line="400" w:lineRule="exact"/>
        <w:ind w:firstLine="420" w:firstLineChars="200"/>
        <w:rPr>
          <w:rFonts w:hint="eastAsia" w:ascii="宋体" w:hAnsi="宋体" w:eastAsia="宋体" w:cs="宋体"/>
          <w:color w:val="auto"/>
          <w:sz w:val="21"/>
          <w:szCs w:val="21"/>
          <w:highlight w:val="none"/>
        </w:rPr>
      </w:pPr>
      <w:bookmarkStart w:id="816" w:name="_Toc267251418"/>
      <w:r>
        <w:rPr>
          <w:rFonts w:hint="eastAsia" w:ascii="宋体" w:hAnsi="宋体" w:eastAsia="宋体" w:cs="宋体"/>
          <w:color w:val="auto"/>
          <w:sz w:val="21"/>
          <w:szCs w:val="21"/>
          <w:highlight w:val="none"/>
        </w:rPr>
        <w:t>在发包人和承包人不能通过协商达成一致意见时，发包人授权监理人对以下事项进行确定：</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817" w:name="_Toc351203637"/>
      <w:r>
        <w:rPr>
          <w:rFonts w:hint="eastAsia" w:ascii="宋体" w:hAnsi="宋体" w:eastAsia="宋体" w:cs="宋体"/>
          <w:b w:val="0"/>
          <w:color w:val="auto"/>
          <w:sz w:val="21"/>
          <w:szCs w:val="21"/>
          <w:highlight w:val="none"/>
        </w:rPr>
        <w:t>5</w:t>
      </w:r>
      <w:bookmarkEnd w:id="816"/>
      <w:bookmarkStart w:id="818" w:name="_Toc296503163"/>
      <w:bookmarkStart w:id="819" w:name="_Toc292559872"/>
      <w:bookmarkStart w:id="820" w:name="_Toc297048349"/>
      <w:bookmarkStart w:id="821" w:name="_Toc292559367"/>
      <w:bookmarkStart w:id="822" w:name="_Toc296891203"/>
      <w:bookmarkStart w:id="823" w:name="_Toc297120463"/>
      <w:bookmarkStart w:id="824" w:name="_Toc296890991"/>
      <w:bookmarkStart w:id="825" w:name="_Toc296347162"/>
      <w:bookmarkStart w:id="826" w:name="_Toc296944502"/>
      <w:bookmarkStart w:id="827" w:name="_Toc296346664"/>
      <w:r>
        <w:rPr>
          <w:rFonts w:hint="eastAsia" w:ascii="宋体" w:hAnsi="宋体" w:eastAsia="宋体" w:cs="宋体"/>
          <w:b w:val="0"/>
          <w:color w:val="auto"/>
          <w:sz w:val="21"/>
          <w:szCs w:val="21"/>
          <w:highlight w:val="none"/>
        </w:rPr>
        <w:t>. 工程质量</w:t>
      </w:r>
      <w:bookmarkEnd w:id="817"/>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828" w:name="_Toc526086180"/>
      <w:bookmarkStart w:id="829" w:name="_Toc19097064"/>
      <w:bookmarkStart w:id="830" w:name="_Toc22892100"/>
      <w:bookmarkStart w:id="831" w:name="_Toc17185776"/>
      <w:bookmarkStart w:id="832" w:name="_Toc531247246"/>
      <w:bookmarkStart w:id="833" w:name="_Toc526086080"/>
      <w:bookmarkStart w:id="834" w:name="_Toc17185673"/>
      <w:r>
        <w:rPr>
          <w:rFonts w:hint="eastAsia" w:ascii="宋体" w:hAnsi="宋体" w:eastAsia="宋体" w:cs="宋体"/>
          <w:color w:val="auto"/>
          <w:sz w:val="21"/>
          <w:szCs w:val="21"/>
          <w:highlight w:val="none"/>
        </w:rPr>
        <w:t>5.1 质量要求</w:t>
      </w:r>
      <w:bookmarkEnd w:id="828"/>
      <w:bookmarkEnd w:id="829"/>
      <w:bookmarkEnd w:id="830"/>
      <w:bookmarkEnd w:id="831"/>
      <w:bookmarkEnd w:id="832"/>
      <w:bookmarkEnd w:id="833"/>
      <w:bookmarkEnd w:id="834"/>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5</w:t>
      </w:r>
      <w:bookmarkStart w:id="835" w:name="_Toc297216155"/>
      <w:bookmarkStart w:id="836" w:name="_Toc300934949"/>
      <w:bookmarkStart w:id="837" w:name="_Toc303539106"/>
      <w:bookmarkStart w:id="838" w:name="_Toc312677997"/>
      <w:bookmarkStart w:id="839" w:name="_Toc304295527"/>
      <w:bookmarkStart w:id="840" w:name="_Toc318581164"/>
      <w:bookmarkStart w:id="841" w:name="_Toc297123496"/>
      <w:r>
        <w:rPr>
          <w:rFonts w:hint="eastAsia" w:ascii="宋体" w:hAnsi="宋体" w:eastAsia="宋体" w:cs="宋体"/>
          <w:color w:val="auto"/>
          <w:sz w:val="21"/>
          <w:szCs w:val="21"/>
          <w:highlight w:val="none"/>
        </w:rPr>
        <w:t>.1.1 特殊质量标准和要求：</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关于工程奖项的约定：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842" w:name="_Toc17185674"/>
      <w:bookmarkStart w:id="843" w:name="_Toc526086181"/>
      <w:bookmarkStart w:id="844" w:name="_Toc22892101"/>
      <w:bookmarkStart w:id="845" w:name="_Toc531247247"/>
      <w:bookmarkStart w:id="846" w:name="_Toc526086081"/>
      <w:bookmarkStart w:id="847" w:name="_Toc17185777"/>
      <w:bookmarkStart w:id="848" w:name="_Toc19097065"/>
      <w:r>
        <w:rPr>
          <w:rFonts w:hint="eastAsia" w:ascii="宋体" w:hAnsi="宋体" w:eastAsia="宋体" w:cs="宋体"/>
          <w:color w:val="auto"/>
          <w:sz w:val="21"/>
          <w:szCs w:val="21"/>
          <w:highlight w:val="none"/>
        </w:rPr>
        <w:t>5.3 隐蔽工程检查</w:t>
      </w:r>
      <w:bookmarkEnd w:id="842"/>
      <w:bookmarkEnd w:id="843"/>
      <w:bookmarkEnd w:id="844"/>
      <w:bookmarkEnd w:id="845"/>
      <w:bookmarkEnd w:id="846"/>
      <w:bookmarkEnd w:id="847"/>
      <w:bookmarkEnd w:id="848"/>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5.3.2承包人提前通知监理人隐蔽工程检查的期限的约定：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监理人不能按时进行检查时，应提前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小时提交书面延期要求。</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关于延期最长不得超过：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849" w:name="_Toc351203638"/>
      <w:r>
        <w:rPr>
          <w:rFonts w:hint="eastAsia" w:ascii="宋体" w:hAnsi="宋体" w:eastAsia="宋体" w:cs="宋体"/>
          <w:b w:val="0"/>
          <w:color w:val="auto"/>
          <w:sz w:val="21"/>
          <w:szCs w:val="21"/>
          <w:highlight w:val="none"/>
        </w:rPr>
        <w:t>6. 安全文明施工与环境保护</w:t>
      </w:r>
      <w:bookmarkEnd w:id="849"/>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6.1安全文明施工</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6.1.1 项目安全生产的达标目标及相应事项的约定：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6.1.4 关于治安保卫的特别约定：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关于编制施工场地治安管理计划的约定：</w:t>
      </w:r>
      <w:r>
        <w:rPr>
          <w:rFonts w:hint="eastAsia" w:ascii="宋体" w:hAnsi="宋体" w:eastAsia="宋体" w:cs="宋体"/>
          <w:color w:val="auto"/>
          <w:sz w:val="21"/>
          <w:szCs w:val="21"/>
          <w:highlight w:val="none"/>
          <w:u w:val="singl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6.1.5 文明施工</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合同当事人对文明施工的要求：</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6.1.6 关于安全文明施工费支付比例和支付期限的约定：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35"/>
    <w:bookmarkEnd w:id="836"/>
    <w:bookmarkEnd w:id="837"/>
    <w:bookmarkEnd w:id="838"/>
    <w:bookmarkEnd w:id="839"/>
    <w:bookmarkEnd w:id="840"/>
    <w:bookmarkEnd w:id="841"/>
    <w:p>
      <w:pPr>
        <w:pStyle w:val="265"/>
        <w:spacing w:before="120" w:after="120" w:line="400" w:lineRule="exact"/>
        <w:outlineLvl w:val="4"/>
        <w:rPr>
          <w:rFonts w:hint="eastAsia" w:ascii="宋体" w:hAnsi="宋体" w:eastAsia="宋体" w:cs="宋体"/>
          <w:b w:val="0"/>
          <w:color w:val="auto"/>
          <w:sz w:val="21"/>
          <w:szCs w:val="21"/>
          <w:highlight w:val="none"/>
        </w:rPr>
      </w:pPr>
      <w:bookmarkStart w:id="850" w:name="_Toc351203639"/>
      <w:r>
        <w:rPr>
          <w:rFonts w:hint="eastAsia" w:ascii="宋体" w:hAnsi="宋体" w:eastAsia="宋体" w:cs="宋体"/>
          <w:b w:val="0"/>
          <w:color w:val="auto"/>
          <w:sz w:val="21"/>
          <w:szCs w:val="21"/>
          <w:highlight w:val="none"/>
        </w:rPr>
        <w:t>7. 工期和进度</w:t>
      </w:r>
      <w:bookmarkEnd w:id="850"/>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 施工组织设计</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7.1.1 合</w:t>
      </w:r>
      <w:r>
        <w:rPr>
          <w:rFonts w:hint="eastAsia" w:ascii="宋体" w:hAnsi="宋体" w:eastAsia="宋体" w:cs="宋体"/>
          <w:color w:val="auto"/>
          <w:kern w:val="0"/>
          <w:sz w:val="21"/>
          <w:szCs w:val="21"/>
          <w:highlight w:val="none"/>
        </w:rPr>
        <w:t>同当事人约定的施工组织设计应包括的其他内容：</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7.1.2 </w:t>
      </w:r>
      <w:r>
        <w:rPr>
          <w:rFonts w:hint="eastAsia" w:ascii="宋体" w:hAnsi="宋体" w:eastAsia="宋体" w:cs="宋体"/>
          <w:color w:val="auto"/>
          <w:kern w:val="0"/>
          <w:sz w:val="21"/>
          <w:szCs w:val="21"/>
          <w:highlight w:val="none"/>
        </w:rPr>
        <w:t>施工组织设计的提交和修改</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承包人提交详细施工组织设计的期限的约定：</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发包人和监理人在收到详细的施工组织设计后确认或提出修改意见的期限：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51" w:name="_Toc303539123"/>
      <w:bookmarkStart w:id="852" w:name="_Toc312678005"/>
      <w:bookmarkStart w:id="853" w:name="_Toc297216173"/>
      <w:bookmarkStart w:id="854" w:name="_Toc312677479"/>
      <w:bookmarkStart w:id="855" w:name="_Toc300934966"/>
      <w:bookmarkStart w:id="856" w:name="_Toc297123514"/>
      <w:bookmarkStart w:id="857" w:name="_Toc304295541"/>
      <w:r>
        <w:rPr>
          <w:rFonts w:hint="eastAsia" w:ascii="宋体" w:hAnsi="宋体" w:eastAsia="宋体" w:cs="宋体"/>
          <w:color w:val="auto"/>
          <w:sz w:val="21"/>
          <w:szCs w:val="21"/>
          <w:highlight w:val="none"/>
        </w:rPr>
        <w:t>.2 施工进度计划</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7.2.2 施工进度计划的修订</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发包人和监理人在收到修订的施工进度计划后确认或提出修改意见的期限：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 开工</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7.3.1 开工准备</w:t>
      </w:r>
    </w:p>
    <w:p>
      <w:pPr>
        <w:pStyle w:val="261"/>
        <w:spacing w:line="400" w:lineRule="exact"/>
        <w:ind w:firstLine="645"/>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关于承包人提交</w:t>
      </w:r>
      <w:r>
        <w:rPr>
          <w:rFonts w:hint="eastAsia" w:ascii="宋体" w:hAnsi="宋体" w:eastAsia="宋体" w:cs="宋体"/>
          <w:color w:val="auto"/>
          <w:kern w:val="0"/>
          <w:sz w:val="21"/>
          <w:szCs w:val="21"/>
          <w:highlight w:val="none"/>
        </w:rPr>
        <w:t>工程开工报审表的期限：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645"/>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关于发包人应完成的其他开工准备工作及期限：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关于承包人应完成的其他开工准备工作及期限：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7.3.2开工通知</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因发包人原因造成监理人未能在计划开工日期之日起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天内发出开工通知的，承包人有权提出价格调整要求，或者解除合同。</w:t>
      </w:r>
    </w:p>
    <w:bookmarkEnd w:id="851"/>
    <w:bookmarkEnd w:id="852"/>
    <w:bookmarkEnd w:id="853"/>
    <w:bookmarkEnd w:id="854"/>
    <w:bookmarkEnd w:id="855"/>
    <w:bookmarkEnd w:id="856"/>
    <w:bookmarkEnd w:id="857"/>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7.4 测量放线</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7.4.1发包人通过监理人向承包人提供测量基准点、基准线和水准点及其书面资料的期限：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58" w:name="_Toc300934968"/>
      <w:bookmarkStart w:id="859" w:name="_Toc303539125"/>
      <w:bookmarkStart w:id="860" w:name="_Toc297216175"/>
      <w:bookmarkStart w:id="861" w:name="_Toc297123516"/>
      <w:bookmarkStart w:id="862" w:name="_Toc312678010"/>
      <w:bookmarkStart w:id="863" w:name="_Toc312677484"/>
      <w:bookmarkStart w:id="864" w:name="_Toc304295546"/>
      <w:r>
        <w:rPr>
          <w:rFonts w:hint="eastAsia" w:ascii="宋体" w:hAnsi="宋体" w:eastAsia="宋体" w:cs="宋体"/>
          <w:color w:val="auto"/>
          <w:sz w:val="21"/>
          <w:szCs w:val="21"/>
          <w:highlight w:val="none"/>
        </w:rPr>
        <w:t>.5 工期延误</w:t>
      </w:r>
    </w:p>
    <w:bookmarkEnd w:id="858"/>
    <w:bookmarkEnd w:id="859"/>
    <w:bookmarkEnd w:id="860"/>
    <w:bookmarkEnd w:id="861"/>
    <w:bookmarkEnd w:id="862"/>
    <w:bookmarkEnd w:id="863"/>
    <w:bookmarkEnd w:id="864"/>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7.5.1 因发包人原因导致工期延误</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（7）因发包人原因导致工期延误的其他情形：</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65" w:name="_Toc312678012"/>
      <w:bookmarkStart w:id="866" w:name="_Toc312677486"/>
      <w:bookmarkStart w:id="867" w:name="_Toc318581169"/>
      <w:bookmarkStart w:id="868" w:name="_Toc297123518"/>
      <w:bookmarkStart w:id="869" w:name="_Toc300934970"/>
      <w:bookmarkStart w:id="870" w:name="_Toc297216177"/>
      <w:bookmarkStart w:id="871" w:name="_Toc303539127"/>
      <w:bookmarkStart w:id="872" w:name="_Toc304295548"/>
      <w:r>
        <w:rPr>
          <w:rFonts w:hint="eastAsia" w:ascii="宋体" w:hAnsi="宋体" w:eastAsia="宋体" w:cs="宋体"/>
          <w:color w:val="auto"/>
          <w:sz w:val="21"/>
          <w:szCs w:val="21"/>
          <w:highlight w:val="none"/>
        </w:rPr>
        <w:t>.5.2 因承包人原因导致工期延误</w:t>
      </w:r>
    </w:p>
    <w:bookmarkEnd w:id="865"/>
    <w:bookmarkEnd w:id="866"/>
    <w:bookmarkEnd w:id="867"/>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因</w:t>
      </w:r>
      <w:bookmarkStart w:id="873" w:name="_Toc312678013"/>
      <w:bookmarkStart w:id="874" w:name="_Toc312677487"/>
      <w:bookmarkStart w:id="875" w:name="_Toc318581170"/>
      <w:r>
        <w:rPr>
          <w:rFonts w:hint="eastAsia" w:ascii="宋体" w:hAnsi="宋体" w:eastAsia="宋体" w:cs="宋体"/>
          <w:color w:val="auto"/>
          <w:sz w:val="21"/>
          <w:szCs w:val="21"/>
          <w:highlight w:val="none"/>
        </w:rPr>
        <w:t>承包人原因造成工期延误，逾期竣工违约金的计算方法为：</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bookmarkEnd w:id="868"/>
      <w:bookmarkEnd w:id="869"/>
      <w:bookmarkEnd w:id="870"/>
      <w:bookmarkEnd w:id="871"/>
      <w:bookmarkEnd w:id="872"/>
      <w:bookmarkEnd w:id="873"/>
      <w:bookmarkEnd w:id="874"/>
    </w:p>
    <w:bookmarkEnd w:id="875"/>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因承包人原因造成工期延误，逾</w:t>
      </w:r>
      <w:bookmarkStart w:id="876" w:name="_Toc312678014"/>
      <w:bookmarkStart w:id="877" w:name="_Toc318581171"/>
      <w:r>
        <w:rPr>
          <w:rFonts w:hint="eastAsia" w:ascii="宋体" w:hAnsi="宋体" w:eastAsia="宋体" w:cs="宋体"/>
          <w:color w:val="auto"/>
          <w:sz w:val="21"/>
          <w:szCs w:val="21"/>
          <w:highlight w:val="none"/>
        </w:rPr>
        <w:t>期竣工违约金的上限：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76"/>
    <w:bookmarkEnd w:id="877"/>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78" w:name="_Toc297123519"/>
      <w:bookmarkStart w:id="879" w:name="_Toc304295549"/>
      <w:bookmarkStart w:id="880" w:name="_Toc312678015"/>
      <w:bookmarkStart w:id="881" w:name="_Toc300934971"/>
      <w:bookmarkStart w:id="882" w:name="_Toc297216178"/>
      <w:bookmarkStart w:id="883" w:name="_Toc303539128"/>
      <w:r>
        <w:rPr>
          <w:rFonts w:hint="eastAsia" w:ascii="宋体" w:hAnsi="宋体" w:eastAsia="宋体" w:cs="宋体"/>
          <w:color w:val="auto"/>
          <w:sz w:val="21"/>
          <w:szCs w:val="21"/>
          <w:highlight w:val="none"/>
        </w:rPr>
        <w:t>.6 不</w:t>
      </w:r>
      <w:bookmarkEnd w:id="878"/>
      <w:bookmarkEnd w:id="879"/>
      <w:bookmarkEnd w:id="880"/>
      <w:bookmarkEnd w:id="881"/>
      <w:bookmarkEnd w:id="882"/>
      <w:bookmarkEnd w:id="883"/>
      <w:r>
        <w:rPr>
          <w:rFonts w:hint="eastAsia" w:ascii="宋体" w:hAnsi="宋体" w:eastAsia="宋体" w:cs="宋体"/>
          <w:color w:val="auto"/>
          <w:sz w:val="21"/>
          <w:szCs w:val="21"/>
          <w:highlight w:val="none"/>
        </w:rPr>
        <w:t>利物质条件</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bookmarkStart w:id="884" w:name="_Toc297216179"/>
      <w:bookmarkStart w:id="885" w:name="_Toc318581172"/>
      <w:bookmarkStart w:id="886" w:name="_Toc304295550"/>
      <w:bookmarkStart w:id="887" w:name="_Toc297123520"/>
      <w:bookmarkStart w:id="888" w:name="_Toc303539129"/>
      <w:bookmarkStart w:id="889" w:name="_Toc312678016"/>
      <w:bookmarkStart w:id="890" w:name="_Toc300934972"/>
      <w:r>
        <w:rPr>
          <w:rFonts w:hint="eastAsia" w:ascii="宋体" w:hAnsi="宋体" w:eastAsia="宋体" w:cs="宋体"/>
          <w:color w:val="auto"/>
          <w:sz w:val="21"/>
          <w:szCs w:val="21"/>
          <w:highlight w:val="none"/>
        </w:rPr>
        <w:t>不利物质条件的其他情形和有关约定：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884"/>
    <w:bookmarkEnd w:id="885"/>
    <w:bookmarkEnd w:id="886"/>
    <w:bookmarkEnd w:id="887"/>
    <w:bookmarkEnd w:id="888"/>
    <w:bookmarkEnd w:id="889"/>
    <w:bookmarkEnd w:id="890"/>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bookmarkStart w:id="891" w:name="_Toc300934973"/>
      <w:bookmarkStart w:id="892" w:name="_Toc297216180"/>
      <w:bookmarkStart w:id="893" w:name="_Toc297123521"/>
      <w:bookmarkStart w:id="894" w:name="_Toc312678017"/>
      <w:bookmarkStart w:id="895" w:name="_Toc304295551"/>
      <w:bookmarkStart w:id="896" w:name="_Toc303539130"/>
      <w:r>
        <w:rPr>
          <w:rFonts w:hint="eastAsia" w:ascii="宋体" w:hAnsi="宋体" w:eastAsia="宋体" w:cs="宋体"/>
          <w:color w:val="auto"/>
          <w:sz w:val="21"/>
          <w:szCs w:val="21"/>
          <w:highlight w:val="none"/>
        </w:rPr>
        <w:t>.7异常恶劣的气候条件</w:t>
      </w:r>
    </w:p>
    <w:bookmarkEnd w:id="891"/>
    <w:bookmarkEnd w:id="892"/>
    <w:bookmarkEnd w:id="893"/>
    <w:bookmarkEnd w:id="894"/>
    <w:bookmarkEnd w:id="895"/>
    <w:bookmarkEnd w:id="896"/>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发包人和承包人同意以下情形视为异常恶劣的气候条件：</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897" w:name="_Toc22892102"/>
      <w:bookmarkStart w:id="898" w:name="_Toc526086182"/>
      <w:bookmarkStart w:id="899" w:name="_Toc17185778"/>
      <w:bookmarkStart w:id="900" w:name="_Toc531247248"/>
      <w:bookmarkStart w:id="901" w:name="_Toc19097066"/>
      <w:bookmarkStart w:id="902" w:name="_Toc17185675"/>
      <w:bookmarkStart w:id="903" w:name="_Toc526086082"/>
      <w:r>
        <w:rPr>
          <w:rFonts w:hint="eastAsia" w:ascii="宋体" w:hAnsi="宋体" w:eastAsia="宋体" w:cs="宋体"/>
          <w:color w:val="auto"/>
          <w:sz w:val="21"/>
          <w:szCs w:val="21"/>
          <w:highlight w:val="none"/>
        </w:rPr>
        <w:t>7.9 提前竣工的奖励</w:t>
      </w:r>
      <w:bookmarkEnd w:id="897"/>
      <w:bookmarkEnd w:id="898"/>
      <w:bookmarkEnd w:id="899"/>
      <w:bookmarkEnd w:id="900"/>
      <w:bookmarkEnd w:id="901"/>
      <w:bookmarkEnd w:id="902"/>
      <w:bookmarkEnd w:id="903"/>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7.9.2提前竣工的奖励：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904" w:name="_Toc351203640"/>
      <w:r>
        <w:rPr>
          <w:rFonts w:hint="eastAsia" w:ascii="宋体" w:hAnsi="宋体" w:eastAsia="宋体" w:cs="宋体"/>
          <w:b w:val="0"/>
          <w:color w:val="auto"/>
          <w:sz w:val="21"/>
          <w:szCs w:val="21"/>
          <w:highlight w:val="none"/>
        </w:rPr>
        <w:t>8. 材料与设备</w:t>
      </w:r>
      <w:bookmarkEnd w:id="904"/>
    </w:p>
    <w:bookmarkEnd w:id="818"/>
    <w:bookmarkEnd w:id="819"/>
    <w:bookmarkEnd w:id="820"/>
    <w:bookmarkEnd w:id="821"/>
    <w:bookmarkEnd w:id="822"/>
    <w:bookmarkEnd w:id="823"/>
    <w:bookmarkEnd w:id="824"/>
    <w:bookmarkEnd w:id="825"/>
    <w:bookmarkEnd w:id="826"/>
    <w:bookmarkEnd w:id="827"/>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bookmarkStart w:id="905" w:name="_Toc297216186"/>
      <w:bookmarkStart w:id="906" w:name="_Toc296944506"/>
      <w:bookmarkStart w:id="907" w:name="_Toc296347166"/>
      <w:bookmarkStart w:id="908" w:name="_Toc297123527"/>
      <w:bookmarkStart w:id="909" w:name="_Toc312678019"/>
      <w:bookmarkStart w:id="910" w:name="_Toc296346668"/>
      <w:bookmarkStart w:id="911" w:name="_Toc292559877"/>
      <w:bookmarkStart w:id="912" w:name="_Toc296503167"/>
      <w:bookmarkStart w:id="913" w:name="_Toc304295556"/>
      <w:bookmarkStart w:id="914" w:name="_Toc297048353"/>
      <w:bookmarkStart w:id="915" w:name="_Toc292559372"/>
      <w:bookmarkStart w:id="916" w:name="_Toc312677493"/>
      <w:bookmarkStart w:id="917" w:name="_Toc280868654"/>
      <w:bookmarkStart w:id="918" w:name="_Toc296890995"/>
      <w:bookmarkStart w:id="919" w:name="_Toc296891207"/>
      <w:bookmarkStart w:id="920" w:name="_Toc300934979"/>
      <w:bookmarkStart w:id="921" w:name="_Toc303539136"/>
      <w:bookmarkStart w:id="922" w:name="_Toc297120467"/>
      <w:bookmarkStart w:id="923" w:name="_Toc280868655"/>
      <w:bookmarkStart w:id="924" w:name="_Toc267251424"/>
      <w:bookmarkStart w:id="925" w:name="_Toc280868656"/>
      <w:r>
        <w:rPr>
          <w:rFonts w:hint="eastAsia" w:ascii="宋体" w:hAnsi="宋体" w:eastAsia="宋体" w:cs="宋体"/>
          <w:color w:val="auto"/>
          <w:sz w:val="21"/>
          <w:szCs w:val="21"/>
          <w:highlight w:val="none"/>
        </w:rPr>
        <w:t>.4材料与工程设备的保管与使用</w:t>
      </w:r>
    </w:p>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8</w:t>
      </w:r>
      <w:bookmarkStart w:id="926" w:name="_Toc292559373"/>
      <w:bookmarkStart w:id="927" w:name="_Toc292559878"/>
      <w:bookmarkStart w:id="928" w:name="_Toc297216187"/>
      <w:bookmarkStart w:id="929" w:name="_Toc318581173"/>
      <w:bookmarkStart w:id="930" w:name="_Toc297123528"/>
      <w:bookmarkStart w:id="931" w:name="_Toc296891208"/>
      <w:bookmarkStart w:id="932" w:name="_Toc296944507"/>
      <w:bookmarkStart w:id="933" w:name="_Toc312678020"/>
      <w:bookmarkStart w:id="934" w:name="_Toc297048354"/>
      <w:bookmarkStart w:id="935" w:name="_Toc296503168"/>
      <w:bookmarkStart w:id="936" w:name="_Toc297120468"/>
      <w:bookmarkStart w:id="937" w:name="_Toc296347167"/>
      <w:bookmarkStart w:id="938" w:name="_Toc312677494"/>
      <w:bookmarkStart w:id="939" w:name="_Toc296346669"/>
      <w:bookmarkStart w:id="940" w:name="_Toc304295557"/>
      <w:bookmarkStart w:id="941" w:name="_Toc300934980"/>
      <w:bookmarkStart w:id="942" w:name="_Toc296890996"/>
      <w:bookmarkStart w:id="943" w:name="_Toc303539137"/>
      <w:r>
        <w:rPr>
          <w:rFonts w:hint="eastAsia" w:ascii="宋体" w:hAnsi="宋体" w:eastAsia="宋体" w:cs="宋体"/>
          <w:color w:val="auto"/>
          <w:sz w:val="21"/>
          <w:szCs w:val="21"/>
          <w:highlight w:val="none"/>
        </w:rPr>
        <w:t>.4.1发包人供应的材料设备的保管费用的承担：</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bookmarkEnd w:id="926"/>
      <w:bookmarkEnd w:id="927"/>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944" w:name="_Toc526086183"/>
      <w:bookmarkStart w:id="945" w:name="_Toc17185676"/>
      <w:bookmarkStart w:id="946" w:name="_Toc22892103"/>
      <w:bookmarkStart w:id="947" w:name="_Toc531247249"/>
      <w:bookmarkStart w:id="948" w:name="_Toc17185779"/>
      <w:bookmarkStart w:id="949" w:name="_Toc526086083"/>
      <w:bookmarkStart w:id="950" w:name="_Toc19097067"/>
      <w:r>
        <w:rPr>
          <w:rFonts w:hint="eastAsia" w:ascii="宋体" w:hAnsi="宋体" w:eastAsia="宋体" w:cs="宋体"/>
          <w:color w:val="auto"/>
          <w:sz w:val="21"/>
          <w:szCs w:val="21"/>
          <w:highlight w:val="none"/>
        </w:rPr>
        <w:t>8.6 样品</w:t>
      </w:r>
      <w:bookmarkEnd w:id="944"/>
      <w:bookmarkEnd w:id="945"/>
      <w:bookmarkEnd w:id="946"/>
      <w:bookmarkEnd w:id="947"/>
      <w:bookmarkEnd w:id="948"/>
      <w:bookmarkEnd w:id="949"/>
      <w:bookmarkEnd w:id="950"/>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8.6.1</w:t>
      </w:r>
      <w:r>
        <w:rPr>
          <w:rFonts w:hint="eastAsia" w:ascii="宋体" w:hAnsi="宋体" w:eastAsia="宋体" w:cs="宋体"/>
          <w:color w:val="auto"/>
          <w:kern w:val="0"/>
          <w:sz w:val="21"/>
          <w:szCs w:val="21"/>
          <w:highlight w:val="none"/>
        </w:rPr>
        <w:tab/>
      </w:r>
      <w:r>
        <w:rPr>
          <w:rFonts w:hint="eastAsia" w:ascii="宋体" w:hAnsi="宋体" w:eastAsia="宋体" w:cs="宋体"/>
          <w:color w:val="auto"/>
          <w:kern w:val="0"/>
          <w:sz w:val="21"/>
          <w:szCs w:val="21"/>
          <w:highlight w:val="none"/>
        </w:rPr>
        <w:t>样品的报送与封存</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需要承包人报送样品的材料或工程设备，样品的种类、名称、规格、数量要求：</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951" w:name="_Toc19097068"/>
      <w:bookmarkStart w:id="952" w:name="_Toc17185780"/>
      <w:bookmarkStart w:id="953" w:name="_Toc531247250"/>
      <w:bookmarkStart w:id="954" w:name="_Toc526086084"/>
      <w:bookmarkStart w:id="955" w:name="_Toc17185677"/>
      <w:bookmarkStart w:id="956" w:name="_Toc526086184"/>
      <w:bookmarkStart w:id="957" w:name="_Toc22892104"/>
      <w:r>
        <w:rPr>
          <w:rFonts w:hint="eastAsia" w:ascii="宋体" w:hAnsi="宋体" w:eastAsia="宋体" w:cs="宋体"/>
          <w:color w:val="auto"/>
          <w:sz w:val="21"/>
          <w:szCs w:val="21"/>
          <w:highlight w:val="none"/>
        </w:rPr>
        <w:t>8.8 施工设备和临时设施</w:t>
      </w:r>
      <w:bookmarkEnd w:id="951"/>
      <w:bookmarkEnd w:id="952"/>
      <w:bookmarkEnd w:id="953"/>
      <w:bookmarkEnd w:id="954"/>
      <w:bookmarkEnd w:id="955"/>
      <w:bookmarkEnd w:id="956"/>
      <w:bookmarkEnd w:id="957"/>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8.8.1 承包人提供的施工设备和临时设施</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关于修建临时设施费用承担的约定：</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p>
      <w:pPr>
        <w:pStyle w:val="265"/>
        <w:spacing w:before="120" w:after="120" w:line="400" w:lineRule="exact"/>
        <w:outlineLvl w:val="4"/>
        <w:rPr>
          <w:rFonts w:hint="eastAsia" w:ascii="宋体" w:hAnsi="宋体" w:eastAsia="宋体" w:cs="宋体"/>
          <w:b w:val="0"/>
          <w:color w:val="auto"/>
          <w:sz w:val="21"/>
          <w:szCs w:val="21"/>
          <w:highlight w:val="none"/>
        </w:rPr>
      </w:pPr>
      <w:bookmarkStart w:id="958" w:name="_Toc351203641"/>
      <w:r>
        <w:rPr>
          <w:rFonts w:hint="eastAsia" w:ascii="宋体" w:hAnsi="宋体" w:eastAsia="宋体" w:cs="宋体"/>
          <w:b w:val="0"/>
          <w:color w:val="auto"/>
          <w:sz w:val="21"/>
          <w:szCs w:val="21"/>
          <w:highlight w:val="none"/>
        </w:rPr>
        <w:t>9</w:t>
      </w:r>
      <w:bookmarkEnd w:id="923"/>
      <w:bookmarkEnd w:id="924"/>
      <w:bookmarkEnd w:id="925"/>
      <w:bookmarkStart w:id="959" w:name="_Toc312678021"/>
      <w:bookmarkStart w:id="960" w:name="_Toc312677495"/>
      <w:bookmarkStart w:id="961" w:name="_Toc300934982"/>
      <w:bookmarkStart w:id="962" w:name="_Toc297123533"/>
      <w:bookmarkStart w:id="963" w:name="_Toc303539139"/>
      <w:bookmarkStart w:id="964" w:name="_Toc297216192"/>
      <w:bookmarkStart w:id="965" w:name="_Toc304295559"/>
      <w:bookmarkStart w:id="966" w:name="_Toc297048359"/>
      <w:bookmarkStart w:id="967" w:name="_Toc296891001"/>
      <w:bookmarkStart w:id="968" w:name="_Toc296891213"/>
      <w:bookmarkStart w:id="969" w:name="_Toc296347172"/>
      <w:bookmarkStart w:id="970" w:name="_Toc297120473"/>
      <w:bookmarkStart w:id="971" w:name="_Toc296346674"/>
      <w:bookmarkStart w:id="972" w:name="_Toc292559378"/>
      <w:bookmarkStart w:id="973" w:name="_Toc296944512"/>
      <w:bookmarkStart w:id="974" w:name="_Toc292559883"/>
      <w:bookmarkStart w:id="975" w:name="_Toc267251428"/>
      <w:bookmarkStart w:id="976" w:name="_Toc267251427"/>
      <w:bookmarkStart w:id="977" w:name="_Toc296503173"/>
      <w:r>
        <w:rPr>
          <w:rFonts w:hint="eastAsia" w:ascii="宋体" w:hAnsi="宋体" w:eastAsia="宋体" w:cs="宋体"/>
          <w:b w:val="0"/>
          <w:color w:val="auto"/>
          <w:sz w:val="21"/>
          <w:szCs w:val="21"/>
          <w:highlight w:val="none"/>
        </w:rPr>
        <w:t>. 试验与检验</w:t>
      </w:r>
      <w:bookmarkEnd w:id="958"/>
    </w:p>
    <w:bookmarkEnd w:id="959"/>
    <w:bookmarkEnd w:id="960"/>
    <w:bookmarkEnd w:id="961"/>
    <w:bookmarkEnd w:id="962"/>
    <w:bookmarkEnd w:id="963"/>
    <w:bookmarkEnd w:id="964"/>
    <w:bookmarkEnd w:id="965"/>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bookmarkStart w:id="978" w:name="_Toc312677496"/>
      <w:bookmarkStart w:id="979" w:name="_Toc297123534"/>
      <w:bookmarkStart w:id="980" w:name="_Toc300934983"/>
      <w:bookmarkStart w:id="981" w:name="_Toc304295560"/>
      <w:bookmarkStart w:id="982" w:name="_Toc312678022"/>
      <w:bookmarkStart w:id="983" w:name="_Toc297216193"/>
      <w:bookmarkStart w:id="984" w:name="_Toc303539140"/>
      <w:r>
        <w:rPr>
          <w:rFonts w:hint="eastAsia" w:ascii="宋体" w:hAnsi="宋体" w:eastAsia="宋体" w:cs="宋体"/>
          <w:color w:val="auto"/>
          <w:sz w:val="21"/>
          <w:szCs w:val="21"/>
          <w:highlight w:val="none"/>
        </w:rPr>
        <w:t>.1试验设备与试验人员</w:t>
      </w:r>
    </w:p>
    <w:bookmarkEnd w:id="978"/>
    <w:bookmarkEnd w:id="979"/>
    <w:bookmarkEnd w:id="980"/>
    <w:bookmarkEnd w:id="981"/>
    <w:bookmarkEnd w:id="982"/>
    <w:bookmarkEnd w:id="983"/>
    <w:bookmarkEnd w:id="984"/>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bookmarkStart w:id="985" w:name="_Toc303539141"/>
      <w:bookmarkStart w:id="986" w:name="_Toc300934984"/>
      <w:bookmarkStart w:id="987" w:name="_Toc304295561"/>
      <w:bookmarkStart w:id="988" w:name="_Toc297216194"/>
      <w:bookmarkStart w:id="989" w:name="_Toc312677497"/>
      <w:bookmarkStart w:id="990" w:name="_Toc312678023"/>
      <w:bookmarkStart w:id="991" w:name="_Toc297123535"/>
      <w:bookmarkStart w:id="992" w:name="_Toc318581174"/>
      <w:r>
        <w:rPr>
          <w:rFonts w:hint="eastAsia" w:ascii="宋体" w:hAnsi="宋体" w:eastAsia="宋体" w:cs="宋体"/>
          <w:color w:val="auto"/>
          <w:sz w:val="21"/>
          <w:szCs w:val="21"/>
          <w:highlight w:val="none"/>
        </w:rPr>
        <w:t>.1.2 试验设备</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施工现场需要配置的试验场所：</w:t>
      </w:r>
      <w:bookmarkEnd w:id="985"/>
      <w:bookmarkEnd w:id="986"/>
      <w:bookmarkEnd w:id="987"/>
      <w:bookmarkEnd w:id="988"/>
      <w:bookmarkEnd w:id="989"/>
      <w:bookmarkEnd w:id="990"/>
      <w:bookmarkEnd w:id="991"/>
      <w:bookmarkStart w:id="993" w:name="_Toc304295562"/>
      <w:bookmarkStart w:id="994" w:name="_Toc312677498"/>
      <w:bookmarkStart w:id="995" w:name="_Toc303539142"/>
      <w:bookmarkStart w:id="996" w:name="_Toc300934985"/>
      <w:bookmarkStart w:id="997" w:name="_Toc297123536"/>
      <w:bookmarkStart w:id="998" w:name="_Toc297216195"/>
      <w:bookmarkStart w:id="999" w:name="_Toc312678024"/>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施工现场需要配备的试验设备：</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施工现场需要具备的其他试验条件：</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000" w:name="_Toc526086085"/>
      <w:bookmarkStart w:id="1001" w:name="_Toc17185678"/>
      <w:bookmarkStart w:id="1002" w:name="_Toc19097069"/>
      <w:bookmarkStart w:id="1003" w:name="_Toc531247251"/>
      <w:bookmarkStart w:id="1004" w:name="_Toc22892105"/>
      <w:bookmarkStart w:id="1005" w:name="_Toc17185781"/>
      <w:bookmarkStart w:id="1006" w:name="_Toc526086185"/>
      <w:r>
        <w:rPr>
          <w:rFonts w:hint="eastAsia" w:ascii="宋体" w:hAnsi="宋体" w:eastAsia="宋体" w:cs="宋体"/>
          <w:color w:val="auto"/>
          <w:sz w:val="21"/>
          <w:szCs w:val="21"/>
          <w:highlight w:val="none"/>
        </w:rPr>
        <w:t>9.4 现场工艺试验</w:t>
      </w:r>
      <w:bookmarkEnd w:id="1000"/>
      <w:bookmarkEnd w:id="1001"/>
      <w:bookmarkEnd w:id="1002"/>
      <w:bookmarkEnd w:id="1003"/>
      <w:bookmarkEnd w:id="1004"/>
      <w:bookmarkEnd w:id="1005"/>
      <w:bookmarkEnd w:id="1006"/>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现场工艺试验的有关约定：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992"/>
    <w:bookmarkEnd w:id="993"/>
    <w:bookmarkEnd w:id="994"/>
    <w:bookmarkEnd w:id="995"/>
    <w:bookmarkEnd w:id="996"/>
    <w:bookmarkEnd w:id="997"/>
    <w:bookmarkEnd w:id="998"/>
    <w:bookmarkEnd w:id="999"/>
    <w:p>
      <w:pPr>
        <w:pStyle w:val="265"/>
        <w:spacing w:before="120" w:after="120" w:line="400" w:lineRule="exact"/>
        <w:outlineLvl w:val="4"/>
        <w:rPr>
          <w:rFonts w:hint="eastAsia" w:ascii="宋体" w:hAnsi="宋体" w:eastAsia="宋体" w:cs="宋体"/>
          <w:b w:val="0"/>
          <w:color w:val="auto"/>
          <w:sz w:val="21"/>
          <w:szCs w:val="21"/>
          <w:highlight w:val="none"/>
        </w:rPr>
      </w:pPr>
      <w:bookmarkStart w:id="1007" w:name="_Toc351203642"/>
      <w:r>
        <w:rPr>
          <w:rFonts w:hint="eastAsia" w:ascii="宋体" w:hAnsi="宋体" w:eastAsia="宋体" w:cs="宋体"/>
          <w:b w:val="0"/>
          <w:color w:val="auto"/>
          <w:sz w:val="21"/>
          <w:szCs w:val="21"/>
          <w:highlight w:val="none"/>
        </w:rPr>
        <w:t>1</w:t>
      </w:r>
      <w:bookmarkEnd w:id="966"/>
      <w:bookmarkEnd w:id="967"/>
      <w:bookmarkEnd w:id="968"/>
      <w:bookmarkEnd w:id="969"/>
      <w:bookmarkEnd w:id="970"/>
      <w:bookmarkEnd w:id="971"/>
      <w:bookmarkEnd w:id="972"/>
      <w:bookmarkEnd w:id="973"/>
      <w:bookmarkEnd w:id="974"/>
      <w:bookmarkEnd w:id="975"/>
      <w:bookmarkEnd w:id="976"/>
      <w:bookmarkEnd w:id="977"/>
      <w:bookmarkStart w:id="1008" w:name="_Toc297048379"/>
      <w:bookmarkStart w:id="1009" w:name="_Toc296347192"/>
      <w:bookmarkStart w:id="1010" w:name="_Toc297120493"/>
      <w:bookmarkStart w:id="1011" w:name="_Toc297123540"/>
      <w:bookmarkStart w:id="1012" w:name="_Toc292559398"/>
      <w:bookmarkStart w:id="1013" w:name="_Toc296891021"/>
      <w:bookmarkStart w:id="1014" w:name="_Toc303539146"/>
      <w:bookmarkStart w:id="1015" w:name="_Toc297216199"/>
      <w:bookmarkStart w:id="1016" w:name="_Toc304295566"/>
      <w:bookmarkStart w:id="1017" w:name="_Toc296503193"/>
      <w:bookmarkStart w:id="1018" w:name="_Toc296346694"/>
      <w:bookmarkStart w:id="1019" w:name="_Toc296944532"/>
      <w:bookmarkStart w:id="1020" w:name="_Toc296891233"/>
      <w:bookmarkStart w:id="1021" w:name="_Toc300934989"/>
      <w:bookmarkStart w:id="1022" w:name="_Toc292559903"/>
      <w:bookmarkStart w:id="1023" w:name="_Toc312678025"/>
      <w:bookmarkStart w:id="1024" w:name="_Toc312677499"/>
      <w:bookmarkStart w:id="1025" w:name="_Toc267251441"/>
      <w:bookmarkStart w:id="1026" w:name="_Toc267251439"/>
      <w:bookmarkStart w:id="1027" w:name="_Toc267251433"/>
      <w:bookmarkStart w:id="1028" w:name="_Toc267251435"/>
      <w:bookmarkStart w:id="1029" w:name="_Toc267251440"/>
      <w:bookmarkStart w:id="1030" w:name="_Toc267251437"/>
      <w:bookmarkStart w:id="1031" w:name="_Toc267251442"/>
      <w:r>
        <w:rPr>
          <w:rFonts w:hint="eastAsia" w:ascii="宋体" w:hAnsi="宋体" w:eastAsia="宋体" w:cs="宋体"/>
          <w:b w:val="0"/>
          <w:color w:val="auto"/>
          <w:sz w:val="21"/>
          <w:szCs w:val="21"/>
          <w:highlight w:val="none"/>
        </w:rPr>
        <w:t>0. 变更</w:t>
      </w:r>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p>
    <w:bookmarkEnd w:id="1023"/>
    <w:bookmarkEnd w:id="1024"/>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Start w:id="1032" w:name="_Toc296503194"/>
      <w:bookmarkStart w:id="1033" w:name="_Toc292559904"/>
      <w:bookmarkStart w:id="1034" w:name="_Toc296891234"/>
      <w:bookmarkStart w:id="1035" w:name="_Toc296891022"/>
      <w:bookmarkStart w:id="1036" w:name="_Toc296347193"/>
      <w:bookmarkStart w:id="1037" w:name="_Toc312678026"/>
      <w:bookmarkStart w:id="1038" w:name="_Toc296944533"/>
      <w:bookmarkStart w:id="1039" w:name="_Toc297120494"/>
      <w:bookmarkStart w:id="1040" w:name="_Toc297123541"/>
      <w:bookmarkStart w:id="1041" w:name="_Toc303539147"/>
      <w:bookmarkStart w:id="1042" w:name="_Toc297048380"/>
      <w:bookmarkStart w:id="1043" w:name="_Toc297216200"/>
      <w:bookmarkStart w:id="1044" w:name="_Toc292559399"/>
      <w:bookmarkStart w:id="1045" w:name="_Toc296346695"/>
      <w:bookmarkStart w:id="1046" w:name="_Toc300934990"/>
      <w:bookmarkStart w:id="1047" w:name="_Toc312677500"/>
      <w:bookmarkStart w:id="1048" w:name="_Toc304295567"/>
      <w:r>
        <w:rPr>
          <w:rFonts w:hint="eastAsia" w:ascii="宋体" w:hAnsi="宋体" w:eastAsia="宋体" w:cs="宋体"/>
          <w:color w:val="auto"/>
          <w:sz w:val="21"/>
          <w:szCs w:val="21"/>
          <w:highlight w:val="none"/>
        </w:rPr>
        <w:t>0.1变更的范围</w:t>
      </w:r>
    </w:p>
    <w:p>
      <w:pPr>
        <w:pStyle w:val="261"/>
        <w:spacing w:line="400" w:lineRule="exact"/>
        <w:ind w:firstLine="6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关于变更的范围的约定：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049" w:name="_Toc17185782"/>
      <w:bookmarkStart w:id="1050" w:name="_Toc19097070"/>
      <w:bookmarkStart w:id="1051" w:name="_Toc531247252"/>
      <w:bookmarkStart w:id="1052" w:name="_Toc526086086"/>
      <w:bookmarkStart w:id="1053" w:name="_Toc17185679"/>
      <w:bookmarkStart w:id="1054" w:name="_Toc22892106"/>
      <w:bookmarkStart w:id="1055" w:name="_Toc526086186"/>
      <w:r>
        <w:rPr>
          <w:rFonts w:hint="eastAsia" w:ascii="宋体" w:hAnsi="宋体" w:eastAsia="宋体" w:cs="宋体"/>
          <w:color w:val="auto"/>
          <w:sz w:val="21"/>
          <w:szCs w:val="21"/>
          <w:highlight w:val="none"/>
        </w:rPr>
        <w:t>10.4 变更估价</w:t>
      </w:r>
      <w:bookmarkEnd w:id="1049"/>
      <w:bookmarkEnd w:id="1050"/>
      <w:bookmarkEnd w:id="1051"/>
      <w:bookmarkEnd w:id="1052"/>
      <w:bookmarkEnd w:id="1053"/>
      <w:bookmarkEnd w:id="1054"/>
      <w:bookmarkEnd w:id="1055"/>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10.4.1 变更估价原则</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xml:space="preserve">关于变更估价的约定: </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Start w:id="1056" w:name="_Toc297216203"/>
      <w:bookmarkStart w:id="1057" w:name="_Toc292559402"/>
      <w:bookmarkStart w:id="1058" w:name="_Toc297048383"/>
      <w:bookmarkStart w:id="1059" w:name="_Toc292559907"/>
      <w:bookmarkStart w:id="1060" w:name="_Toc296347196"/>
      <w:bookmarkStart w:id="1061" w:name="_Toc296503197"/>
      <w:bookmarkStart w:id="1062" w:name="_Toc297123544"/>
      <w:bookmarkStart w:id="1063" w:name="_Toc300934993"/>
      <w:bookmarkStart w:id="1064" w:name="_Toc296346698"/>
      <w:bookmarkStart w:id="1065" w:name="_Toc296891237"/>
      <w:bookmarkStart w:id="1066" w:name="_Toc303539150"/>
      <w:bookmarkStart w:id="1067" w:name="_Toc296891025"/>
      <w:bookmarkStart w:id="1068" w:name="_Toc296944536"/>
      <w:bookmarkStart w:id="1069" w:name="_Toc297120497"/>
      <w:bookmarkStart w:id="1070" w:name="_Toc304295570"/>
      <w:bookmarkStart w:id="1071" w:name="_Toc312677503"/>
      <w:bookmarkStart w:id="1072" w:name="_Toc312678029"/>
      <w:r>
        <w:rPr>
          <w:rFonts w:hint="eastAsia" w:ascii="宋体" w:hAnsi="宋体" w:eastAsia="宋体" w:cs="宋体"/>
          <w:color w:val="auto"/>
          <w:sz w:val="21"/>
          <w:szCs w:val="21"/>
          <w:highlight w:val="none"/>
        </w:rPr>
        <w:t>0.5承</w:t>
      </w:r>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Start w:id="1073" w:name="_Toc297123545"/>
      <w:bookmarkStart w:id="1074" w:name="_Toc296347202"/>
      <w:bookmarkStart w:id="1075" w:name="_Toc297216204"/>
      <w:bookmarkStart w:id="1076" w:name="_Toc292559913"/>
      <w:bookmarkStart w:id="1077" w:name="_Toc296944542"/>
      <w:bookmarkStart w:id="1078" w:name="_Toc296891031"/>
      <w:bookmarkStart w:id="1079" w:name="_Toc296891243"/>
      <w:bookmarkStart w:id="1080" w:name="_Toc292559408"/>
      <w:bookmarkStart w:id="1081" w:name="_Toc296503203"/>
      <w:bookmarkStart w:id="1082" w:name="_Toc303539151"/>
      <w:bookmarkStart w:id="1083" w:name="_Toc300934994"/>
      <w:bookmarkStart w:id="1084" w:name="_Toc296346704"/>
      <w:bookmarkStart w:id="1085" w:name="_Toc297048389"/>
      <w:bookmarkStart w:id="1086" w:name="_Toc297120503"/>
      <w:r>
        <w:rPr>
          <w:rFonts w:hint="eastAsia" w:ascii="宋体" w:hAnsi="宋体" w:eastAsia="宋体" w:cs="宋体"/>
          <w:color w:val="auto"/>
          <w:sz w:val="21"/>
          <w:szCs w:val="21"/>
          <w:highlight w:val="none"/>
        </w:rPr>
        <w:t>包人的合理化建议</w:t>
      </w:r>
    </w:p>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监理人审查承包人合理化建议的期限：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发包人审批承包人合理化建议的期限：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w:t>
      </w:r>
      <w:bookmarkStart w:id="1087" w:name="_Toc303539152"/>
      <w:bookmarkStart w:id="1088" w:name="_Toc297048390"/>
      <w:bookmarkStart w:id="1089" w:name="_Toc297216205"/>
      <w:bookmarkStart w:id="1090" w:name="_Toc292559409"/>
      <w:bookmarkStart w:id="1091" w:name="_Toc297120504"/>
      <w:bookmarkStart w:id="1092" w:name="_Toc300934995"/>
      <w:bookmarkStart w:id="1093" w:name="_Toc312677504"/>
      <w:bookmarkStart w:id="1094" w:name="_Toc304295571"/>
      <w:bookmarkStart w:id="1095" w:name="_Toc296347203"/>
      <w:bookmarkStart w:id="1096" w:name="_Toc318581175"/>
      <w:bookmarkStart w:id="1097" w:name="_Toc297123546"/>
      <w:bookmarkStart w:id="1098" w:name="_Toc312678030"/>
      <w:bookmarkStart w:id="1099" w:name="_Toc296346705"/>
      <w:bookmarkStart w:id="1100" w:name="_Toc296944543"/>
      <w:bookmarkStart w:id="1101" w:name="_Toc296891244"/>
      <w:bookmarkStart w:id="1102" w:name="_Toc292559914"/>
      <w:bookmarkStart w:id="1103" w:name="_Toc296503204"/>
      <w:bookmarkStart w:id="1104" w:name="_Toc296891032"/>
      <w:r>
        <w:rPr>
          <w:rFonts w:hint="eastAsia" w:ascii="宋体" w:hAnsi="宋体" w:eastAsia="宋体" w:cs="宋体"/>
          <w:color w:val="auto"/>
          <w:sz w:val="21"/>
          <w:szCs w:val="21"/>
          <w:highlight w:val="none"/>
        </w:rPr>
        <w:t>包人提出的合理化建议降低了合同价格或者提高了工程经济效益的奖励的方法和金额为：</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105" w:name="_Toc531247253"/>
      <w:bookmarkStart w:id="1106" w:name="_Toc526086087"/>
      <w:bookmarkStart w:id="1107" w:name="_Toc19097071"/>
      <w:bookmarkStart w:id="1108" w:name="_Toc526086187"/>
      <w:bookmarkStart w:id="1109" w:name="_Toc17185783"/>
      <w:bookmarkStart w:id="1110" w:name="_Toc17185680"/>
      <w:bookmarkStart w:id="1111" w:name="_Toc22892107"/>
      <w:r>
        <w:rPr>
          <w:rFonts w:hint="eastAsia" w:ascii="宋体" w:hAnsi="宋体" w:eastAsia="宋体" w:cs="宋体"/>
          <w:color w:val="auto"/>
          <w:sz w:val="21"/>
          <w:szCs w:val="21"/>
          <w:highlight w:val="none"/>
        </w:rPr>
        <w:t>1</w:t>
      </w:r>
      <w:bookmarkStart w:id="1112" w:name="_Toc312677507"/>
      <w:bookmarkStart w:id="1113" w:name="_Toc296891239"/>
      <w:bookmarkStart w:id="1114" w:name="_Toc292559404"/>
      <w:bookmarkStart w:id="1115" w:name="_Toc297123548"/>
      <w:bookmarkStart w:id="1116" w:name="_Toc296346700"/>
      <w:bookmarkStart w:id="1117" w:name="_Toc296503199"/>
      <w:bookmarkStart w:id="1118" w:name="_Toc292559909"/>
      <w:bookmarkStart w:id="1119" w:name="_Toc297048385"/>
      <w:bookmarkStart w:id="1120" w:name="_Toc300934997"/>
      <w:bookmarkStart w:id="1121" w:name="_Toc296944538"/>
      <w:bookmarkStart w:id="1122" w:name="_Toc296891027"/>
      <w:bookmarkStart w:id="1123" w:name="_Toc297216207"/>
      <w:bookmarkStart w:id="1124" w:name="_Toc297120499"/>
      <w:bookmarkStart w:id="1125" w:name="_Toc304295574"/>
      <w:bookmarkStart w:id="1126" w:name="_Toc312678033"/>
      <w:bookmarkStart w:id="1127" w:name="_Toc303539154"/>
      <w:bookmarkStart w:id="1128" w:name="_Toc296347198"/>
      <w:r>
        <w:rPr>
          <w:rFonts w:hint="eastAsia" w:ascii="宋体" w:hAnsi="宋体" w:eastAsia="宋体" w:cs="宋体"/>
          <w:color w:val="auto"/>
          <w:sz w:val="21"/>
          <w:szCs w:val="21"/>
          <w:highlight w:val="none"/>
        </w:rPr>
        <w:t>0.7 暂估价</w:t>
      </w:r>
      <w:bookmarkEnd w:id="1105"/>
      <w:bookmarkEnd w:id="1106"/>
      <w:bookmarkEnd w:id="1107"/>
      <w:bookmarkEnd w:id="1108"/>
      <w:bookmarkEnd w:id="1109"/>
      <w:bookmarkEnd w:id="1110"/>
      <w:bookmarkEnd w:id="1111"/>
    </w:p>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暂</w:t>
      </w:r>
      <w:bookmarkStart w:id="1129" w:name="_Toc312678034"/>
      <w:bookmarkStart w:id="1130" w:name="_Toc318581176"/>
      <w:bookmarkStart w:id="1131" w:name="_Toc312677508"/>
      <w:r>
        <w:rPr>
          <w:rFonts w:hint="eastAsia" w:ascii="宋体" w:hAnsi="宋体" w:eastAsia="宋体" w:cs="宋体"/>
          <w:color w:val="auto"/>
          <w:kern w:val="0"/>
          <w:sz w:val="21"/>
          <w:szCs w:val="21"/>
          <w:highlight w:val="none"/>
        </w:rPr>
        <w:t>估价材料和工程设备的明细详见附件11：《</w:t>
      </w:r>
      <w:r>
        <w:rPr>
          <w:rFonts w:hint="eastAsia" w:ascii="宋体" w:hAnsi="宋体" w:eastAsia="宋体" w:cs="宋体"/>
          <w:color w:val="auto"/>
          <w:sz w:val="21"/>
          <w:szCs w:val="21"/>
          <w:highlight w:val="none"/>
        </w:rPr>
        <w:t>暂估价一览表》</w:t>
      </w:r>
      <w:r>
        <w:rPr>
          <w:rFonts w:hint="eastAsia" w:ascii="宋体" w:hAnsi="宋体" w:eastAsia="宋体" w:cs="宋体"/>
          <w:color w:val="auto"/>
          <w:kern w:val="0"/>
          <w:sz w:val="21"/>
          <w:szCs w:val="21"/>
          <w:highlight w:val="none"/>
        </w:rPr>
        <w:t>。</w:t>
      </w:r>
    </w:p>
    <w:bookmarkEnd w:id="1129"/>
    <w:bookmarkEnd w:id="1130"/>
    <w:bookmarkEnd w:id="1131"/>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Start w:id="1132" w:name="_Toc312677509"/>
      <w:bookmarkStart w:id="1133" w:name="_Toc312678035"/>
      <w:bookmarkStart w:id="1134" w:name="_Toc318581177"/>
      <w:r>
        <w:rPr>
          <w:rFonts w:hint="eastAsia" w:ascii="宋体" w:hAnsi="宋体" w:eastAsia="宋体" w:cs="宋体"/>
          <w:color w:val="auto"/>
          <w:sz w:val="21"/>
          <w:szCs w:val="21"/>
          <w:highlight w:val="none"/>
        </w:rPr>
        <w:t>0.7.1 依法必须招标的暂估价项目</w:t>
      </w:r>
    </w:p>
    <w:bookmarkEnd w:id="1132"/>
    <w:bookmarkEnd w:id="1133"/>
    <w:bookmarkEnd w:id="1134"/>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对于依法必须招标的暂估价项目的确认和批准采取第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种方式确定。</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10.7.2 不属于依法必须招标的暂估价项目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对于不属于依法必须招标的暂估价项目的确认和批准采取第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种方式确定。</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第3种方式：</w:t>
      </w:r>
      <w:r>
        <w:rPr>
          <w:rFonts w:hint="eastAsia" w:ascii="宋体" w:hAnsi="宋体" w:eastAsia="宋体" w:cs="宋体"/>
          <w:color w:val="auto"/>
          <w:kern w:val="0"/>
          <w:sz w:val="21"/>
          <w:szCs w:val="21"/>
          <w:highlight w:val="none"/>
        </w:rPr>
        <w:t>承包人直接实施的暂估价项目</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承包人直接实施的暂估价项目的约定：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10.8 暂列金额</w:t>
      </w:r>
    </w:p>
    <w:p>
      <w:pPr>
        <w:pStyle w:val="261"/>
        <w:autoSpaceDE w:val="0"/>
        <w:autoSpaceDN w:val="0"/>
        <w:adjustRightInd w:val="0"/>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合同当事人关于暂列金额使用的约定：</w:t>
      </w:r>
      <w:r>
        <w:rPr>
          <w:rFonts w:hint="eastAsia" w:ascii="宋体" w:hAnsi="宋体" w:eastAsia="宋体" w:cs="宋体"/>
          <w:color w:val="auto"/>
          <w:sz w:val="21"/>
          <w:szCs w:val="21"/>
          <w:highlight w:val="none"/>
          <w:u w:val="single"/>
        </w:rPr>
        <w:t xml:space="preserve">                     </w:t>
      </w:r>
    </w:p>
    <w:p>
      <w:pPr>
        <w:pStyle w:val="261"/>
        <w:autoSpaceDE w:val="0"/>
        <w:autoSpaceDN w:val="0"/>
        <w:adjustRightIn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135" w:name="_Toc351203643"/>
      <w:r>
        <w:rPr>
          <w:rFonts w:hint="eastAsia" w:ascii="宋体" w:hAnsi="宋体" w:eastAsia="宋体" w:cs="宋体"/>
          <w:b w:val="0"/>
          <w:color w:val="auto"/>
          <w:sz w:val="21"/>
          <w:szCs w:val="21"/>
          <w:highlight w:val="none"/>
        </w:rPr>
        <w:t>11. 价格调整</w:t>
      </w:r>
      <w:bookmarkEnd w:id="1135"/>
    </w:p>
    <w:p>
      <w:pPr>
        <w:pStyle w:val="261"/>
        <w:spacing w:after="120" w:line="400" w:lineRule="exact"/>
        <w:ind w:firstLine="420" w:firstLineChars="200"/>
        <w:rPr>
          <w:rFonts w:hint="eastAsia" w:ascii="宋体" w:hAnsi="宋体" w:eastAsia="宋体" w:cs="宋体"/>
          <w:color w:val="auto"/>
          <w:sz w:val="21"/>
          <w:szCs w:val="21"/>
          <w:highlight w:val="none"/>
        </w:rPr>
      </w:pPr>
      <w:bookmarkStart w:id="1136" w:name="_Toc296346702"/>
      <w:bookmarkStart w:id="1137" w:name="_Toc303539157"/>
      <w:bookmarkStart w:id="1138" w:name="_Toc296891241"/>
      <w:bookmarkStart w:id="1139" w:name="_Toc297120501"/>
      <w:bookmarkStart w:id="1140" w:name="_Toc292559406"/>
      <w:bookmarkStart w:id="1141" w:name="_Toc297048387"/>
      <w:bookmarkStart w:id="1142" w:name="_Toc296347200"/>
      <w:bookmarkStart w:id="1143" w:name="_Toc312678039"/>
      <w:bookmarkStart w:id="1144" w:name="_Toc304295577"/>
      <w:bookmarkStart w:id="1145" w:name="_Toc300935000"/>
      <w:bookmarkStart w:id="1146" w:name="_Toc296503201"/>
      <w:bookmarkStart w:id="1147" w:name="_Toc296944540"/>
      <w:bookmarkStart w:id="1148" w:name="_Toc297216209"/>
      <w:bookmarkStart w:id="1149" w:name="_Toc296891029"/>
      <w:bookmarkStart w:id="1150" w:name="_Toc292559911"/>
      <w:bookmarkStart w:id="1151" w:name="_Toc297123550"/>
      <w:r>
        <w:rPr>
          <w:rFonts w:hint="eastAsia" w:ascii="宋体" w:hAnsi="宋体" w:eastAsia="宋体" w:cs="宋体"/>
          <w:color w:val="auto"/>
          <w:sz w:val="21"/>
          <w:szCs w:val="21"/>
          <w:highlight w:val="none"/>
        </w:rPr>
        <w:t>11.1 市场价格波动引起的调整</w:t>
      </w:r>
    </w:p>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市场价格波动是否调整合同价格的约定：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因市场价格波动调整合同价格，采用以下第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种方式对合同价格进行调整：</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第1种方式：采用价格指数进行价格调整。</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关于各可调因子、定值和变值权重，以及基本价格指数及其来源的约定：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第2种方式：采用造价信息进行价格调整。</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（2）关于基准价格的约定：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%时，或材料单价跌幅以已标价工程量清单或预算书中载明材料单价为基础超过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%时，其超过部分据实调整。</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②承包人在已标价工程量清单或预算书中载明的材料单价高于基准价格的：专用合同条款合同履行期间材料单价跌幅以基准价格为基础超过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%时，材料单价涨幅以已标价工程量清单或预算书中载明材料单价为基础超过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%时，其超过部分据实调整。</w:t>
      </w:r>
    </w:p>
    <w:p>
      <w:pPr>
        <w:pStyle w:val="261"/>
        <w:spacing w:line="400" w:lineRule="exact"/>
        <w:ind w:firstLine="645"/>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③承包人在已标价工程量清单或预算书中载明的材料单价等于基准单价的：专用合同条款合同履行期间材料单价涨跌幅以基准单价为基础超过±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%时，其超过部分据实调整。</w:t>
      </w:r>
    </w:p>
    <w:p>
      <w:pPr>
        <w:pStyle w:val="261"/>
        <w:spacing w:line="400" w:lineRule="exact"/>
        <w:ind w:firstLine="645"/>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第3种方式：其他价格调整方式：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025"/>
    <w:bookmarkEnd w:id="1026"/>
    <w:bookmarkEnd w:id="1027"/>
    <w:bookmarkEnd w:id="1028"/>
    <w:bookmarkEnd w:id="1029"/>
    <w:bookmarkEnd w:id="1030"/>
    <w:p>
      <w:pPr>
        <w:pStyle w:val="265"/>
        <w:spacing w:before="120" w:after="120" w:line="400" w:lineRule="exact"/>
        <w:outlineLvl w:val="4"/>
        <w:rPr>
          <w:rFonts w:hint="eastAsia" w:ascii="宋体" w:hAnsi="宋体" w:eastAsia="宋体" w:cs="宋体"/>
          <w:b w:val="0"/>
          <w:color w:val="auto"/>
          <w:sz w:val="21"/>
          <w:szCs w:val="21"/>
          <w:highlight w:val="none"/>
        </w:rPr>
      </w:pPr>
      <w:bookmarkStart w:id="1152" w:name="_Toc296891033"/>
      <w:bookmarkStart w:id="1153" w:name="_Toc296503205"/>
      <w:bookmarkStart w:id="1154" w:name="_Toc296347204"/>
      <w:bookmarkStart w:id="1155" w:name="_Toc292559915"/>
      <w:bookmarkStart w:id="1156" w:name="_Toc297048391"/>
      <w:bookmarkStart w:id="1157" w:name="_Toc296346706"/>
      <w:bookmarkStart w:id="1158" w:name="_Toc296944544"/>
      <w:bookmarkStart w:id="1159" w:name="_Toc296891245"/>
      <w:bookmarkStart w:id="1160" w:name="_Toc297120505"/>
      <w:bookmarkStart w:id="1161" w:name="_Toc292559410"/>
      <w:bookmarkStart w:id="1162" w:name="_Toc351203644"/>
      <w:bookmarkStart w:id="1163" w:name="_Toc297123552"/>
      <w:bookmarkStart w:id="1164" w:name="_Toc303539159"/>
      <w:bookmarkStart w:id="1165" w:name="_Toc297216211"/>
      <w:bookmarkStart w:id="1166" w:name="_Toc304295579"/>
      <w:bookmarkStart w:id="1167" w:name="_Toc300935002"/>
      <w:bookmarkStart w:id="1168" w:name="_Toc312678040"/>
      <w:r>
        <w:rPr>
          <w:rFonts w:hint="eastAsia" w:ascii="宋体" w:hAnsi="宋体" w:eastAsia="宋体" w:cs="宋体"/>
          <w:b w:val="0"/>
          <w:color w:val="auto"/>
          <w:sz w:val="21"/>
          <w:szCs w:val="21"/>
          <w:highlight w:val="none"/>
        </w:rPr>
        <w:t xml:space="preserve">12. </w:t>
      </w:r>
      <w:bookmarkEnd w:id="1152"/>
      <w:bookmarkEnd w:id="1153"/>
      <w:bookmarkEnd w:id="1154"/>
      <w:bookmarkEnd w:id="1155"/>
      <w:bookmarkEnd w:id="1156"/>
      <w:bookmarkEnd w:id="1157"/>
      <w:bookmarkEnd w:id="1158"/>
      <w:bookmarkEnd w:id="1159"/>
      <w:bookmarkEnd w:id="1160"/>
      <w:bookmarkEnd w:id="1161"/>
      <w:r>
        <w:rPr>
          <w:rFonts w:hint="eastAsia" w:ascii="宋体" w:hAnsi="宋体" w:eastAsia="宋体" w:cs="宋体"/>
          <w:b w:val="0"/>
          <w:color w:val="auto"/>
          <w:sz w:val="21"/>
          <w:szCs w:val="21"/>
          <w:highlight w:val="none"/>
        </w:rPr>
        <w:t>合同价格、计量与支付</w:t>
      </w:r>
      <w:bookmarkEnd w:id="1162"/>
    </w:p>
    <w:bookmarkEnd w:id="1163"/>
    <w:bookmarkEnd w:id="1164"/>
    <w:bookmarkEnd w:id="1165"/>
    <w:bookmarkEnd w:id="1166"/>
    <w:bookmarkEnd w:id="1167"/>
    <w:bookmarkEnd w:id="1168"/>
    <w:p>
      <w:pPr>
        <w:pStyle w:val="261"/>
        <w:spacing w:after="120" w:line="400" w:lineRule="exact"/>
        <w:ind w:firstLine="420" w:firstLineChars="200"/>
        <w:rPr>
          <w:rFonts w:hint="eastAsia" w:ascii="宋体" w:hAnsi="宋体" w:eastAsia="宋体" w:cs="宋体"/>
          <w:color w:val="auto"/>
          <w:sz w:val="21"/>
          <w:szCs w:val="21"/>
          <w:highlight w:val="none"/>
        </w:rPr>
      </w:pPr>
      <w:bookmarkStart w:id="1169" w:name="_Toc292559916"/>
      <w:bookmarkStart w:id="1170" w:name="_Toc267251461"/>
      <w:bookmarkStart w:id="1171" w:name="_Toc292559411"/>
      <w:bookmarkStart w:id="1172" w:name="_Toc297048392"/>
      <w:bookmarkStart w:id="1173" w:name="_Toc296503206"/>
      <w:bookmarkStart w:id="1174" w:name="_Toc296891034"/>
      <w:bookmarkStart w:id="1175" w:name="_Toc296347205"/>
      <w:bookmarkStart w:id="1176" w:name="_Toc296346707"/>
      <w:bookmarkStart w:id="1177" w:name="_Toc296891246"/>
      <w:bookmarkStart w:id="1178" w:name="_Toc296944545"/>
      <w:bookmarkStart w:id="1179" w:name="_Toc297120506"/>
      <w:bookmarkStart w:id="1180" w:name="_Toc303539160"/>
      <w:bookmarkStart w:id="1181" w:name="_Toc312678041"/>
      <w:bookmarkStart w:id="1182" w:name="_Toc300935003"/>
      <w:bookmarkStart w:id="1183" w:name="_Toc304295580"/>
      <w:bookmarkStart w:id="1184" w:name="_Toc297123553"/>
      <w:bookmarkStart w:id="1185" w:name="_Toc297216212"/>
      <w:r>
        <w:rPr>
          <w:rFonts w:hint="eastAsia" w:ascii="宋体" w:hAnsi="宋体" w:eastAsia="宋体" w:cs="宋体"/>
          <w:color w:val="auto"/>
          <w:sz w:val="21"/>
          <w:szCs w:val="21"/>
          <w:highlight w:val="none"/>
        </w:rPr>
        <w:t>12.1 合</w:t>
      </w:r>
      <w:bookmarkEnd w:id="1169"/>
      <w:bookmarkEnd w:id="1170"/>
      <w:bookmarkEnd w:id="1171"/>
      <w:r>
        <w:rPr>
          <w:rFonts w:hint="eastAsia" w:ascii="宋体" w:hAnsi="宋体" w:eastAsia="宋体" w:cs="宋体"/>
          <w:color w:val="auto"/>
          <w:sz w:val="21"/>
          <w:szCs w:val="21"/>
          <w:highlight w:val="none"/>
        </w:rPr>
        <w:t>同价</w:t>
      </w:r>
      <w:bookmarkEnd w:id="1172"/>
      <w:bookmarkEnd w:id="1173"/>
      <w:bookmarkEnd w:id="1174"/>
      <w:bookmarkEnd w:id="1175"/>
      <w:bookmarkEnd w:id="1176"/>
      <w:bookmarkEnd w:id="1177"/>
      <w:bookmarkEnd w:id="1178"/>
      <w:bookmarkEnd w:id="1179"/>
      <w:r>
        <w:rPr>
          <w:rFonts w:hint="eastAsia" w:ascii="宋体" w:hAnsi="宋体" w:eastAsia="宋体" w:cs="宋体"/>
          <w:color w:val="auto"/>
          <w:sz w:val="21"/>
          <w:szCs w:val="21"/>
          <w:highlight w:val="none"/>
        </w:rPr>
        <w:t>格形式</w:t>
      </w:r>
    </w:p>
    <w:bookmarkEnd w:id="1180"/>
    <w:bookmarkEnd w:id="1181"/>
    <w:bookmarkEnd w:id="1182"/>
    <w:bookmarkEnd w:id="1183"/>
    <w:bookmarkEnd w:id="1184"/>
    <w:bookmarkEnd w:id="1185"/>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1、单价合同。</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综合单价包含的风险范围：</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风险费用的计算方法：</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风险范围以外合同价格的调整方法：</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2、总价合同。</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总价包含的风险范围：</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风险费用的计算方法：</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风险范围以外合同价格的调整方法：</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3、其他价格方式：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bookmarkStart w:id="1186" w:name="_Toc297123554"/>
      <w:bookmarkStart w:id="1187" w:name="_Toc312678042"/>
      <w:bookmarkStart w:id="1188" w:name="_Toc303539161"/>
      <w:bookmarkStart w:id="1189" w:name="_Toc304295581"/>
      <w:bookmarkStart w:id="1190" w:name="_Toc300935004"/>
      <w:bookmarkStart w:id="1191" w:name="_Toc297216213"/>
      <w:bookmarkStart w:id="1192" w:name="_Toc297120507"/>
      <w:bookmarkStart w:id="1193" w:name="_Toc296347206"/>
      <w:bookmarkStart w:id="1194" w:name="_Toc296944546"/>
      <w:bookmarkStart w:id="1195" w:name="_Toc296891247"/>
      <w:bookmarkStart w:id="1196" w:name="_Toc296346708"/>
      <w:bookmarkStart w:id="1197" w:name="_Toc292559412"/>
      <w:bookmarkStart w:id="1198" w:name="_Toc296503207"/>
      <w:bookmarkStart w:id="1199" w:name="_Toc297048393"/>
      <w:bookmarkStart w:id="1200" w:name="_Toc292559917"/>
      <w:bookmarkStart w:id="1201" w:name="_Toc296891035"/>
      <w:r>
        <w:rPr>
          <w:rFonts w:hint="eastAsia" w:ascii="宋体" w:hAnsi="宋体" w:eastAsia="宋体" w:cs="宋体"/>
          <w:color w:val="auto"/>
          <w:sz w:val="21"/>
          <w:szCs w:val="21"/>
          <w:highlight w:val="none"/>
        </w:rPr>
        <w:t>12.2 预付款</w:t>
      </w:r>
    </w:p>
    <w:bookmarkEnd w:id="1186"/>
    <w:bookmarkEnd w:id="1187"/>
    <w:bookmarkEnd w:id="1188"/>
    <w:bookmarkEnd w:id="1189"/>
    <w:bookmarkEnd w:id="1190"/>
    <w:bookmarkEnd w:id="1191"/>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12.2.1 预付款的支付</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预付款支付比例或金额：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预付款支付期限：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预付款扣回的方式：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12.2.2 预付款担保</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承包人提交预付款担保的期限：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预付款担保的形式为：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192"/>
    <w:bookmarkEnd w:id="1193"/>
    <w:bookmarkEnd w:id="1194"/>
    <w:bookmarkEnd w:id="1195"/>
    <w:bookmarkEnd w:id="1196"/>
    <w:bookmarkEnd w:id="1197"/>
    <w:bookmarkEnd w:id="1198"/>
    <w:bookmarkEnd w:id="1199"/>
    <w:bookmarkEnd w:id="1200"/>
    <w:bookmarkEnd w:id="1201"/>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 计量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12.3.1 计量原则</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工程量计算规则：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12.3.2 计量周期</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关于计量周期的约定：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12.3.3 单价合同的计量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关于单价合同计量的约定：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12.3.4 总价合同的计量</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关于总价合同计量的约定：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12.3.5总价合同采用支付分解表计量支付的，是否适用第</w:t>
      </w:r>
      <w:r>
        <w:rPr>
          <w:rFonts w:hint="eastAsia" w:ascii="宋体" w:hAnsi="宋体" w:eastAsia="宋体" w:cs="宋体"/>
          <w:color w:val="auto"/>
          <w:kern w:val="0"/>
          <w:sz w:val="21"/>
          <w:szCs w:val="21"/>
          <w:highlight w:val="none"/>
        </w:rPr>
        <w:t xml:space="preserve">12.3.4 </w:t>
      </w:r>
      <w:r>
        <w:rPr>
          <w:rFonts w:hint="eastAsia" w:ascii="宋体" w:hAnsi="宋体" w:eastAsia="宋体" w:cs="宋体"/>
          <w:color w:val="auto"/>
          <w:sz w:val="21"/>
          <w:szCs w:val="21"/>
          <w:highlight w:val="none"/>
        </w:rPr>
        <w:t>项</w:t>
      </w:r>
      <w:r>
        <w:rPr>
          <w:rFonts w:hint="eastAsia" w:ascii="宋体" w:hAnsi="宋体" w:eastAsia="宋体" w:cs="宋体"/>
          <w:color w:val="auto"/>
          <w:kern w:val="0"/>
          <w:sz w:val="21"/>
          <w:szCs w:val="21"/>
          <w:highlight w:val="none"/>
        </w:rPr>
        <w:t>〔总价合同的计量〕</w:t>
      </w:r>
      <w:r>
        <w:rPr>
          <w:rFonts w:hint="eastAsia" w:ascii="宋体" w:hAnsi="宋体" w:eastAsia="宋体" w:cs="宋体"/>
          <w:color w:val="auto"/>
          <w:sz w:val="21"/>
          <w:szCs w:val="21"/>
          <w:highlight w:val="none"/>
        </w:rPr>
        <w:t>约定进行计量：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12.3.6 其他价格形式合同的计量</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其他价格形式的计量方式和程序：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 工程进度款支付</w:t>
      </w:r>
    </w:p>
    <w:p>
      <w:pPr>
        <w:pStyle w:val="261"/>
        <w:spacing w:line="400" w:lineRule="exact"/>
        <w:ind w:firstLine="420" w:firstLineChars="200"/>
        <w:jc w:val="left"/>
        <w:rPr>
          <w:rFonts w:hint="eastAsia" w:ascii="宋体" w:hAnsi="宋体" w:eastAsia="宋体" w:cs="宋体"/>
          <w:color w:val="auto"/>
          <w:sz w:val="21"/>
          <w:szCs w:val="21"/>
          <w:highlight w:val="none"/>
        </w:rPr>
      </w:pPr>
      <w:bookmarkStart w:id="1202" w:name="_Toc297123556"/>
      <w:bookmarkStart w:id="1203" w:name="_Toc296346712"/>
      <w:bookmarkStart w:id="1204" w:name="_Toc296347210"/>
      <w:bookmarkStart w:id="1205" w:name="_Toc297216215"/>
      <w:bookmarkStart w:id="1206" w:name="_Toc297048397"/>
      <w:bookmarkStart w:id="1207" w:name="_Toc300935006"/>
      <w:bookmarkStart w:id="1208" w:name="_Toc297120511"/>
      <w:bookmarkStart w:id="1209" w:name="_Toc292559416"/>
      <w:bookmarkStart w:id="1210" w:name="_Toc296503211"/>
      <w:bookmarkStart w:id="1211" w:name="_Toc292559921"/>
      <w:bookmarkStart w:id="1212" w:name="_Toc296944550"/>
      <w:bookmarkStart w:id="1213" w:name="_Toc303539163"/>
      <w:bookmarkStart w:id="1214" w:name="_Toc296891039"/>
      <w:bookmarkStart w:id="1215" w:name="_Toc296891251"/>
      <w:r>
        <w:rPr>
          <w:rFonts w:hint="eastAsia" w:ascii="宋体" w:hAnsi="宋体" w:eastAsia="宋体" w:cs="宋体"/>
          <w:color w:val="auto"/>
          <w:sz w:val="21"/>
          <w:szCs w:val="21"/>
          <w:highlight w:val="none"/>
        </w:rPr>
        <w:t>12.4.1 付款周期</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关于付款周期的约定：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12.4.2 进度付款申请单的编制</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关于进度付款申请单编制的约定：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r>
        <w:rPr>
          <w:rFonts w:hint="eastAsia" w:ascii="宋体" w:hAnsi="宋体" w:eastAsia="宋体" w:cs="宋体"/>
          <w:color w:val="auto"/>
          <w:sz w:val="21"/>
          <w:szCs w:val="21"/>
          <w:highlight w:val="none"/>
        </w:rPr>
        <w:t>2.4.3 进度付款申请单的提交</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（1）单价合同进度付款申请单提交的约定：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（2）总价合同进度付款申请单提交的约定：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（3）其他价格形式合同进度付款申请单提交的约定：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12.4.4 进度款审核和支付</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（1）监理人审查并报送发包人的期限：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发包人完成审批并签发进度款支付证书的期限：</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（2）发包人支付进度款的期限：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525" w:firstLineChars="25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发包人逾期支付进度款的违约金的计算方式：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525" w:firstLineChars="25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12.4.6 支付分解表的编制</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2、总价合同支付分解表的编制与审批：</w:t>
      </w:r>
      <w:r>
        <w:rPr>
          <w:rFonts w:hint="eastAsia" w:ascii="宋体" w:hAnsi="宋体" w:eastAsia="宋体" w:cs="宋体"/>
          <w:color w:val="auto"/>
          <w:sz w:val="21"/>
          <w:szCs w:val="21"/>
          <w:highlight w:val="none"/>
          <w:u w:val="single"/>
        </w:rPr>
        <w:t xml:space="preserve">                  </w:t>
      </w:r>
    </w:p>
    <w:p>
      <w:pPr>
        <w:pStyle w:val="261"/>
        <w:spacing w:line="400" w:lineRule="exact"/>
        <w:ind w:left="4800" w:hanging="4200" w:hangingChars="20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3、单价合同的总价项目支付分解表的编制与审批：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031"/>
    <w:p>
      <w:pPr>
        <w:pStyle w:val="265"/>
        <w:spacing w:before="120" w:after="120" w:line="400" w:lineRule="exact"/>
        <w:outlineLvl w:val="4"/>
        <w:rPr>
          <w:rFonts w:hint="eastAsia" w:ascii="宋体" w:hAnsi="宋体" w:eastAsia="宋体" w:cs="宋体"/>
          <w:b w:val="0"/>
          <w:color w:val="auto"/>
          <w:sz w:val="21"/>
          <w:szCs w:val="21"/>
          <w:highlight w:val="none"/>
        </w:rPr>
      </w:pPr>
      <w:bookmarkStart w:id="1216" w:name="_Toc351203645"/>
      <w:bookmarkStart w:id="1217" w:name="_Toc304295593"/>
      <w:bookmarkStart w:id="1218" w:name="_Toc297120519"/>
      <w:bookmarkStart w:id="1219" w:name="_Toc300935015"/>
      <w:bookmarkStart w:id="1220" w:name="_Toc296503219"/>
      <w:bookmarkStart w:id="1221" w:name="_Toc296347218"/>
      <w:bookmarkStart w:id="1222" w:name="_Toc296944558"/>
      <w:bookmarkStart w:id="1223" w:name="_Toc296346720"/>
      <w:bookmarkStart w:id="1224" w:name="_Toc297123564"/>
      <w:bookmarkStart w:id="1225" w:name="_Toc312678053"/>
      <w:bookmarkStart w:id="1226" w:name="_Toc296891047"/>
      <w:bookmarkStart w:id="1227" w:name="_Toc303539172"/>
      <w:bookmarkStart w:id="1228" w:name="_Toc297048405"/>
      <w:bookmarkStart w:id="1229" w:name="_Toc296891259"/>
      <w:bookmarkStart w:id="1230" w:name="_Toc292559929"/>
      <w:bookmarkStart w:id="1231" w:name="_Toc297216223"/>
      <w:bookmarkStart w:id="1232" w:name="_Toc292559424"/>
      <w:r>
        <w:rPr>
          <w:rFonts w:hint="eastAsia" w:ascii="宋体" w:hAnsi="宋体" w:eastAsia="宋体" w:cs="宋体"/>
          <w:b w:val="0"/>
          <w:color w:val="auto"/>
          <w:sz w:val="21"/>
          <w:szCs w:val="21"/>
          <w:highlight w:val="none"/>
        </w:rPr>
        <w:t>13. 验收和工程试车</w:t>
      </w:r>
      <w:bookmarkEnd w:id="1216"/>
    </w:p>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 分部分项工程验收</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13.1.2监理人不能按时进行验收时，应提前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小时提交书面延期要求。</w:t>
      </w:r>
    </w:p>
    <w:p>
      <w:pPr>
        <w:pStyle w:val="261"/>
        <w:spacing w:line="400" w:lineRule="exact"/>
        <w:ind w:firstLine="420" w:firstLineChars="200"/>
        <w:jc w:val="lef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关于延期最长不得超过：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w:t>
      </w:r>
    </w:p>
    <w:p>
      <w:pPr>
        <w:pStyle w:val="261"/>
        <w:spacing w:after="120" w:line="400" w:lineRule="exact"/>
        <w:ind w:firstLine="420" w:firstLineChars="200"/>
        <w:rPr>
          <w:rFonts w:hint="eastAsia" w:ascii="宋体" w:hAnsi="宋体" w:eastAsia="宋体" w:cs="宋体"/>
          <w:color w:val="auto"/>
          <w:sz w:val="21"/>
          <w:szCs w:val="21"/>
          <w:highlight w:val="none"/>
        </w:rPr>
      </w:pPr>
      <w:bookmarkStart w:id="1233" w:name="_Toc297123565"/>
      <w:bookmarkStart w:id="1234" w:name="_Toc304295596"/>
      <w:bookmarkStart w:id="1235" w:name="_Toc297048409"/>
      <w:bookmarkStart w:id="1236" w:name="_Toc296503223"/>
      <w:bookmarkStart w:id="1237" w:name="_Toc303539173"/>
      <w:bookmarkStart w:id="1238" w:name="_Toc296347222"/>
      <w:bookmarkStart w:id="1239" w:name="_Toc296944562"/>
      <w:bookmarkStart w:id="1240" w:name="_Toc292559428"/>
      <w:bookmarkStart w:id="1241" w:name="_Toc297120523"/>
      <w:bookmarkStart w:id="1242" w:name="_Toc297216224"/>
      <w:bookmarkStart w:id="1243" w:name="_Toc292559933"/>
      <w:bookmarkStart w:id="1244" w:name="_Toc296346724"/>
      <w:bookmarkStart w:id="1245" w:name="_Toc300935016"/>
      <w:bookmarkStart w:id="1246" w:name="_Toc312678056"/>
      <w:bookmarkStart w:id="1247" w:name="_Toc296891051"/>
      <w:bookmarkStart w:id="1248" w:name="_Toc296891263"/>
      <w:bookmarkStart w:id="1249" w:name="_Toc267251476"/>
      <w:bookmarkStart w:id="1250" w:name="_Toc267251471"/>
      <w:bookmarkStart w:id="1251" w:name="_Toc267251474"/>
      <w:bookmarkStart w:id="1252" w:name="_Toc267251472"/>
      <w:bookmarkStart w:id="1253" w:name="_Toc267251475"/>
      <w:bookmarkStart w:id="1254" w:name="_Toc267251473"/>
      <w:bookmarkStart w:id="1255" w:name="_Toc267251470"/>
      <w:r>
        <w:rPr>
          <w:rFonts w:hint="eastAsia" w:ascii="宋体" w:hAnsi="宋体" w:eastAsia="宋体" w:cs="宋体"/>
          <w:color w:val="auto"/>
          <w:sz w:val="21"/>
          <w:szCs w:val="21"/>
          <w:highlight w:val="none"/>
        </w:rPr>
        <w:t>13.2 竣工验收</w:t>
      </w:r>
    </w:p>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p>
      <w:pPr>
        <w:pStyle w:val="261"/>
        <w:spacing w:line="400" w:lineRule="exact"/>
        <w:ind w:firstLine="420" w:firstLineChars="200"/>
        <w:jc w:val="left"/>
        <w:rPr>
          <w:rFonts w:hint="eastAsia" w:ascii="宋体" w:hAnsi="宋体" w:eastAsia="宋体" w:cs="宋体"/>
          <w:color w:val="auto"/>
          <w:sz w:val="21"/>
          <w:szCs w:val="21"/>
          <w:highlight w:val="none"/>
        </w:rPr>
      </w:pPr>
      <w:bookmarkStart w:id="1256" w:name="_Toc280868704"/>
      <w:bookmarkStart w:id="1257" w:name="_Toc280868705"/>
      <w:bookmarkStart w:id="1258" w:name="_Toc280868706"/>
      <w:bookmarkStart w:id="1259" w:name="_Toc280868707"/>
      <w:bookmarkStart w:id="1260" w:name="_Toc280868708"/>
      <w:bookmarkStart w:id="1261" w:name="_Toc280868709"/>
      <w:r>
        <w:rPr>
          <w:rFonts w:hint="eastAsia" w:ascii="宋体" w:hAnsi="宋体" w:eastAsia="宋体" w:cs="宋体"/>
          <w:color w:val="auto"/>
          <w:sz w:val="21"/>
          <w:szCs w:val="21"/>
          <w:highlight w:val="none"/>
        </w:rPr>
        <w:t>13.2.2竣工验收程序</w:t>
      </w:r>
    </w:p>
    <w:bookmarkEnd w:id="1256"/>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关于竣工验收程序的约定：</w:t>
      </w:r>
      <w:r>
        <w:rPr>
          <w:rFonts w:hint="eastAsia" w:ascii="宋体" w:hAnsi="宋体" w:eastAsia="宋体" w:cs="宋体"/>
          <w:color w:val="auto"/>
          <w:sz w:val="21"/>
          <w:szCs w:val="21"/>
          <w:highlight w:val="none"/>
          <w:u w:val="single"/>
        </w:rPr>
        <w:t xml:space="preserve">                              </w:t>
      </w:r>
    </w:p>
    <w:p>
      <w:pPr>
        <w:pStyle w:val="261"/>
        <w:spacing w:line="400" w:lineRule="exact"/>
        <w:ind w:left="4800" w:hanging="4200" w:hangingChars="20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发包人不按照本项约定组织竣工验收、颁发工程接收证书的违约金的计算方法：</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57"/>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13.2.5移交、接收全部与部分工程</w:t>
      </w:r>
    </w:p>
    <w:bookmarkEnd w:id="1258"/>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承包人向发包人移交工程的期限：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发包人未按本合同约定接收全部或部分工程的，违约金的计算方法为：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59"/>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承包人未按时移交工程的，违约金的计算方法为：</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13.3 工程试车</w:t>
      </w:r>
    </w:p>
    <w:bookmarkEnd w:id="1260"/>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13.3.1 试车程序</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工程试车内容：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（1）单机无负荷试车费用由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（2）无负荷联动试车费用由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承担。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13.3.3 投料试车</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关于投料试车相关事项的约定：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262" w:name="_Toc22892108"/>
      <w:bookmarkStart w:id="1263" w:name="_Toc19097072"/>
      <w:bookmarkStart w:id="1264" w:name="_Toc17185681"/>
      <w:bookmarkStart w:id="1265" w:name="_Toc526086188"/>
      <w:bookmarkStart w:id="1266" w:name="_Toc531247254"/>
      <w:bookmarkStart w:id="1267" w:name="_Toc526086088"/>
      <w:bookmarkStart w:id="1268" w:name="_Toc17185784"/>
      <w:r>
        <w:rPr>
          <w:rFonts w:hint="eastAsia" w:ascii="宋体" w:hAnsi="宋体" w:eastAsia="宋体" w:cs="宋体"/>
          <w:color w:val="auto"/>
          <w:sz w:val="21"/>
          <w:szCs w:val="21"/>
          <w:highlight w:val="none"/>
        </w:rPr>
        <w:t>13.6 竣工退场</w:t>
      </w:r>
      <w:bookmarkEnd w:id="1262"/>
      <w:bookmarkEnd w:id="1263"/>
      <w:bookmarkEnd w:id="1264"/>
      <w:bookmarkEnd w:id="1265"/>
      <w:bookmarkEnd w:id="1266"/>
      <w:bookmarkEnd w:id="1267"/>
      <w:bookmarkEnd w:id="126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13.6.1 竣工退场</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承包人完成竣工退场的期限：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269" w:name="_Toc351203646"/>
      <w:r>
        <w:rPr>
          <w:rFonts w:hint="eastAsia" w:ascii="宋体" w:hAnsi="宋体" w:eastAsia="宋体" w:cs="宋体"/>
          <w:b w:val="0"/>
          <w:color w:val="auto"/>
          <w:sz w:val="21"/>
          <w:szCs w:val="21"/>
          <w:highlight w:val="none"/>
        </w:rPr>
        <w:t>14. 竣工结算</w:t>
      </w:r>
      <w:bookmarkEnd w:id="1269"/>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 竣工结算申请</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承包人提交竣工结算申请单的期限：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竣工结算申请单应包括的内容：</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270" w:name="_Toc17185682"/>
      <w:bookmarkStart w:id="1271" w:name="_Toc22892109"/>
      <w:bookmarkStart w:id="1272" w:name="_Toc19097073"/>
      <w:bookmarkStart w:id="1273" w:name="_Toc531247255"/>
      <w:bookmarkStart w:id="1274" w:name="_Toc526086189"/>
      <w:bookmarkStart w:id="1275" w:name="_Toc526086089"/>
      <w:bookmarkStart w:id="1276" w:name="_Toc17185785"/>
      <w:r>
        <w:rPr>
          <w:rFonts w:hint="eastAsia" w:ascii="宋体" w:hAnsi="宋体" w:eastAsia="宋体" w:cs="宋体"/>
          <w:color w:val="auto"/>
          <w:sz w:val="21"/>
          <w:szCs w:val="21"/>
          <w:highlight w:val="none"/>
        </w:rPr>
        <w:t>14.2 竣工结算审核</w:t>
      </w:r>
      <w:bookmarkEnd w:id="1270"/>
      <w:bookmarkEnd w:id="1271"/>
      <w:bookmarkEnd w:id="1272"/>
      <w:bookmarkEnd w:id="1273"/>
      <w:bookmarkEnd w:id="1274"/>
      <w:bookmarkEnd w:id="1275"/>
      <w:bookmarkEnd w:id="1276"/>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发包人审批竣工付款申请单的期限：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发包人完成竣工付款的期限：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关于竣工付款证书异议部分复核的方式和程序：</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 最终结清</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14.4.1 最终结清申请单</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承包人提交最终结清申请单的份数：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承包人提交最终结算申请单的期限：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14.4.2 最终结清证书和支付</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（1）发包人完成最终结清申请单的审批并颁发最终结清证书的期限：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（2）发包人完成支付的期限：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49"/>
    <w:bookmarkEnd w:id="1250"/>
    <w:bookmarkEnd w:id="1251"/>
    <w:bookmarkEnd w:id="1252"/>
    <w:bookmarkEnd w:id="1253"/>
    <w:bookmarkEnd w:id="1254"/>
    <w:bookmarkEnd w:id="1255"/>
    <w:bookmarkEnd w:id="1261"/>
    <w:p>
      <w:pPr>
        <w:pStyle w:val="265"/>
        <w:spacing w:before="120" w:after="120" w:line="400" w:lineRule="exact"/>
        <w:outlineLvl w:val="4"/>
        <w:rPr>
          <w:rFonts w:hint="eastAsia" w:ascii="宋体" w:hAnsi="宋体" w:eastAsia="宋体" w:cs="宋体"/>
          <w:b w:val="0"/>
          <w:color w:val="auto"/>
          <w:sz w:val="21"/>
          <w:szCs w:val="21"/>
          <w:highlight w:val="none"/>
        </w:rPr>
      </w:pPr>
      <w:bookmarkStart w:id="1277" w:name="_Toc351203647"/>
      <w:bookmarkStart w:id="1278" w:name="_Toc267251483"/>
      <w:bookmarkStart w:id="1279" w:name="_Toc267251484"/>
      <w:bookmarkStart w:id="1280" w:name="_Toc267251482"/>
      <w:bookmarkStart w:id="1281" w:name="_Toc267251485"/>
      <w:bookmarkStart w:id="1282" w:name="_Toc267251489"/>
      <w:bookmarkStart w:id="1283" w:name="_Toc267251486"/>
      <w:bookmarkStart w:id="1284" w:name="_Toc267251490"/>
      <w:bookmarkStart w:id="1285" w:name="_Toc267251488"/>
      <w:bookmarkStart w:id="1286" w:name="_Toc267251498"/>
      <w:bookmarkStart w:id="1287" w:name="_Toc267251503"/>
      <w:bookmarkStart w:id="1288" w:name="_Toc267251497"/>
      <w:bookmarkStart w:id="1289" w:name="_Toc267251494"/>
      <w:bookmarkStart w:id="1290" w:name="_Toc267251493"/>
      <w:bookmarkStart w:id="1291" w:name="_Toc267251496"/>
      <w:bookmarkStart w:id="1292" w:name="_Toc267251491"/>
      <w:bookmarkStart w:id="1293" w:name="_Toc267251492"/>
      <w:bookmarkStart w:id="1294" w:name="_Toc267251495"/>
      <w:bookmarkStart w:id="1295" w:name="_Toc267251502"/>
      <w:bookmarkStart w:id="1296" w:name="_Toc267251499"/>
      <w:bookmarkStart w:id="1297" w:name="_Toc267251501"/>
      <w:bookmarkStart w:id="1298" w:name="_Toc267251506"/>
      <w:bookmarkStart w:id="1299" w:name="_Toc267251504"/>
      <w:bookmarkStart w:id="1300" w:name="_Toc267251507"/>
      <w:bookmarkStart w:id="1301" w:name="_Toc267251508"/>
      <w:bookmarkStart w:id="1302" w:name="_Toc267251511"/>
      <w:bookmarkStart w:id="1303" w:name="_Toc267251514"/>
      <w:bookmarkStart w:id="1304" w:name="_Toc267251509"/>
      <w:bookmarkStart w:id="1305" w:name="_Toc267251513"/>
      <w:bookmarkStart w:id="1306" w:name="_Toc267251515"/>
      <w:bookmarkStart w:id="1307" w:name="_Toc267251510"/>
      <w:r>
        <w:rPr>
          <w:rFonts w:hint="eastAsia" w:ascii="宋体" w:hAnsi="宋体" w:eastAsia="宋体" w:cs="宋体"/>
          <w:b w:val="0"/>
          <w:color w:val="auto"/>
          <w:sz w:val="21"/>
          <w:szCs w:val="21"/>
          <w:highlight w:val="none"/>
        </w:rPr>
        <w:t>15. 缺陷责任期与保修</w:t>
      </w:r>
      <w:bookmarkEnd w:id="1277"/>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15.2缺陷责任期</w:t>
      </w:r>
      <w:bookmarkEnd w:id="1278"/>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缺陷责任期的具体期限：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08" w:name="_Toc526086190"/>
      <w:bookmarkStart w:id="1309" w:name="_Toc526086090"/>
      <w:bookmarkStart w:id="1310" w:name="_Toc17185683"/>
      <w:bookmarkStart w:id="1311" w:name="_Toc19097074"/>
      <w:bookmarkStart w:id="1312" w:name="_Toc17185786"/>
      <w:bookmarkStart w:id="1313" w:name="_Toc22892110"/>
      <w:bookmarkStart w:id="1314" w:name="_Toc531247256"/>
      <w:r>
        <w:rPr>
          <w:rFonts w:hint="eastAsia" w:ascii="宋体" w:hAnsi="宋体" w:eastAsia="宋体" w:cs="宋体"/>
          <w:color w:val="auto"/>
          <w:sz w:val="21"/>
          <w:szCs w:val="21"/>
          <w:highlight w:val="none"/>
        </w:rPr>
        <w:t>15.3 质量保证金</w:t>
      </w:r>
      <w:bookmarkEnd w:id="1308"/>
      <w:bookmarkEnd w:id="1309"/>
      <w:bookmarkEnd w:id="1310"/>
      <w:bookmarkEnd w:id="1311"/>
      <w:bookmarkEnd w:id="1312"/>
      <w:bookmarkEnd w:id="1313"/>
      <w:bookmarkEnd w:id="1314"/>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关于是否扣留质量保证金的约定：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。在工程项目竣工前，承包人按专用合同条款第3.7条提供履约担保的，发包人不得同时预留工程质量保证金。</w:t>
      </w:r>
    </w:p>
    <w:p>
      <w:pPr>
        <w:pStyle w:val="261"/>
        <w:spacing w:line="400" w:lineRule="exact"/>
        <w:ind w:firstLine="420" w:firstLineChars="200"/>
        <w:jc w:val="left"/>
        <w:rPr>
          <w:rFonts w:hint="eastAsia" w:ascii="宋体" w:hAnsi="宋体" w:eastAsia="宋体" w:cs="宋体"/>
          <w:color w:val="auto"/>
          <w:sz w:val="21"/>
          <w:szCs w:val="21"/>
          <w:highlight w:val="none"/>
        </w:rPr>
      </w:pPr>
    </w:p>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1315" w:name="_Toc22892111"/>
      <w:bookmarkStart w:id="1316" w:name="_Toc526086191"/>
      <w:bookmarkStart w:id="1317" w:name="_Toc19097075"/>
      <w:bookmarkStart w:id="1318" w:name="_Toc526086091"/>
      <w:bookmarkStart w:id="1319" w:name="_Toc531247257"/>
      <w:bookmarkStart w:id="1320" w:name="_Toc17185684"/>
      <w:bookmarkStart w:id="1321" w:name="_Toc17185787"/>
      <w:r>
        <w:rPr>
          <w:rFonts w:hint="eastAsia" w:ascii="宋体" w:hAnsi="宋体" w:eastAsia="宋体" w:cs="宋体"/>
          <w:color w:val="auto"/>
          <w:sz w:val="21"/>
          <w:szCs w:val="21"/>
          <w:highlight w:val="none"/>
        </w:rPr>
        <w:t>15.3.1 承包人提供质量保证金的方式</w:t>
      </w:r>
      <w:bookmarkEnd w:id="1315"/>
      <w:bookmarkEnd w:id="1316"/>
      <w:bookmarkEnd w:id="1317"/>
      <w:bookmarkEnd w:id="1318"/>
      <w:bookmarkEnd w:id="1319"/>
      <w:bookmarkEnd w:id="1320"/>
      <w:bookmarkEnd w:id="1321"/>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质量保证金采用以下第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（1）质量保证金保函，保证金额为：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 </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%的工程款；</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（3）其他方式: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1322" w:name="_Toc17185685"/>
      <w:bookmarkStart w:id="1323" w:name="_Toc19097076"/>
      <w:bookmarkStart w:id="1324" w:name="_Toc526086192"/>
      <w:bookmarkStart w:id="1325" w:name="_Toc531247258"/>
      <w:bookmarkStart w:id="1326" w:name="_Toc22892112"/>
      <w:bookmarkStart w:id="1327" w:name="_Toc17185788"/>
      <w:bookmarkStart w:id="1328" w:name="_Toc526086092"/>
      <w:r>
        <w:rPr>
          <w:rFonts w:hint="eastAsia" w:ascii="宋体" w:hAnsi="宋体" w:eastAsia="宋体" w:cs="宋体"/>
          <w:color w:val="auto"/>
          <w:sz w:val="21"/>
          <w:szCs w:val="21"/>
          <w:highlight w:val="none"/>
        </w:rPr>
        <w:t>15.3.2 质量保证金的扣留</w:t>
      </w:r>
      <w:bookmarkEnd w:id="1322"/>
      <w:bookmarkEnd w:id="1323"/>
      <w:bookmarkEnd w:id="1324"/>
      <w:bookmarkEnd w:id="1325"/>
      <w:bookmarkEnd w:id="1326"/>
      <w:bookmarkEnd w:id="1327"/>
      <w:bookmarkEnd w:id="1328"/>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质量保证金的扣留采取以下第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（1）在支付工程进度款时逐次扣留，在此情形下，质量保证金的计算基数不包括预付款的支付、扣回以及价格调整的金额；</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1329" w:name="_Toc526086093"/>
      <w:bookmarkStart w:id="1330" w:name="_Toc526086193"/>
      <w:bookmarkStart w:id="1331" w:name="_Toc19097077"/>
      <w:bookmarkStart w:id="1332" w:name="_Toc22892113"/>
      <w:bookmarkStart w:id="1333" w:name="_Toc531247259"/>
      <w:bookmarkStart w:id="1334" w:name="_Toc17185789"/>
      <w:bookmarkStart w:id="1335" w:name="_Toc17185686"/>
      <w:r>
        <w:rPr>
          <w:rFonts w:hint="eastAsia" w:ascii="宋体" w:hAnsi="宋体" w:eastAsia="宋体" w:cs="宋体"/>
          <w:color w:val="auto"/>
          <w:kern w:val="0"/>
          <w:sz w:val="21"/>
          <w:szCs w:val="21"/>
          <w:highlight w:val="none"/>
        </w:rPr>
        <w:t>（2）工程竣工结算时一次性扣留质量保证金；</w:t>
      </w:r>
      <w:bookmarkEnd w:id="1329"/>
      <w:bookmarkEnd w:id="1330"/>
      <w:bookmarkEnd w:id="1331"/>
      <w:bookmarkEnd w:id="1332"/>
      <w:bookmarkEnd w:id="1333"/>
      <w:bookmarkEnd w:id="1334"/>
      <w:bookmarkEnd w:id="1335"/>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（3）其他扣留方式: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sz w:val="21"/>
          <w:szCs w:val="21"/>
          <w:highlight w:val="none"/>
        </w:rPr>
        <w:t>关于质量保证金的补充约定：</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bookmarkEnd w:id="1279"/>
    <w:bookmarkEnd w:id="1280"/>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15.4保修</w:t>
      </w:r>
    </w:p>
    <w:bookmarkEnd w:id="1281"/>
    <w:p>
      <w:pPr>
        <w:pStyle w:val="261"/>
        <w:spacing w:line="400" w:lineRule="exact"/>
        <w:ind w:firstLine="409" w:firstLineChars="195"/>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15.4.1 保修责任</w:t>
      </w:r>
    </w:p>
    <w:p>
      <w:pPr>
        <w:pStyle w:val="261"/>
        <w:spacing w:line="400" w:lineRule="exact"/>
        <w:ind w:firstLine="409" w:firstLineChars="195"/>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sz w:val="21"/>
          <w:szCs w:val="21"/>
          <w:highlight w:val="none"/>
        </w:rPr>
        <w:t>工程保修期为：</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09" w:firstLineChars="195"/>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15.4.3 修复通知</w:t>
      </w:r>
    </w:p>
    <w:p>
      <w:pPr>
        <w:pStyle w:val="261"/>
        <w:spacing w:line="400" w:lineRule="exact"/>
        <w:ind w:firstLine="409" w:firstLineChars="195"/>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承包人收到保修通知并到达工程现场的合理时间：</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bookmarkEnd w:id="1282"/>
    <w:bookmarkEnd w:id="1283"/>
    <w:bookmarkEnd w:id="1284"/>
    <w:bookmarkEnd w:id="1285"/>
    <w:p>
      <w:pPr>
        <w:pStyle w:val="265"/>
        <w:spacing w:before="120" w:after="120" w:line="400" w:lineRule="exact"/>
        <w:outlineLvl w:val="4"/>
        <w:rPr>
          <w:rFonts w:hint="eastAsia" w:ascii="宋体" w:hAnsi="宋体" w:eastAsia="宋体" w:cs="宋体"/>
          <w:b w:val="0"/>
          <w:color w:val="auto"/>
          <w:sz w:val="21"/>
          <w:szCs w:val="21"/>
          <w:highlight w:val="none"/>
        </w:rPr>
      </w:pPr>
      <w:bookmarkStart w:id="1336" w:name="_Toc351203648"/>
      <w:bookmarkStart w:id="1337" w:name="_Toc280868717"/>
      <w:bookmarkStart w:id="1338" w:name="_Toc280868718"/>
      <w:r>
        <w:rPr>
          <w:rFonts w:hint="eastAsia" w:ascii="宋体" w:hAnsi="宋体" w:eastAsia="宋体" w:cs="宋体"/>
          <w:b w:val="0"/>
          <w:color w:val="auto"/>
          <w:sz w:val="21"/>
          <w:szCs w:val="21"/>
          <w:highlight w:val="none"/>
        </w:rPr>
        <w:t>16. 违约</w:t>
      </w:r>
      <w:bookmarkEnd w:id="1336"/>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39" w:name="_Toc526086094"/>
      <w:bookmarkStart w:id="1340" w:name="_Toc19097078"/>
      <w:bookmarkStart w:id="1341" w:name="_Toc531247260"/>
      <w:bookmarkStart w:id="1342" w:name="_Toc22892114"/>
      <w:bookmarkStart w:id="1343" w:name="_Toc17185687"/>
      <w:bookmarkStart w:id="1344" w:name="_Toc17185790"/>
      <w:bookmarkStart w:id="1345" w:name="_Toc526086194"/>
      <w:r>
        <w:rPr>
          <w:rFonts w:hint="eastAsia" w:ascii="宋体" w:hAnsi="宋体" w:eastAsia="宋体" w:cs="宋体"/>
          <w:color w:val="auto"/>
          <w:sz w:val="21"/>
          <w:szCs w:val="21"/>
          <w:highlight w:val="none"/>
        </w:rPr>
        <w:t>16.1 发包人违约</w:t>
      </w:r>
      <w:bookmarkEnd w:id="1339"/>
      <w:bookmarkEnd w:id="1340"/>
      <w:bookmarkEnd w:id="1341"/>
      <w:bookmarkEnd w:id="1342"/>
      <w:bookmarkEnd w:id="1343"/>
      <w:bookmarkEnd w:id="1344"/>
      <w:bookmarkEnd w:id="1345"/>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16.1.1发包人违约的情形</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发包人违约的其他情形：</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left="1200" w:hanging="1050" w:hangingChars="5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16.1.2 发包人违约的责任</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发包人违约责任的承担方式和计算方法：</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（1）因发包人原因未能在计划开工日期前7天内下达开工通知的违约责任：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（2）因发包人原因未能按合同约定支付合同价款的违约责任：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（3）发包人违反第10.1款〔变更的范围〕第（2）项约定，自行实施被取消的工作或转由他人实施的违约责任：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（4）发包人提供的材料、工程设备的规格、数量或质量不符合合同约定，或因发包人原因导致交货日期延误或交货地点变更等情况的违约责任：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（5）因发包人违反合同约定造成暂停施工的违约责任：</w:t>
      </w:r>
      <w:r>
        <w:rPr>
          <w:rFonts w:hint="eastAsia" w:ascii="宋体" w:hAnsi="宋体" w:eastAsia="宋体" w:cs="宋体"/>
          <w:color w:val="auto"/>
          <w:kern w:val="0"/>
          <w:sz w:val="21"/>
          <w:szCs w:val="21"/>
          <w:highlight w:val="none"/>
          <w:u w:val="single"/>
        </w:rPr>
        <w:t xml:space="preserve">     </w:t>
      </w:r>
    </w:p>
    <w:p>
      <w:pPr>
        <w:pStyle w:val="261"/>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（6）发包人无正当理由没有在约定期限内发出复工指示，导致承包人无法复工的违约责任：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（7）其他：</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16.1.3 因发包人违约解除合同</w:t>
      </w:r>
    </w:p>
    <w:p>
      <w:pPr>
        <w:pStyle w:val="261"/>
        <w:autoSpaceDE w:val="0"/>
        <w:autoSpaceDN w:val="0"/>
        <w:adjustRightInd w:val="0"/>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承包人按16.1.1项〔发包人违约的情形〕约定暂停施工满</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天后发包人仍不纠正其违约行为并致使合同目的不能实现的，承包人有权解除合同。</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46" w:name="_Toc19097079"/>
      <w:bookmarkStart w:id="1347" w:name="_Toc17185791"/>
      <w:bookmarkStart w:id="1348" w:name="_Toc526086095"/>
      <w:bookmarkStart w:id="1349" w:name="_Toc17185688"/>
      <w:bookmarkStart w:id="1350" w:name="_Toc531247261"/>
      <w:bookmarkStart w:id="1351" w:name="_Toc22892115"/>
      <w:bookmarkStart w:id="1352" w:name="_Toc526086195"/>
      <w:r>
        <w:rPr>
          <w:rFonts w:hint="eastAsia" w:ascii="宋体" w:hAnsi="宋体" w:eastAsia="宋体" w:cs="宋体"/>
          <w:color w:val="auto"/>
          <w:sz w:val="21"/>
          <w:szCs w:val="21"/>
          <w:highlight w:val="none"/>
        </w:rPr>
        <w:t>16.2 承包人违约</w:t>
      </w:r>
      <w:bookmarkEnd w:id="1346"/>
      <w:bookmarkEnd w:id="1347"/>
      <w:bookmarkEnd w:id="1348"/>
      <w:bookmarkEnd w:id="1349"/>
      <w:bookmarkEnd w:id="1350"/>
      <w:bookmarkEnd w:id="1351"/>
      <w:bookmarkEnd w:id="1352"/>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16.2.1 承包人违约的情形</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承包人违约的其他情形：</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16.2.2承包人违约的责任</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承包人违约责任的承担方式和计算方法：</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16.2.3 因承包人违约解除合同</w:t>
      </w:r>
    </w:p>
    <w:p>
      <w:pPr>
        <w:pStyle w:val="261"/>
        <w:spacing w:before="120" w:after="120" w:line="400" w:lineRule="exact"/>
        <w:ind w:firstLine="420" w:firstLineChars="200"/>
        <w:rPr>
          <w:rFonts w:hint="eastAsia" w:ascii="宋体" w:hAnsi="宋体" w:eastAsia="宋体" w:cs="宋体"/>
          <w:color w:val="auto"/>
          <w:kern w:val="0"/>
          <w:sz w:val="21"/>
          <w:szCs w:val="21"/>
          <w:highlight w:val="none"/>
          <w:u w:val="single"/>
        </w:rPr>
      </w:pPr>
      <w:r>
        <w:rPr>
          <w:rFonts w:hint="eastAsia" w:ascii="宋体" w:hAnsi="宋体" w:eastAsia="宋体" w:cs="宋体"/>
          <w:color w:val="auto"/>
          <w:kern w:val="0"/>
          <w:sz w:val="21"/>
          <w:szCs w:val="21"/>
          <w:highlight w:val="none"/>
        </w:rPr>
        <w:t>关于承包人违约解除合同的特别约定：</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before="120" w:after="120"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发包人继续使用承包人在施工现场的材料、设备、临时工程、承包人文件和由承包人或以其名义编制的其他文件的费用承担方式：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353" w:name="_Toc351203649"/>
      <w:r>
        <w:rPr>
          <w:rFonts w:hint="eastAsia" w:ascii="宋体" w:hAnsi="宋体" w:eastAsia="宋体" w:cs="宋体"/>
          <w:b w:val="0"/>
          <w:color w:val="auto"/>
          <w:sz w:val="21"/>
          <w:szCs w:val="21"/>
          <w:highlight w:val="none"/>
        </w:rPr>
        <w:t>17. 不可抗力</w:t>
      </w:r>
      <w:bookmarkEnd w:id="1353"/>
      <w:r>
        <w:rPr>
          <w:rFonts w:hint="eastAsia" w:ascii="宋体" w:hAnsi="宋体" w:eastAsia="宋体" w:cs="宋体"/>
          <w:b w:val="0"/>
          <w:color w:val="auto"/>
          <w:sz w:val="21"/>
          <w:szCs w:val="21"/>
          <w:highlight w:val="none"/>
        </w:rPr>
        <w:t xml:space="preserve"> </w:t>
      </w:r>
      <w:bookmarkEnd w:id="1337"/>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 不可抗力的确认</w:t>
      </w:r>
    </w:p>
    <w:p>
      <w:pPr>
        <w:pStyle w:val="261"/>
        <w:spacing w:line="400" w:lineRule="exact"/>
        <w:ind w:firstLine="420" w:firstLineChars="200"/>
        <w:jc w:val="left"/>
        <w:rPr>
          <w:rFonts w:hint="eastAsia" w:ascii="宋体" w:hAnsi="宋体" w:eastAsia="宋体" w:cs="宋体"/>
          <w:color w:val="auto"/>
          <w:kern w:val="0"/>
          <w:sz w:val="21"/>
          <w:szCs w:val="21"/>
          <w:highlight w:val="none"/>
          <w:u w:val="single"/>
        </w:rPr>
      </w:pPr>
      <w:r>
        <w:rPr>
          <w:rFonts w:hint="eastAsia" w:ascii="宋体" w:hAnsi="宋体" w:eastAsia="宋体" w:cs="宋体"/>
          <w:color w:val="auto"/>
          <w:sz w:val="21"/>
          <w:szCs w:val="21"/>
          <w:highlight w:val="none"/>
        </w:rPr>
        <w:t xml:space="preserve">除通用合同条款约定的不可抗力事件之外，视为不可抗力的其他情形：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54" w:name="_Toc19097080"/>
      <w:bookmarkStart w:id="1355" w:name="_Toc531247262"/>
      <w:bookmarkStart w:id="1356" w:name="_Toc22892116"/>
      <w:bookmarkStart w:id="1357" w:name="_Toc17185689"/>
      <w:bookmarkStart w:id="1358" w:name="_Toc526086196"/>
      <w:bookmarkStart w:id="1359" w:name="_Toc17185792"/>
      <w:bookmarkStart w:id="1360" w:name="_Toc526086096"/>
      <w:r>
        <w:rPr>
          <w:rFonts w:hint="eastAsia" w:ascii="宋体" w:hAnsi="宋体" w:eastAsia="宋体" w:cs="宋体"/>
          <w:color w:val="auto"/>
          <w:sz w:val="21"/>
          <w:szCs w:val="21"/>
          <w:highlight w:val="none"/>
        </w:rPr>
        <w:t>17.4 因不可抗力解除合同</w:t>
      </w:r>
      <w:bookmarkEnd w:id="1354"/>
      <w:bookmarkEnd w:id="1355"/>
      <w:bookmarkEnd w:id="1356"/>
      <w:bookmarkEnd w:id="1357"/>
      <w:bookmarkEnd w:id="1358"/>
      <w:bookmarkEnd w:id="1359"/>
      <w:bookmarkEnd w:id="1360"/>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合同解除后，发包人应在商定或确定发包人应支付款项后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天内完成款项的支付。</w:t>
      </w:r>
    </w:p>
    <w:p>
      <w:pPr>
        <w:pStyle w:val="265"/>
        <w:spacing w:before="120" w:after="120" w:line="400" w:lineRule="exact"/>
        <w:outlineLvl w:val="4"/>
        <w:rPr>
          <w:rFonts w:hint="eastAsia" w:ascii="宋体" w:hAnsi="宋体" w:eastAsia="宋体" w:cs="宋体"/>
          <w:b w:val="0"/>
          <w:color w:val="auto"/>
          <w:sz w:val="21"/>
          <w:szCs w:val="21"/>
          <w:highlight w:val="none"/>
        </w:rPr>
      </w:pPr>
      <w:bookmarkStart w:id="1361" w:name="_Toc351203650"/>
      <w:r>
        <w:rPr>
          <w:rFonts w:hint="eastAsia" w:ascii="宋体" w:hAnsi="宋体" w:eastAsia="宋体" w:cs="宋体"/>
          <w:b w:val="0"/>
          <w:color w:val="auto"/>
          <w:sz w:val="21"/>
          <w:szCs w:val="21"/>
          <w:highlight w:val="none"/>
        </w:rPr>
        <w:t>18. 保险</w:t>
      </w:r>
      <w:bookmarkEnd w:id="1361"/>
    </w:p>
    <w:bookmarkEnd w:id="1338"/>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18.1 工程保险</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关于工程保险的特别约定：</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62" w:name="_Toc526086097"/>
      <w:bookmarkStart w:id="1363" w:name="_Toc19097081"/>
      <w:bookmarkStart w:id="1364" w:name="_Toc17185793"/>
      <w:bookmarkStart w:id="1365" w:name="_Toc17185690"/>
      <w:bookmarkStart w:id="1366" w:name="_Toc531247263"/>
      <w:bookmarkStart w:id="1367" w:name="_Toc526086197"/>
      <w:bookmarkStart w:id="1368" w:name="_Toc22892117"/>
      <w:r>
        <w:rPr>
          <w:rFonts w:hint="eastAsia" w:ascii="宋体" w:hAnsi="宋体" w:eastAsia="宋体" w:cs="宋体"/>
          <w:color w:val="auto"/>
          <w:sz w:val="21"/>
          <w:szCs w:val="21"/>
          <w:highlight w:val="none"/>
        </w:rPr>
        <w:t>18.3 其他保险</w:t>
      </w:r>
      <w:bookmarkEnd w:id="1362"/>
      <w:bookmarkEnd w:id="1363"/>
      <w:bookmarkEnd w:id="1364"/>
      <w:bookmarkEnd w:id="1365"/>
      <w:bookmarkEnd w:id="1366"/>
      <w:bookmarkEnd w:id="1367"/>
      <w:bookmarkEnd w:id="1368"/>
    </w:p>
    <w:p>
      <w:pPr>
        <w:pStyle w:val="261"/>
        <w:spacing w:line="40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关于其他保险的约定：</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承包人是否应为其施工设备等办理财产保险：</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18.7 通知义务</w:t>
      </w:r>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kern w:val="0"/>
          <w:sz w:val="21"/>
          <w:szCs w:val="21"/>
          <w:highlight w:val="none"/>
        </w:rPr>
        <w:t>关于变更保险合同时的通知义务的约定：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bookmarkEnd w:id="1286"/>
    <w:bookmarkEnd w:id="1287"/>
    <w:bookmarkEnd w:id="1288"/>
    <w:bookmarkEnd w:id="1289"/>
    <w:bookmarkEnd w:id="1290"/>
    <w:bookmarkEnd w:id="1291"/>
    <w:bookmarkEnd w:id="1292"/>
    <w:bookmarkEnd w:id="1293"/>
    <w:bookmarkEnd w:id="1294"/>
    <w:bookmarkEnd w:id="1295"/>
    <w:bookmarkEnd w:id="1296"/>
    <w:bookmarkEnd w:id="1297"/>
    <w:p>
      <w:pPr>
        <w:pStyle w:val="265"/>
        <w:spacing w:before="120" w:after="120" w:line="400" w:lineRule="exact"/>
        <w:outlineLvl w:val="4"/>
        <w:rPr>
          <w:rFonts w:hint="eastAsia" w:ascii="宋体" w:hAnsi="宋体" w:eastAsia="宋体" w:cs="宋体"/>
          <w:b w:val="0"/>
          <w:color w:val="auto"/>
          <w:sz w:val="21"/>
          <w:szCs w:val="21"/>
          <w:highlight w:val="none"/>
        </w:rPr>
      </w:pPr>
      <w:bookmarkStart w:id="1369" w:name="_Toc351203651"/>
      <w:r>
        <w:rPr>
          <w:rFonts w:hint="eastAsia" w:ascii="宋体" w:hAnsi="宋体" w:eastAsia="宋体" w:cs="宋体"/>
          <w:b w:val="0"/>
          <w:color w:val="auto"/>
          <w:sz w:val="21"/>
          <w:szCs w:val="21"/>
          <w:highlight w:val="none"/>
        </w:rPr>
        <w:t>20. 争议解决</w:t>
      </w:r>
      <w:bookmarkEnd w:id="1369"/>
    </w:p>
    <w:bookmarkEnd w:id="1298"/>
    <w:bookmarkEnd w:id="1299"/>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70" w:name="_Toc22892118"/>
      <w:bookmarkStart w:id="1371" w:name="_Toc526086198"/>
      <w:bookmarkStart w:id="1372" w:name="_Toc531247264"/>
      <w:bookmarkStart w:id="1373" w:name="_Toc526086098"/>
      <w:bookmarkStart w:id="1374" w:name="_Toc17185691"/>
      <w:bookmarkStart w:id="1375" w:name="_Toc19097082"/>
      <w:bookmarkStart w:id="1376" w:name="_Toc17185794"/>
      <w:r>
        <w:rPr>
          <w:rFonts w:hint="eastAsia" w:ascii="宋体" w:hAnsi="宋体" w:eastAsia="宋体" w:cs="宋体"/>
          <w:color w:val="auto"/>
          <w:sz w:val="21"/>
          <w:szCs w:val="21"/>
          <w:highlight w:val="none"/>
        </w:rPr>
        <w:t>20.3 争</w:t>
      </w:r>
      <w:bookmarkEnd w:id="1300"/>
      <w:r>
        <w:rPr>
          <w:rFonts w:hint="eastAsia" w:ascii="宋体" w:hAnsi="宋体" w:eastAsia="宋体" w:cs="宋体"/>
          <w:color w:val="auto"/>
          <w:sz w:val="21"/>
          <w:szCs w:val="21"/>
          <w:highlight w:val="none"/>
        </w:rPr>
        <w:t>议评审</w:t>
      </w:r>
      <w:bookmarkEnd w:id="1370"/>
      <w:bookmarkEnd w:id="1371"/>
      <w:bookmarkEnd w:id="1372"/>
      <w:bookmarkEnd w:id="1373"/>
      <w:bookmarkEnd w:id="1374"/>
      <w:bookmarkEnd w:id="1375"/>
      <w:bookmarkEnd w:id="1376"/>
    </w:p>
    <w:p>
      <w:pPr>
        <w:pStyle w:val="261"/>
        <w:spacing w:line="400" w:lineRule="exact"/>
        <w:ind w:left="149" w:leftChars="71" w:firstLine="315" w:firstLineChars="15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合同当事人是否同意将工程争议提交争议评审小组决定：</w:t>
      </w:r>
      <w:r>
        <w:rPr>
          <w:rFonts w:hint="eastAsia" w:ascii="宋体" w:hAnsi="宋体" w:eastAsia="宋体" w:cs="宋体"/>
          <w:color w:val="auto"/>
          <w:sz w:val="21"/>
          <w:szCs w:val="21"/>
          <w:highlight w:val="none"/>
          <w:u w:val="single"/>
        </w:rPr>
        <w:t xml:space="preserve">    </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pStyle w:val="261"/>
        <w:spacing w:line="400" w:lineRule="exact"/>
        <w:ind w:firstLine="420" w:firstLineChars="200"/>
        <w:jc w:val="left"/>
        <w:outlineLvl w:val="1"/>
        <w:rPr>
          <w:rFonts w:hint="eastAsia" w:ascii="宋体" w:hAnsi="宋体" w:eastAsia="宋体" w:cs="宋体"/>
          <w:color w:val="auto"/>
          <w:sz w:val="21"/>
          <w:szCs w:val="21"/>
          <w:highlight w:val="none"/>
        </w:rPr>
      </w:pPr>
      <w:bookmarkStart w:id="1377" w:name="_Toc22892119"/>
      <w:bookmarkStart w:id="1378" w:name="_Toc19097083"/>
      <w:bookmarkStart w:id="1379" w:name="_Toc526086099"/>
      <w:bookmarkStart w:id="1380" w:name="_Toc526086199"/>
      <w:bookmarkStart w:id="1381" w:name="_Toc17185692"/>
      <w:bookmarkStart w:id="1382" w:name="_Toc17185795"/>
      <w:bookmarkStart w:id="1383" w:name="_Toc531247265"/>
      <w:r>
        <w:rPr>
          <w:rFonts w:hint="eastAsia" w:ascii="宋体" w:hAnsi="宋体" w:eastAsia="宋体" w:cs="宋体"/>
          <w:color w:val="auto"/>
          <w:sz w:val="21"/>
          <w:szCs w:val="21"/>
          <w:highlight w:val="none"/>
        </w:rPr>
        <w:t>20.3.1 争议评审小组的确定</w:t>
      </w:r>
      <w:bookmarkEnd w:id="1377"/>
      <w:bookmarkEnd w:id="1378"/>
      <w:bookmarkEnd w:id="1379"/>
      <w:bookmarkEnd w:id="1380"/>
      <w:bookmarkEnd w:id="1381"/>
      <w:bookmarkEnd w:id="1382"/>
      <w:bookmarkEnd w:id="1383"/>
    </w:p>
    <w:p>
      <w:pPr>
        <w:pStyle w:val="261"/>
        <w:spacing w:line="400" w:lineRule="exact"/>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争议评审小组成员的确定：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选定争议评审员的期限：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争议评审小组成员的报酬承担方式：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其他事项的约定：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autoSpaceDE w:val="0"/>
        <w:autoSpaceDN w:val="0"/>
        <w:adjustRightInd w:val="0"/>
        <w:spacing w:line="400" w:lineRule="exact"/>
        <w:ind w:firstLine="420" w:firstLineChars="200"/>
        <w:jc w:val="left"/>
        <w:outlineLvl w:val="1"/>
        <w:rPr>
          <w:rFonts w:hint="eastAsia" w:ascii="宋体" w:hAnsi="宋体" w:eastAsia="宋体" w:cs="宋体"/>
          <w:color w:val="auto"/>
          <w:kern w:val="0"/>
          <w:sz w:val="21"/>
          <w:szCs w:val="21"/>
          <w:highlight w:val="none"/>
        </w:rPr>
      </w:pPr>
      <w:bookmarkStart w:id="1384" w:name="_Toc19097084"/>
      <w:bookmarkStart w:id="1385" w:name="_Toc22892120"/>
      <w:bookmarkStart w:id="1386" w:name="_Toc17185796"/>
      <w:bookmarkStart w:id="1387" w:name="_Toc526086200"/>
      <w:bookmarkStart w:id="1388" w:name="_Toc17185693"/>
      <w:bookmarkStart w:id="1389" w:name="_Toc531247266"/>
      <w:bookmarkStart w:id="1390" w:name="_Toc526086100"/>
      <w:r>
        <w:rPr>
          <w:rFonts w:hint="eastAsia" w:ascii="宋体" w:hAnsi="宋体" w:eastAsia="宋体" w:cs="宋体"/>
          <w:color w:val="auto"/>
          <w:kern w:val="0"/>
          <w:sz w:val="21"/>
          <w:szCs w:val="21"/>
          <w:highlight w:val="none"/>
        </w:rPr>
        <w:t>20.3.2 争议评审小组的决定</w:t>
      </w:r>
      <w:bookmarkEnd w:id="1384"/>
      <w:bookmarkEnd w:id="1385"/>
      <w:bookmarkEnd w:id="1386"/>
      <w:bookmarkEnd w:id="1387"/>
      <w:bookmarkEnd w:id="1388"/>
      <w:bookmarkEnd w:id="1389"/>
      <w:bookmarkEnd w:id="1390"/>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合同当事人关于本项的约定：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pStyle w:val="261"/>
        <w:spacing w:after="120" w:line="400" w:lineRule="exact"/>
        <w:ind w:firstLine="420" w:firstLineChars="200"/>
        <w:outlineLvl w:val="1"/>
        <w:rPr>
          <w:rFonts w:hint="eastAsia" w:ascii="宋体" w:hAnsi="宋体" w:eastAsia="宋体" w:cs="宋体"/>
          <w:color w:val="auto"/>
          <w:sz w:val="21"/>
          <w:szCs w:val="21"/>
          <w:highlight w:val="none"/>
        </w:rPr>
      </w:pPr>
      <w:bookmarkStart w:id="1391" w:name="_Toc17185694"/>
      <w:bookmarkStart w:id="1392" w:name="_Toc526086201"/>
      <w:bookmarkStart w:id="1393" w:name="_Toc526086101"/>
      <w:bookmarkStart w:id="1394" w:name="_Toc17185797"/>
      <w:bookmarkStart w:id="1395" w:name="_Toc22892121"/>
      <w:bookmarkStart w:id="1396" w:name="_Toc531247267"/>
      <w:bookmarkStart w:id="1397" w:name="_Toc19097085"/>
      <w:r>
        <w:rPr>
          <w:rFonts w:hint="eastAsia" w:ascii="宋体" w:hAnsi="宋体" w:eastAsia="宋体" w:cs="宋体"/>
          <w:color w:val="auto"/>
          <w:sz w:val="21"/>
          <w:szCs w:val="21"/>
          <w:highlight w:val="none"/>
        </w:rPr>
        <w:t>20.4仲裁或诉讼</w:t>
      </w:r>
      <w:bookmarkEnd w:id="1301"/>
      <w:bookmarkEnd w:id="1391"/>
      <w:bookmarkEnd w:id="1392"/>
      <w:bookmarkEnd w:id="1393"/>
      <w:bookmarkEnd w:id="1394"/>
      <w:bookmarkEnd w:id="1395"/>
      <w:bookmarkEnd w:id="1396"/>
      <w:bookmarkEnd w:id="1397"/>
    </w:p>
    <w:p>
      <w:pPr>
        <w:pStyle w:val="261"/>
        <w:spacing w:after="120"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因合同及合同有关事项发生的争议，按下列第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种方式解决：</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（1）向</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仲裁委员会申请仲裁；</w:t>
      </w:r>
    </w:p>
    <w:p>
      <w:pPr>
        <w:pStyle w:val="261"/>
        <w:spacing w:line="4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（2）向</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人民法院起诉。</w:t>
      </w:r>
      <w:bookmarkEnd w:id="1302"/>
      <w:bookmarkEnd w:id="1303"/>
      <w:bookmarkEnd w:id="1304"/>
      <w:bookmarkEnd w:id="1305"/>
      <w:bookmarkEnd w:id="1306"/>
      <w:bookmarkEnd w:id="1307"/>
    </w:p>
    <w:p>
      <w:pPr>
        <w:pStyle w:val="261"/>
        <w:spacing w:line="400" w:lineRule="exact"/>
        <w:jc w:val="left"/>
        <w:rPr>
          <w:rFonts w:hint="eastAsia" w:ascii="宋体" w:hAnsi="宋体" w:eastAsia="宋体" w:cs="宋体"/>
          <w:color w:val="auto"/>
          <w:sz w:val="21"/>
          <w:szCs w:val="21"/>
          <w:highlight w:val="none"/>
        </w:rPr>
      </w:pPr>
    </w:p>
    <w:p>
      <w:pPr>
        <w:pStyle w:val="261"/>
        <w:jc w:val="left"/>
        <w:rPr>
          <w:rFonts w:hint="eastAsia" w:ascii="宋体" w:hAnsi="宋体" w:eastAsia="宋体" w:cs="宋体"/>
          <w:b/>
          <w:color w:val="auto"/>
          <w:sz w:val="21"/>
          <w:szCs w:val="21"/>
          <w:highlight w:val="none"/>
        </w:rPr>
      </w:pPr>
      <w:bookmarkStart w:id="1398" w:name="_Toc351203652"/>
      <w:r>
        <w:rPr>
          <w:rFonts w:hint="eastAsia" w:ascii="宋体" w:hAnsi="宋体" w:eastAsia="宋体" w:cs="宋体"/>
          <w:b/>
          <w:color w:val="auto"/>
          <w:sz w:val="21"/>
          <w:szCs w:val="21"/>
          <w:highlight w:val="none"/>
        </w:rPr>
        <w:t>附件</w:t>
      </w:r>
      <w:bookmarkEnd w:id="1398"/>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协议书附件：</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附件1：承包人承揽工程项目一览表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专用合同条款附件：</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附件2：发包人供应材料设备一览表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附件3：工程质量保修书</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附件4：主要建设工程文件目录</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附件5：承包人用于本工程施工的机械设备表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附件6：承包人主要施工管理人员表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附件7：分包人主要施工管理人员表</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附件8：履约担保格式</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附件9：预付款担保格式</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附件10：支付担保格式</w:t>
      </w:r>
    </w:p>
    <w:p>
      <w:pPr>
        <w:pStyle w:val="261"/>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附件11：暂估价一览表</w:t>
      </w:r>
    </w:p>
    <w:p>
      <w:pPr>
        <w:pStyle w:val="261"/>
        <w:spacing w:before="245" w:beforeLines="50" w:after="245" w:afterLines="50" w:line="400" w:lineRule="exact"/>
        <w:jc w:val="left"/>
        <w:rPr>
          <w:rFonts w:hint="eastAsia" w:ascii="宋体" w:hAnsi="宋体" w:eastAsia="宋体" w:cs="宋体"/>
          <w:color w:val="auto"/>
          <w:sz w:val="21"/>
          <w:szCs w:val="21"/>
          <w:highlight w:val="none"/>
        </w:rPr>
        <w:sectPr>
          <w:footerReference r:id="rId5" w:type="first"/>
          <w:footerReference r:id="rId4" w:type="default"/>
          <w:pgSz w:w="11906" w:h="16838"/>
          <w:pgMar w:top="1440" w:right="1800" w:bottom="1440" w:left="1800" w:header="851" w:footer="737" w:gutter="0"/>
          <w:pgBorders>
            <w:top w:val="none" w:sz="0" w:space="0"/>
            <w:left w:val="none" w:sz="0" w:space="0"/>
            <w:bottom w:val="none" w:sz="0" w:space="0"/>
            <w:right w:val="none" w:sz="0" w:space="0"/>
          </w:pgBorders>
          <w:pgNumType w:fmt="decimal" w:start="1"/>
          <w:cols w:space="720" w:num="1"/>
          <w:titlePg/>
          <w:docGrid w:type="lines" w:linePitch="490" w:charSpace="0"/>
        </w:sectPr>
      </w:pPr>
    </w:p>
    <w:p>
      <w:pPr>
        <w:pStyle w:val="261"/>
        <w:spacing w:before="245" w:beforeLines="50" w:after="245" w:afterLines="50" w:line="400" w:lineRule="exact"/>
        <w:jc w:val="left"/>
        <w:rPr>
          <w:rFonts w:hint="eastAsia" w:ascii="宋体" w:hAnsi="宋体"/>
          <w:color w:val="auto"/>
          <w:sz w:val="21"/>
          <w:szCs w:val="21"/>
          <w:highlight w:val="none"/>
        </w:rPr>
      </w:pPr>
      <w:r>
        <w:rPr>
          <w:rFonts w:hint="eastAsia" w:ascii="宋体" w:hAnsi="宋体"/>
          <w:color w:val="auto"/>
          <w:sz w:val="21"/>
          <w:szCs w:val="21"/>
          <w:highlight w:val="none"/>
        </w:rPr>
        <w:t>附件1：</w:t>
      </w:r>
    </w:p>
    <w:p>
      <w:pPr>
        <w:pStyle w:val="261"/>
        <w:spacing w:before="245" w:beforeLines="50" w:after="245" w:afterLines="50" w:line="400" w:lineRule="exact"/>
        <w:jc w:val="center"/>
        <w:rPr>
          <w:rFonts w:hint="eastAsia" w:ascii="宋体" w:hAnsi="宋体"/>
          <w:color w:val="auto"/>
          <w:sz w:val="21"/>
          <w:szCs w:val="21"/>
          <w:highlight w:val="none"/>
        </w:rPr>
      </w:pPr>
      <w:r>
        <w:rPr>
          <w:rFonts w:ascii="宋体" w:hAnsi="宋体"/>
          <w:color w:val="auto"/>
          <w:sz w:val="21"/>
          <w:szCs w:val="21"/>
          <w:highlight w:val="none"/>
        </w:rPr>
        <w:t>承包人承揽工程项目一览表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277"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单位工</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程名称</w:t>
            </w:r>
          </w:p>
        </w:tc>
        <w:tc>
          <w:tcPr>
            <w:tcW w:w="1843"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建设规模</w:t>
            </w:r>
          </w:p>
        </w:tc>
        <w:tc>
          <w:tcPr>
            <w:tcW w:w="1417"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建筑面积(平方米)</w:t>
            </w:r>
          </w:p>
        </w:tc>
        <w:tc>
          <w:tcPr>
            <w:tcW w:w="241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结构</w:t>
            </w:r>
            <w:r>
              <w:rPr>
                <w:rFonts w:hint="eastAsia" w:ascii="宋体" w:hAnsi="宋体"/>
                <w:color w:val="auto"/>
                <w:sz w:val="21"/>
                <w:szCs w:val="21"/>
                <w:highlight w:val="none"/>
                <w:lang w:val="en-US" w:eastAsia="zh-CN"/>
              </w:rPr>
              <w:t>形式</w:t>
            </w:r>
          </w:p>
        </w:tc>
        <w:tc>
          <w:tcPr>
            <w:tcW w:w="8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层数</w:t>
            </w:r>
          </w:p>
        </w:tc>
        <w:tc>
          <w:tcPr>
            <w:tcW w:w="156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生产能力</w:t>
            </w:r>
          </w:p>
        </w:tc>
        <w:tc>
          <w:tcPr>
            <w:tcW w:w="2126"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设备安装内容</w:t>
            </w:r>
          </w:p>
        </w:tc>
        <w:tc>
          <w:tcPr>
            <w:tcW w:w="1417"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合同价格（元）</w:t>
            </w:r>
          </w:p>
        </w:tc>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开工日期</w:t>
            </w:r>
          </w:p>
        </w:tc>
        <w:tc>
          <w:tcPr>
            <w:tcW w:w="8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竣工日期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2"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7" w:hRule="atLeast"/>
          <w:jc w:val="center"/>
        </w:trPr>
        <w:tc>
          <w:tcPr>
            <w:tcW w:w="127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27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843"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41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56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2126"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7"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4"/>
          <w:highlight w:val="none"/>
        </w:rPr>
        <w:sectPr>
          <w:type w:val="continuous"/>
          <w:pgSz w:w="16838" w:h="11906" w:orient="landscape"/>
          <w:pgMar w:top="1440" w:right="1800" w:bottom="1440" w:left="1800" w:header="851" w:footer="737" w:gutter="0"/>
          <w:pgBorders>
            <w:top w:val="none" w:sz="0" w:space="0"/>
            <w:left w:val="none" w:sz="0" w:space="0"/>
            <w:bottom w:val="none" w:sz="0" w:space="0"/>
            <w:right w:val="none" w:sz="0" w:space="0"/>
          </w:pgBorders>
          <w:pgNumType w:fmt="decimal"/>
          <w:cols w:space="720" w:num="1"/>
          <w:titlePg/>
          <w:docGrid w:type="linesAndChars" w:linePitch="490" w:charSpace="0"/>
        </w:sect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399" w:name="_Toc296346726"/>
      <w:bookmarkStart w:id="1400" w:name="_Toc296503225"/>
      <w:bookmarkStart w:id="1401" w:name="_Toc296891265"/>
      <w:bookmarkStart w:id="1402" w:name="_Toc296347224"/>
      <w:bookmarkStart w:id="1403" w:name="_Toc296891053"/>
      <w:bookmarkStart w:id="1404" w:name="_Toc267261692"/>
      <w:bookmarkStart w:id="1405" w:name="_Toc296944564"/>
      <w:r>
        <w:rPr>
          <w:rFonts w:ascii="宋体" w:hAnsi="宋体"/>
          <w:color w:val="auto"/>
          <w:sz w:val="21"/>
          <w:szCs w:val="21"/>
          <w:highlight w:val="none"/>
        </w:rPr>
        <w:t>件2：</w:t>
      </w:r>
    </w:p>
    <w:bookmarkEnd w:id="1399"/>
    <w:bookmarkEnd w:id="1400"/>
    <w:bookmarkEnd w:id="1401"/>
    <w:bookmarkEnd w:id="1402"/>
    <w:bookmarkEnd w:id="1403"/>
    <w:bookmarkEnd w:id="1404"/>
    <w:bookmarkEnd w:id="1405"/>
    <w:p>
      <w:pPr>
        <w:pStyle w:val="261"/>
        <w:spacing w:before="156" w:beforeLines="50" w:after="156" w:afterLines="50" w:line="400" w:lineRule="exact"/>
        <w:jc w:val="center"/>
        <w:rPr>
          <w:rFonts w:hint="eastAsia" w:ascii="宋体" w:hAnsi="宋体"/>
          <w:color w:val="auto"/>
          <w:sz w:val="21"/>
          <w:szCs w:val="21"/>
          <w:highlight w:val="none"/>
        </w:rPr>
      </w:pPr>
      <w:r>
        <w:rPr>
          <w:rFonts w:ascii="宋体" w:hAnsi="宋体"/>
          <w:color w:val="auto"/>
          <w:sz w:val="21"/>
          <w:szCs w:val="21"/>
          <w:highlight w:val="none"/>
        </w:rPr>
        <w:t>发包人供应材料设备一览表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276"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材料、设</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备品种</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规格型号</w:t>
            </w:r>
          </w:p>
        </w:tc>
        <w:tc>
          <w:tcPr>
            <w:tcW w:w="94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单位</w:t>
            </w:r>
          </w:p>
        </w:tc>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104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单价</w:t>
            </w:r>
            <w:r>
              <w:rPr>
                <w:rFonts w:hint="eastAsia" w:ascii="宋体" w:hAnsi="宋体"/>
                <w:color w:val="auto"/>
                <w:sz w:val="21"/>
                <w:szCs w:val="21"/>
                <w:highlight w:val="none"/>
                <w:lang w:val="en-US" w:eastAsia="zh-CN"/>
              </w:rPr>
              <w:t>（元）</w:t>
            </w:r>
          </w:p>
        </w:tc>
        <w:tc>
          <w:tcPr>
            <w:tcW w:w="992"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质量</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等级</w:t>
            </w:r>
          </w:p>
        </w:tc>
        <w:tc>
          <w:tcPr>
            <w:tcW w:w="85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供应时间</w:t>
            </w:r>
          </w:p>
        </w:tc>
        <w:tc>
          <w:tcPr>
            <w:tcW w:w="1487"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送达地点</w:t>
            </w:r>
          </w:p>
        </w:tc>
        <w:tc>
          <w:tcPr>
            <w:tcW w:w="99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4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44"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1"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7"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92"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261"/>
              <w:spacing w:line="400" w:lineRule="exact"/>
              <w:jc w:val="center"/>
              <w:rPr>
                <w:rFonts w:ascii="宋体" w:hAnsi="宋体"/>
                <w:color w:val="auto"/>
                <w:sz w:val="24"/>
                <w:highlight w:val="none"/>
              </w:rPr>
            </w:pPr>
          </w:p>
        </w:tc>
        <w:tc>
          <w:tcPr>
            <w:tcW w:w="1276" w:type="dxa"/>
            <w:noWrap w:val="0"/>
            <w:vAlign w:val="center"/>
          </w:tcPr>
          <w:p>
            <w:pPr>
              <w:pStyle w:val="261"/>
              <w:spacing w:line="400" w:lineRule="exact"/>
              <w:jc w:val="center"/>
              <w:rPr>
                <w:rFonts w:ascii="宋体" w:hAnsi="宋体"/>
                <w:color w:val="auto"/>
                <w:sz w:val="24"/>
                <w:highlight w:val="none"/>
              </w:rPr>
            </w:pPr>
          </w:p>
        </w:tc>
        <w:tc>
          <w:tcPr>
            <w:tcW w:w="1418" w:type="dxa"/>
            <w:noWrap w:val="0"/>
            <w:vAlign w:val="center"/>
          </w:tcPr>
          <w:p>
            <w:pPr>
              <w:pStyle w:val="261"/>
              <w:spacing w:line="400" w:lineRule="exact"/>
              <w:jc w:val="center"/>
              <w:rPr>
                <w:rFonts w:ascii="宋体" w:hAnsi="宋体"/>
                <w:color w:val="auto"/>
                <w:sz w:val="24"/>
                <w:highlight w:val="none"/>
              </w:rPr>
            </w:pPr>
          </w:p>
        </w:tc>
        <w:tc>
          <w:tcPr>
            <w:tcW w:w="940"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044"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c>
          <w:tcPr>
            <w:tcW w:w="851" w:type="dxa"/>
            <w:noWrap w:val="0"/>
            <w:vAlign w:val="center"/>
          </w:tcPr>
          <w:p>
            <w:pPr>
              <w:pStyle w:val="261"/>
              <w:spacing w:line="400" w:lineRule="exact"/>
              <w:jc w:val="center"/>
              <w:rPr>
                <w:rFonts w:ascii="宋体" w:hAnsi="宋体"/>
                <w:color w:val="auto"/>
                <w:sz w:val="24"/>
                <w:highlight w:val="none"/>
              </w:rPr>
            </w:pPr>
          </w:p>
        </w:tc>
        <w:tc>
          <w:tcPr>
            <w:tcW w:w="1487" w:type="dxa"/>
            <w:noWrap w:val="0"/>
            <w:vAlign w:val="center"/>
          </w:tcPr>
          <w:p>
            <w:pPr>
              <w:pStyle w:val="261"/>
              <w:spacing w:line="400" w:lineRule="exact"/>
              <w:jc w:val="center"/>
              <w:rPr>
                <w:rFonts w:ascii="宋体" w:hAnsi="宋体"/>
                <w:color w:val="auto"/>
                <w:sz w:val="24"/>
                <w:highlight w:val="none"/>
              </w:rPr>
            </w:pPr>
          </w:p>
        </w:tc>
        <w:tc>
          <w:tcPr>
            <w:tcW w:w="992" w:type="dxa"/>
            <w:noWrap w:val="0"/>
            <w:vAlign w:val="center"/>
          </w:tcPr>
          <w:p>
            <w:pPr>
              <w:pStyle w:val="261"/>
              <w:spacing w:line="400" w:lineRule="exact"/>
              <w:jc w:val="center"/>
              <w:rPr>
                <w:rFonts w:ascii="宋体" w:hAnsi="宋体"/>
                <w:color w:val="auto"/>
                <w:sz w:val="24"/>
                <w:highlight w:val="none"/>
              </w:rPr>
            </w:pPr>
          </w:p>
        </w:tc>
      </w:tr>
    </w:tbl>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06" w:name="_Toc296503226"/>
      <w:bookmarkStart w:id="1407" w:name="_Toc296346727"/>
      <w:bookmarkStart w:id="1408" w:name="_Toc296944565"/>
      <w:bookmarkStart w:id="1409" w:name="_Toc296347225"/>
      <w:bookmarkStart w:id="1410" w:name="_Toc267261693"/>
      <w:bookmarkStart w:id="1411" w:name="_Toc296891266"/>
      <w:bookmarkStart w:id="1412" w:name="_Toc296891054"/>
      <w:r>
        <w:rPr>
          <w:rFonts w:ascii="宋体" w:hAnsi="宋体"/>
          <w:color w:val="auto"/>
          <w:sz w:val="21"/>
          <w:szCs w:val="21"/>
          <w:highlight w:val="none"/>
        </w:rPr>
        <w:t>件3：</w:t>
      </w:r>
      <w:bookmarkEnd w:id="1406"/>
      <w:bookmarkEnd w:id="1407"/>
      <w:bookmarkEnd w:id="1408"/>
      <w:bookmarkEnd w:id="1409"/>
      <w:bookmarkEnd w:id="1410"/>
      <w:bookmarkEnd w:id="1411"/>
      <w:bookmarkEnd w:id="1412"/>
      <w:r>
        <w:rPr>
          <w:rFonts w:ascii="宋体" w:hAnsi="宋体"/>
          <w:color w:val="auto"/>
          <w:sz w:val="21"/>
          <w:szCs w:val="21"/>
          <w:highlight w:val="none"/>
        </w:rPr>
        <w:t xml:space="preserve">    </w:t>
      </w:r>
    </w:p>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工程质量保修书</w:t>
      </w:r>
    </w:p>
    <w:p>
      <w:pPr>
        <w:pStyle w:val="261"/>
        <w:spacing w:before="156" w:beforeLines="50" w:after="156" w:afterLines="50" w:line="400" w:lineRule="exact"/>
        <w:jc w:val="center"/>
        <w:rPr>
          <w:rFonts w:hint="eastAsia" w:ascii="宋体" w:hAnsi="宋体" w:eastAsia="宋体"/>
          <w:color w:val="auto"/>
          <w:sz w:val="21"/>
          <w:szCs w:val="21"/>
          <w:highlight w:val="none"/>
          <w:lang w:eastAsia="zh-CN"/>
        </w:rPr>
      </w:pPr>
      <w:r>
        <w:rPr>
          <w:rFonts w:hint="eastAsia" w:ascii="宋体" w:hAnsi="宋体"/>
          <w:color w:val="auto"/>
          <w:sz w:val="21"/>
          <w:szCs w:val="21"/>
          <w:highlight w:val="none"/>
          <w:lang w:eastAsia="zh-CN"/>
        </w:rPr>
        <w:t>（内容自行修改）</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发包人（全称）：</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承包人（全称）：</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pPr>
        <w:pStyle w:val="261"/>
        <w:spacing w:line="400" w:lineRule="exact"/>
        <w:rPr>
          <w:rFonts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发包人和承包人根据《中华人民共和国建筑法》和《建设工程质量管理条例》，经协商一致就</w:t>
      </w:r>
      <w:r>
        <w:rPr>
          <w:rFonts w:ascii="宋体" w:hAnsi="宋体"/>
          <w:color w:val="auto"/>
          <w:sz w:val="21"/>
          <w:szCs w:val="21"/>
          <w:highlight w:val="none"/>
          <w:u w:val="single"/>
        </w:rPr>
        <w:t xml:space="preserve">                </w:t>
      </w:r>
      <w:r>
        <w:rPr>
          <w:rFonts w:ascii="宋体" w:hAnsi="宋体"/>
          <w:color w:val="auto"/>
          <w:sz w:val="21"/>
          <w:szCs w:val="21"/>
          <w:highlight w:val="none"/>
        </w:rPr>
        <w:t>（工程全称）签订工程质量保修书。</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rPr>
        <w:t>　　</w:t>
      </w:r>
      <w:bookmarkStart w:id="1413" w:name="_Toc526086202"/>
      <w:bookmarkStart w:id="1414" w:name="_Toc526086102"/>
      <w:bookmarkStart w:id="1415" w:name="_Toc17185695"/>
      <w:bookmarkStart w:id="1416" w:name="_Toc22892122"/>
      <w:bookmarkStart w:id="1417" w:name="_Toc17185798"/>
      <w:bookmarkStart w:id="1418" w:name="_Toc19097086"/>
      <w:bookmarkStart w:id="1419" w:name="_Toc531247268"/>
      <w:r>
        <w:rPr>
          <w:rFonts w:ascii="宋体" w:hAnsi="宋体"/>
          <w:color w:val="auto"/>
          <w:sz w:val="21"/>
          <w:szCs w:val="21"/>
          <w:highlight w:val="none"/>
        </w:rPr>
        <w:t>一、工程质量保修范围和内容</w:t>
      </w:r>
      <w:bookmarkEnd w:id="1413"/>
      <w:bookmarkEnd w:id="1414"/>
      <w:bookmarkEnd w:id="1415"/>
      <w:bookmarkEnd w:id="1416"/>
      <w:bookmarkEnd w:id="1417"/>
      <w:bookmarkEnd w:id="1418"/>
      <w:bookmarkEnd w:id="1419"/>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承包人在质量保修期内，按照有关法律规定和合同约定，承担工程质量保修责任。</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双方约定如下：</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outlineLvl w:val="1"/>
        <w:rPr>
          <w:rFonts w:ascii="宋体" w:hAnsi="宋体"/>
          <w:color w:val="auto"/>
          <w:sz w:val="21"/>
          <w:szCs w:val="21"/>
          <w:highlight w:val="none"/>
        </w:rPr>
      </w:pPr>
      <w:r>
        <w:rPr>
          <w:rFonts w:ascii="宋体" w:hAnsi="宋体"/>
          <w:b/>
          <w:color w:val="auto"/>
          <w:sz w:val="21"/>
          <w:szCs w:val="21"/>
          <w:highlight w:val="none"/>
        </w:rPr>
        <w:t>　　</w:t>
      </w:r>
      <w:bookmarkStart w:id="1420" w:name="_Toc17185696"/>
      <w:bookmarkStart w:id="1421" w:name="_Toc526086203"/>
      <w:bookmarkStart w:id="1422" w:name="_Toc22892123"/>
      <w:bookmarkStart w:id="1423" w:name="_Toc17185799"/>
      <w:bookmarkStart w:id="1424" w:name="_Toc19097087"/>
      <w:bookmarkStart w:id="1425" w:name="_Toc531247269"/>
      <w:bookmarkStart w:id="1426" w:name="_Toc526086103"/>
      <w:r>
        <w:rPr>
          <w:rFonts w:ascii="宋体" w:hAnsi="宋体"/>
          <w:color w:val="auto"/>
          <w:sz w:val="21"/>
          <w:szCs w:val="21"/>
          <w:highlight w:val="none"/>
        </w:rPr>
        <w:t>二、质量保修期</w:t>
      </w:r>
      <w:bookmarkEnd w:id="1420"/>
      <w:bookmarkEnd w:id="1421"/>
      <w:bookmarkEnd w:id="1422"/>
      <w:bookmarkEnd w:id="1423"/>
      <w:bookmarkEnd w:id="1424"/>
      <w:bookmarkEnd w:id="1425"/>
      <w:bookmarkEnd w:id="1426"/>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根据《建设工程质量管理条例》及有关规定，工程的质量保修期如下：</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1．地基基础工程和主体结构工程为设计文件规定的工程合理使用年限；</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2．</w:t>
      </w:r>
      <w:r>
        <w:rPr>
          <w:rFonts w:ascii="宋体" w:hAnsi="宋体"/>
          <w:color w:val="auto"/>
          <w:sz w:val="21"/>
          <w:szCs w:val="21"/>
          <w:highlight w:val="none"/>
        </w:rPr>
        <w:t>屋面防水工程、有防水要求的卫生间、房间和外墙面的防渗</w:t>
      </w:r>
      <w:r>
        <w:rPr>
          <w:rFonts w:hint="eastAsia" w:ascii="宋体" w:hAnsi="宋体"/>
          <w:color w:val="auto"/>
          <w:sz w:val="21"/>
          <w:szCs w:val="21"/>
          <w:highlight w:val="none"/>
          <w:lang w:val="en-US" w:eastAsia="zh-CN"/>
        </w:rPr>
        <w:t>漏</w:t>
      </w:r>
      <w:r>
        <w:rPr>
          <w:rFonts w:hint="eastAsia" w:ascii="宋体" w:hAnsi="宋体"/>
          <w:color w:val="auto"/>
          <w:sz w:val="21"/>
          <w:szCs w:val="21"/>
          <w:highlight w:val="none"/>
        </w:rPr>
        <w:t>为</w:t>
      </w:r>
      <w:r>
        <w:rPr>
          <w:rFonts w:hint="eastAsia"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装修工程为</w:t>
      </w:r>
      <w:r>
        <w:rPr>
          <w:rFonts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4．</w:t>
      </w:r>
      <w:r>
        <w:rPr>
          <w:rFonts w:ascii="宋体" w:hAnsi="宋体"/>
          <w:color w:val="auto"/>
          <w:sz w:val="21"/>
          <w:szCs w:val="21"/>
          <w:highlight w:val="none"/>
        </w:rPr>
        <w:t>电气管线、给排水管道、设备安装工程为</w:t>
      </w:r>
      <w:r>
        <w:rPr>
          <w:rFonts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5．</w:t>
      </w:r>
      <w:r>
        <w:rPr>
          <w:rFonts w:ascii="宋体" w:hAnsi="宋体"/>
          <w:color w:val="auto"/>
          <w:sz w:val="21"/>
          <w:szCs w:val="21"/>
          <w:highlight w:val="none"/>
        </w:rPr>
        <w:t>供热与供冷系统为</w:t>
      </w:r>
      <w:r>
        <w:rPr>
          <w:rFonts w:ascii="宋体" w:hAnsi="宋体"/>
          <w:color w:val="auto"/>
          <w:sz w:val="21"/>
          <w:szCs w:val="21"/>
          <w:highlight w:val="none"/>
          <w:u w:val="single"/>
        </w:rPr>
        <w:t xml:space="preserve">         </w:t>
      </w:r>
      <w:r>
        <w:rPr>
          <w:rFonts w:ascii="宋体" w:hAnsi="宋体"/>
          <w:color w:val="auto"/>
          <w:sz w:val="21"/>
          <w:szCs w:val="21"/>
          <w:highlight w:val="none"/>
        </w:rPr>
        <w:t>个采暖期、供冷期；</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6．</w:t>
      </w:r>
      <w:r>
        <w:rPr>
          <w:rFonts w:ascii="宋体" w:hAnsi="宋体"/>
          <w:color w:val="auto"/>
          <w:sz w:val="21"/>
          <w:szCs w:val="21"/>
          <w:highlight w:val="none"/>
        </w:rPr>
        <w:t>住宅小区内的给排水设施、道路等配套工程为</w:t>
      </w:r>
      <w:r>
        <w:rPr>
          <w:rFonts w:ascii="宋体" w:hAnsi="宋体"/>
          <w:color w:val="auto"/>
          <w:sz w:val="21"/>
          <w:szCs w:val="21"/>
          <w:highlight w:val="none"/>
          <w:u w:val="single"/>
        </w:rPr>
        <w:t xml:space="preserve">         </w:t>
      </w:r>
      <w:r>
        <w:rPr>
          <w:rFonts w:ascii="宋体" w:hAnsi="宋体"/>
          <w:color w:val="auto"/>
          <w:sz w:val="21"/>
          <w:szCs w:val="21"/>
          <w:highlight w:val="none"/>
        </w:rPr>
        <w:t>年；</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7．</w:t>
      </w:r>
      <w:r>
        <w:rPr>
          <w:rFonts w:ascii="宋体" w:hAnsi="宋体"/>
          <w:color w:val="auto"/>
          <w:sz w:val="21"/>
          <w:szCs w:val="21"/>
          <w:highlight w:val="none"/>
        </w:rPr>
        <w:t>其他项目保修期限约定如下：</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质量保修期自工程竣工验收合格之日起计算。</w:t>
      </w:r>
    </w:p>
    <w:p>
      <w:pPr>
        <w:pStyle w:val="261"/>
        <w:spacing w:line="400" w:lineRule="exact"/>
        <w:ind w:firstLine="420" w:firstLineChars="200"/>
        <w:outlineLvl w:val="1"/>
        <w:rPr>
          <w:rFonts w:ascii="宋体" w:hAnsi="宋体"/>
          <w:color w:val="auto"/>
          <w:sz w:val="21"/>
          <w:szCs w:val="21"/>
          <w:highlight w:val="none"/>
        </w:rPr>
      </w:pPr>
      <w:bookmarkStart w:id="1427" w:name="_Toc17185800"/>
      <w:bookmarkStart w:id="1428" w:name="_Toc526086204"/>
      <w:bookmarkStart w:id="1429" w:name="_Toc531247270"/>
      <w:bookmarkStart w:id="1430" w:name="_Toc19097088"/>
      <w:bookmarkStart w:id="1431" w:name="_Toc17185697"/>
      <w:bookmarkStart w:id="1432" w:name="_Toc22892124"/>
      <w:bookmarkStart w:id="1433" w:name="_Toc526086104"/>
      <w:r>
        <w:rPr>
          <w:rFonts w:ascii="宋体" w:hAnsi="宋体"/>
          <w:color w:val="auto"/>
          <w:sz w:val="21"/>
          <w:szCs w:val="21"/>
          <w:highlight w:val="none"/>
        </w:rPr>
        <w:t>三、缺陷责任期</w:t>
      </w:r>
      <w:bookmarkEnd w:id="1427"/>
      <w:bookmarkEnd w:id="1428"/>
      <w:bookmarkEnd w:id="1429"/>
      <w:bookmarkEnd w:id="1430"/>
      <w:bookmarkEnd w:id="1431"/>
      <w:bookmarkEnd w:id="1432"/>
      <w:bookmarkEnd w:id="1433"/>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工程缺陷责任期为</w:t>
      </w:r>
      <w:r>
        <w:rPr>
          <w:rFonts w:ascii="宋体" w:hAnsi="宋体"/>
          <w:color w:val="auto"/>
          <w:sz w:val="21"/>
          <w:szCs w:val="21"/>
          <w:highlight w:val="none"/>
          <w:u w:val="single"/>
        </w:rPr>
        <w:t xml:space="preserve">         </w:t>
      </w:r>
      <w:r>
        <w:rPr>
          <w:rFonts w:ascii="宋体" w:hAnsi="宋体"/>
          <w:color w:val="auto"/>
          <w:sz w:val="21"/>
          <w:szCs w:val="21"/>
          <w:highlight w:val="none"/>
        </w:rPr>
        <w:t>个月，缺陷责任期自工程</w:t>
      </w:r>
      <w:r>
        <w:rPr>
          <w:rFonts w:hint="eastAsia" w:ascii="宋体" w:hAnsi="宋体"/>
          <w:color w:val="auto"/>
          <w:sz w:val="21"/>
          <w:szCs w:val="21"/>
          <w:highlight w:val="none"/>
        </w:rPr>
        <w:t>通过竣工验收</w:t>
      </w:r>
      <w:r>
        <w:rPr>
          <w:rFonts w:ascii="宋体" w:hAnsi="宋体"/>
          <w:color w:val="auto"/>
          <w:sz w:val="21"/>
          <w:szCs w:val="21"/>
          <w:highlight w:val="none"/>
        </w:rPr>
        <w:t>之日起计算。单位工程先于全部工程进行验收，单位工程缺陷责任期自单位工程验收合格之日起算。</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缺陷责任期终止后，发包人应退还剩余的质量保证金。</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rPr>
        <w:t xml:space="preserve">    </w:t>
      </w:r>
      <w:bookmarkStart w:id="1434" w:name="_Toc17185801"/>
      <w:bookmarkStart w:id="1435" w:name="_Toc17185698"/>
      <w:bookmarkStart w:id="1436" w:name="_Toc22892125"/>
      <w:bookmarkStart w:id="1437" w:name="_Toc526086205"/>
      <w:bookmarkStart w:id="1438" w:name="_Toc19097089"/>
      <w:bookmarkStart w:id="1439" w:name="_Toc531247271"/>
      <w:bookmarkStart w:id="1440" w:name="_Toc526086105"/>
      <w:r>
        <w:rPr>
          <w:rFonts w:ascii="宋体" w:hAnsi="宋体"/>
          <w:color w:val="auto"/>
          <w:sz w:val="21"/>
          <w:szCs w:val="21"/>
          <w:highlight w:val="none"/>
        </w:rPr>
        <w:t>四、质量保修责任</w:t>
      </w:r>
      <w:bookmarkEnd w:id="1434"/>
      <w:bookmarkEnd w:id="1435"/>
      <w:bookmarkEnd w:id="1436"/>
      <w:bookmarkEnd w:id="1437"/>
      <w:bookmarkEnd w:id="1438"/>
      <w:bookmarkEnd w:id="1439"/>
      <w:bookmarkEnd w:id="1440"/>
    </w:p>
    <w:p>
      <w:pPr>
        <w:pStyle w:val="261"/>
        <w:spacing w:line="400" w:lineRule="exact"/>
        <w:ind w:left="105" w:leftChars="50" w:firstLine="430" w:firstLineChars="205"/>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属于保修范围、内容的项目，承包人应当在接到保修通知之日起7天内派人保修。承包人不在约定期限内派人保修的，发包人可以委托他人修理。</w:t>
      </w:r>
    </w:p>
    <w:p>
      <w:pPr>
        <w:pStyle w:val="261"/>
        <w:spacing w:line="400" w:lineRule="exact"/>
        <w:ind w:left="105" w:leftChars="50" w:firstLine="430" w:firstLineChars="205"/>
        <w:rPr>
          <w:rFonts w:ascii="宋体" w:hAnsi="宋体"/>
          <w:color w:val="auto"/>
          <w:sz w:val="21"/>
          <w:szCs w:val="21"/>
          <w:highlight w:val="none"/>
        </w:rPr>
      </w:pPr>
      <w:r>
        <w:rPr>
          <w:rFonts w:hint="eastAsia" w:ascii="宋体" w:hAnsi="宋体"/>
          <w:color w:val="auto"/>
          <w:sz w:val="21"/>
          <w:szCs w:val="21"/>
          <w:highlight w:val="none"/>
        </w:rPr>
        <w:t>2．</w:t>
      </w:r>
      <w:r>
        <w:rPr>
          <w:rFonts w:ascii="宋体" w:hAnsi="宋体"/>
          <w:color w:val="auto"/>
          <w:sz w:val="21"/>
          <w:szCs w:val="21"/>
          <w:highlight w:val="none"/>
        </w:rPr>
        <w:t>发生紧急事故需抢修的，承包人在接到事故通知后，应当立即到达事故现场抢修。</w:t>
      </w:r>
    </w:p>
    <w:p>
      <w:pPr>
        <w:pStyle w:val="261"/>
        <w:spacing w:line="400" w:lineRule="exact"/>
        <w:ind w:left="105" w:leftChars="50" w:firstLine="430" w:firstLineChars="205"/>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pStyle w:val="261"/>
        <w:spacing w:line="400" w:lineRule="exact"/>
        <w:ind w:left="420" w:leftChars="200" w:firstLine="105" w:firstLineChars="50"/>
        <w:rPr>
          <w:rFonts w:ascii="宋体" w:hAnsi="宋体"/>
          <w:color w:val="auto"/>
          <w:sz w:val="21"/>
          <w:szCs w:val="21"/>
          <w:highlight w:val="none"/>
        </w:rPr>
      </w:pPr>
      <w:r>
        <w:rPr>
          <w:rFonts w:hint="eastAsia" w:ascii="宋体" w:hAnsi="宋体"/>
          <w:color w:val="auto"/>
          <w:sz w:val="21"/>
          <w:szCs w:val="21"/>
          <w:highlight w:val="none"/>
        </w:rPr>
        <w:t>4．</w:t>
      </w:r>
      <w:r>
        <w:rPr>
          <w:rFonts w:ascii="宋体" w:hAnsi="宋体"/>
          <w:color w:val="auto"/>
          <w:sz w:val="21"/>
          <w:szCs w:val="21"/>
          <w:highlight w:val="none"/>
        </w:rPr>
        <w:t>质量保修完成后，由发包人组织验收。</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rPr>
        <w:t>　　</w:t>
      </w:r>
      <w:bookmarkStart w:id="1441" w:name="_Toc531247272"/>
      <w:bookmarkStart w:id="1442" w:name="_Toc22892126"/>
      <w:bookmarkStart w:id="1443" w:name="_Toc17185699"/>
      <w:bookmarkStart w:id="1444" w:name="_Toc526086106"/>
      <w:bookmarkStart w:id="1445" w:name="_Toc19097090"/>
      <w:bookmarkStart w:id="1446" w:name="_Toc17185802"/>
      <w:bookmarkStart w:id="1447" w:name="_Toc526086206"/>
      <w:r>
        <w:rPr>
          <w:rFonts w:ascii="宋体" w:hAnsi="宋体"/>
          <w:color w:val="auto"/>
          <w:sz w:val="21"/>
          <w:szCs w:val="21"/>
          <w:highlight w:val="none"/>
        </w:rPr>
        <w:t>五、保修费用</w:t>
      </w:r>
      <w:bookmarkEnd w:id="1441"/>
      <w:bookmarkEnd w:id="1442"/>
      <w:bookmarkEnd w:id="1443"/>
      <w:bookmarkEnd w:id="1444"/>
      <w:bookmarkEnd w:id="1445"/>
      <w:bookmarkEnd w:id="1446"/>
      <w:bookmarkEnd w:id="1447"/>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保修费用由造成质量缺陷的责任方承担。</w:t>
      </w:r>
    </w:p>
    <w:p>
      <w:pPr>
        <w:pStyle w:val="261"/>
        <w:spacing w:line="400" w:lineRule="exact"/>
        <w:ind w:firstLine="600"/>
        <w:jc w:val="left"/>
        <w:outlineLvl w:val="1"/>
        <w:rPr>
          <w:rFonts w:ascii="宋体" w:hAnsi="宋体"/>
          <w:color w:val="auto"/>
          <w:sz w:val="21"/>
          <w:szCs w:val="21"/>
          <w:highlight w:val="none"/>
          <w:u w:val="single"/>
        </w:rPr>
      </w:pPr>
      <w:bookmarkStart w:id="1448" w:name="_Toc526086107"/>
      <w:bookmarkStart w:id="1449" w:name="_Toc17185803"/>
      <w:bookmarkStart w:id="1450" w:name="_Toc526086207"/>
      <w:bookmarkStart w:id="1451" w:name="_Toc531247273"/>
      <w:bookmarkStart w:id="1452" w:name="_Toc19097091"/>
      <w:bookmarkStart w:id="1453" w:name="_Toc17185700"/>
      <w:bookmarkStart w:id="1454" w:name="_Toc22892127"/>
      <w:r>
        <w:rPr>
          <w:rFonts w:ascii="宋体" w:hAnsi="宋体"/>
          <w:b w:val="0"/>
          <w:bCs/>
          <w:color w:val="auto"/>
          <w:sz w:val="21"/>
          <w:szCs w:val="21"/>
          <w:highlight w:val="none"/>
        </w:rPr>
        <w:t>六</w:t>
      </w:r>
      <w:r>
        <w:rPr>
          <w:rFonts w:ascii="宋体" w:hAnsi="宋体"/>
          <w:color w:val="auto"/>
          <w:sz w:val="21"/>
          <w:szCs w:val="21"/>
          <w:highlight w:val="none"/>
        </w:rPr>
        <w:t>、双方约定的其他工程质量保修事项：</w:t>
      </w:r>
      <w:bookmarkEnd w:id="1448"/>
      <w:bookmarkEnd w:id="1449"/>
      <w:bookmarkEnd w:id="1450"/>
      <w:bookmarkEnd w:id="1451"/>
      <w:bookmarkEnd w:id="1452"/>
      <w:bookmarkEnd w:id="1453"/>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w:t>
      </w:r>
      <w:bookmarkEnd w:id="1454"/>
    </w:p>
    <w:p>
      <w:pPr>
        <w:pStyle w:val="261"/>
        <w:spacing w:line="400" w:lineRule="exact"/>
        <w:ind w:firstLine="399" w:firstLineChars="190"/>
        <w:rPr>
          <w:rFonts w:ascii="宋体" w:hAnsi="宋体"/>
          <w:color w:val="auto"/>
          <w:sz w:val="21"/>
          <w:szCs w:val="21"/>
          <w:highlight w:val="none"/>
        </w:rPr>
      </w:pPr>
      <w:r>
        <w:rPr>
          <w:rFonts w:ascii="宋体" w:hAnsi="宋体"/>
          <w:color w:val="auto"/>
          <w:sz w:val="21"/>
          <w:szCs w:val="21"/>
          <w:highlight w:val="none"/>
        </w:rPr>
        <w:t>工程质量保修书由发包人、承包人在工程竣工验收前共同签署，作为施工合同附件，其有效期限至保修期满。</w:t>
      </w:r>
    </w:p>
    <w:p>
      <w:pPr>
        <w:pStyle w:val="261"/>
        <w:spacing w:line="400" w:lineRule="exact"/>
        <w:ind w:firstLine="420"/>
        <w:rPr>
          <w:rFonts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发包人(公章)：</w:t>
      </w:r>
      <w:r>
        <w:rPr>
          <w:rFonts w:ascii="宋体" w:hAnsi="宋体"/>
          <w:color w:val="auto"/>
          <w:sz w:val="21"/>
          <w:szCs w:val="21"/>
          <w:highlight w:val="none"/>
          <w:u w:val="single"/>
        </w:rPr>
        <w:t xml:space="preserve">        </w:t>
      </w:r>
      <w:r>
        <w:rPr>
          <w:rFonts w:ascii="宋体" w:hAnsi="宋体"/>
          <w:color w:val="auto"/>
          <w:sz w:val="21"/>
          <w:szCs w:val="21"/>
          <w:highlight w:val="none"/>
        </w:rPr>
        <w:t xml:space="preserve"> 承包人(公章)：</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 xml:space="preserve">     </w:t>
      </w:r>
      <w:r>
        <w:rPr>
          <w:rFonts w:hint="eastAsia" w:ascii="宋体" w:hAnsi="宋体"/>
          <w:color w:val="auto"/>
          <w:sz w:val="21"/>
          <w:szCs w:val="21"/>
          <w:highlight w:val="none"/>
        </w:rPr>
        <w:t xml:space="preserve"> </w:t>
      </w:r>
      <w:r>
        <w:rPr>
          <w:rFonts w:ascii="宋体" w:hAnsi="宋体"/>
          <w:color w:val="auto"/>
          <w:sz w:val="21"/>
          <w:szCs w:val="21"/>
          <w:highlight w:val="none"/>
        </w:rPr>
        <w:t>地  址：</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法定代表人(签字)：</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法定代表人(签字)：</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委托代理人(签字)：</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委托代理人(签字)：</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电  话：</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电  话：</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传  真：</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传  真：</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开户银行：</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开户银行：</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账  号：</w:t>
      </w:r>
      <w:r>
        <w:rPr>
          <w:rFonts w:ascii="宋体" w:hAnsi="宋体"/>
          <w:color w:val="auto"/>
          <w:sz w:val="21"/>
          <w:szCs w:val="21"/>
          <w:highlight w:val="none"/>
          <w:u w:val="single"/>
        </w:rPr>
        <w:t xml:space="preserve">       </w:t>
      </w:r>
      <w:r>
        <w:rPr>
          <w:rFonts w:hint="eastAsia" w:ascii="宋体" w:hAnsi="宋体"/>
          <w:color w:val="auto"/>
          <w:sz w:val="21"/>
          <w:szCs w:val="21"/>
          <w:highlight w:val="none"/>
        </w:rPr>
        <w:t xml:space="preserve">  </w:t>
      </w:r>
      <w:r>
        <w:rPr>
          <w:rFonts w:ascii="宋体" w:hAnsi="宋体"/>
          <w:color w:val="auto"/>
          <w:sz w:val="21"/>
          <w:szCs w:val="21"/>
          <w:highlight w:val="none"/>
        </w:rPr>
        <w:t>账</w:t>
      </w:r>
      <w:r>
        <w:rPr>
          <w:rFonts w:hint="eastAsia" w:ascii="宋体" w:hAnsi="宋体"/>
          <w:color w:val="auto"/>
          <w:sz w:val="21"/>
          <w:szCs w:val="21"/>
          <w:highlight w:val="none"/>
        </w:rPr>
        <w:t xml:space="preserve"> </w:t>
      </w:r>
      <w:r>
        <w:rPr>
          <w:rFonts w:ascii="宋体" w:hAnsi="宋体"/>
          <w:color w:val="auto"/>
          <w:sz w:val="21"/>
          <w:szCs w:val="21"/>
          <w:highlight w:val="none"/>
        </w:rPr>
        <w:t xml:space="preserve"> 号：</w:t>
      </w:r>
      <w:r>
        <w:rPr>
          <w:rFonts w:ascii="宋体" w:hAnsi="宋体"/>
          <w:color w:val="auto"/>
          <w:sz w:val="21"/>
          <w:szCs w:val="21"/>
          <w:highlight w:val="none"/>
          <w:u w:val="single"/>
        </w:rPr>
        <w:t></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邮政编码：</w:t>
      </w:r>
      <w:r>
        <w:rPr>
          <w:rFonts w:ascii="宋体" w:hAnsi="宋体"/>
          <w:color w:val="auto"/>
          <w:sz w:val="21"/>
          <w:szCs w:val="21"/>
          <w:highlight w:val="none"/>
          <w:u w:val="single"/>
        </w:rPr>
        <w:t xml:space="preserve">     </w:t>
      </w:r>
      <w:r>
        <w:rPr>
          <w:rFonts w:ascii="宋体" w:hAnsi="宋体"/>
          <w:color w:val="auto"/>
          <w:sz w:val="21"/>
          <w:szCs w:val="21"/>
          <w:highlight w:val="none"/>
        </w:rPr>
        <w:t xml:space="preserve"> 邮政编码：</w:t>
      </w:r>
      <w:r>
        <w:rPr>
          <w:rFonts w:ascii="宋体" w:hAnsi="宋体"/>
          <w:color w:val="auto"/>
          <w:sz w:val="21"/>
          <w:szCs w:val="21"/>
          <w:highlight w:val="none"/>
          <w:u w:val="single"/>
        </w:rPr>
        <w:t xml:space="preserve">   </w:t>
      </w: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附件4：</w:t>
      </w:r>
    </w:p>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主要建设工程文件目录</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文件名称</w:t>
            </w:r>
          </w:p>
        </w:tc>
        <w:tc>
          <w:tcPr>
            <w:tcW w:w="1276"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套数</w:t>
            </w:r>
          </w:p>
        </w:tc>
        <w:tc>
          <w:tcPr>
            <w:tcW w:w="14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费用</w:t>
            </w:r>
            <w:r>
              <w:rPr>
                <w:rFonts w:hint="eastAsia" w:ascii="宋体" w:hAnsi="宋体"/>
                <w:color w:val="auto"/>
                <w:sz w:val="21"/>
                <w:szCs w:val="21"/>
                <w:highlight w:val="none"/>
                <w:lang w:val="en-US" w:eastAsia="zh-CN"/>
              </w:rPr>
              <w:t>（元）</w:t>
            </w:r>
          </w:p>
        </w:tc>
        <w:tc>
          <w:tcPr>
            <w:tcW w:w="1243"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质量</w:t>
            </w:r>
          </w:p>
        </w:tc>
        <w:tc>
          <w:tcPr>
            <w:tcW w:w="1450" w:type="dxa"/>
            <w:tcBorders>
              <w:top w:val="single" w:color="auto" w:sz="12" w:space="0"/>
              <w:bottom w:val="double" w:color="auto" w:sz="6" w:space="0"/>
            </w:tcBorders>
            <w:noWrap w:val="0"/>
            <w:vAlign w:val="top"/>
          </w:tcPr>
          <w:p>
            <w:pPr>
              <w:pStyle w:val="261"/>
              <w:spacing w:line="400" w:lineRule="exact"/>
              <w:jc w:val="center"/>
              <w:rPr>
                <w:rFonts w:ascii="宋体" w:hAnsi="宋体"/>
                <w:color w:val="auto"/>
                <w:sz w:val="21"/>
                <w:szCs w:val="21"/>
                <w:highlight w:val="none"/>
              </w:rPr>
            </w:pPr>
            <w:r>
              <w:rPr>
                <w:rFonts w:ascii="宋体" w:hAnsi="宋体"/>
                <w:color w:val="auto"/>
                <w:sz w:val="21"/>
                <w:szCs w:val="21"/>
                <w:highlight w:val="none"/>
              </w:rPr>
              <w:t>移交时间</w:t>
            </w:r>
          </w:p>
        </w:tc>
        <w:tc>
          <w:tcPr>
            <w:tcW w:w="1667" w:type="dxa"/>
            <w:tcBorders>
              <w:top w:val="single" w:color="auto" w:sz="12" w:space="0"/>
              <w:bottom w:val="double" w:color="auto" w:sz="6" w:space="0"/>
            </w:tcBorders>
            <w:noWrap w:val="0"/>
            <w:vAlign w:val="top"/>
          </w:tcPr>
          <w:p>
            <w:pPr>
              <w:pStyle w:val="261"/>
              <w:spacing w:line="400" w:lineRule="exact"/>
              <w:jc w:val="center"/>
              <w:rPr>
                <w:rFonts w:ascii="宋体" w:hAnsi="宋体"/>
                <w:color w:val="auto"/>
                <w:sz w:val="21"/>
                <w:szCs w:val="21"/>
                <w:highlight w:val="none"/>
              </w:rPr>
            </w:pPr>
            <w:r>
              <w:rPr>
                <w:rFonts w:ascii="宋体" w:hAnsi="宋体"/>
                <w:color w:val="auto"/>
                <w:sz w:val="21"/>
                <w:szCs w:val="21"/>
                <w:highlight w:val="none"/>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76"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243"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667"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pStyle w:val="261"/>
              <w:spacing w:line="400" w:lineRule="exact"/>
              <w:rPr>
                <w:rFonts w:ascii="宋体" w:hAnsi="宋体"/>
                <w:color w:val="auto"/>
                <w:sz w:val="24"/>
                <w:highlight w:val="none"/>
              </w:rPr>
            </w:pPr>
          </w:p>
        </w:tc>
        <w:tc>
          <w:tcPr>
            <w:tcW w:w="1276"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243" w:type="dxa"/>
            <w:noWrap w:val="0"/>
            <w:vAlign w:val="top"/>
          </w:tcPr>
          <w:p>
            <w:pPr>
              <w:pStyle w:val="261"/>
              <w:spacing w:line="400" w:lineRule="exact"/>
              <w:rPr>
                <w:rFonts w:ascii="宋体" w:hAnsi="宋体"/>
                <w:color w:val="auto"/>
                <w:sz w:val="24"/>
                <w:highlight w:val="none"/>
              </w:rPr>
            </w:pPr>
          </w:p>
        </w:tc>
        <w:tc>
          <w:tcPr>
            <w:tcW w:w="1450" w:type="dxa"/>
            <w:noWrap w:val="0"/>
            <w:vAlign w:val="top"/>
          </w:tcPr>
          <w:p>
            <w:pPr>
              <w:pStyle w:val="261"/>
              <w:spacing w:line="400" w:lineRule="exact"/>
              <w:rPr>
                <w:rFonts w:ascii="宋体" w:hAnsi="宋体"/>
                <w:color w:val="auto"/>
                <w:sz w:val="24"/>
                <w:highlight w:val="none"/>
              </w:rPr>
            </w:pPr>
          </w:p>
        </w:tc>
        <w:tc>
          <w:tcPr>
            <w:tcW w:w="1667" w:type="dxa"/>
            <w:noWrap w:val="0"/>
            <w:vAlign w:val="top"/>
          </w:tcPr>
          <w:p>
            <w:pPr>
              <w:pStyle w:val="261"/>
              <w:spacing w:line="400" w:lineRule="exact"/>
              <w:rPr>
                <w:rFonts w:ascii="宋体" w:hAnsi="宋体"/>
                <w:color w:val="auto"/>
                <w:sz w:val="24"/>
                <w:highlight w:val="none"/>
              </w:rPr>
            </w:pPr>
          </w:p>
        </w:tc>
      </w:tr>
    </w:tbl>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55" w:name="_Toc296891267"/>
      <w:bookmarkStart w:id="1456" w:name="_Toc296891055"/>
      <w:bookmarkStart w:id="1457" w:name="_Toc296347226"/>
      <w:bookmarkStart w:id="1458" w:name="_Toc296944566"/>
      <w:bookmarkStart w:id="1459" w:name="_Toc296346728"/>
      <w:bookmarkStart w:id="1460" w:name="_Toc267261698"/>
      <w:bookmarkStart w:id="1461" w:name="_Toc296503227"/>
      <w:r>
        <w:rPr>
          <w:rFonts w:ascii="宋体" w:hAnsi="宋体"/>
          <w:color w:val="auto"/>
          <w:sz w:val="21"/>
          <w:szCs w:val="21"/>
          <w:highlight w:val="none"/>
        </w:rPr>
        <w:t>件5：</w:t>
      </w:r>
    </w:p>
    <w:bookmarkEnd w:id="1455"/>
    <w:bookmarkEnd w:id="1456"/>
    <w:bookmarkEnd w:id="1457"/>
    <w:bookmarkEnd w:id="1458"/>
    <w:bookmarkEnd w:id="1459"/>
    <w:bookmarkEnd w:id="1460"/>
    <w:bookmarkEnd w:id="1461"/>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承包人用于本工程施工的机械设备表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机械或设</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备名称</w:t>
            </w:r>
          </w:p>
        </w:tc>
        <w:tc>
          <w:tcPr>
            <w:tcW w:w="85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规格型号</w:t>
            </w:r>
          </w:p>
        </w:tc>
        <w:tc>
          <w:tcPr>
            <w:tcW w:w="105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88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产地</w:t>
            </w:r>
          </w:p>
        </w:tc>
        <w:tc>
          <w:tcPr>
            <w:tcW w:w="1020"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制造</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年份</w:t>
            </w:r>
          </w:p>
        </w:tc>
        <w:tc>
          <w:tcPr>
            <w:tcW w:w="1480"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额定功率(kW)</w:t>
            </w:r>
          </w:p>
        </w:tc>
        <w:tc>
          <w:tcPr>
            <w:tcW w:w="1020" w:type="dxa"/>
            <w:tcBorders>
              <w:top w:val="single" w:color="auto" w:sz="12" w:space="0"/>
              <w:bottom w:val="double" w:color="auto" w:sz="6" w:space="0"/>
            </w:tcBorders>
            <w:noWrap w:val="0"/>
            <w:vAlign w:val="center"/>
          </w:tcPr>
          <w:p>
            <w:pPr>
              <w:pStyle w:val="2"/>
              <w:keepNext/>
              <w:spacing w:line="400" w:lineRule="exact"/>
              <w:ind w:left="63" w:right="63"/>
              <w:jc w:val="center"/>
              <w:rPr>
                <w:rFonts w:hint="eastAsia" w:ascii="宋体" w:hAnsi="宋体"/>
                <w:color w:val="auto"/>
                <w:sz w:val="21"/>
                <w:szCs w:val="21"/>
                <w:highlight w:val="none"/>
                <w:lang w:val="en-US" w:eastAsia="zh-CN"/>
              </w:rPr>
            </w:pPr>
            <w:r>
              <w:rPr>
                <w:rFonts w:ascii="宋体" w:hAnsi="宋体"/>
                <w:color w:val="auto"/>
                <w:sz w:val="21"/>
                <w:szCs w:val="21"/>
                <w:highlight w:val="none"/>
                <w:lang w:val="en-US" w:eastAsia="zh-CN"/>
              </w:rPr>
              <w:t>生产</w:t>
            </w:r>
          </w:p>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能力</w:t>
            </w:r>
          </w:p>
        </w:tc>
        <w:tc>
          <w:tcPr>
            <w:tcW w:w="92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tcBorders>
              <w:top w:val="nil"/>
            </w:tcBorders>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5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58"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8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48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1020" w:type="dxa"/>
            <w:noWrap w:val="0"/>
            <w:vAlign w:val="center"/>
          </w:tcPr>
          <w:p>
            <w:pPr>
              <w:pStyle w:val="2"/>
              <w:keepNext/>
              <w:spacing w:line="400" w:lineRule="exact"/>
              <w:ind w:left="63" w:right="63"/>
              <w:rPr>
                <w:rFonts w:ascii="宋体" w:hAnsi="宋体"/>
                <w:color w:val="auto"/>
                <w:sz w:val="24"/>
                <w:highlight w:val="none"/>
                <w:lang w:val="en-US" w:eastAsia="zh-CN"/>
              </w:rPr>
            </w:pPr>
          </w:p>
        </w:tc>
        <w:tc>
          <w:tcPr>
            <w:tcW w:w="921" w:type="dxa"/>
            <w:noWrap w:val="0"/>
            <w:vAlign w:val="center"/>
          </w:tcPr>
          <w:p>
            <w:pPr>
              <w:pStyle w:val="2"/>
              <w:keepNext/>
              <w:spacing w:line="400" w:lineRule="exact"/>
              <w:ind w:left="63" w:right="63"/>
              <w:rPr>
                <w:rFonts w:ascii="宋体" w:hAnsi="宋体"/>
                <w:color w:val="auto"/>
                <w:sz w:val="24"/>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pStyle w:val="261"/>
              <w:spacing w:line="400" w:lineRule="exact"/>
              <w:rPr>
                <w:rFonts w:ascii="宋体" w:hAnsi="宋体"/>
                <w:color w:val="auto"/>
                <w:sz w:val="24"/>
                <w:highlight w:val="none"/>
              </w:rPr>
            </w:pPr>
          </w:p>
        </w:tc>
        <w:tc>
          <w:tcPr>
            <w:tcW w:w="1418" w:type="dxa"/>
            <w:noWrap w:val="0"/>
            <w:vAlign w:val="top"/>
          </w:tcPr>
          <w:p>
            <w:pPr>
              <w:pStyle w:val="261"/>
              <w:spacing w:line="400" w:lineRule="exact"/>
              <w:rPr>
                <w:rFonts w:ascii="宋体" w:hAnsi="宋体"/>
                <w:color w:val="auto"/>
                <w:sz w:val="24"/>
                <w:highlight w:val="none"/>
              </w:rPr>
            </w:pPr>
          </w:p>
        </w:tc>
        <w:tc>
          <w:tcPr>
            <w:tcW w:w="850" w:type="dxa"/>
            <w:noWrap w:val="0"/>
            <w:vAlign w:val="top"/>
          </w:tcPr>
          <w:p>
            <w:pPr>
              <w:pStyle w:val="261"/>
              <w:spacing w:line="400" w:lineRule="exact"/>
              <w:rPr>
                <w:rFonts w:ascii="宋体" w:hAnsi="宋体"/>
                <w:color w:val="auto"/>
                <w:sz w:val="24"/>
                <w:highlight w:val="none"/>
              </w:rPr>
            </w:pPr>
          </w:p>
        </w:tc>
        <w:tc>
          <w:tcPr>
            <w:tcW w:w="1058" w:type="dxa"/>
            <w:noWrap w:val="0"/>
            <w:vAlign w:val="top"/>
          </w:tcPr>
          <w:p>
            <w:pPr>
              <w:pStyle w:val="261"/>
              <w:spacing w:line="400" w:lineRule="exact"/>
              <w:rPr>
                <w:rFonts w:ascii="宋体" w:hAnsi="宋体"/>
                <w:color w:val="auto"/>
                <w:sz w:val="24"/>
                <w:highlight w:val="none"/>
              </w:rPr>
            </w:pPr>
          </w:p>
        </w:tc>
        <w:tc>
          <w:tcPr>
            <w:tcW w:w="8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1480" w:type="dxa"/>
            <w:noWrap w:val="0"/>
            <w:vAlign w:val="top"/>
          </w:tcPr>
          <w:p>
            <w:pPr>
              <w:pStyle w:val="261"/>
              <w:spacing w:line="400" w:lineRule="exact"/>
              <w:rPr>
                <w:rFonts w:ascii="宋体" w:hAnsi="宋体"/>
                <w:color w:val="auto"/>
                <w:sz w:val="24"/>
                <w:highlight w:val="none"/>
              </w:rPr>
            </w:pPr>
          </w:p>
        </w:tc>
        <w:tc>
          <w:tcPr>
            <w:tcW w:w="1020" w:type="dxa"/>
            <w:noWrap w:val="0"/>
            <w:vAlign w:val="top"/>
          </w:tcPr>
          <w:p>
            <w:pPr>
              <w:pStyle w:val="261"/>
              <w:spacing w:line="400" w:lineRule="exact"/>
              <w:rPr>
                <w:rFonts w:ascii="宋体" w:hAnsi="宋体"/>
                <w:color w:val="auto"/>
                <w:sz w:val="24"/>
                <w:highlight w:val="none"/>
              </w:rPr>
            </w:pPr>
          </w:p>
        </w:tc>
        <w:tc>
          <w:tcPr>
            <w:tcW w:w="921" w:type="dxa"/>
            <w:noWrap w:val="0"/>
            <w:vAlign w:val="top"/>
          </w:tcPr>
          <w:p>
            <w:pPr>
              <w:pStyle w:val="261"/>
              <w:spacing w:line="400" w:lineRule="exact"/>
              <w:rPr>
                <w:rFonts w:ascii="宋体" w:hAnsi="宋体"/>
                <w:color w:val="auto"/>
                <w:sz w:val="24"/>
                <w:highlight w:val="none"/>
              </w:rPr>
            </w:pPr>
          </w:p>
        </w:tc>
      </w:tr>
    </w:tbl>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62" w:name="_Toc296944567"/>
      <w:bookmarkStart w:id="1463" w:name="_Toc296891056"/>
      <w:bookmarkStart w:id="1464" w:name="_Toc296503228"/>
      <w:bookmarkStart w:id="1465" w:name="_Toc296347227"/>
      <w:bookmarkStart w:id="1466" w:name="_Toc296891268"/>
      <w:bookmarkStart w:id="1467" w:name="_Toc296346729"/>
      <w:bookmarkStart w:id="1468" w:name="_Toc267261699"/>
      <w:r>
        <w:rPr>
          <w:rFonts w:ascii="宋体" w:hAnsi="宋体"/>
          <w:color w:val="auto"/>
          <w:sz w:val="21"/>
          <w:szCs w:val="21"/>
          <w:highlight w:val="none"/>
        </w:rPr>
        <w:t>件6：</w:t>
      </w:r>
    </w:p>
    <w:bookmarkEnd w:id="1462"/>
    <w:bookmarkEnd w:id="1463"/>
    <w:bookmarkEnd w:id="1464"/>
    <w:bookmarkEnd w:id="1465"/>
    <w:bookmarkEnd w:id="1466"/>
    <w:bookmarkEnd w:id="1467"/>
    <w:bookmarkEnd w:id="1468"/>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承包人主要施工管理人员表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hint="eastAsia" w:ascii="宋体" w:hAnsi="宋体"/>
                <w:color w:val="auto"/>
                <w:sz w:val="21"/>
                <w:szCs w:val="21"/>
                <w:highlight w:val="none"/>
                <w:lang w:val="en-US" w:eastAsia="zh-CN"/>
              </w:rPr>
              <w:t>名</w:t>
            </w:r>
            <w:r>
              <w:rPr>
                <w:rFonts w:ascii="宋体" w:hAnsi="宋体"/>
                <w:color w:val="auto"/>
                <w:sz w:val="21"/>
                <w:szCs w:val="21"/>
                <w:highlight w:val="none"/>
                <w:lang w:val="en-US" w:eastAsia="zh-CN"/>
              </w:rPr>
              <w:t>称</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姓名</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职务</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职称</w:t>
            </w:r>
          </w:p>
        </w:tc>
        <w:tc>
          <w:tcPr>
            <w:tcW w:w="425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项目主管</w:t>
            </w:r>
          </w:p>
        </w:tc>
        <w:tc>
          <w:tcPr>
            <w:tcW w:w="1418"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项目副经理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技术负责人</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造价管理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质量管理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材料管理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计划管理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安全管理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69" w:name="_Toc296944568"/>
      <w:bookmarkStart w:id="1470" w:name="_Toc296503229"/>
      <w:bookmarkStart w:id="1471" w:name="_Toc296346730"/>
      <w:bookmarkStart w:id="1472" w:name="_Toc296347228"/>
      <w:bookmarkStart w:id="1473" w:name="_Toc296891269"/>
      <w:bookmarkStart w:id="1474" w:name="_Toc296891057"/>
      <w:r>
        <w:rPr>
          <w:rFonts w:ascii="宋体" w:hAnsi="宋体"/>
          <w:color w:val="auto"/>
          <w:sz w:val="21"/>
          <w:szCs w:val="21"/>
          <w:highlight w:val="none"/>
        </w:rPr>
        <w:t>件7：</w:t>
      </w:r>
    </w:p>
    <w:bookmarkEnd w:id="1469"/>
    <w:bookmarkEnd w:id="1470"/>
    <w:bookmarkEnd w:id="1471"/>
    <w:bookmarkEnd w:id="1472"/>
    <w:bookmarkEnd w:id="1473"/>
    <w:bookmarkEnd w:id="1474"/>
    <w:p>
      <w:pPr>
        <w:pStyle w:val="261"/>
        <w:spacing w:before="156" w:beforeLines="50" w:after="156" w:afterLines="50" w:line="400" w:lineRule="exact"/>
        <w:jc w:val="center"/>
        <w:rPr>
          <w:rFonts w:hint="eastAsia" w:ascii="宋体" w:hAnsi="宋体"/>
          <w:color w:val="auto"/>
          <w:sz w:val="21"/>
          <w:szCs w:val="21"/>
          <w:highlight w:val="none"/>
        </w:rPr>
      </w:pPr>
      <w:r>
        <w:rPr>
          <w:rFonts w:ascii="宋体" w:hAnsi="宋体"/>
          <w:color w:val="auto"/>
          <w:sz w:val="21"/>
          <w:szCs w:val="21"/>
          <w:highlight w:val="none"/>
        </w:rPr>
        <w:t>分包人主要施工管理人员表</w:t>
      </w:r>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名称</w:t>
            </w:r>
          </w:p>
        </w:tc>
        <w:tc>
          <w:tcPr>
            <w:tcW w:w="1418"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姓名</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职务</w:t>
            </w:r>
          </w:p>
        </w:tc>
        <w:tc>
          <w:tcPr>
            <w:tcW w:w="1134"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职称</w:t>
            </w:r>
          </w:p>
        </w:tc>
        <w:tc>
          <w:tcPr>
            <w:tcW w:w="4252" w:type="dxa"/>
            <w:tcBorders>
              <w:top w:val="single" w:color="auto" w:sz="12" w:space="0"/>
              <w:bottom w:val="double" w:color="auto" w:sz="6" w:space="0"/>
            </w:tcBorders>
            <w:noWrap w:val="0"/>
            <w:vAlign w:val="center"/>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项目主管</w:t>
            </w:r>
          </w:p>
        </w:tc>
        <w:tc>
          <w:tcPr>
            <w:tcW w:w="1418"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top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项目副经理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技术负责人</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造价管理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质量管理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材料管理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计划管理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安全管理</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其他人员</w:t>
            </w: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nil"/>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noWrap w:val="0"/>
            <w:vAlign w:val="center"/>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1134"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c>
          <w:tcPr>
            <w:tcW w:w="4252" w:type="dxa"/>
            <w:tcBorders>
              <w:bottom w:val="single" w:color="auto" w:sz="12" w:space="0"/>
            </w:tcBorders>
            <w:noWrap w:val="0"/>
            <w:vAlign w:val="center"/>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line="400" w:lineRule="exact"/>
        <w:rPr>
          <w:rFonts w:hint="eastAsia" w:ascii="宋体" w:hAnsi="宋体"/>
          <w:color w:val="auto"/>
          <w:sz w:val="24"/>
          <w:highlight w:val="none"/>
        </w:rPr>
      </w:pPr>
      <w:bookmarkStart w:id="1475" w:name="_Toc267261701"/>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hint="eastAsia" w:ascii="宋体" w:hAnsi="宋体"/>
          <w:color w:val="auto"/>
          <w:sz w:val="24"/>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附</w:t>
      </w:r>
      <w:bookmarkStart w:id="1476" w:name="_Toc296347230"/>
      <w:bookmarkStart w:id="1477" w:name="_Toc296891271"/>
      <w:bookmarkStart w:id="1478" w:name="_Toc296503231"/>
      <w:bookmarkStart w:id="1479" w:name="_Toc296346732"/>
      <w:bookmarkStart w:id="1480" w:name="_Toc296944570"/>
      <w:bookmarkStart w:id="1481" w:name="_Toc296891059"/>
      <w:r>
        <w:rPr>
          <w:rFonts w:ascii="宋体" w:hAnsi="宋体"/>
          <w:color w:val="auto"/>
          <w:sz w:val="21"/>
          <w:szCs w:val="21"/>
          <w:highlight w:val="none"/>
        </w:rPr>
        <w:t>件8：</w:t>
      </w:r>
    </w:p>
    <w:bookmarkEnd w:id="1475"/>
    <w:bookmarkEnd w:id="1476"/>
    <w:bookmarkEnd w:id="1477"/>
    <w:bookmarkEnd w:id="1478"/>
    <w:bookmarkEnd w:id="1479"/>
    <w:bookmarkEnd w:id="1480"/>
    <w:bookmarkEnd w:id="1481"/>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履约担保</w:t>
      </w:r>
    </w:p>
    <w:p>
      <w:pPr>
        <w:pStyle w:val="261"/>
        <w:spacing w:line="400" w:lineRule="exact"/>
        <w:rPr>
          <w:rFonts w:ascii="宋体" w:hAnsi="宋体"/>
          <w:color w:val="auto"/>
          <w:sz w:val="21"/>
          <w:szCs w:val="21"/>
          <w:highlight w:val="none"/>
        </w:rPr>
      </w:pPr>
      <w:r>
        <w:rPr>
          <w:rFonts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rPr>
        <w:t>（发包人名称）：</w:t>
      </w:r>
    </w:p>
    <w:p>
      <w:pPr>
        <w:pStyle w:val="261"/>
        <w:spacing w:line="400" w:lineRule="exact"/>
        <w:rPr>
          <w:rFonts w:ascii="宋体" w:hAnsi="宋体"/>
          <w:color w:val="auto"/>
          <w:sz w:val="21"/>
          <w:szCs w:val="21"/>
          <w:highlight w:val="none"/>
        </w:rPr>
      </w:pP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鉴于</w:t>
      </w:r>
      <w:r>
        <w:rPr>
          <w:rFonts w:ascii="宋体" w:hAnsi="宋体"/>
          <w:color w:val="auto"/>
          <w:sz w:val="21"/>
          <w:szCs w:val="21"/>
          <w:highlight w:val="none"/>
          <w:u w:val="single"/>
        </w:rPr>
        <w:t xml:space="preserve">                </w:t>
      </w:r>
      <w:r>
        <w:rPr>
          <w:rFonts w:ascii="宋体" w:hAnsi="宋体"/>
          <w:color w:val="auto"/>
          <w:sz w:val="21"/>
          <w:szCs w:val="21"/>
          <w:highlight w:val="none"/>
        </w:rPr>
        <w:t>（发包人名称，以下简称“发包人”）与</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（承包人名称）（以下称“承包人”）于</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日就</w:t>
      </w:r>
      <w:r>
        <w:rPr>
          <w:rFonts w:ascii="宋体" w:hAnsi="宋体"/>
          <w:color w:val="auto"/>
          <w:sz w:val="21"/>
          <w:szCs w:val="21"/>
          <w:highlight w:val="none"/>
          <w:u w:val="single"/>
        </w:rPr>
        <w:t xml:space="preserve">                         </w:t>
      </w:r>
      <w:r>
        <w:rPr>
          <w:rFonts w:ascii="宋体" w:hAnsi="宋体"/>
          <w:color w:val="auto"/>
          <w:sz w:val="21"/>
          <w:szCs w:val="21"/>
          <w:highlight w:val="none"/>
        </w:rPr>
        <w:t xml:space="preserve">（工程名称）施工及有关事项协商一致共同签订《建设工程施工合同》。我方愿意无条件地、不可撤销地就承包人履行与你方签订的合同，向你方提供连带责任担保。 </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1. 担保金额人民币（大写）</w:t>
      </w:r>
      <w:r>
        <w:rPr>
          <w:rFonts w:ascii="宋体" w:hAnsi="宋体"/>
          <w:color w:val="auto"/>
          <w:sz w:val="21"/>
          <w:szCs w:val="21"/>
          <w:highlight w:val="none"/>
          <w:u w:val="single"/>
        </w:rPr>
        <w:t xml:space="preserve">                 </w:t>
      </w:r>
      <w:r>
        <w:rPr>
          <w:rFonts w:ascii="宋体" w:hAnsi="宋体"/>
          <w:color w:val="auto"/>
          <w:sz w:val="21"/>
          <w:szCs w:val="21"/>
          <w:highlight w:val="none"/>
        </w:rPr>
        <w:t>元（¥</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2. 担保有效期自你方与承包人签订的合同生效之日起至你方签发或应签发工程接收证书之日止。</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3. 在本担保有效期内，因承包人违反合同约定的义务给你方造成经济损失时，我方在收到你方以书面形式提出的在担保金额内的赔偿要求后，在7天内无条件支付。</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4. 你方和承包人按合同约定变更合同时，我方承担本担保规定的义务不变。</w:t>
      </w: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5. 因本保函发生的纠纷，可由双方协商解决，协商不成的，任何一方均可提请</w:t>
      </w:r>
      <w:r>
        <w:rPr>
          <w:rFonts w:ascii="宋体" w:hAnsi="宋体"/>
          <w:color w:val="auto"/>
          <w:sz w:val="21"/>
          <w:szCs w:val="21"/>
          <w:highlight w:val="none"/>
          <w:u w:val="single"/>
        </w:rPr>
        <w:t xml:space="preserve">        </w:t>
      </w:r>
      <w:r>
        <w:rPr>
          <w:rFonts w:ascii="宋体" w:hAnsi="宋体"/>
          <w:color w:val="auto"/>
          <w:sz w:val="21"/>
          <w:szCs w:val="21"/>
          <w:highlight w:val="none"/>
        </w:rPr>
        <w:t>仲裁委员会仲裁。</w:t>
      </w:r>
    </w:p>
    <w:p>
      <w:pPr>
        <w:pStyle w:val="261"/>
        <w:spacing w:line="400" w:lineRule="exact"/>
        <w:ind w:firstLine="420" w:firstLineChars="200"/>
        <w:rPr>
          <w:rFonts w:hint="eastAsia" w:ascii="宋体" w:hAnsi="宋体"/>
          <w:color w:val="auto"/>
          <w:sz w:val="21"/>
          <w:szCs w:val="21"/>
          <w:highlight w:val="none"/>
        </w:rPr>
      </w:pPr>
      <w:r>
        <w:rPr>
          <w:rFonts w:ascii="宋体" w:hAnsi="宋体"/>
          <w:color w:val="auto"/>
          <w:sz w:val="21"/>
          <w:szCs w:val="21"/>
          <w:highlight w:val="none"/>
        </w:rPr>
        <w:t>6. 本保函自我方法定代表人（或其授权代理人）签字并加盖公章之日起生效。</w:t>
      </w: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担 保 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（盖单位章）</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法定代表人或其委托代理人：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（签字）</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邮政编码：</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电    话：</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传    真：</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jc w:val="left"/>
        <w:rPr>
          <w:rFonts w:ascii="宋体" w:hAnsi="宋体"/>
          <w:color w:val="auto"/>
          <w:sz w:val="21"/>
          <w:szCs w:val="21"/>
          <w:highlight w:val="none"/>
          <w:u w:val="single"/>
        </w:rPr>
      </w:pPr>
    </w:p>
    <w:p>
      <w:pPr>
        <w:pStyle w:val="261"/>
        <w:spacing w:line="400" w:lineRule="exact"/>
        <w:ind w:left="1519" w:hanging="1329" w:hangingChars="633"/>
        <w:rPr>
          <w:rFonts w:ascii="宋体" w:hAnsi="宋体"/>
          <w:color w:val="auto"/>
          <w:sz w:val="21"/>
          <w:szCs w:val="21"/>
          <w:highlight w:val="none"/>
        </w:rPr>
      </w:pPr>
      <w:r>
        <w:rPr>
          <w:rFonts w:ascii="宋体" w:hAnsi="宋体"/>
          <w:color w:val="auto"/>
          <w:sz w:val="21"/>
          <w:szCs w:val="21"/>
          <w:highlight w:val="none"/>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w:t>
      </w:r>
    </w:p>
    <w:p>
      <w:pPr>
        <w:pStyle w:val="261"/>
        <w:spacing w:line="400" w:lineRule="exact"/>
        <w:ind w:left="1519" w:hanging="1329" w:hangingChars="633"/>
        <w:rPr>
          <w:rFonts w:ascii="宋体" w:hAnsi="宋体"/>
          <w:color w:val="auto"/>
          <w:sz w:val="21"/>
          <w:szCs w:val="21"/>
          <w:highlight w:val="none"/>
        </w:rPr>
      </w:pPr>
    </w:p>
    <w:p>
      <w:pPr>
        <w:pStyle w:val="261"/>
        <w:spacing w:line="400" w:lineRule="exact"/>
        <w:ind w:left="1519" w:hanging="1329" w:hangingChars="633"/>
        <w:rPr>
          <w:rFonts w:ascii="宋体" w:hAnsi="宋体"/>
          <w:color w:val="auto"/>
          <w:sz w:val="21"/>
          <w:szCs w:val="21"/>
          <w:highlight w:val="none"/>
        </w:rPr>
      </w:pPr>
    </w:p>
    <w:p>
      <w:pPr>
        <w:pStyle w:val="261"/>
        <w:spacing w:line="400" w:lineRule="exact"/>
        <w:ind w:left="1519" w:hanging="1329" w:hangingChars="633"/>
        <w:rPr>
          <w:rFonts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w:t>
      </w:r>
      <w:bookmarkStart w:id="1482" w:name="_Toc296503232"/>
      <w:bookmarkStart w:id="1483" w:name="_Toc296891060"/>
      <w:bookmarkStart w:id="1484" w:name="_Toc296347231"/>
      <w:bookmarkStart w:id="1485" w:name="_Toc296346733"/>
      <w:bookmarkStart w:id="1486" w:name="_Toc296891272"/>
      <w:bookmarkStart w:id="1487" w:name="_Toc296944571"/>
      <w:bookmarkStart w:id="1488" w:name="_Toc267261702"/>
      <w:r>
        <w:rPr>
          <w:rFonts w:ascii="宋体" w:hAnsi="宋体"/>
          <w:color w:val="auto"/>
          <w:sz w:val="21"/>
          <w:szCs w:val="21"/>
          <w:highlight w:val="none"/>
        </w:rPr>
        <w:t>件9 ：</w:t>
      </w:r>
    </w:p>
    <w:bookmarkEnd w:id="1482"/>
    <w:bookmarkEnd w:id="1483"/>
    <w:bookmarkEnd w:id="1484"/>
    <w:bookmarkEnd w:id="1485"/>
    <w:bookmarkEnd w:id="1486"/>
    <w:bookmarkEnd w:id="1487"/>
    <w:bookmarkEnd w:id="1488"/>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预付款担保</w:t>
      </w:r>
    </w:p>
    <w:p>
      <w:pPr>
        <w:pStyle w:val="261"/>
        <w:spacing w:line="400" w:lineRule="exact"/>
        <w:rPr>
          <w:rFonts w:ascii="宋体" w:hAnsi="宋体"/>
          <w:color w:val="auto"/>
          <w:sz w:val="21"/>
          <w:szCs w:val="21"/>
          <w:highlight w:val="none"/>
        </w:rPr>
      </w:pPr>
      <w:r>
        <w:rPr>
          <w:rFonts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 xml:space="preserve"> </w:t>
      </w:r>
      <w:r>
        <w:rPr>
          <w:rFonts w:ascii="宋体" w:hAnsi="宋体"/>
          <w:color w:val="auto"/>
          <w:sz w:val="21"/>
          <w:szCs w:val="21"/>
          <w:highlight w:val="none"/>
        </w:rPr>
        <w:t xml:space="preserve"> （发包人名称）：</w:t>
      </w:r>
    </w:p>
    <w:p>
      <w:pPr>
        <w:pStyle w:val="261"/>
        <w:spacing w:line="400" w:lineRule="exact"/>
        <w:rPr>
          <w:rFonts w:ascii="宋体" w:hAnsi="宋体"/>
          <w:color w:val="auto"/>
          <w:sz w:val="21"/>
          <w:szCs w:val="21"/>
          <w:highlight w:val="none"/>
        </w:rPr>
      </w:pPr>
    </w:p>
    <w:p>
      <w:pPr>
        <w:pStyle w:val="261"/>
        <w:spacing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根据</w:t>
      </w:r>
      <w:r>
        <w:rPr>
          <w:rFonts w:ascii="宋体" w:hAnsi="宋体"/>
          <w:color w:val="auto"/>
          <w:sz w:val="21"/>
          <w:szCs w:val="21"/>
          <w:highlight w:val="none"/>
          <w:u w:val="single"/>
        </w:rPr>
        <w:t xml:space="preserve">                 </w:t>
      </w:r>
      <w:r>
        <w:rPr>
          <w:rFonts w:ascii="宋体" w:hAnsi="宋体"/>
          <w:color w:val="auto"/>
          <w:sz w:val="21"/>
          <w:szCs w:val="21"/>
          <w:highlight w:val="none"/>
        </w:rPr>
        <w:t>（承包人名称）（以下称</w:t>
      </w:r>
      <w:r>
        <w:rPr>
          <w:rFonts w:hint="eastAsia" w:ascii="宋体" w:hAnsi="宋体"/>
          <w:color w:val="auto"/>
          <w:sz w:val="21"/>
          <w:szCs w:val="21"/>
          <w:highlight w:val="none"/>
        </w:rPr>
        <w:t>“</w:t>
      </w:r>
      <w:r>
        <w:rPr>
          <w:rFonts w:ascii="宋体" w:hAnsi="宋体"/>
          <w:color w:val="auto"/>
          <w:sz w:val="21"/>
          <w:szCs w:val="21"/>
          <w:highlight w:val="none"/>
        </w:rPr>
        <w:t>承包人</w:t>
      </w:r>
      <w:r>
        <w:rPr>
          <w:rFonts w:hint="eastAsia" w:ascii="宋体" w:hAnsi="宋体"/>
          <w:color w:val="auto"/>
          <w:sz w:val="21"/>
          <w:szCs w:val="21"/>
          <w:highlight w:val="none"/>
        </w:rPr>
        <w:t>”</w:t>
      </w:r>
      <w:r>
        <w:rPr>
          <w:rFonts w:ascii="宋体" w:hAnsi="宋体"/>
          <w:color w:val="auto"/>
          <w:sz w:val="21"/>
          <w:szCs w:val="21"/>
          <w:highlight w:val="none"/>
        </w:rPr>
        <w:t>）与</w:t>
      </w:r>
    </w:p>
    <w:p>
      <w:pPr>
        <w:pStyle w:val="261"/>
        <w:spacing w:line="400" w:lineRule="exact"/>
        <w:outlineLvl w:val="1"/>
        <w:rPr>
          <w:rFonts w:ascii="宋体" w:hAnsi="宋体"/>
          <w:color w:val="auto"/>
          <w:sz w:val="21"/>
          <w:szCs w:val="21"/>
          <w:highlight w:val="none"/>
        </w:rPr>
      </w:pPr>
      <w:r>
        <w:rPr>
          <w:rFonts w:ascii="宋体" w:hAnsi="宋体"/>
          <w:color w:val="auto"/>
          <w:sz w:val="21"/>
          <w:szCs w:val="21"/>
          <w:highlight w:val="none"/>
          <w:u w:val="single"/>
        </w:rPr>
        <w:t xml:space="preserve">                        </w:t>
      </w:r>
      <w:bookmarkStart w:id="1489" w:name="_Toc17185701"/>
      <w:bookmarkStart w:id="1490" w:name="_Toc526086108"/>
      <w:bookmarkStart w:id="1491" w:name="_Toc526086208"/>
      <w:bookmarkStart w:id="1492" w:name="_Toc17185804"/>
      <w:bookmarkStart w:id="1493" w:name="_Toc22892128"/>
      <w:bookmarkStart w:id="1494" w:name="_Toc19097092"/>
      <w:bookmarkStart w:id="1495" w:name="_Toc531247274"/>
      <w:r>
        <w:rPr>
          <w:rFonts w:ascii="宋体" w:hAnsi="宋体"/>
          <w:color w:val="auto"/>
          <w:sz w:val="21"/>
          <w:szCs w:val="21"/>
          <w:highlight w:val="none"/>
        </w:rPr>
        <w:t>（发包人名称）（以下简称</w:t>
      </w:r>
      <w:r>
        <w:rPr>
          <w:rFonts w:hint="eastAsia" w:ascii="宋体" w:hAnsi="宋体"/>
          <w:color w:val="auto"/>
          <w:sz w:val="21"/>
          <w:szCs w:val="21"/>
          <w:highlight w:val="none"/>
        </w:rPr>
        <w:t>“</w:t>
      </w:r>
      <w:r>
        <w:rPr>
          <w:rFonts w:ascii="宋体" w:hAnsi="宋体"/>
          <w:color w:val="auto"/>
          <w:sz w:val="21"/>
          <w:szCs w:val="21"/>
          <w:highlight w:val="none"/>
        </w:rPr>
        <w:t>发包人</w:t>
      </w:r>
      <w:r>
        <w:rPr>
          <w:rFonts w:hint="eastAsia" w:ascii="宋体" w:hAnsi="宋体"/>
          <w:color w:val="auto"/>
          <w:sz w:val="21"/>
          <w:szCs w:val="21"/>
          <w:highlight w:val="none"/>
        </w:rPr>
        <w:t>”</w:t>
      </w:r>
      <w:r>
        <w:rPr>
          <w:rFonts w:ascii="宋体" w:hAnsi="宋体"/>
          <w:color w:val="auto"/>
          <w:sz w:val="21"/>
          <w:szCs w:val="21"/>
          <w:highlight w:val="none"/>
        </w:rPr>
        <w:t>）</w:t>
      </w:r>
      <w:bookmarkEnd w:id="1489"/>
      <w:bookmarkEnd w:id="1490"/>
      <w:bookmarkEnd w:id="1491"/>
      <w:bookmarkEnd w:id="1492"/>
      <w:bookmarkEnd w:id="1493"/>
      <w:bookmarkEnd w:id="1494"/>
      <w:bookmarkEnd w:id="1495"/>
    </w:p>
    <w:p>
      <w:pPr>
        <w:pStyle w:val="261"/>
        <w:spacing w:line="400" w:lineRule="exact"/>
        <w:rPr>
          <w:rFonts w:ascii="宋体" w:hAnsi="宋体"/>
          <w:color w:val="auto"/>
          <w:sz w:val="21"/>
          <w:szCs w:val="21"/>
          <w:highlight w:val="none"/>
        </w:rPr>
      </w:pPr>
      <w:r>
        <w:rPr>
          <w:rFonts w:ascii="宋体" w:hAnsi="宋体"/>
          <w:color w:val="auto"/>
          <w:sz w:val="21"/>
          <w:szCs w:val="21"/>
          <w:highlight w:val="none"/>
        </w:rPr>
        <w:t>于</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日签订的</w:t>
      </w:r>
      <w:r>
        <w:rPr>
          <w:rFonts w:ascii="宋体" w:hAnsi="宋体"/>
          <w:color w:val="auto"/>
          <w:sz w:val="21"/>
          <w:szCs w:val="21"/>
          <w:highlight w:val="none"/>
          <w:u w:val="single"/>
        </w:rPr>
        <w:t xml:space="preserve">                   </w:t>
      </w:r>
      <w:r>
        <w:rPr>
          <w:rFonts w:ascii="宋体" w:hAnsi="宋体"/>
          <w:color w:val="auto"/>
          <w:sz w:val="21"/>
          <w:szCs w:val="21"/>
          <w:highlight w:val="none"/>
        </w:rPr>
        <w:t>（工程名称）《建设工程施工合同》，承包人按约定的金额向</w:t>
      </w:r>
      <w:r>
        <w:rPr>
          <w:rFonts w:hint="eastAsia" w:ascii="宋体" w:hAnsi="宋体"/>
          <w:color w:val="auto"/>
          <w:sz w:val="21"/>
          <w:szCs w:val="21"/>
          <w:highlight w:val="none"/>
        </w:rPr>
        <w:t>你方</w:t>
      </w:r>
      <w:r>
        <w:rPr>
          <w:rFonts w:ascii="宋体" w:hAnsi="宋体"/>
          <w:color w:val="auto"/>
          <w:sz w:val="21"/>
          <w:szCs w:val="21"/>
          <w:highlight w:val="none"/>
        </w:rPr>
        <w:t>提交一份预付款担保，即有权得到</w:t>
      </w:r>
      <w:r>
        <w:rPr>
          <w:rFonts w:hint="eastAsia" w:ascii="宋体" w:hAnsi="宋体"/>
          <w:color w:val="auto"/>
          <w:sz w:val="21"/>
          <w:szCs w:val="21"/>
          <w:highlight w:val="none"/>
        </w:rPr>
        <w:t>你方</w:t>
      </w:r>
      <w:r>
        <w:rPr>
          <w:rFonts w:ascii="宋体" w:hAnsi="宋体"/>
          <w:color w:val="auto"/>
          <w:sz w:val="21"/>
          <w:szCs w:val="21"/>
          <w:highlight w:val="none"/>
        </w:rPr>
        <w:t>支付相等金额的预付款。我方愿意就你方提供给承包人的预付款</w:t>
      </w:r>
      <w:r>
        <w:rPr>
          <w:rFonts w:hint="eastAsia" w:ascii="宋体" w:hAnsi="宋体"/>
          <w:color w:val="auto"/>
          <w:sz w:val="21"/>
          <w:szCs w:val="21"/>
          <w:highlight w:val="none"/>
        </w:rPr>
        <w:t>为承包人</w:t>
      </w:r>
      <w:r>
        <w:rPr>
          <w:rFonts w:ascii="宋体" w:hAnsi="宋体"/>
          <w:color w:val="auto"/>
          <w:sz w:val="21"/>
          <w:szCs w:val="21"/>
          <w:highlight w:val="none"/>
        </w:rPr>
        <w:t>提供连带责任担保。</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担保金额人民币（大写）</w:t>
      </w:r>
      <w:r>
        <w:rPr>
          <w:rFonts w:ascii="宋体" w:hAnsi="宋体"/>
          <w:color w:val="auto"/>
          <w:sz w:val="21"/>
          <w:szCs w:val="21"/>
          <w:highlight w:val="none"/>
          <w:u w:val="single"/>
        </w:rPr>
        <w:t xml:space="preserve">                </w:t>
      </w:r>
      <w:r>
        <w:rPr>
          <w:rFonts w:hint="eastAsia" w:ascii="宋体" w:hAnsi="宋体"/>
          <w:color w:val="auto"/>
          <w:sz w:val="21"/>
          <w:szCs w:val="21"/>
          <w:highlight w:val="none"/>
        </w:rPr>
        <w:t>元</w:t>
      </w:r>
      <w:r>
        <w:rPr>
          <w:rFonts w:ascii="宋体" w:hAnsi="宋体"/>
          <w:color w:val="auto"/>
          <w:sz w:val="21"/>
          <w:szCs w:val="21"/>
          <w:highlight w:val="none"/>
        </w:rPr>
        <w:t>（¥</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担保有效期自预付款支付给承包人起生效，至</w:t>
      </w:r>
      <w:r>
        <w:rPr>
          <w:rFonts w:hint="eastAsia" w:ascii="宋体" w:hAnsi="宋体"/>
          <w:color w:val="auto"/>
          <w:sz w:val="21"/>
          <w:szCs w:val="21"/>
          <w:highlight w:val="none"/>
        </w:rPr>
        <w:t>你方</w:t>
      </w:r>
      <w:r>
        <w:rPr>
          <w:rFonts w:ascii="宋体" w:hAnsi="宋体"/>
          <w:color w:val="auto"/>
          <w:sz w:val="21"/>
          <w:szCs w:val="21"/>
          <w:highlight w:val="none"/>
        </w:rPr>
        <w:t>签发的</w:t>
      </w:r>
      <w:r>
        <w:rPr>
          <w:rFonts w:hint="eastAsia" w:ascii="宋体" w:hAnsi="宋体"/>
          <w:color w:val="auto"/>
          <w:sz w:val="21"/>
          <w:szCs w:val="21"/>
          <w:highlight w:val="none"/>
        </w:rPr>
        <w:t>进</w:t>
      </w:r>
      <w:r>
        <w:rPr>
          <w:rFonts w:ascii="宋体" w:hAnsi="宋体"/>
          <w:color w:val="auto"/>
          <w:sz w:val="21"/>
          <w:szCs w:val="21"/>
          <w:highlight w:val="none"/>
        </w:rPr>
        <w:t>度款支付证书说明已完全扣清止。</w:t>
      </w:r>
    </w:p>
    <w:p>
      <w:pPr>
        <w:pStyle w:val="261"/>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在本保函有效期内，因承包人违反合同约定的义务而要求</w:t>
      </w:r>
      <w:r>
        <w:rPr>
          <w:rFonts w:hint="eastAsia" w:ascii="宋体" w:hAnsi="宋体"/>
          <w:color w:val="auto"/>
          <w:sz w:val="21"/>
          <w:szCs w:val="21"/>
          <w:highlight w:val="none"/>
        </w:rPr>
        <w:t>收</w:t>
      </w:r>
      <w:r>
        <w:rPr>
          <w:rFonts w:ascii="宋体" w:hAnsi="宋体"/>
          <w:color w:val="auto"/>
          <w:sz w:val="21"/>
          <w:szCs w:val="21"/>
          <w:highlight w:val="none"/>
        </w:rPr>
        <w:t>回预付款时，我方在收到你方的书面通知后，在７天内无条件支付。但本保函的担保金额，在任何时候不应超过预付款金额减去</w:t>
      </w:r>
      <w:r>
        <w:rPr>
          <w:rFonts w:hint="eastAsia" w:ascii="宋体" w:hAnsi="宋体"/>
          <w:color w:val="auto"/>
          <w:sz w:val="21"/>
          <w:szCs w:val="21"/>
          <w:highlight w:val="none"/>
        </w:rPr>
        <w:t>你方</w:t>
      </w:r>
      <w:r>
        <w:rPr>
          <w:rFonts w:ascii="宋体" w:hAnsi="宋体"/>
          <w:color w:val="auto"/>
          <w:sz w:val="21"/>
          <w:szCs w:val="21"/>
          <w:highlight w:val="none"/>
        </w:rPr>
        <w:t>按合同约定在向承包人签发的进度款支付证书中扣除的金额。</w:t>
      </w:r>
    </w:p>
    <w:p>
      <w:pPr>
        <w:pStyle w:val="261"/>
        <w:spacing w:line="400" w:lineRule="exact"/>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4. 你方</w:t>
      </w:r>
      <w:r>
        <w:rPr>
          <w:rFonts w:ascii="宋体" w:hAnsi="宋体"/>
          <w:color w:val="auto"/>
          <w:sz w:val="21"/>
          <w:szCs w:val="21"/>
          <w:highlight w:val="none"/>
        </w:rPr>
        <w:t>和承包人按合同约定变更合同时，我方承担本保函规定的义务不变。</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5. </w:t>
      </w:r>
      <w:r>
        <w:rPr>
          <w:rFonts w:ascii="宋体" w:hAnsi="宋体"/>
          <w:color w:val="auto"/>
          <w:sz w:val="21"/>
          <w:szCs w:val="21"/>
          <w:highlight w:val="none"/>
        </w:rPr>
        <w:t>因本保函发生的纠纷，可由双方协商解决，协商不成的，任何一方均可提请</w:t>
      </w:r>
      <w:r>
        <w:rPr>
          <w:rFonts w:ascii="宋体" w:hAnsi="宋体"/>
          <w:color w:val="auto"/>
          <w:sz w:val="21"/>
          <w:szCs w:val="21"/>
          <w:highlight w:val="none"/>
          <w:u w:val="single"/>
        </w:rPr>
        <w:t xml:space="preserve">        </w:t>
      </w:r>
      <w:r>
        <w:rPr>
          <w:rFonts w:ascii="宋体" w:hAnsi="宋体"/>
          <w:color w:val="auto"/>
          <w:sz w:val="21"/>
          <w:szCs w:val="21"/>
          <w:highlight w:val="none"/>
        </w:rPr>
        <w:t>仲裁委员会仲裁。</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6. </w:t>
      </w:r>
      <w:r>
        <w:rPr>
          <w:rFonts w:ascii="宋体" w:hAnsi="宋体"/>
          <w:color w:val="auto"/>
          <w:sz w:val="21"/>
          <w:szCs w:val="21"/>
          <w:highlight w:val="none"/>
        </w:rPr>
        <w:t>本保函自我方法定代表人（或其授权代理人）签字并加盖公章之日起生效。</w:t>
      </w:r>
    </w:p>
    <w:p>
      <w:pPr>
        <w:pStyle w:val="261"/>
        <w:spacing w:line="400" w:lineRule="exact"/>
        <w:rPr>
          <w:rFonts w:hint="eastAsia" w:ascii="宋体" w:hAnsi="宋体"/>
          <w:color w:val="auto"/>
          <w:sz w:val="21"/>
          <w:szCs w:val="21"/>
          <w:highlight w:val="none"/>
        </w:rPr>
      </w:pP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担保人：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（盖单位章）</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法定代表人或其委托代理人：</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（签字）</w:t>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邮政编码：</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电    话：</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u w:val="single"/>
        </w:rPr>
      </w:pPr>
      <w:r>
        <w:rPr>
          <w:rFonts w:ascii="宋体" w:hAnsi="宋体"/>
          <w:color w:val="auto"/>
          <w:sz w:val="21"/>
          <w:szCs w:val="21"/>
          <w:highlight w:val="none"/>
        </w:rPr>
        <w:t>传    真：</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ab/>
      </w:r>
      <w:r>
        <w:rPr>
          <w:rFonts w:ascii="宋体" w:hAnsi="宋体"/>
          <w:color w:val="auto"/>
          <w:sz w:val="21"/>
          <w:szCs w:val="21"/>
          <w:highlight w:val="none"/>
          <w:u w:val="single"/>
        </w:rPr>
        <w:tab/>
      </w:r>
      <w:r>
        <w:rPr>
          <w:rFonts w:ascii="宋体" w:hAnsi="宋体"/>
          <w:color w:val="auto"/>
          <w:sz w:val="21"/>
          <w:szCs w:val="21"/>
          <w:highlight w:val="none"/>
          <w:u w:val="single"/>
        </w:rPr>
        <w:tab/>
      </w: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xml:space="preserve">  </w:t>
      </w:r>
    </w:p>
    <w:p>
      <w:pPr>
        <w:pStyle w:val="261"/>
        <w:spacing w:line="400" w:lineRule="exact"/>
        <w:rPr>
          <w:rFonts w:ascii="宋体" w:hAnsi="宋体"/>
          <w:color w:val="auto"/>
          <w:sz w:val="21"/>
          <w:szCs w:val="21"/>
          <w:highlight w:val="none"/>
          <w:u w:val="singl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w:t>
      </w: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w:t>
      </w:r>
      <w:bookmarkStart w:id="1496" w:name="_Toc296347232"/>
      <w:bookmarkStart w:id="1497" w:name="_Toc296944572"/>
      <w:bookmarkStart w:id="1498" w:name="_Toc296346734"/>
      <w:bookmarkStart w:id="1499" w:name="_Toc296503233"/>
      <w:bookmarkStart w:id="1500" w:name="_Toc296891061"/>
      <w:bookmarkStart w:id="1501" w:name="_Toc296891273"/>
      <w:r>
        <w:rPr>
          <w:rFonts w:ascii="宋体" w:hAnsi="宋体"/>
          <w:color w:val="auto"/>
          <w:sz w:val="21"/>
          <w:szCs w:val="21"/>
          <w:highlight w:val="none"/>
        </w:rPr>
        <w:t xml:space="preserve">件10:  </w:t>
      </w:r>
    </w:p>
    <w:bookmarkEnd w:id="1496"/>
    <w:bookmarkEnd w:id="1497"/>
    <w:bookmarkEnd w:id="1498"/>
    <w:bookmarkEnd w:id="1499"/>
    <w:bookmarkEnd w:id="1500"/>
    <w:bookmarkEnd w:id="1501"/>
    <w:p>
      <w:pPr>
        <w:pStyle w:val="261"/>
        <w:spacing w:before="156" w:beforeLines="50" w:after="156" w:afterLines="50" w:line="400" w:lineRule="exact"/>
        <w:jc w:val="center"/>
        <w:rPr>
          <w:rFonts w:ascii="宋体" w:hAnsi="宋体"/>
          <w:color w:val="auto"/>
          <w:sz w:val="21"/>
          <w:szCs w:val="21"/>
          <w:highlight w:val="none"/>
        </w:rPr>
      </w:pPr>
      <w:r>
        <w:rPr>
          <w:rFonts w:ascii="宋体" w:hAnsi="宋体"/>
          <w:color w:val="auto"/>
          <w:sz w:val="21"/>
          <w:szCs w:val="21"/>
          <w:highlight w:val="none"/>
        </w:rPr>
        <w:t>支付担保</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u w:val="single"/>
        </w:rPr>
        <w:t xml:space="preserve">             </w:t>
      </w:r>
      <w:r>
        <w:rPr>
          <w:rFonts w:ascii="宋体" w:hAnsi="宋体"/>
          <w:color w:val="auto"/>
          <w:sz w:val="21"/>
          <w:szCs w:val="21"/>
          <w:highlight w:val="none"/>
        </w:rPr>
        <w:t>（承包人）：</w:t>
      </w:r>
    </w:p>
    <w:p>
      <w:pPr>
        <w:pStyle w:val="261"/>
        <w:spacing w:line="400" w:lineRule="exact"/>
        <w:jc w:val="left"/>
        <w:rPr>
          <w:rFonts w:ascii="宋体" w:hAnsi="宋体"/>
          <w:color w:val="auto"/>
          <w:sz w:val="21"/>
          <w:szCs w:val="21"/>
          <w:highlight w:val="none"/>
        </w:rPr>
      </w:pPr>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鉴于你方作为承包人已经与</w:t>
      </w:r>
      <w:r>
        <w:rPr>
          <w:rFonts w:ascii="宋体" w:hAnsi="宋体"/>
          <w:color w:val="auto"/>
          <w:sz w:val="21"/>
          <w:szCs w:val="21"/>
          <w:highlight w:val="none"/>
          <w:u w:val="single"/>
        </w:rPr>
        <w:t xml:space="preserve">             </w:t>
      </w:r>
      <w:r>
        <w:rPr>
          <w:rFonts w:ascii="宋体" w:hAnsi="宋体"/>
          <w:color w:val="auto"/>
          <w:sz w:val="21"/>
          <w:szCs w:val="21"/>
          <w:highlight w:val="none"/>
        </w:rPr>
        <w:t>（发包人名称）（以下称</w:t>
      </w:r>
      <w:r>
        <w:rPr>
          <w:rFonts w:hint="eastAsia" w:ascii="宋体" w:hAnsi="宋体"/>
          <w:color w:val="auto"/>
          <w:sz w:val="21"/>
          <w:szCs w:val="21"/>
          <w:highlight w:val="none"/>
        </w:rPr>
        <w:t>“</w:t>
      </w:r>
      <w:r>
        <w:rPr>
          <w:rFonts w:ascii="宋体" w:hAnsi="宋体"/>
          <w:color w:val="auto"/>
          <w:sz w:val="21"/>
          <w:szCs w:val="21"/>
          <w:highlight w:val="none"/>
        </w:rPr>
        <w:t>发包人</w:t>
      </w:r>
      <w:r>
        <w:rPr>
          <w:rFonts w:hint="eastAsia" w:ascii="宋体" w:hAnsi="宋体"/>
          <w:color w:val="auto"/>
          <w:sz w:val="21"/>
          <w:szCs w:val="21"/>
          <w:highlight w:val="none"/>
        </w:rPr>
        <w:t>”</w:t>
      </w:r>
      <w:r>
        <w:rPr>
          <w:rFonts w:ascii="宋体" w:hAnsi="宋体"/>
          <w:color w:val="auto"/>
          <w:sz w:val="21"/>
          <w:szCs w:val="21"/>
          <w:highlight w:val="none"/>
        </w:rPr>
        <w:t>）于</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日签订了</w:t>
      </w:r>
      <w:r>
        <w:rPr>
          <w:rFonts w:ascii="宋体" w:hAnsi="宋体"/>
          <w:color w:val="auto"/>
          <w:sz w:val="21"/>
          <w:szCs w:val="21"/>
          <w:highlight w:val="none"/>
          <w:u w:val="single"/>
        </w:rPr>
        <w:t xml:space="preserve">             </w:t>
      </w:r>
      <w:r>
        <w:rPr>
          <w:rFonts w:ascii="宋体" w:hAnsi="宋体"/>
          <w:color w:val="auto"/>
          <w:sz w:val="21"/>
          <w:szCs w:val="21"/>
          <w:highlight w:val="none"/>
        </w:rPr>
        <w:t>（工程名称）《建设工程施工合同》（以下称</w:t>
      </w:r>
      <w:r>
        <w:rPr>
          <w:rFonts w:hint="eastAsia" w:ascii="宋体" w:hAnsi="宋体"/>
          <w:color w:val="auto"/>
          <w:sz w:val="21"/>
          <w:szCs w:val="21"/>
          <w:highlight w:val="none"/>
        </w:rPr>
        <w:t>“</w:t>
      </w:r>
      <w:r>
        <w:rPr>
          <w:rFonts w:ascii="宋体" w:hAnsi="宋体"/>
          <w:color w:val="auto"/>
          <w:sz w:val="21"/>
          <w:szCs w:val="21"/>
          <w:highlight w:val="none"/>
        </w:rPr>
        <w:t>主合同</w:t>
      </w:r>
      <w:r>
        <w:rPr>
          <w:rFonts w:hint="eastAsia" w:ascii="宋体" w:hAnsi="宋体"/>
          <w:color w:val="auto"/>
          <w:sz w:val="21"/>
          <w:szCs w:val="21"/>
          <w:highlight w:val="none"/>
        </w:rPr>
        <w:t>”</w:t>
      </w:r>
      <w:r>
        <w:rPr>
          <w:rFonts w:ascii="宋体" w:hAnsi="宋体"/>
          <w:color w:val="auto"/>
          <w:sz w:val="21"/>
          <w:szCs w:val="21"/>
          <w:highlight w:val="none"/>
        </w:rPr>
        <w:t>），应发包人的申请，我方愿就发包人履行主合同约定的工程款支付义务以保证的方式向你方提供如下担保：</w:t>
      </w:r>
    </w:p>
    <w:p>
      <w:pPr>
        <w:pStyle w:val="261"/>
        <w:spacing w:line="400" w:lineRule="exact"/>
        <w:ind w:firstLine="420" w:firstLineChars="200"/>
        <w:jc w:val="left"/>
        <w:outlineLvl w:val="1"/>
        <w:rPr>
          <w:rFonts w:ascii="宋体" w:hAnsi="宋体"/>
          <w:color w:val="auto"/>
          <w:sz w:val="21"/>
          <w:szCs w:val="21"/>
          <w:highlight w:val="none"/>
        </w:rPr>
      </w:pPr>
      <w:bookmarkStart w:id="1502" w:name="_Toc22892129"/>
      <w:bookmarkStart w:id="1503" w:name="_Toc19097093"/>
      <w:bookmarkStart w:id="1504" w:name="_Toc526086109"/>
      <w:bookmarkStart w:id="1505" w:name="_Toc526086209"/>
      <w:bookmarkStart w:id="1506" w:name="_Toc531247275"/>
      <w:bookmarkStart w:id="1507" w:name="_Toc17185702"/>
      <w:bookmarkStart w:id="1508" w:name="_Toc17185805"/>
      <w:r>
        <w:rPr>
          <w:rFonts w:ascii="宋体" w:hAnsi="宋体"/>
          <w:color w:val="auto"/>
          <w:sz w:val="21"/>
          <w:szCs w:val="21"/>
          <w:highlight w:val="none"/>
        </w:rPr>
        <w:t>一、保证的范围及保证金额</w:t>
      </w:r>
      <w:bookmarkEnd w:id="1502"/>
      <w:bookmarkEnd w:id="1503"/>
      <w:bookmarkEnd w:id="1504"/>
      <w:bookmarkEnd w:id="1505"/>
      <w:bookmarkEnd w:id="1506"/>
      <w:bookmarkEnd w:id="1507"/>
      <w:bookmarkEnd w:id="1508"/>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我方的保证范围是主合同约定的工程款。</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本保函所称主合同约定的工程款是指主合同约定的除工程质量保证金以外的合同价款。</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我方保证的金额是主合同约定的工程款的</w:t>
      </w:r>
      <w:r>
        <w:rPr>
          <w:rFonts w:ascii="宋体" w:hAnsi="宋体"/>
          <w:color w:val="auto"/>
          <w:sz w:val="21"/>
          <w:szCs w:val="21"/>
          <w:highlight w:val="none"/>
          <w:u w:val="single"/>
        </w:rPr>
        <w:t xml:space="preserve">      </w:t>
      </w:r>
      <w:r>
        <w:rPr>
          <w:rFonts w:ascii="宋体" w:hAnsi="宋体"/>
          <w:color w:val="auto"/>
          <w:sz w:val="21"/>
          <w:szCs w:val="21"/>
          <w:highlight w:val="none"/>
        </w:rPr>
        <w:t>%，数额最高不超过人民币元（大写：</w:t>
      </w:r>
      <w:r>
        <w:rPr>
          <w:rFonts w:ascii="宋体" w:hAnsi="宋体"/>
          <w:color w:val="auto"/>
          <w:sz w:val="21"/>
          <w:szCs w:val="21"/>
          <w:highlight w:val="none"/>
          <w:u w:val="single"/>
        </w:rPr>
        <w:t xml:space="preserve">        </w:t>
      </w:r>
      <w:r>
        <w:rPr>
          <w:rFonts w:ascii="宋体" w:hAnsi="宋体"/>
          <w:color w:val="auto"/>
          <w:sz w:val="21"/>
          <w:szCs w:val="21"/>
          <w:highlight w:val="none"/>
        </w:rPr>
        <w:t>）。</w:t>
      </w:r>
    </w:p>
    <w:p>
      <w:pPr>
        <w:pStyle w:val="261"/>
        <w:spacing w:line="400" w:lineRule="exact"/>
        <w:ind w:firstLine="420" w:firstLineChars="200"/>
        <w:jc w:val="left"/>
        <w:outlineLvl w:val="1"/>
        <w:rPr>
          <w:rFonts w:ascii="宋体" w:hAnsi="宋体"/>
          <w:color w:val="auto"/>
          <w:sz w:val="21"/>
          <w:szCs w:val="21"/>
          <w:highlight w:val="none"/>
        </w:rPr>
      </w:pPr>
      <w:bookmarkStart w:id="1509" w:name="_Toc17185703"/>
      <w:bookmarkStart w:id="1510" w:name="_Toc17185806"/>
      <w:bookmarkStart w:id="1511" w:name="_Toc526086110"/>
      <w:bookmarkStart w:id="1512" w:name="_Toc531247276"/>
      <w:bookmarkStart w:id="1513" w:name="_Toc22892130"/>
      <w:bookmarkStart w:id="1514" w:name="_Toc19097094"/>
      <w:bookmarkStart w:id="1515" w:name="_Toc526086210"/>
      <w:r>
        <w:rPr>
          <w:rFonts w:ascii="宋体" w:hAnsi="宋体"/>
          <w:color w:val="auto"/>
          <w:sz w:val="21"/>
          <w:szCs w:val="21"/>
          <w:highlight w:val="none"/>
        </w:rPr>
        <w:t>二、保证的方式及保证期间</w:t>
      </w:r>
      <w:bookmarkEnd w:id="1509"/>
      <w:bookmarkEnd w:id="1510"/>
      <w:bookmarkEnd w:id="1511"/>
      <w:bookmarkEnd w:id="1512"/>
      <w:bookmarkEnd w:id="1513"/>
      <w:bookmarkEnd w:id="1514"/>
      <w:bookmarkEnd w:id="1515"/>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我方保证的方式为：连带责任保证。</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我方保证的期间为：自本合同生效之日起至主合同约定的工程款支付完毕之日后</w:t>
      </w:r>
      <w:r>
        <w:rPr>
          <w:rFonts w:ascii="宋体" w:hAnsi="宋体"/>
          <w:color w:val="auto"/>
          <w:sz w:val="21"/>
          <w:szCs w:val="21"/>
          <w:highlight w:val="none"/>
          <w:u w:val="single"/>
        </w:rPr>
        <w:t xml:space="preserve">    </w:t>
      </w:r>
      <w:r>
        <w:rPr>
          <w:rFonts w:ascii="宋体" w:hAnsi="宋体"/>
          <w:color w:val="auto"/>
          <w:sz w:val="21"/>
          <w:szCs w:val="21"/>
          <w:highlight w:val="none"/>
        </w:rPr>
        <w:t>日内。</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你方与发包人协议变更工程款支付日期的，经我方书面同意后，保证期间按照变更后的支付日期做相应调整。</w:t>
      </w:r>
    </w:p>
    <w:p>
      <w:pPr>
        <w:pStyle w:val="261"/>
        <w:spacing w:line="400" w:lineRule="exact"/>
        <w:ind w:firstLine="420" w:firstLineChars="200"/>
        <w:jc w:val="left"/>
        <w:outlineLvl w:val="1"/>
        <w:rPr>
          <w:rFonts w:ascii="宋体" w:hAnsi="宋体"/>
          <w:color w:val="auto"/>
          <w:sz w:val="21"/>
          <w:szCs w:val="21"/>
          <w:highlight w:val="none"/>
        </w:rPr>
      </w:pPr>
      <w:bookmarkStart w:id="1516" w:name="_Toc17185704"/>
      <w:bookmarkStart w:id="1517" w:name="_Toc526086111"/>
      <w:bookmarkStart w:id="1518" w:name="_Toc531247277"/>
      <w:bookmarkStart w:id="1519" w:name="_Toc19097095"/>
      <w:bookmarkStart w:id="1520" w:name="_Toc22892131"/>
      <w:bookmarkStart w:id="1521" w:name="_Toc526086211"/>
      <w:bookmarkStart w:id="1522" w:name="_Toc17185807"/>
      <w:r>
        <w:rPr>
          <w:rFonts w:ascii="宋体" w:hAnsi="宋体"/>
          <w:color w:val="auto"/>
          <w:sz w:val="21"/>
          <w:szCs w:val="21"/>
          <w:highlight w:val="none"/>
        </w:rPr>
        <w:t>三、承担保证责任的形式</w:t>
      </w:r>
      <w:bookmarkEnd w:id="1516"/>
      <w:bookmarkEnd w:id="1517"/>
      <w:bookmarkEnd w:id="1518"/>
      <w:bookmarkEnd w:id="1519"/>
      <w:bookmarkEnd w:id="1520"/>
      <w:bookmarkEnd w:id="1521"/>
      <w:bookmarkEnd w:id="1522"/>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我方承担保证责任的形式是代为支付。发包人未按主合同约定向你方支付工程款的，由我方在保证金额内代为支付。</w:t>
      </w:r>
    </w:p>
    <w:p>
      <w:pPr>
        <w:pStyle w:val="261"/>
        <w:spacing w:line="400" w:lineRule="exact"/>
        <w:ind w:firstLine="420" w:firstLineChars="200"/>
        <w:jc w:val="left"/>
        <w:outlineLvl w:val="1"/>
        <w:rPr>
          <w:rFonts w:ascii="宋体" w:hAnsi="宋体"/>
          <w:color w:val="auto"/>
          <w:sz w:val="21"/>
          <w:szCs w:val="21"/>
          <w:highlight w:val="none"/>
        </w:rPr>
      </w:pPr>
      <w:bookmarkStart w:id="1523" w:name="_Toc526086212"/>
      <w:bookmarkStart w:id="1524" w:name="_Toc22892132"/>
      <w:bookmarkStart w:id="1525" w:name="_Toc526086112"/>
      <w:bookmarkStart w:id="1526" w:name="_Toc17185705"/>
      <w:bookmarkStart w:id="1527" w:name="_Toc19097096"/>
      <w:bookmarkStart w:id="1528" w:name="_Toc17185808"/>
      <w:bookmarkStart w:id="1529" w:name="_Toc531247278"/>
      <w:r>
        <w:rPr>
          <w:rFonts w:ascii="宋体" w:hAnsi="宋体"/>
          <w:color w:val="auto"/>
          <w:sz w:val="21"/>
          <w:szCs w:val="21"/>
          <w:highlight w:val="none"/>
        </w:rPr>
        <w:t>四、代偿的安排</w:t>
      </w:r>
      <w:bookmarkEnd w:id="1523"/>
      <w:bookmarkEnd w:id="1524"/>
      <w:bookmarkEnd w:id="1525"/>
      <w:bookmarkEnd w:id="1526"/>
      <w:bookmarkEnd w:id="1527"/>
      <w:bookmarkEnd w:id="1528"/>
      <w:bookmarkEnd w:id="1529"/>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你方要求我方承担保证责任的，应向我方发出书面索赔通知及发包人未支付主合同约定工程款的证明材料。索赔通知应写明要求索赔的金额，支付款项应到达的账号。</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在出现你方与发包人因工程质量发生争议，发包人拒绝向你方支付工程款的情形时，你方要求我方履行保证责任代为支付的，需提供符合相应条件要求的工程质量检测机构出具的质量说明材料。</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我方收到你方的书面索赔通知及相应的证明材料后７天内无条件支付。</w:t>
      </w:r>
    </w:p>
    <w:p>
      <w:pPr>
        <w:pStyle w:val="261"/>
        <w:spacing w:line="400" w:lineRule="exact"/>
        <w:ind w:firstLine="420" w:firstLineChars="200"/>
        <w:jc w:val="left"/>
        <w:outlineLvl w:val="1"/>
        <w:rPr>
          <w:rFonts w:ascii="宋体" w:hAnsi="宋体"/>
          <w:color w:val="auto"/>
          <w:sz w:val="21"/>
          <w:szCs w:val="21"/>
          <w:highlight w:val="none"/>
        </w:rPr>
      </w:pPr>
      <w:bookmarkStart w:id="1530" w:name="_Toc19097097"/>
      <w:bookmarkStart w:id="1531" w:name="_Toc531247279"/>
      <w:bookmarkStart w:id="1532" w:name="_Toc17185809"/>
      <w:bookmarkStart w:id="1533" w:name="_Toc22892133"/>
      <w:bookmarkStart w:id="1534" w:name="_Toc526086213"/>
      <w:bookmarkStart w:id="1535" w:name="_Toc526086113"/>
      <w:bookmarkStart w:id="1536" w:name="_Toc17185706"/>
      <w:r>
        <w:rPr>
          <w:rFonts w:ascii="宋体" w:hAnsi="宋体"/>
          <w:color w:val="auto"/>
          <w:sz w:val="21"/>
          <w:szCs w:val="21"/>
          <w:highlight w:val="none"/>
        </w:rPr>
        <w:t>五、保证责任的解除</w:t>
      </w:r>
      <w:bookmarkEnd w:id="1530"/>
      <w:bookmarkEnd w:id="1531"/>
      <w:bookmarkEnd w:id="1532"/>
      <w:bookmarkEnd w:id="1533"/>
      <w:bookmarkEnd w:id="1534"/>
      <w:bookmarkEnd w:id="1535"/>
      <w:bookmarkEnd w:id="1536"/>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在本保函承诺的保证期间内，你方未书面向我方主张保证责任的，自保证期间届满次日起，我方保证责任解除。</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发包人按主合同约定履行了工程款的全部支付义务的，自本保函承诺的保证期间届满次日起，我方保证责任解除。</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我方按照本保函向你方履行保证责任所支付金额达到本保函保证金额时，自我方向你方支付（支付款项从我方账户划出）之日起，保证责任即解除。</w:t>
      </w:r>
    </w:p>
    <w:p>
      <w:pPr>
        <w:pStyle w:val="261"/>
        <w:spacing w:line="400" w:lineRule="exact"/>
        <w:ind w:firstLine="420" w:firstLineChars="200"/>
        <w:jc w:val="left"/>
        <w:rPr>
          <w:rFonts w:hint="eastAsia" w:ascii="宋体" w:hAnsi="宋体"/>
          <w:color w:val="auto"/>
          <w:sz w:val="21"/>
          <w:szCs w:val="21"/>
          <w:highlight w:val="none"/>
        </w:rPr>
      </w:pPr>
      <w:r>
        <w:rPr>
          <w:rFonts w:hint="eastAsia" w:ascii="宋体" w:hAnsi="宋体"/>
          <w:color w:val="auto"/>
          <w:sz w:val="21"/>
          <w:szCs w:val="21"/>
          <w:highlight w:val="none"/>
        </w:rPr>
        <w:t xml:space="preserve">4. </w:t>
      </w:r>
      <w:r>
        <w:rPr>
          <w:rFonts w:ascii="宋体" w:hAnsi="宋体"/>
          <w:color w:val="auto"/>
          <w:sz w:val="21"/>
          <w:szCs w:val="21"/>
          <w:highlight w:val="none"/>
        </w:rPr>
        <w:t>按照法律法规的规定或出现应解除我方保证责任的其他情形的，我方在本保函项下的保证责任亦解除。</w:t>
      </w:r>
    </w:p>
    <w:p>
      <w:pPr>
        <w:pStyle w:val="261"/>
        <w:spacing w:line="400" w:lineRule="exact"/>
        <w:jc w:val="left"/>
        <w:rPr>
          <w:rFonts w:hint="eastAsia" w:ascii="宋体" w:hAnsi="宋体"/>
          <w:color w:val="auto"/>
          <w:sz w:val="21"/>
          <w:szCs w:val="21"/>
          <w:highlight w:val="none"/>
        </w:rPr>
      </w:pP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5. </w:t>
      </w:r>
      <w:r>
        <w:rPr>
          <w:rFonts w:ascii="宋体" w:hAnsi="宋体"/>
          <w:color w:val="auto"/>
          <w:sz w:val="21"/>
          <w:szCs w:val="21"/>
          <w:highlight w:val="none"/>
        </w:rPr>
        <w:t>我方解除保证责任后，你方应自我方保证责任解除之日起</w:t>
      </w:r>
      <w:r>
        <w:rPr>
          <w:rFonts w:hint="eastAsia" w:ascii="宋体" w:hAnsi="宋体"/>
          <w:color w:val="auto"/>
          <w:sz w:val="21"/>
          <w:szCs w:val="21"/>
          <w:highlight w:val="none"/>
          <w:u w:val="single"/>
        </w:rPr>
        <w:t xml:space="preserve">  </w:t>
      </w:r>
      <w:r>
        <w:rPr>
          <w:rFonts w:ascii="宋体" w:hAnsi="宋体"/>
          <w:color w:val="auto"/>
          <w:sz w:val="21"/>
          <w:szCs w:val="21"/>
          <w:highlight w:val="none"/>
        </w:rPr>
        <w:t>个工作日内，将本保函原件返还我方。</w:t>
      </w:r>
    </w:p>
    <w:p>
      <w:pPr>
        <w:pStyle w:val="261"/>
        <w:spacing w:line="400" w:lineRule="exact"/>
        <w:ind w:firstLine="420" w:firstLineChars="200"/>
        <w:jc w:val="left"/>
        <w:outlineLvl w:val="1"/>
        <w:rPr>
          <w:rFonts w:ascii="宋体" w:hAnsi="宋体"/>
          <w:color w:val="auto"/>
          <w:sz w:val="21"/>
          <w:szCs w:val="21"/>
          <w:highlight w:val="none"/>
        </w:rPr>
      </w:pPr>
      <w:bookmarkStart w:id="1537" w:name="_Toc22892134"/>
      <w:bookmarkStart w:id="1538" w:name="_Toc17185810"/>
      <w:bookmarkStart w:id="1539" w:name="_Toc19097098"/>
      <w:bookmarkStart w:id="1540" w:name="_Toc526086214"/>
      <w:bookmarkStart w:id="1541" w:name="_Toc526086114"/>
      <w:bookmarkStart w:id="1542" w:name="_Toc531247280"/>
      <w:bookmarkStart w:id="1543" w:name="_Toc17185707"/>
      <w:r>
        <w:rPr>
          <w:rFonts w:ascii="宋体" w:hAnsi="宋体"/>
          <w:color w:val="auto"/>
          <w:sz w:val="21"/>
          <w:szCs w:val="21"/>
          <w:highlight w:val="none"/>
        </w:rPr>
        <w:t>六、免责条款</w:t>
      </w:r>
      <w:bookmarkEnd w:id="1537"/>
      <w:bookmarkEnd w:id="1538"/>
      <w:bookmarkEnd w:id="1539"/>
      <w:bookmarkEnd w:id="1540"/>
      <w:bookmarkEnd w:id="1541"/>
      <w:bookmarkEnd w:id="1542"/>
      <w:bookmarkEnd w:id="1543"/>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因你方违约致使发包人不能履行义务的，我方不承担保证责任。</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2. </w:t>
      </w:r>
      <w:r>
        <w:rPr>
          <w:rFonts w:ascii="宋体" w:hAnsi="宋体"/>
          <w:color w:val="auto"/>
          <w:sz w:val="21"/>
          <w:szCs w:val="21"/>
          <w:highlight w:val="none"/>
        </w:rPr>
        <w:t>依照法律法规的规定或你方与发包人的另行约定，免除发包人部分或全部义务的，我方亦免除其相应的保证责任。</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3. </w:t>
      </w:r>
      <w:r>
        <w:rPr>
          <w:rFonts w:ascii="宋体" w:hAnsi="宋体"/>
          <w:color w:val="auto"/>
          <w:sz w:val="21"/>
          <w:szCs w:val="21"/>
          <w:highlight w:val="none"/>
        </w:rPr>
        <w:t>你方与发包人协议变更主合同的，如加重发包人责任致使我方保证责任加重的，需征得我方书面同意，否则我方不再承担因此而加重部分的保证责任，但主合同第10条</w:t>
      </w:r>
      <w:r>
        <w:rPr>
          <w:rFonts w:hint="eastAsia" w:ascii="宋体" w:hAnsi="宋体"/>
          <w:color w:val="auto"/>
          <w:sz w:val="21"/>
          <w:szCs w:val="21"/>
          <w:highlight w:val="none"/>
        </w:rPr>
        <w:t>〔</w:t>
      </w:r>
      <w:r>
        <w:rPr>
          <w:rFonts w:ascii="宋体" w:hAnsi="宋体"/>
          <w:color w:val="auto"/>
          <w:sz w:val="21"/>
          <w:szCs w:val="21"/>
          <w:highlight w:val="none"/>
        </w:rPr>
        <w:t>变更</w:t>
      </w:r>
      <w:r>
        <w:rPr>
          <w:rFonts w:hint="eastAsia" w:ascii="宋体" w:hAnsi="宋体"/>
          <w:color w:val="auto"/>
          <w:sz w:val="21"/>
          <w:szCs w:val="21"/>
          <w:highlight w:val="none"/>
        </w:rPr>
        <w:t>〕</w:t>
      </w:r>
      <w:r>
        <w:rPr>
          <w:rFonts w:ascii="宋体" w:hAnsi="宋体"/>
          <w:color w:val="auto"/>
          <w:sz w:val="21"/>
          <w:szCs w:val="21"/>
          <w:highlight w:val="none"/>
        </w:rPr>
        <w:t>约定的变更不受本款限制。</w:t>
      </w:r>
    </w:p>
    <w:p>
      <w:pPr>
        <w:pStyle w:val="261"/>
        <w:spacing w:line="400" w:lineRule="exact"/>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 xml:space="preserve">4. </w:t>
      </w:r>
      <w:r>
        <w:rPr>
          <w:rFonts w:ascii="宋体" w:hAnsi="宋体"/>
          <w:color w:val="auto"/>
          <w:sz w:val="21"/>
          <w:szCs w:val="21"/>
          <w:highlight w:val="none"/>
        </w:rPr>
        <w:t>因不可抗力造成发包人不能履行义务的，我方不承担保证责任。</w:t>
      </w:r>
    </w:p>
    <w:p>
      <w:pPr>
        <w:pStyle w:val="261"/>
        <w:spacing w:line="400" w:lineRule="exact"/>
        <w:ind w:firstLine="420" w:firstLineChars="200"/>
        <w:jc w:val="left"/>
        <w:outlineLvl w:val="1"/>
        <w:rPr>
          <w:rFonts w:ascii="宋体" w:hAnsi="宋体"/>
          <w:color w:val="auto"/>
          <w:sz w:val="21"/>
          <w:szCs w:val="21"/>
          <w:highlight w:val="none"/>
        </w:rPr>
      </w:pPr>
      <w:bookmarkStart w:id="1544" w:name="_Toc19097099"/>
      <w:bookmarkStart w:id="1545" w:name="_Toc531247281"/>
      <w:bookmarkStart w:id="1546" w:name="_Toc17185708"/>
      <w:bookmarkStart w:id="1547" w:name="_Toc22892135"/>
      <w:bookmarkStart w:id="1548" w:name="_Toc17185811"/>
      <w:bookmarkStart w:id="1549" w:name="_Toc526086215"/>
      <w:bookmarkStart w:id="1550" w:name="_Toc526086115"/>
      <w:r>
        <w:rPr>
          <w:rFonts w:ascii="宋体" w:hAnsi="宋体"/>
          <w:color w:val="auto"/>
          <w:sz w:val="21"/>
          <w:szCs w:val="21"/>
          <w:highlight w:val="none"/>
        </w:rPr>
        <w:t>七、争议解决</w:t>
      </w:r>
      <w:bookmarkEnd w:id="1544"/>
      <w:bookmarkEnd w:id="1545"/>
      <w:bookmarkEnd w:id="1546"/>
      <w:bookmarkEnd w:id="1547"/>
      <w:bookmarkEnd w:id="1548"/>
      <w:bookmarkEnd w:id="1549"/>
      <w:bookmarkEnd w:id="1550"/>
    </w:p>
    <w:p>
      <w:pPr>
        <w:pStyle w:val="261"/>
        <w:spacing w:after="120" w:line="400" w:lineRule="exact"/>
        <w:ind w:firstLine="420" w:firstLineChars="200"/>
        <w:rPr>
          <w:rFonts w:ascii="宋体" w:hAnsi="宋体"/>
          <w:color w:val="auto"/>
          <w:sz w:val="21"/>
          <w:szCs w:val="21"/>
          <w:highlight w:val="none"/>
        </w:rPr>
      </w:pPr>
      <w:r>
        <w:rPr>
          <w:rFonts w:ascii="宋体" w:hAnsi="宋体"/>
          <w:color w:val="auto"/>
          <w:sz w:val="21"/>
          <w:szCs w:val="21"/>
          <w:highlight w:val="none"/>
        </w:rPr>
        <w:t>因本保函</w:t>
      </w:r>
      <w:r>
        <w:rPr>
          <w:rFonts w:hint="eastAsia" w:ascii="宋体" w:hAnsi="宋体"/>
          <w:color w:val="auto"/>
          <w:sz w:val="21"/>
          <w:szCs w:val="21"/>
          <w:highlight w:val="none"/>
        </w:rPr>
        <w:t>或本保函相关事项</w:t>
      </w:r>
      <w:r>
        <w:rPr>
          <w:rFonts w:ascii="宋体" w:hAnsi="宋体"/>
          <w:color w:val="auto"/>
          <w:sz w:val="21"/>
          <w:szCs w:val="21"/>
          <w:highlight w:val="none"/>
        </w:rPr>
        <w:t>发生的纠纷，可由双方协商解决，协商不成的，按下列第</w:t>
      </w:r>
      <w:r>
        <w:rPr>
          <w:rFonts w:ascii="宋体" w:hAnsi="宋体"/>
          <w:color w:val="auto"/>
          <w:sz w:val="21"/>
          <w:szCs w:val="21"/>
          <w:highlight w:val="none"/>
          <w:u w:val="single"/>
        </w:rPr>
        <w:t xml:space="preserve">     </w:t>
      </w:r>
      <w:r>
        <w:rPr>
          <w:rFonts w:ascii="宋体" w:hAnsi="宋体"/>
          <w:color w:val="auto"/>
          <w:sz w:val="21"/>
          <w:szCs w:val="21"/>
          <w:highlight w:val="none"/>
        </w:rPr>
        <w:t>种方式</w:t>
      </w:r>
      <w:r>
        <w:rPr>
          <w:rFonts w:hint="eastAsia" w:ascii="宋体" w:hAnsi="宋体"/>
          <w:color w:val="auto"/>
          <w:sz w:val="21"/>
          <w:szCs w:val="21"/>
          <w:highlight w:val="none"/>
        </w:rPr>
        <w:t>解</w:t>
      </w:r>
      <w:r>
        <w:rPr>
          <w:rFonts w:ascii="宋体" w:hAnsi="宋体"/>
          <w:color w:val="auto"/>
          <w:sz w:val="21"/>
          <w:szCs w:val="21"/>
          <w:highlight w:val="none"/>
        </w:rPr>
        <w:t>决：</w:t>
      </w:r>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（1）向</w:t>
      </w:r>
      <w:r>
        <w:rPr>
          <w:rFonts w:ascii="宋体" w:hAnsi="宋体"/>
          <w:color w:val="auto"/>
          <w:sz w:val="21"/>
          <w:szCs w:val="21"/>
          <w:highlight w:val="none"/>
          <w:u w:val="single"/>
        </w:rPr>
        <w:t xml:space="preserve">                     </w:t>
      </w:r>
      <w:r>
        <w:rPr>
          <w:rFonts w:ascii="宋体" w:hAnsi="宋体"/>
          <w:color w:val="auto"/>
          <w:sz w:val="21"/>
          <w:szCs w:val="21"/>
          <w:highlight w:val="none"/>
        </w:rPr>
        <w:t>仲裁委员会申请仲裁；</w:t>
      </w:r>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（2）向</w:t>
      </w:r>
      <w:r>
        <w:rPr>
          <w:rFonts w:ascii="宋体" w:hAnsi="宋体"/>
          <w:color w:val="auto"/>
          <w:sz w:val="21"/>
          <w:szCs w:val="21"/>
          <w:highlight w:val="none"/>
          <w:u w:val="single"/>
        </w:rPr>
        <w:t xml:space="preserve">                     </w:t>
      </w:r>
      <w:r>
        <w:rPr>
          <w:rFonts w:ascii="宋体" w:hAnsi="宋体"/>
          <w:color w:val="auto"/>
          <w:sz w:val="21"/>
          <w:szCs w:val="21"/>
          <w:highlight w:val="none"/>
        </w:rPr>
        <w:t>人民法院起诉。</w:t>
      </w:r>
    </w:p>
    <w:p>
      <w:pPr>
        <w:pStyle w:val="261"/>
        <w:spacing w:line="400" w:lineRule="exact"/>
        <w:ind w:firstLine="420" w:firstLineChars="200"/>
        <w:jc w:val="left"/>
        <w:outlineLvl w:val="1"/>
        <w:rPr>
          <w:rFonts w:ascii="宋体" w:hAnsi="宋体"/>
          <w:color w:val="auto"/>
          <w:sz w:val="21"/>
          <w:szCs w:val="21"/>
          <w:highlight w:val="none"/>
        </w:rPr>
      </w:pPr>
      <w:bookmarkStart w:id="1551" w:name="_Toc526086116"/>
      <w:bookmarkStart w:id="1552" w:name="_Toc17185709"/>
      <w:bookmarkStart w:id="1553" w:name="_Toc22892136"/>
      <w:bookmarkStart w:id="1554" w:name="_Toc531247282"/>
      <w:bookmarkStart w:id="1555" w:name="_Toc19097100"/>
      <w:bookmarkStart w:id="1556" w:name="_Toc17185812"/>
      <w:bookmarkStart w:id="1557" w:name="_Toc526086216"/>
      <w:r>
        <w:rPr>
          <w:rFonts w:ascii="宋体" w:hAnsi="宋体"/>
          <w:color w:val="auto"/>
          <w:sz w:val="21"/>
          <w:szCs w:val="21"/>
          <w:highlight w:val="none"/>
        </w:rPr>
        <w:t>八、保函的生效</w:t>
      </w:r>
      <w:bookmarkEnd w:id="1551"/>
      <w:bookmarkEnd w:id="1552"/>
      <w:bookmarkEnd w:id="1553"/>
      <w:bookmarkEnd w:id="1554"/>
      <w:bookmarkEnd w:id="1555"/>
      <w:bookmarkEnd w:id="1556"/>
      <w:bookmarkEnd w:id="1557"/>
    </w:p>
    <w:p>
      <w:pPr>
        <w:pStyle w:val="261"/>
        <w:spacing w:line="400" w:lineRule="exact"/>
        <w:ind w:firstLine="420" w:firstLineChars="200"/>
        <w:jc w:val="left"/>
        <w:rPr>
          <w:rFonts w:ascii="宋体" w:hAnsi="宋体"/>
          <w:color w:val="auto"/>
          <w:sz w:val="21"/>
          <w:szCs w:val="21"/>
          <w:highlight w:val="none"/>
        </w:rPr>
      </w:pPr>
      <w:r>
        <w:rPr>
          <w:rFonts w:ascii="宋体" w:hAnsi="宋体"/>
          <w:color w:val="auto"/>
          <w:sz w:val="21"/>
          <w:szCs w:val="21"/>
          <w:highlight w:val="none"/>
        </w:rPr>
        <w:t>本保函自我方法定代表人（或其授权代理人）签字并加盖公章之日起生效。</w:t>
      </w:r>
    </w:p>
    <w:p>
      <w:pPr>
        <w:pStyle w:val="261"/>
        <w:spacing w:line="400" w:lineRule="exact"/>
        <w:ind w:firstLine="420" w:firstLineChars="200"/>
        <w:jc w:val="left"/>
        <w:rPr>
          <w:rFonts w:hint="eastAsia" w:ascii="宋体" w:hAnsi="宋体"/>
          <w:color w:val="auto"/>
          <w:sz w:val="21"/>
          <w:szCs w:val="21"/>
          <w:highlight w:val="none"/>
        </w:rPr>
      </w:pPr>
    </w:p>
    <w:p>
      <w:pPr>
        <w:pStyle w:val="261"/>
        <w:spacing w:line="400" w:lineRule="exact"/>
        <w:ind w:right="600"/>
        <w:jc w:val="left"/>
        <w:rPr>
          <w:rFonts w:hint="eastAsia" w:ascii="宋体" w:hAnsi="宋体"/>
          <w:color w:val="auto"/>
          <w:sz w:val="21"/>
          <w:szCs w:val="21"/>
          <w:highlight w:val="none"/>
        </w:rPr>
      </w:pPr>
    </w:p>
    <w:p>
      <w:pPr>
        <w:pStyle w:val="261"/>
        <w:spacing w:line="400" w:lineRule="exact"/>
        <w:ind w:right="600"/>
        <w:jc w:val="left"/>
        <w:rPr>
          <w:rFonts w:ascii="宋体" w:hAnsi="宋体"/>
          <w:color w:val="auto"/>
          <w:sz w:val="21"/>
          <w:szCs w:val="21"/>
          <w:highlight w:val="none"/>
        </w:rPr>
      </w:pPr>
      <w:r>
        <w:rPr>
          <w:rFonts w:ascii="宋体" w:hAnsi="宋体"/>
          <w:color w:val="auto"/>
          <w:sz w:val="21"/>
          <w:szCs w:val="21"/>
          <w:highlight w:val="none"/>
        </w:rPr>
        <w:t>担保人：</w:t>
      </w:r>
      <w:r>
        <w:rPr>
          <w:rFonts w:ascii="宋体" w:hAnsi="宋体"/>
          <w:color w:val="auto"/>
          <w:sz w:val="21"/>
          <w:szCs w:val="21"/>
          <w:highlight w:val="none"/>
          <w:u w:val="single"/>
        </w:rPr>
        <w:t xml:space="preserve">                                   </w:t>
      </w:r>
      <w:r>
        <w:rPr>
          <w:rFonts w:ascii="宋体" w:hAnsi="宋体"/>
          <w:color w:val="auto"/>
          <w:sz w:val="21"/>
          <w:szCs w:val="21"/>
          <w:highlight w:val="none"/>
        </w:rPr>
        <w:t>（盖章）</w:t>
      </w:r>
    </w:p>
    <w:p>
      <w:pPr>
        <w:pStyle w:val="261"/>
        <w:spacing w:line="400" w:lineRule="exact"/>
        <w:ind w:right="1200"/>
        <w:rPr>
          <w:rFonts w:ascii="宋体" w:hAnsi="宋体"/>
          <w:color w:val="auto"/>
          <w:sz w:val="21"/>
          <w:szCs w:val="21"/>
          <w:highlight w:val="none"/>
        </w:rPr>
      </w:pPr>
      <w:r>
        <w:rPr>
          <w:rFonts w:ascii="宋体" w:hAnsi="宋体"/>
          <w:color w:val="auto"/>
          <w:sz w:val="21"/>
          <w:szCs w:val="21"/>
          <w:highlight w:val="none"/>
        </w:rPr>
        <w:t>法定代表人或委托代理人：</w:t>
      </w:r>
      <w:r>
        <w:rPr>
          <w:rFonts w:ascii="宋体" w:hAnsi="宋体"/>
          <w:color w:val="auto"/>
          <w:sz w:val="21"/>
          <w:szCs w:val="21"/>
          <w:highlight w:val="none"/>
          <w:u w:val="single"/>
        </w:rPr>
        <w:t xml:space="preserve">                   </w:t>
      </w:r>
      <w:r>
        <w:rPr>
          <w:rFonts w:ascii="宋体" w:hAnsi="宋体"/>
          <w:color w:val="auto"/>
          <w:sz w:val="21"/>
          <w:szCs w:val="21"/>
          <w:highlight w:val="none"/>
        </w:rPr>
        <w:t>（签字）</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rPr>
        <w:t>地    址：</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rPr>
        <w:t>邮政编码：</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jc w:val="left"/>
        <w:rPr>
          <w:rFonts w:ascii="宋体" w:hAnsi="宋体"/>
          <w:color w:val="auto"/>
          <w:sz w:val="21"/>
          <w:szCs w:val="21"/>
          <w:highlight w:val="none"/>
        </w:rPr>
      </w:pPr>
      <w:r>
        <w:rPr>
          <w:rFonts w:ascii="宋体" w:hAnsi="宋体"/>
          <w:color w:val="auto"/>
          <w:sz w:val="21"/>
          <w:szCs w:val="21"/>
          <w:highlight w:val="none"/>
        </w:rPr>
        <w:t>传    真：</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 xml:space="preserve">        </w:t>
      </w:r>
      <w:r>
        <w:rPr>
          <w:rFonts w:ascii="宋体" w:hAnsi="宋体"/>
          <w:color w:val="auto"/>
          <w:sz w:val="21"/>
          <w:szCs w:val="21"/>
          <w:highlight w:val="none"/>
          <w:u w:val="single"/>
        </w:rPr>
        <w:t xml:space="preserve">                          </w:t>
      </w:r>
    </w:p>
    <w:p>
      <w:pPr>
        <w:pStyle w:val="261"/>
        <w:spacing w:line="400" w:lineRule="exact"/>
        <w:ind w:right="150" w:firstLine="420" w:firstLineChars="200"/>
        <w:jc w:val="left"/>
        <w:rPr>
          <w:rFonts w:ascii="宋体" w:hAnsi="宋体"/>
          <w:color w:val="auto"/>
          <w:sz w:val="21"/>
          <w:szCs w:val="21"/>
          <w:highlight w:val="none"/>
          <w:u w:val="single"/>
        </w:rPr>
      </w:pPr>
    </w:p>
    <w:p>
      <w:pPr>
        <w:pStyle w:val="261"/>
        <w:spacing w:line="400" w:lineRule="exact"/>
        <w:ind w:right="150" w:firstLine="420" w:firstLineChars="200"/>
        <w:jc w:val="left"/>
        <w:rPr>
          <w:rFonts w:ascii="宋体" w:hAnsi="宋体"/>
          <w:color w:val="auto"/>
          <w:sz w:val="21"/>
          <w:szCs w:val="21"/>
          <w:highlight w:val="none"/>
        </w:rPr>
      </w:pPr>
      <w:r>
        <w:rPr>
          <w:rFonts w:ascii="宋体" w:hAnsi="宋体"/>
          <w:color w:val="auto"/>
          <w:sz w:val="21"/>
          <w:szCs w:val="21"/>
          <w:highlight w:val="none"/>
        </w:rPr>
        <w:t xml:space="preserve">             </w:t>
      </w:r>
      <w:r>
        <w:rPr>
          <w:rFonts w:ascii="宋体" w:hAnsi="宋体"/>
          <w:color w:val="auto"/>
          <w:sz w:val="21"/>
          <w:szCs w:val="21"/>
          <w:highlight w:val="none"/>
          <w:u w:val="single"/>
        </w:rPr>
        <w:t xml:space="preserve">               </w:t>
      </w:r>
      <w:r>
        <w:rPr>
          <w:rFonts w:ascii="宋体" w:hAnsi="宋体"/>
          <w:color w:val="auto"/>
          <w:sz w:val="21"/>
          <w:szCs w:val="21"/>
          <w:highlight w:val="none"/>
        </w:rPr>
        <w:t>年</w:t>
      </w:r>
      <w:r>
        <w:rPr>
          <w:rFonts w:ascii="宋体" w:hAnsi="宋体"/>
          <w:color w:val="auto"/>
          <w:sz w:val="21"/>
          <w:szCs w:val="21"/>
          <w:highlight w:val="none"/>
          <w:u w:val="single"/>
        </w:rPr>
        <w:t xml:space="preserve">      </w:t>
      </w:r>
      <w:r>
        <w:rPr>
          <w:rFonts w:ascii="宋体" w:hAnsi="宋体"/>
          <w:color w:val="auto"/>
          <w:sz w:val="21"/>
          <w:szCs w:val="21"/>
          <w:highlight w:val="none"/>
        </w:rPr>
        <w:t>月</w:t>
      </w:r>
      <w:r>
        <w:rPr>
          <w:rFonts w:ascii="宋体" w:hAnsi="宋体"/>
          <w:color w:val="auto"/>
          <w:sz w:val="21"/>
          <w:szCs w:val="21"/>
          <w:highlight w:val="none"/>
          <w:u w:val="single"/>
        </w:rPr>
        <w:t xml:space="preserve">      </w:t>
      </w:r>
      <w:r>
        <w:rPr>
          <w:rFonts w:ascii="宋体" w:hAnsi="宋体"/>
          <w:color w:val="auto"/>
          <w:sz w:val="21"/>
          <w:szCs w:val="21"/>
          <w:highlight w:val="none"/>
        </w:rPr>
        <w:t>日</w:t>
      </w:r>
    </w:p>
    <w:p>
      <w:pPr>
        <w:pStyle w:val="261"/>
        <w:spacing w:line="400" w:lineRule="exact"/>
        <w:rPr>
          <w:rFonts w:hint="eastAsia" w:ascii="宋体" w:hAnsi="宋体"/>
          <w:color w:val="auto"/>
          <w:sz w:val="21"/>
          <w:szCs w:val="21"/>
          <w:highlight w:val="none"/>
        </w:rPr>
      </w:pPr>
    </w:p>
    <w:p>
      <w:pPr>
        <w:pStyle w:val="261"/>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ascii="宋体" w:hAnsi="宋体"/>
          <w:color w:val="auto"/>
          <w:sz w:val="21"/>
          <w:szCs w:val="21"/>
          <w:highlight w:val="none"/>
        </w:rPr>
        <w:t>附件11：</w:t>
      </w:r>
      <w:bookmarkStart w:id="1558" w:name="_Toc22892137"/>
      <w:bookmarkStart w:id="1559" w:name="_Toc526086117"/>
      <w:bookmarkStart w:id="1560" w:name="_Toc531247283"/>
      <w:bookmarkStart w:id="1561" w:name="_Toc19097101"/>
      <w:bookmarkStart w:id="1562" w:name="_Toc17185813"/>
      <w:bookmarkStart w:id="1563" w:name="_Toc526086217"/>
      <w:bookmarkStart w:id="1564" w:name="_Toc17185710"/>
      <w:r>
        <w:rPr>
          <w:rFonts w:ascii="宋体" w:hAnsi="宋体"/>
          <w:color w:val="auto"/>
          <w:sz w:val="21"/>
          <w:szCs w:val="21"/>
          <w:highlight w:val="none"/>
        </w:rPr>
        <w:t>11-1：材料暂估价表</w:t>
      </w:r>
      <w:bookmarkEnd w:id="1558"/>
      <w:bookmarkEnd w:id="1559"/>
      <w:bookmarkEnd w:id="1560"/>
      <w:bookmarkEnd w:id="1561"/>
      <w:bookmarkEnd w:id="1562"/>
      <w:bookmarkEnd w:id="1563"/>
      <w:bookmarkEnd w:id="1564"/>
    </w:p>
    <w:tbl>
      <w:tblPr>
        <w:tblStyle w:val="47"/>
        <w:tblW w:w="9640"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226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98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名称</w:t>
            </w:r>
          </w:p>
        </w:tc>
        <w:tc>
          <w:tcPr>
            <w:tcW w:w="851"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单位</w:t>
            </w:r>
          </w:p>
        </w:tc>
        <w:tc>
          <w:tcPr>
            <w:tcW w:w="77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1352"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单价</w:t>
            </w:r>
            <w:r>
              <w:rPr>
                <w:rFonts w:hint="eastAsia" w:ascii="宋体" w:hAnsi="宋体"/>
                <w:color w:val="auto"/>
                <w:sz w:val="21"/>
                <w:szCs w:val="21"/>
                <w:highlight w:val="none"/>
                <w:lang w:val="en-US" w:eastAsia="zh-CN"/>
              </w:rPr>
              <w:t>（元）</w:t>
            </w:r>
          </w:p>
        </w:tc>
        <w:tc>
          <w:tcPr>
            <w:tcW w:w="141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合价</w:t>
            </w:r>
            <w:r>
              <w:rPr>
                <w:rFonts w:hint="eastAsia" w:ascii="宋体" w:hAnsi="宋体"/>
                <w:color w:val="auto"/>
                <w:sz w:val="21"/>
                <w:szCs w:val="21"/>
                <w:highlight w:val="none"/>
                <w:lang w:val="en-US" w:eastAsia="zh-CN"/>
              </w:rPr>
              <w:t>（元）</w:t>
            </w:r>
          </w:p>
        </w:tc>
        <w:tc>
          <w:tcPr>
            <w:tcW w:w="226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226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before="156" w:beforeLines="50" w:after="156" w:afterLines="50" w:line="400" w:lineRule="exact"/>
        <w:rPr>
          <w:rFonts w:hint="eastAsia" w:ascii="宋体" w:hAnsi="宋体"/>
          <w:color w:val="auto"/>
          <w:sz w:val="21"/>
          <w:szCs w:val="21"/>
          <w:highlight w:val="none"/>
        </w:rPr>
      </w:pPr>
    </w:p>
    <w:p>
      <w:pPr>
        <w:pStyle w:val="261"/>
        <w:spacing w:before="156" w:beforeLines="50" w:after="156" w:afterLines="50" w:line="400" w:lineRule="exact"/>
        <w:jc w:val="both"/>
        <w:rPr>
          <w:rFonts w:ascii="宋体" w:hAnsi="宋体"/>
          <w:color w:val="auto"/>
          <w:sz w:val="21"/>
          <w:szCs w:val="21"/>
          <w:highlight w:val="none"/>
        </w:rPr>
      </w:pPr>
      <w:r>
        <w:rPr>
          <w:rFonts w:ascii="宋体" w:hAnsi="宋体"/>
          <w:color w:val="auto"/>
          <w:sz w:val="21"/>
          <w:szCs w:val="21"/>
          <w:highlight w:val="none"/>
        </w:rPr>
        <w:br w:type="page"/>
      </w:r>
    </w:p>
    <w:tbl>
      <w:tblPr>
        <w:tblStyle w:val="47"/>
        <w:tblpPr w:leftFromText="180" w:rightFromText="180" w:vertAnchor="text" w:horzAnchor="page" w:tblpX="2165" w:tblpY="1403"/>
        <w:tblOverlap w:val="never"/>
        <w:tblW w:w="9073"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98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名称</w:t>
            </w:r>
          </w:p>
        </w:tc>
        <w:tc>
          <w:tcPr>
            <w:tcW w:w="851"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单位</w:t>
            </w:r>
          </w:p>
        </w:tc>
        <w:tc>
          <w:tcPr>
            <w:tcW w:w="77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数量</w:t>
            </w:r>
          </w:p>
        </w:tc>
        <w:tc>
          <w:tcPr>
            <w:tcW w:w="1352"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单价</w:t>
            </w:r>
            <w:r>
              <w:rPr>
                <w:rFonts w:hint="eastAsia" w:ascii="宋体" w:hAnsi="宋体"/>
                <w:color w:val="auto"/>
                <w:sz w:val="21"/>
                <w:szCs w:val="21"/>
                <w:highlight w:val="none"/>
                <w:lang w:val="en-US" w:eastAsia="zh-CN"/>
              </w:rPr>
              <w:t>（元）</w:t>
            </w:r>
          </w:p>
        </w:tc>
        <w:tc>
          <w:tcPr>
            <w:tcW w:w="141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合价</w:t>
            </w:r>
            <w:r>
              <w:rPr>
                <w:rFonts w:hint="eastAsia" w:ascii="宋体" w:hAnsi="宋体"/>
                <w:color w:val="auto"/>
                <w:sz w:val="21"/>
                <w:szCs w:val="21"/>
                <w:highlight w:val="none"/>
                <w:lang w:val="en-US" w:eastAsia="zh-CN"/>
              </w:rPr>
              <w:t>（元）</w:t>
            </w:r>
          </w:p>
        </w:tc>
        <w:tc>
          <w:tcPr>
            <w:tcW w:w="1701"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85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77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352"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41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701"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bl>
    <w:p>
      <w:pPr>
        <w:pStyle w:val="261"/>
        <w:spacing w:before="156" w:beforeLines="50" w:after="156" w:afterLines="50" w:line="400" w:lineRule="exact"/>
        <w:jc w:val="both"/>
        <w:rPr>
          <w:rFonts w:ascii="宋体" w:hAnsi="宋体"/>
          <w:color w:val="auto"/>
          <w:sz w:val="21"/>
          <w:szCs w:val="21"/>
          <w:highlight w:val="none"/>
        </w:rPr>
      </w:pPr>
      <w:r>
        <w:rPr>
          <w:rFonts w:hint="eastAsia" w:ascii="宋体" w:hAnsi="宋体"/>
          <w:color w:val="auto"/>
          <w:sz w:val="21"/>
          <w:szCs w:val="21"/>
          <w:highlight w:val="none"/>
          <w:lang w:val="en-US" w:eastAsia="zh-CN"/>
        </w:rPr>
        <w:t>11-</w:t>
      </w:r>
      <w:r>
        <w:rPr>
          <w:rFonts w:ascii="宋体" w:hAnsi="宋体"/>
          <w:color w:val="auto"/>
          <w:sz w:val="21"/>
          <w:szCs w:val="21"/>
          <w:highlight w:val="none"/>
        </w:rPr>
        <w:t>2：工程设备暂估价表</w:t>
      </w:r>
    </w:p>
    <w:p>
      <w:pPr>
        <w:pStyle w:val="261"/>
        <w:spacing w:line="400" w:lineRule="exact"/>
        <w:rPr>
          <w:rFonts w:ascii="宋体" w:hAnsi="宋体"/>
          <w:color w:val="auto"/>
          <w:sz w:val="24"/>
          <w:highlight w:val="none"/>
        </w:rPr>
      </w:pPr>
    </w:p>
    <w:p>
      <w:pPr>
        <w:pStyle w:val="261"/>
        <w:spacing w:before="156" w:beforeLines="50" w:after="156" w:afterLines="50" w:line="400" w:lineRule="exact"/>
        <w:jc w:val="center"/>
        <w:rPr>
          <w:rFonts w:ascii="宋体" w:hAnsi="宋体"/>
          <w:color w:val="auto"/>
          <w:sz w:val="21"/>
          <w:szCs w:val="21"/>
          <w:highlight w:val="none"/>
        </w:rPr>
      </w:pPr>
    </w:p>
    <w:p>
      <w:pPr>
        <w:pStyle w:val="261"/>
        <w:spacing w:before="156" w:beforeLines="50" w:after="156" w:afterLines="50" w:line="400" w:lineRule="exact"/>
        <w:jc w:val="left"/>
        <w:rPr>
          <w:rFonts w:ascii="宋体" w:hAnsi="宋体"/>
          <w:color w:val="auto"/>
          <w:sz w:val="21"/>
          <w:szCs w:val="21"/>
          <w:highlight w:val="none"/>
        </w:rPr>
      </w:pPr>
      <w:r>
        <w:rPr>
          <w:rFonts w:ascii="宋体" w:hAnsi="宋体"/>
          <w:color w:val="auto"/>
          <w:sz w:val="21"/>
          <w:szCs w:val="21"/>
          <w:highlight w:val="none"/>
        </w:rPr>
        <w:t>11-3：专业工程暂估价表</w:t>
      </w:r>
    </w:p>
    <w:tbl>
      <w:tblPr>
        <w:tblStyle w:val="47"/>
        <w:tblpPr w:leftFromText="180" w:rightFromText="180" w:vertAnchor="text" w:horzAnchor="page" w:tblpX="1660" w:tblpY="264"/>
        <w:tblOverlap w:val="never"/>
        <w:tblW w:w="952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98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序号</w:t>
            </w:r>
          </w:p>
        </w:tc>
        <w:tc>
          <w:tcPr>
            <w:tcW w:w="1984"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专业工程名称</w:t>
            </w:r>
          </w:p>
        </w:tc>
        <w:tc>
          <w:tcPr>
            <w:tcW w:w="4678"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工程内容</w:t>
            </w:r>
          </w:p>
        </w:tc>
        <w:tc>
          <w:tcPr>
            <w:tcW w:w="1985" w:type="dxa"/>
            <w:tcBorders>
              <w:top w:val="single" w:color="auto" w:sz="12" w:space="0"/>
              <w:bottom w:val="double" w:color="auto" w:sz="6" w:space="0"/>
            </w:tcBorders>
            <w:noWrap w:val="0"/>
            <w:vAlign w:val="top"/>
          </w:tcPr>
          <w:p>
            <w:pPr>
              <w:pStyle w:val="2"/>
              <w:keepNext/>
              <w:spacing w:line="400" w:lineRule="exact"/>
              <w:ind w:left="63" w:right="63"/>
              <w:jc w:val="center"/>
              <w:rPr>
                <w:rFonts w:ascii="宋体" w:hAnsi="宋体"/>
                <w:color w:val="auto"/>
                <w:sz w:val="21"/>
                <w:szCs w:val="21"/>
                <w:highlight w:val="none"/>
                <w:lang w:val="en-US" w:eastAsia="zh-CN"/>
              </w:rPr>
            </w:pPr>
            <w:r>
              <w:rPr>
                <w:rFonts w:ascii="宋体" w:hAnsi="宋体"/>
                <w:color w:val="auto"/>
                <w:sz w:val="21"/>
                <w:szCs w:val="21"/>
                <w:highlight w:val="none"/>
                <w:lang w:val="en-US" w:eastAsia="zh-CN"/>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tcBorders>
              <w:top w:val="double" w:color="auto" w:sz="6" w:space="0"/>
              <w:bottom w:val="single" w:color="auto" w:sz="6" w:space="0"/>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tcBorders>
              <w:top w:val="nil"/>
            </w:tcBorders>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4"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4678"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c>
          <w:tcPr>
            <w:tcW w:w="1985" w:type="dxa"/>
            <w:noWrap w:val="0"/>
            <w:vAlign w:val="top"/>
          </w:tcPr>
          <w:p>
            <w:pPr>
              <w:pStyle w:val="2"/>
              <w:keepNext/>
              <w:spacing w:line="400" w:lineRule="exact"/>
              <w:ind w:left="63" w:right="63"/>
              <w:rPr>
                <w:rFonts w:ascii="宋体" w:hAnsi="宋体"/>
                <w:color w:val="auto"/>
                <w:sz w:val="21"/>
                <w:szCs w:val="21"/>
                <w:highlight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26" w:type="dxa"/>
            <w:gridSpan w:val="4"/>
            <w:noWrap w:val="0"/>
            <w:vAlign w:val="top"/>
          </w:tcPr>
          <w:p>
            <w:pPr>
              <w:pStyle w:val="2"/>
              <w:keepNext/>
              <w:spacing w:line="400" w:lineRule="exact"/>
              <w:ind w:left="63" w:right="63"/>
              <w:rPr>
                <w:rFonts w:ascii="宋体" w:hAnsi="宋体"/>
                <w:color w:val="auto"/>
                <w:sz w:val="21"/>
                <w:szCs w:val="21"/>
                <w:highlight w:val="none"/>
                <w:lang w:val="en-US" w:eastAsia="zh-CN"/>
              </w:rPr>
            </w:pPr>
            <w:r>
              <w:rPr>
                <w:rFonts w:ascii="宋体" w:hAnsi="宋体"/>
                <w:color w:val="auto"/>
                <w:sz w:val="21"/>
                <w:szCs w:val="21"/>
                <w:highlight w:val="none"/>
                <w:lang w:val="en-US" w:eastAsia="zh-CN"/>
              </w:rPr>
              <w:t>小计：</w:t>
            </w:r>
          </w:p>
        </w:tc>
      </w:tr>
    </w:tbl>
    <w:p>
      <w:pPr>
        <w:pStyle w:val="261"/>
        <w:spacing w:line="400" w:lineRule="exact"/>
        <w:rPr>
          <w:rFonts w:ascii="宋体" w:hAnsi="宋体"/>
          <w:color w:val="auto"/>
          <w:highlight w:val="none"/>
        </w:rPr>
      </w:pPr>
    </w:p>
    <w:p>
      <w:pPr>
        <w:pStyle w:val="4"/>
        <w:rPr>
          <w:color w:val="auto"/>
          <w:highlight w:val="none"/>
        </w:rPr>
      </w:pPr>
      <w:r>
        <w:rPr>
          <w:rFonts w:hint="eastAsia"/>
          <w:color w:val="auto"/>
          <w:highlight w:val="none"/>
        </w:rPr>
        <w:t>第五章  工程量清单</w:t>
      </w:r>
      <w:bookmarkEnd w:id="69"/>
      <w:bookmarkEnd w:id="70"/>
    </w:p>
    <w:p>
      <w:pPr>
        <w:rPr>
          <w:rFonts w:asciiTheme="minorEastAsia" w:hAnsiTheme="minorEastAsia" w:eastAsiaTheme="minorEastAsia"/>
          <w:color w:val="auto"/>
          <w:highlight w:val="none"/>
        </w:rPr>
      </w:pPr>
    </w:p>
    <w:p>
      <w:pPr>
        <w:rPr>
          <w:rFonts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sz w:val="28"/>
          <w:szCs w:val="28"/>
          <w:highlight w:val="none"/>
        </w:rPr>
        <w:t>1、招标工程量清单</w:t>
      </w:r>
    </w:p>
    <w:p>
      <w:pPr>
        <w:rPr>
          <w:rFonts w:ascii="宋体" w:hAnsi="Times New Roman" w:eastAsia="宋体" w:cs="Times New Roman"/>
          <w:color w:val="auto"/>
          <w:highlight w:val="none"/>
        </w:rPr>
      </w:pPr>
      <w:r>
        <w:rPr>
          <w:rFonts w:hint="eastAsia" w:ascii="宋体" w:hAnsi="宋体" w:eastAsia="宋体" w:cs="Times New Roman"/>
          <w:color w:val="auto"/>
          <w:highlight w:val="none"/>
        </w:rPr>
        <w:t>另附。</w:t>
      </w:r>
    </w:p>
    <w:p>
      <w:pPr>
        <w:pStyle w:val="4"/>
        <w:jc w:val="left"/>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lang w:val="en-US" w:eastAsia="zh-CN"/>
        </w:rPr>
        <w:t>2、</w:t>
      </w:r>
      <w:r>
        <w:rPr>
          <w:rFonts w:hint="eastAsia" w:ascii="宋体" w:hAnsi="宋体" w:eastAsia="宋体" w:cs="宋体"/>
          <w:b w:val="0"/>
          <w:bCs w:val="0"/>
          <w:color w:val="auto"/>
          <w:sz w:val="28"/>
          <w:szCs w:val="28"/>
          <w:highlight w:val="none"/>
        </w:rPr>
        <w:t>工程量清单报价表</w:t>
      </w:r>
    </w:p>
    <w:p>
      <w:pPr>
        <w:pStyle w:val="4"/>
        <w:ind w:firstLine="420" w:firstLineChars="200"/>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供应商应按照工程量清单计价格式编制，已标价工程量清单封面应有注册造价师签字并盖</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章，如非本单位人员</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响应文件需附造价委托协议，否则视为无效报价。</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说明：</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 供应商不得擅自删减工程量清单项目，否则被删减项目的费用视为已隐含在报价中，采购人无需再向供应商支付该部分费用。</w:t>
      </w:r>
    </w:p>
    <w:p>
      <w:pPr>
        <w:pStyle w:val="4"/>
        <w:jc w:val="left"/>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 响应供应商的工程量清单计价表按中华人民共和国国家标准《建设工程工程量清单计价规范》及项目所在地相关定额及清单规范执行。</w:t>
      </w: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hint="eastAsia"/>
          <w:color w:val="auto"/>
          <w:highlight w:val="none"/>
        </w:rPr>
      </w:pPr>
      <w:bookmarkStart w:id="1565" w:name="_Toc138238343"/>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jc w:val="center"/>
        <w:rPr>
          <w:rFonts w:asciiTheme="minorEastAsia" w:hAnsiTheme="minorEastAsia" w:eastAsiaTheme="minorEastAsia"/>
          <w:b/>
          <w:bCs/>
          <w:color w:val="auto"/>
          <w:sz w:val="44"/>
          <w:szCs w:val="44"/>
          <w:highlight w:val="none"/>
        </w:rPr>
      </w:pPr>
      <w:r>
        <w:rPr>
          <w:rFonts w:hint="eastAsia"/>
          <w:b/>
          <w:bCs/>
          <w:color w:val="auto"/>
          <w:sz w:val="44"/>
          <w:szCs w:val="44"/>
          <w:highlight w:val="none"/>
        </w:rPr>
        <w:t>第六章  图  纸</w:t>
      </w:r>
      <w:bookmarkEnd w:id="1565"/>
    </w:p>
    <w:p>
      <w:pPr>
        <w:spacing w:line="420" w:lineRule="exact"/>
        <w:jc w:val="both"/>
        <w:rPr>
          <w:rFonts w:hint="eastAsia"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lang w:val="en-US" w:eastAsia="zh-CN"/>
        </w:rPr>
        <w:t>另附。</w:t>
      </w:r>
    </w:p>
    <w:p>
      <w:pPr>
        <w:pStyle w:val="4"/>
        <w:rPr>
          <w:rFonts w:hint="eastAsia" w:asciiTheme="minorEastAsia" w:hAnsiTheme="minorEastAsia" w:eastAsiaTheme="minorEastAsia"/>
          <w:color w:val="auto"/>
          <w:highlight w:val="none"/>
          <w:lang w:val="en-US" w:eastAsia="zh-CN"/>
        </w:rPr>
      </w:pPr>
    </w:p>
    <w:p>
      <w:pPr>
        <w:rPr>
          <w:rFonts w:hint="eastAsia" w:asciiTheme="minorEastAsia" w:hAnsiTheme="minorEastAsia" w:eastAsiaTheme="minorEastAsia"/>
          <w:color w:val="auto"/>
          <w:highlight w:val="none"/>
          <w:lang w:val="en-US" w:eastAsia="zh-CN"/>
        </w:rPr>
      </w:pPr>
    </w:p>
    <w:p>
      <w:pPr>
        <w:pStyle w:val="4"/>
        <w:rPr>
          <w:rFonts w:hint="eastAsia" w:asciiTheme="minorEastAsia" w:hAnsiTheme="minorEastAsia" w:eastAsiaTheme="minorEastAsia"/>
          <w:color w:val="auto"/>
          <w:highlight w:val="none"/>
          <w:lang w:val="en-US" w:eastAsia="zh-CN"/>
        </w:rPr>
      </w:pPr>
    </w:p>
    <w:p>
      <w:pPr>
        <w:rPr>
          <w:rFonts w:hint="eastAsia" w:asciiTheme="minorEastAsia" w:hAnsiTheme="minorEastAsia" w:eastAsiaTheme="minorEastAsia"/>
          <w:color w:val="auto"/>
          <w:highlight w:val="none"/>
          <w:lang w:val="en-US" w:eastAsia="zh-CN"/>
        </w:rPr>
      </w:pPr>
    </w:p>
    <w:p>
      <w:pPr>
        <w:pStyle w:val="4"/>
        <w:rPr>
          <w:rFonts w:hint="eastAsia" w:asciiTheme="minorEastAsia" w:hAnsiTheme="minorEastAsia" w:eastAsiaTheme="minorEastAsia"/>
          <w:color w:val="auto"/>
          <w:highlight w:val="none"/>
          <w:lang w:val="en-US" w:eastAsia="zh-CN"/>
        </w:rPr>
      </w:pPr>
    </w:p>
    <w:p>
      <w:pPr>
        <w:rPr>
          <w:rFonts w:hint="eastAsia" w:asciiTheme="minorEastAsia" w:hAnsiTheme="minorEastAsia" w:eastAsiaTheme="minorEastAsia"/>
          <w:color w:val="auto"/>
          <w:highlight w:val="none"/>
          <w:lang w:val="en-US" w:eastAsia="zh-CN"/>
        </w:rPr>
      </w:pPr>
    </w:p>
    <w:p>
      <w:pPr>
        <w:pStyle w:val="4"/>
        <w:rPr>
          <w:rFonts w:hint="eastAsia" w:asciiTheme="minorEastAsia" w:hAnsiTheme="minorEastAsia" w:eastAsiaTheme="minorEastAsia"/>
          <w:color w:val="auto"/>
          <w:highlight w:val="none"/>
          <w:lang w:val="en-US" w:eastAsia="zh-CN"/>
        </w:rPr>
      </w:pPr>
    </w:p>
    <w:p>
      <w:pPr>
        <w:rPr>
          <w:rFonts w:hint="eastAsia"/>
          <w:color w:val="auto"/>
          <w:highlight w:val="none"/>
          <w:lang w:val="en-US" w:eastAsia="zh-CN"/>
        </w:rPr>
      </w:pPr>
    </w:p>
    <w:p>
      <w:pPr>
        <w:pStyle w:val="4"/>
        <w:rPr>
          <w:rFonts w:hint="eastAsia"/>
          <w:color w:val="auto"/>
          <w:highlight w:val="none"/>
        </w:rPr>
      </w:pPr>
      <w:bookmarkStart w:id="1566" w:name="_Toc138238345"/>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rPr>
          <w:rFonts w:hint="eastAsia"/>
          <w:color w:val="auto"/>
          <w:highlight w:val="none"/>
        </w:rPr>
      </w:pPr>
    </w:p>
    <w:p>
      <w:pPr>
        <w:pStyle w:val="4"/>
        <w:jc w:val="both"/>
        <w:rPr>
          <w:rFonts w:hint="eastAsia"/>
          <w:color w:val="auto"/>
          <w:highlight w:val="none"/>
        </w:rPr>
      </w:pPr>
    </w:p>
    <w:p>
      <w:pPr>
        <w:rPr>
          <w:rFonts w:hint="eastAsia"/>
          <w:color w:val="auto"/>
          <w:highlight w:val="none"/>
        </w:rPr>
      </w:pPr>
    </w:p>
    <w:p>
      <w:pPr>
        <w:pStyle w:val="4"/>
        <w:rPr>
          <w:rFonts w:hint="eastAsia"/>
          <w:color w:val="auto"/>
          <w:highlight w:val="none"/>
        </w:rPr>
      </w:pPr>
    </w:p>
    <w:p>
      <w:pPr>
        <w:rPr>
          <w:rFonts w:hint="eastAsia"/>
          <w:color w:val="auto"/>
          <w:highlight w:val="none"/>
        </w:rPr>
      </w:pPr>
    </w:p>
    <w:p>
      <w:pPr>
        <w:pStyle w:val="4"/>
        <w:rPr>
          <w:color w:val="auto"/>
          <w:highlight w:val="none"/>
        </w:rPr>
      </w:pPr>
      <w:r>
        <w:rPr>
          <w:rFonts w:hint="eastAsia"/>
          <w:color w:val="auto"/>
          <w:highlight w:val="none"/>
        </w:rPr>
        <w:t>第七章  技术标准和要求</w:t>
      </w:r>
      <w:bookmarkEnd w:id="1566"/>
    </w:p>
    <w:p>
      <w:pPr>
        <w:ind w:firstLine="560" w:firstLineChars="200"/>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依据设计文件的要求，本采购工程项目的材料、设备、施工须达到现行中华人民共和国以及省、自治区、直辖市或行业的工程建设标准、规范的要求。</w:t>
      </w:r>
    </w:p>
    <w:p>
      <w:pPr>
        <w:ind w:firstLine="560" w:firstLineChars="200"/>
        <w:rPr>
          <w:rFonts w:asciiTheme="minorEastAsia" w:hAnsiTheme="minorEastAsia" w:eastAsiaTheme="minorEastAsia"/>
          <w:color w:val="auto"/>
          <w:sz w:val="28"/>
          <w:szCs w:val="28"/>
          <w:highlight w:val="none"/>
        </w:rPr>
      </w:pPr>
    </w:p>
    <w:p>
      <w:pPr>
        <w:spacing w:line="420" w:lineRule="exact"/>
        <w:jc w:val="cente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pStyle w:val="4"/>
        <w:rPr>
          <w:color w:val="auto"/>
          <w:highlight w:val="none"/>
        </w:rPr>
      </w:pPr>
    </w:p>
    <w:p>
      <w:pPr>
        <w:pStyle w:val="4"/>
        <w:rPr>
          <w:color w:val="auto"/>
          <w:highlight w:val="none"/>
        </w:rPr>
      </w:pPr>
      <w:bookmarkStart w:id="1567" w:name="_Toc138238347"/>
      <w:r>
        <w:rPr>
          <w:rFonts w:hint="eastAsia"/>
          <w:color w:val="auto"/>
          <w:highlight w:val="none"/>
        </w:rPr>
        <w:t>第八章  响应文件格式</w:t>
      </w:r>
      <w:bookmarkEnd w:id="1567"/>
    </w:p>
    <w:p>
      <w:pPr>
        <w:jc w:val="center"/>
        <w:rPr>
          <w:rFonts w:asciiTheme="minorEastAsia" w:hAnsiTheme="minorEastAsia" w:eastAsiaTheme="minorEastAsia"/>
          <w:color w:val="auto"/>
          <w:sz w:val="32"/>
          <w:szCs w:val="32"/>
          <w:highlight w:val="none"/>
        </w:rPr>
      </w:pPr>
      <w:r>
        <w:rPr>
          <w:rFonts w:asciiTheme="minorEastAsia" w:hAnsiTheme="minorEastAsia" w:eastAsiaTheme="minorEastAsia"/>
          <w:color w:val="auto"/>
          <w:sz w:val="32"/>
          <w:szCs w:val="32"/>
          <w:highlight w:val="none"/>
        </w:rPr>
        <w:br w:type="page"/>
      </w:r>
    </w:p>
    <w:p>
      <w:pPr>
        <w:jc w:val="right"/>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【正本或副本】</w:t>
      </w:r>
    </w:p>
    <w:p>
      <w:pPr>
        <w:jc w:val="center"/>
        <w:rPr>
          <w:rFonts w:asciiTheme="minorEastAsia" w:hAnsiTheme="minorEastAsia" w:eastAsiaTheme="minorEastAsia"/>
          <w:color w:val="auto"/>
          <w:sz w:val="32"/>
          <w:szCs w:val="32"/>
          <w:highlight w:val="none"/>
        </w:rPr>
      </w:pPr>
    </w:p>
    <w:p>
      <w:pPr>
        <w:jc w:val="center"/>
        <w:rPr>
          <w:color w:val="auto"/>
          <w:highlight w:val="none"/>
        </w:rPr>
      </w:pPr>
      <w:r>
        <w:rPr>
          <w:rFonts w:hint="eastAsia" w:cs="宋体" w:asciiTheme="minorEastAsia" w:hAnsiTheme="minorEastAsia" w:eastAsiaTheme="minorEastAsia"/>
          <w:b/>
          <w:color w:val="auto"/>
          <w:sz w:val="40"/>
          <w:szCs w:val="40"/>
          <w:highlight w:val="none"/>
          <w:lang w:val="zh-CN"/>
        </w:rPr>
        <w:t>2023年吉林市龙潭区第二实验小学幼儿园园舍维修工程（二次）</w:t>
      </w: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jc w:val="center"/>
        <w:rPr>
          <w:rFonts w:asciiTheme="minorEastAsia" w:hAnsiTheme="minorEastAsia" w:eastAsiaTheme="minorEastAsia"/>
          <w:b/>
          <w:color w:val="auto"/>
          <w:w w:val="80"/>
          <w:sz w:val="84"/>
          <w:szCs w:val="84"/>
          <w:highlight w:val="none"/>
        </w:rPr>
      </w:pPr>
      <w:r>
        <w:rPr>
          <w:rFonts w:hint="eastAsia" w:asciiTheme="minorEastAsia" w:hAnsiTheme="minorEastAsia" w:eastAsiaTheme="minorEastAsia"/>
          <w:b/>
          <w:color w:val="auto"/>
          <w:w w:val="80"/>
          <w:sz w:val="84"/>
          <w:szCs w:val="84"/>
          <w:highlight w:val="none"/>
        </w:rPr>
        <w:t>响 应 文 件</w:t>
      </w:r>
    </w:p>
    <w:p>
      <w:pPr>
        <w:widowControl/>
        <w:jc w:val="center"/>
        <w:rPr>
          <w:rFonts w:cs="宋体" w:asciiTheme="minorEastAsia" w:hAnsiTheme="minorEastAsia" w:eastAsiaTheme="minorEastAsia"/>
          <w:b/>
          <w:color w:val="auto"/>
          <w:kern w:val="0"/>
          <w:sz w:val="24"/>
          <w:highlight w:val="none"/>
        </w:rPr>
      </w:pPr>
    </w:p>
    <w:p>
      <w:pPr>
        <w:widowControl/>
        <w:jc w:val="center"/>
        <w:rPr>
          <w:rFonts w:cs="宋体" w:asciiTheme="minorEastAsia" w:hAnsiTheme="minorEastAsia" w:eastAsiaTheme="minorEastAsia"/>
          <w:b/>
          <w:color w:val="auto"/>
          <w:kern w:val="0"/>
          <w:sz w:val="24"/>
          <w:highlight w:val="none"/>
        </w:rPr>
      </w:pPr>
    </w:p>
    <w:p>
      <w:pPr>
        <w:widowControl/>
        <w:jc w:val="center"/>
        <w:rPr>
          <w:rFonts w:cs="宋体" w:asciiTheme="minorEastAsia" w:hAnsiTheme="minorEastAsia" w:eastAsiaTheme="minorEastAsia"/>
          <w:b/>
          <w:color w:val="auto"/>
          <w:kern w:val="0"/>
          <w:sz w:val="24"/>
          <w:highlight w:val="none"/>
        </w:rPr>
      </w:pPr>
    </w:p>
    <w:p>
      <w:pPr>
        <w:widowControl/>
        <w:jc w:val="center"/>
        <w:rPr>
          <w:rFonts w:hint="eastAsia" w:eastAsiaTheme="minorEastAsia"/>
          <w:color w:val="auto"/>
          <w:highlight w:val="none"/>
          <w:lang w:eastAsia="zh-CN"/>
        </w:rPr>
      </w:pPr>
      <w:r>
        <w:rPr>
          <w:rFonts w:hint="eastAsia" w:cs="宋体" w:asciiTheme="minorEastAsia" w:hAnsiTheme="minorEastAsia" w:eastAsiaTheme="minorEastAsia"/>
          <w:b/>
          <w:color w:val="auto"/>
          <w:kern w:val="0"/>
          <w:sz w:val="24"/>
          <w:highlight w:val="none"/>
        </w:rPr>
        <w:t>采购编号：</w:t>
      </w:r>
      <w:r>
        <w:rPr>
          <w:rFonts w:hint="eastAsia" w:cs="宋体" w:asciiTheme="minorEastAsia" w:hAnsiTheme="minorEastAsia" w:eastAsiaTheme="minorEastAsia"/>
          <w:b/>
          <w:color w:val="auto"/>
          <w:kern w:val="0"/>
          <w:sz w:val="24"/>
          <w:highlight w:val="none"/>
          <w:lang w:eastAsia="zh-CN"/>
        </w:rPr>
        <w:t>采购计划-[202</w:t>
      </w:r>
      <w:r>
        <w:rPr>
          <w:rFonts w:hint="eastAsia" w:cs="宋体" w:asciiTheme="minorEastAsia" w:hAnsiTheme="minorEastAsia" w:eastAsiaTheme="minorEastAsia"/>
          <w:b/>
          <w:color w:val="auto"/>
          <w:kern w:val="0"/>
          <w:sz w:val="24"/>
          <w:highlight w:val="none"/>
          <w:lang w:val="en-US" w:eastAsia="zh-CN"/>
        </w:rPr>
        <w:t>4</w:t>
      </w:r>
      <w:r>
        <w:rPr>
          <w:rFonts w:hint="eastAsia" w:cs="宋体" w:asciiTheme="minorEastAsia" w:hAnsiTheme="minorEastAsia" w:eastAsiaTheme="minorEastAsia"/>
          <w:b/>
          <w:color w:val="auto"/>
          <w:kern w:val="0"/>
          <w:sz w:val="24"/>
          <w:highlight w:val="none"/>
          <w:lang w:eastAsia="zh-CN"/>
        </w:rPr>
        <w:t>]-000</w:t>
      </w:r>
      <w:r>
        <w:rPr>
          <w:rFonts w:hint="eastAsia" w:cs="宋体" w:asciiTheme="minorEastAsia" w:hAnsiTheme="minorEastAsia" w:eastAsiaTheme="minorEastAsia"/>
          <w:b/>
          <w:color w:val="auto"/>
          <w:kern w:val="0"/>
          <w:sz w:val="24"/>
          <w:highlight w:val="none"/>
          <w:lang w:val="en-US" w:eastAsia="zh-CN"/>
        </w:rPr>
        <w:t>09</w:t>
      </w:r>
      <w:r>
        <w:rPr>
          <w:rFonts w:hint="eastAsia" w:cs="宋体" w:asciiTheme="minorEastAsia" w:hAnsiTheme="minorEastAsia" w:eastAsiaTheme="minorEastAsia"/>
          <w:b/>
          <w:color w:val="auto"/>
          <w:kern w:val="0"/>
          <w:sz w:val="24"/>
          <w:highlight w:val="none"/>
          <w:lang w:eastAsia="zh-CN"/>
        </w:rPr>
        <w:t>号-0000</w:t>
      </w:r>
      <w:r>
        <w:rPr>
          <w:rFonts w:hint="eastAsia" w:cs="宋体" w:asciiTheme="minorEastAsia" w:hAnsiTheme="minorEastAsia" w:eastAsiaTheme="minorEastAsia"/>
          <w:b/>
          <w:color w:val="auto"/>
          <w:kern w:val="0"/>
          <w:sz w:val="24"/>
          <w:highlight w:val="none"/>
          <w:lang w:val="en-US" w:eastAsia="zh-CN"/>
        </w:rPr>
        <w:t>2</w:t>
      </w: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rFonts w:asciiTheme="minorEastAsia" w:hAnsiTheme="minorEastAsia" w:eastAsiaTheme="minorEastAsia"/>
          <w:color w:val="auto"/>
          <w:sz w:val="28"/>
          <w:szCs w:val="28"/>
          <w:highlight w:val="none"/>
          <w:u w:val="single"/>
        </w:rPr>
      </w:pPr>
      <w:r>
        <w:rPr>
          <w:rFonts w:hint="eastAsia" w:asciiTheme="minorEastAsia" w:hAnsiTheme="minorEastAsia" w:eastAsiaTheme="minorEastAsia"/>
          <w:color w:val="auto"/>
          <w:sz w:val="28"/>
          <w:szCs w:val="28"/>
          <w:highlight w:val="none"/>
          <w:lang w:eastAsia="zh-CN"/>
        </w:rPr>
        <w:t>响应供应商</w:t>
      </w:r>
      <w:r>
        <w:rPr>
          <w:rFonts w:hint="eastAsia" w:asciiTheme="minorEastAsia" w:hAnsiTheme="minorEastAsia" w:eastAsiaTheme="minorEastAsia"/>
          <w:color w:val="auto"/>
          <w:sz w:val="28"/>
          <w:szCs w:val="28"/>
          <w:highlight w:val="none"/>
        </w:rPr>
        <w:t>：</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（盖单位章）</w:t>
      </w:r>
    </w:p>
    <w:p>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法定代表人或其授权委托人：</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（签字）</w:t>
      </w:r>
    </w:p>
    <w:p>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日期：</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年</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月</w:t>
      </w:r>
      <w:r>
        <w:rPr>
          <w:rFonts w:hint="eastAsia" w:asciiTheme="minorEastAsia" w:hAnsiTheme="minorEastAsia" w:eastAsiaTheme="minorEastAsia"/>
          <w:color w:val="auto"/>
          <w:sz w:val="28"/>
          <w:szCs w:val="28"/>
          <w:highlight w:val="none"/>
          <w:u w:val="single"/>
        </w:rPr>
        <w:t xml:space="preserve">        </w:t>
      </w:r>
      <w:r>
        <w:rPr>
          <w:rFonts w:hint="eastAsia" w:asciiTheme="minorEastAsia" w:hAnsiTheme="minorEastAsia" w:eastAsiaTheme="minorEastAsia"/>
          <w:color w:val="auto"/>
          <w:sz w:val="28"/>
          <w:szCs w:val="28"/>
          <w:highlight w:val="none"/>
        </w:rPr>
        <w:t>日</w:t>
      </w:r>
    </w:p>
    <w:p>
      <w:pPr>
        <w:pStyle w:val="5"/>
        <w:jc w:val="center"/>
        <w:rPr>
          <w:rFonts w:asciiTheme="minorEastAsia" w:hAnsiTheme="minorEastAsia" w:eastAsiaTheme="minorEastAsia"/>
          <w:color w:val="auto"/>
          <w:sz w:val="28"/>
          <w:szCs w:val="28"/>
          <w:highlight w:val="none"/>
        </w:rPr>
      </w:pPr>
      <w:r>
        <w:rPr>
          <w:rFonts w:asciiTheme="minorEastAsia" w:hAnsiTheme="minorEastAsia" w:eastAsiaTheme="minorEastAsia"/>
          <w:color w:val="auto"/>
          <w:sz w:val="28"/>
          <w:szCs w:val="28"/>
          <w:highlight w:val="none"/>
        </w:rPr>
        <w:br w:type="page"/>
      </w:r>
      <w:bookmarkStart w:id="1568" w:name="_Toc138238348"/>
      <w:r>
        <w:rPr>
          <w:rFonts w:hint="eastAsia" w:asciiTheme="minorEastAsia" w:hAnsiTheme="minorEastAsia" w:eastAsiaTheme="minorEastAsia"/>
          <w:color w:val="auto"/>
          <w:sz w:val="28"/>
          <w:szCs w:val="28"/>
          <w:highlight w:val="none"/>
        </w:rPr>
        <w:t>目    录</w:t>
      </w:r>
      <w:bookmarkEnd w:id="1568"/>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一、响应函及响应函附录；</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二、法定代表人身份证明；</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三、授权委托书；</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四、磋商保证金；</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五、已标价的工程量清单；</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六、施工组织设计</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七、项目管理机构；</w:t>
      </w:r>
    </w:p>
    <w:p>
      <w:pPr>
        <w:spacing w:line="480" w:lineRule="auto"/>
        <w:rPr>
          <w:rFonts w:asciiTheme="minorEastAsia" w:hAnsiTheme="minorEastAsia" w:eastAsiaTheme="minorEastAsia"/>
          <w:color w:val="auto"/>
          <w:highlight w:val="none"/>
        </w:rPr>
      </w:pPr>
      <w:bookmarkStart w:id="1569" w:name="_Toc299719564"/>
      <w:r>
        <w:rPr>
          <w:rFonts w:hint="eastAsia" w:asciiTheme="minorEastAsia" w:hAnsiTheme="minorEastAsia" w:eastAsiaTheme="minorEastAsia"/>
          <w:color w:val="auto"/>
          <w:highlight w:val="none"/>
        </w:rPr>
        <w:t>八、拟分包情况表</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九、资格审查资料；</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p>
    <w:p>
      <w:pPr>
        <w:spacing w:line="480" w:lineRule="auto"/>
        <w:rPr>
          <w:rFonts w:asciiTheme="minorEastAsia" w:hAnsiTheme="minorEastAsia" w:eastAsiaTheme="minorEastAsia"/>
          <w:color w:val="auto"/>
          <w:highlight w:val="none"/>
        </w:rPr>
      </w:pPr>
    </w:p>
    <w:p>
      <w:pPr>
        <w:spacing w:line="480" w:lineRule="auto"/>
        <w:rPr>
          <w:rFonts w:asciiTheme="minorEastAsia" w:hAnsiTheme="minorEastAsia" w:eastAsiaTheme="minorEastAsia"/>
          <w:color w:val="auto"/>
          <w:highlight w:val="none"/>
        </w:rPr>
      </w:pP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End w:id="1569"/>
      <w:bookmarkStart w:id="1570" w:name="_Toc138238349"/>
      <w:r>
        <w:rPr>
          <w:rFonts w:hint="eastAsia" w:asciiTheme="minorEastAsia" w:hAnsiTheme="minorEastAsia" w:eastAsiaTheme="minorEastAsia"/>
          <w:color w:val="auto"/>
          <w:highlight w:val="none"/>
        </w:rPr>
        <w:t>一、磋商函及磋商函附录</w:t>
      </w:r>
      <w:bookmarkEnd w:id="1570"/>
    </w:p>
    <w:p>
      <w:pPr>
        <w:spacing w:line="420" w:lineRule="exact"/>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（一）磋商函</w:t>
      </w:r>
    </w:p>
    <w:p>
      <w:pPr>
        <w:spacing w:line="48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（采购人名称）</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在考察现场并充分研究</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（项目名称）（以下简称“本工程”）施工磋商文件的全部内容后，我方兹以：</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人民币（大写）：</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的响应价格和按合同约定有权得到的其它金额，并严格按照合同约定，施工、竣工和交付本</w:t>
      </w:r>
    </w:p>
    <w:p>
      <w:pPr>
        <w:spacing w:line="48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工程并维修其中的任何缺陷。.</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在我方的上述磋商报价中，包括：</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安全文明施工费RMB￥：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暂列金额（不包括计日工部分）RMB￥：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1050" w:firstLineChars="5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专业工程暂估价RMB￥：</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w:t>
      </w:r>
    </w:p>
    <w:p>
      <w:pPr>
        <w:spacing w:line="480" w:lineRule="exact"/>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如果我方中标，</w:t>
      </w:r>
      <w:r>
        <w:rPr>
          <w:rFonts w:hint="eastAsia" w:ascii="宋体" w:hAnsi="宋体"/>
          <w:color w:val="auto"/>
          <w:highlight w:val="none"/>
        </w:rPr>
        <w:t>我方保证自合同签订之日起</w:t>
      </w:r>
      <w:r>
        <w:rPr>
          <w:rFonts w:hint="eastAsia" w:ascii="宋体" w:hAnsi="宋体"/>
          <w:color w:val="auto"/>
          <w:highlight w:val="none"/>
          <w:u w:val="single"/>
        </w:rPr>
        <w:t xml:space="preserve">        </w:t>
      </w:r>
      <w:r>
        <w:rPr>
          <w:rFonts w:hint="eastAsia" w:ascii="宋体" w:hAnsi="宋体"/>
          <w:color w:val="auto"/>
          <w:highlight w:val="none"/>
        </w:rPr>
        <w:t>天内施工完毕。</w:t>
      </w:r>
      <w:r>
        <w:rPr>
          <w:rFonts w:hint="eastAsia" w:asciiTheme="minorEastAsia" w:hAnsiTheme="minorEastAsia" w:eastAsiaTheme="minorEastAsia"/>
          <w:color w:val="auto"/>
          <w:highlight w:val="none"/>
        </w:rPr>
        <w:t>并确保工程质量达到</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标准。我方同意本响应函在磋商文件规定的提交响应文件截止时间后，在磋商文件规定的响应有效期</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天内对我方具有约束力，且随时准备接受你方发出的成交通知书。</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随本响应函道交的响应函附录是本响应函的组成部分，对我方构成约束力。</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随同本响应函递交磋商保证金一份，金额为人民币（大写）：</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元（￥：元）。</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在签署协议书之前，你方的成交通知书连同本响应函，包括响应函附录，对双方具有约束力。</w:t>
      </w:r>
    </w:p>
    <w:p>
      <w:pPr>
        <w:spacing w:line="480" w:lineRule="exact"/>
        <w:ind w:firstLine="420" w:firstLineChars="200"/>
        <w:rPr>
          <w:rFonts w:asciiTheme="minorEastAsia" w:hAnsiTheme="minorEastAsia" w:eastAsiaTheme="minorEastAsia"/>
          <w:color w:val="auto"/>
          <w:szCs w:val="21"/>
          <w:highlight w:val="none"/>
        </w:rPr>
      </w:pPr>
    </w:p>
    <w:p>
      <w:pPr>
        <w:spacing w:line="480" w:lineRule="exact"/>
        <w:ind w:firstLine="420" w:firstLineChars="200"/>
        <w:rPr>
          <w:rFonts w:asciiTheme="minorEastAsia" w:hAnsiTheme="minorEastAsia" w:eastAsiaTheme="minorEastAsia"/>
          <w:color w:val="auto"/>
          <w:szCs w:val="21"/>
          <w:highlight w:val="none"/>
        </w:rPr>
      </w:pP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（盖章）：</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法人代表或</w:t>
      </w:r>
      <w:r>
        <w:rPr>
          <w:rFonts w:hint="eastAsia" w:asciiTheme="minorEastAsia" w:hAnsiTheme="minorEastAsia" w:eastAsiaTheme="minorEastAsia"/>
          <w:color w:val="auto"/>
          <w:highlight w:val="none"/>
        </w:rPr>
        <w:t>授权委托人</w:t>
      </w:r>
      <w:r>
        <w:rPr>
          <w:rFonts w:hint="eastAsia" w:asciiTheme="minorEastAsia" w:hAnsiTheme="minorEastAsia" w:eastAsiaTheme="minorEastAsia"/>
          <w:color w:val="auto"/>
          <w:szCs w:val="21"/>
          <w:highlight w:val="none"/>
        </w:rPr>
        <w:t>（签字</w:t>
      </w:r>
      <w:r>
        <w:rPr>
          <w:rFonts w:hint="eastAsia" w:asciiTheme="minorEastAsia" w:hAnsiTheme="minorEastAsia" w:eastAsiaTheme="minorEastAsia"/>
          <w:color w:val="auto"/>
          <w:szCs w:val="21"/>
          <w:highlight w:val="none"/>
          <w:lang w:val="en-US" w:eastAsia="zh-CN"/>
        </w:rPr>
        <w:t>或盖章</w:t>
      </w:r>
      <w:r>
        <w:rPr>
          <w:rFonts w:hint="eastAsia" w:asciiTheme="minorEastAsia" w:hAnsiTheme="minorEastAsia" w:eastAsiaTheme="minorEastAsia"/>
          <w:color w:val="auto"/>
          <w:szCs w:val="21"/>
          <w:highlight w:val="none"/>
        </w:rPr>
        <w:t>）：</w:t>
      </w:r>
    </w:p>
    <w:p>
      <w:pPr>
        <w:spacing w:line="48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spacing w:line="360" w:lineRule="auto"/>
        <w:rPr>
          <w:rFonts w:asciiTheme="minorEastAsia" w:hAnsiTheme="minorEastAsia" w:eastAsiaTheme="minorEastAsia"/>
          <w:color w:val="auto"/>
          <w:highlight w:val="none"/>
        </w:rPr>
      </w:pPr>
    </w:p>
    <w:p>
      <w:pPr>
        <w:spacing w:beforeLines="100" w:afterLines="50" w:line="510" w:lineRule="exact"/>
        <w:jc w:val="center"/>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r>
        <w:rPr>
          <w:rFonts w:hint="eastAsia" w:asciiTheme="minorEastAsia" w:hAnsiTheme="minorEastAsia" w:eastAsiaTheme="minorEastAsia"/>
          <w:color w:val="auto"/>
          <w:sz w:val="24"/>
          <w:highlight w:val="none"/>
        </w:rPr>
        <w:t>（二）磋商函附录</w:t>
      </w:r>
    </w:p>
    <w:p>
      <w:pPr>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rPr>
        <w:t>工程名称：</w:t>
      </w:r>
      <w:r>
        <w:rPr>
          <w:rFonts w:hint="eastAsia" w:asciiTheme="minorEastAsia" w:hAnsiTheme="minorEastAsia" w:eastAsiaTheme="minorEastAsia"/>
          <w:color w:val="auto"/>
          <w:szCs w:val="21"/>
          <w:highlight w:val="none"/>
          <w:u w:val="single"/>
        </w:rPr>
        <w:t xml:space="preserve">               （项目名称）</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
        <w:gridCol w:w="2693"/>
        <w:gridCol w:w="1418"/>
        <w:gridCol w:w="2693"/>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 号</w:t>
            </w:r>
          </w:p>
        </w:tc>
        <w:tc>
          <w:tcPr>
            <w:tcW w:w="2693"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条款内容</w:t>
            </w:r>
          </w:p>
        </w:tc>
        <w:tc>
          <w:tcPr>
            <w:tcW w:w="1418"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合同条款号</w:t>
            </w:r>
          </w:p>
        </w:tc>
        <w:tc>
          <w:tcPr>
            <w:tcW w:w="2693"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约定内容</w:t>
            </w:r>
          </w:p>
        </w:tc>
        <w:tc>
          <w:tcPr>
            <w:tcW w:w="8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2693" w:type="dxa"/>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1418" w:type="dxa"/>
            <w:tcMar>
              <w:left w:w="170" w:type="dxa"/>
            </w:tcMar>
            <w:vAlign w:val="center"/>
          </w:tcPr>
          <w:p>
            <w:pPr>
              <w:jc w:val="center"/>
              <w:rPr>
                <w:rFonts w:hint="default" w:asciiTheme="minorEastAsia" w:hAnsiTheme="minorEastAsia" w:eastAsiaTheme="minorEastAsia"/>
                <w:color w:val="auto"/>
                <w:szCs w:val="21"/>
                <w:highlight w:val="none"/>
                <w:lang w:val="en-US" w:eastAsia="zh-CN"/>
              </w:rPr>
            </w:pPr>
          </w:p>
        </w:tc>
        <w:tc>
          <w:tcPr>
            <w:tcW w:w="2693" w:type="dxa"/>
            <w:vAlign w:val="center"/>
          </w:tcPr>
          <w:p>
            <w:pPr>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姓名：</w:t>
            </w:r>
            <w:r>
              <w:rPr>
                <w:rFonts w:hint="eastAsia" w:asciiTheme="minorEastAsia" w:hAnsiTheme="minorEastAsia" w:eastAsiaTheme="minorEastAsia"/>
                <w:color w:val="auto"/>
                <w:szCs w:val="21"/>
                <w:highlight w:val="none"/>
                <w:u w:val="single"/>
              </w:rPr>
              <w:t xml:space="preserve">               </w:t>
            </w:r>
          </w:p>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专业：</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 xml:space="preserve"> </w:t>
            </w:r>
          </w:p>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注册证号：</w:t>
            </w:r>
            <w:r>
              <w:rPr>
                <w:rFonts w:hint="eastAsia" w:asciiTheme="minorEastAsia" w:hAnsiTheme="minorEastAsia" w:eastAsiaTheme="minorEastAsia"/>
                <w:color w:val="auto"/>
                <w:szCs w:val="21"/>
                <w:highlight w:val="none"/>
                <w:u w:val="single"/>
              </w:rPr>
              <w:t xml:space="preserve">              </w:t>
            </w: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2693" w:type="dxa"/>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工期</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2693" w:type="dxa"/>
            <w:vAlign w:val="center"/>
          </w:tcPr>
          <w:p>
            <w:pPr>
              <w:rPr>
                <w:rFonts w:cs="Times New Roman" w:asciiTheme="minorEastAsia" w:hAnsiTheme="minorEastAsia" w:eastAsiaTheme="minorEastAsia"/>
                <w:color w:val="auto"/>
                <w:kern w:val="2"/>
                <w:sz w:val="21"/>
                <w:szCs w:val="21"/>
                <w:highlight w:val="none"/>
                <w:lang w:val="en-US" w:eastAsia="zh-CN" w:bidi="ar-SA"/>
              </w:rPr>
            </w:pPr>
            <w:r>
              <w:rPr>
                <w:rFonts w:hint="eastAsia" w:ascii="宋体" w:hAnsi="宋体" w:eastAsia="宋体" w:cs="宋体"/>
                <w:color w:val="auto"/>
                <w:sz w:val="21"/>
                <w:szCs w:val="21"/>
                <w:highlight w:val="none"/>
              </w:rPr>
              <w:t>响应有效期</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asciiTheme="minorEastAsia" w:hAnsiTheme="minorEastAsia" w:eastAsiaTheme="minorEastAsia"/>
                <w:color w:val="auto"/>
                <w:szCs w:val="21"/>
                <w:highlight w:val="none"/>
                <w:lang w:eastAsia="zh-CN"/>
              </w:rPr>
            </w:pPr>
            <w:r>
              <w:rPr>
                <w:rFonts w:hint="eastAsia" w:asciiTheme="minorEastAsia" w:hAnsiTheme="minorEastAsia" w:eastAsiaTheme="minorEastAsia"/>
                <w:color w:val="auto"/>
                <w:szCs w:val="21"/>
                <w:highlight w:val="none"/>
                <w:lang w:val="en-US" w:eastAsia="zh-CN"/>
              </w:rPr>
              <w:t>4</w:t>
            </w:r>
          </w:p>
        </w:tc>
        <w:tc>
          <w:tcPr>
            <w:tcW w:w="2693" w:type="dxa"/>
            <w:vAlign w:val="center"/>
          </w:tcPr>
          <w:p>
            <w:pPr>
              <w:rPr>
                <w:rFonts w:hint="default"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质量标准</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5</w:t>
            </w:r>
          </w:p>
        </w:tc>
        <w:tc>
          <w:tcPr>
            <w:tcW w:w="2693" w:type="dxa"/>
            <w:vAlign w:val="center"/>
          </w:tcPr>
          <w:p>
            <w:pPr>
              <w:rPr>
                <w:rFonts w:hint="default"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质量保修期</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6</w:t>
            </w:r>
          </w:p>
        </w:tc>
        <w:tc>
          <w:tcPr>
            <w:tcW w:w="2693" w:type="dxa"/>
            <w:vAlign w:val="center"/>
          </w:tcPr>
          <w:p>
            <w:pPr>
              <w:rPr>
                <w:rFonts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保修服务</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有/无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eastAsia"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lang w:val="en-US" w:eastAsia="zh-CN"/>
              </w:rPr>
              <w:t>7</w:t>
            </w:r>
          </w:p>
        </w:tc>
        <w:tc>
          <w:tcPr>
            <w:tcW w:w="2693" w:type="dxa"/>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优惠条件</w:t>
            </w: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r>
              <w:rPr>
                <w:rFonts w:hint="eastAsia" w:asciiTheme="minorEastAsia" w:hAnsiTheme="minorEastAsia" w:eastAsiaTheme="minorEastAsia"/>
                <w:color w:val="auto"/>
                <w:szCs w:val="21"/>
                <w:highlight w:val="none"/>
              </w:rPr>
              <w:t>有/无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hint="default" w:asciiTheme="minorEastAsia" w:hAnsiTheme="minorEastAsia" w:eastAsiaTheme="minorEastAsia"/>
                <w:color w:val="auto"/>
                <w:szCs w:val="21"/>
                <w:highlight w:val="none"/>
                <w:lang w:val="en-US" w:eastAsia="zh-CN"/>
              </w:rPr>
            </w:pPr>
            <w:r>
              <w:rPr>
                <w:rFonts w:hint="eastAsia" w:asciiTheme="minorEastAsia" w:hAnsiTheme="minorEastAsia" w:eastAsiaTheme="minorEastAsia"/>
                <w:color w:val="auto"/>
                <w:szCs w:val="21"/>
                <w:highlight w:val="none"/>
                <w:lang w:val="en-US" w:eastAsia="zh-CN"/>
              </w:rPr>
              <w:t>8</w:t>
            </w:r>
          </w:p>
        </w:tc>
        <w:tc>
          <w:tcPr>
            <w:tcW w:w="2693" w:type="dxa"/>
            <w:vAlign w:val="center"/>
          </w:tcPr>
          <w:p>
            <w:pPr>
              <w:rPr>
                <w:rFonts w:asciiTheme="minorEastAsia" w:hAnsiTheme="minorEastAsia" w:eastAsiaTheme="minorEastAsia"/>
                <w:color w:val="auto"/>
                <w:szCs w:val="21"/>
                <w:highlight w:val="none"/>
              </w:rPr>
            </w:pP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850" w:type="dxa"/>
            <w:vAlign w:val="center"/>
          </w:tcPr>
          <w:p>
            <w:pPr>
              <w:jc w:val="center"/>
              <w:rPr>
                <w:rFonts w:cs="Times New Roman" w:asciiTheme="minorEastAsia" w:hAnsiTheme="minorEastAsia" w:eastAsiaTheme="minorEastAsia"/>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p>
        </w:tc>
        <w:tc>
          <w:tcPr>
            <w:tcW w:w="2693" w:type="dxa"/>
            <w:vAlign w:val="center"/>
          </w:tcPr>
          <w:p>
            <w:pPr>
              <w:rPr>
                <w:rFonts w:asciiTheme="minorEastAsia" w:hAnsiTheme="minorEastAsia" w:eastAsiaTheme="minorEastAsia"/>
                <w:color w:val="auto"/>
                <w:szCs w:val="21"/>
                <w:highlight w:val="none"/>
              </w:rPr>
            </w:pPr>
          </w:p>
        </w:tc>
        <w:tc>
          <w:tcPr>
            <w:tcW w:w="1418" w:type="dxa"/>
            <w:tcMar>
              <w:left w:w="170" w:type="dxa"/>
            </w:tcMar>
            <w:vAlign w:val="center"/>
          </w:tcPr>
          <w:p>
            <w:pPr>
              <w:jc w:val="center"/>
              <w:rPr>
                <w:rFonts w:asciiTheme="minorEastAsia" w:hAnsiTheme="minorEastAsia" w:eastAsiaTheme="minorEastAsia"/>
                <w:color w:val="auto"/>
                <w:szCs w:val="21"/>
                <w:highlight w:val="none"/>
              </w:rPr>
            </w:pPr>
          </w:p>
        </w:tc>
        <w:tc>
          <w:tcPr>
            <w:tcW w:w="2693" w:type="dxa"/>
            <w:vAlign w:val="center"/>
          </w:tcPr>
          <w:p>
            <w:pPr>
              <w:jc w:val="cente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c>
          <w:tcPr>
            <w:tcW w:w="2693"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c>
          <w:tcPr>
            <w:tcW w:w="1418" w:type="dxa"/>
            <w:vAlign w:val="center"/>
          </w:tcPr>
          <w:p>
            <w:pPr>
              <w:jc w:val="center"/>
              <w:rPr>
                <w:rFonts w:asciiTheme="minorEastAsia" w:hAnsiTheme="minorEastAsia" w:eastAsiaTheme="minorEastAsia"/>
                <w:color w:val="auto"/>
                <w:szCs w:val="21"/>
                <w:highlight w:val="none"/>
              </w:rPr>
            </w:pPr>
          </w:p>
        </w:tc>
        <w:tc>
          <w:tcPr>
            <w:tcW w:w="2693" w:type="dxa"/>
            <w:vAlign w:val="center"/>
          </w:tcPr>
          <w:p>
            <w:pPr>
              <w:jc w:val="center"/>
              <w:rPr>
                <w:rFonts w:asciiTheme="minorEastAsia" w:hAnsiTheme="minorEastAsia" w:eastAsiaTheme="minorEastAsia"/>
                <w:color w:val="auto"/>
                <w:szCs w:val="21"/>
                <w:highlight w:val="none"/>
              </w:rPr>
            </w:pPr>
          </w:p>
        </w:tc>
        <w:tc>
          <w:tcPr>
            <w:tcW w:w="850"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8505" w:type="dxa"/>
            <w:gridSpan w:val="5"/>
            <w:vAlign w:val="center"/>
          </w:tcPr>
          <w:p>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在响应磋商文件中规定的实质性要求和条件的基础上，可做出其他有利于采购人的承诺。此类承诺可在本表中予以补充填写。</w:t>
            </w:r>
          </w:p>
        </w:tc>
      </w:tr>
    </w:tbl>
    <w:p>
      <w:pPr>
        <w:spacing w:line="480" w:lineRule="exact"/>
        <w:ind w:firstLine="422" w:firstLineChars="200"/>
        <w:rPr>
          <w:rFonts w:asciiTheme="minorEastAsia" w:hAnsiTheme="minorEastAsia" w:eastAsiaTheme="minorEastAsia"/>
          <w:b/>
          <w:color w:val="auto"/>
          <w:szCs w:val="21"/>
          <w:highlight w:val="none"/>
        </w:rPr>
      </w:pPr>
    </w:p>
    <w:p>
      <w:pPr>
        <w:spacing w:line="480" w:lineRule="exact"/>
        <w:ind w:firstLine="422" w:firstLineChars="200"/>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lang w:eastAsia="zh-CN"/>
        </w:rPr>
        <w:t>响应供应商</w:t>
      </w:r>
      <w:r>
        <w:rPr>
          <w:rFonts w:hint="eastAsia" w:asciiTheme="minorEastAsia" w:hAnsiTheme="minorEastAsia" w:eastAsiaTheme="minorEastAsia"/>
          <w:color w:val="auto"/>
          <w:szCs w:val="21"/>
          <w:highlight w:val="none"/>
        </w:rPr>
        <w:t>（盖章）：</w:t>
      </w:r>
    </w:p>
    <w:p>
      <w:pPr>
        <w:spacing w:line="480" w:lineRule="exact"/>
        <w:ind w:firstLine="422" w:firstLineChars="200"/>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rPr>
        <w:t>法人代表或授权委托人</w:t>
      </w:r>
      <w:r>
        <w:rPr>
          <w:rFonts w:hint="eastAsia" w:asciiTheme="minorEastAsia" w:hAnsiTheme="minorEastAsia" w:eastAsiaTheme="minorEastAsia"/>
          <w:color w:val="auto"/>
          <w:szCs w:val="21"/>
          <w:highlight w:val="none"/>
        </w:rPr>
        <w:t>（签字</w:t>
      </w:r>
      <w:r>
        <w:rPr>
          <w:rFonts w:hint="eastAsia" w:asciiTheme="minorEastAsia" w:hAnsiTheme="minorEastAsia" w:eastAsiaTheme="minorEastAsia"/>
          <w:color w:val="auto"/>
          <w:szCs w:val="21"/>
          <w:highlight w:val="none"/>
          <w:lang w:val="en-US" w:eastAsia="zh-CN"/>
        </w:rPr>
        <w:t>或盖章</w:t>
      </w:r>
      <w:r>
        <w:rPr>
          <w:rFonts w:hint="eastAsia" w:asciiTheme="minorEastAsia" w:hAnsiTheme="minorEastAsia" w:eastAsiaTheme="minorEastAsia"/>
          <w:color w:val="auto"/>
          <w:szCs w:val="21"/>
          <w:highlight w:val="none"/>
        </w:rPr>
        <w:t>）：</w:t>
      </w:r>
    </w:p>
    <w:p>
      <w:pPr>
        <w:spacing w:line="480" w:lineRule="exact"/>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日期：</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pStyle w:val="5"/>
        <w:jc w:val="center"/>
        <w:rPr>
          <w:rFonts w:asciiTheme="minorEastAsia" w:hAnsiTheme="minorEastAsia" w:eastAsiaTheme="minorEastAsia"/>
          <w:color w:val="auto"/>
          <w:sz w:val="28"/>
          <w:szCs w:val="28"/>
          <w:highlight w:val="none"/>
        </w:rPr>
      </w:pPr>
      <w:r>
        <w:rPr>
          <w:rFonts w:asciiTheme="minorEastAsia" w:hAnsiTheme="minorEastAsia" w:eastAsiaTheme="minorEastAsia"/>
          <w:b w:val="0"/>
          <w:color w:val="auto"/>
          <w:szCs w:val="21"/>
          <w:highlight w:val="none"/>
        </w:rPr>
        <w:br w:type="page"/>
      </w:r>
      <w:bookmarkStart w:id="1571" w:name="_Toc138238350"/>
      <w:r>
        <w:rPr>
          <w:rFonts w:hint="eastAsia" w:asciiTheme="minorEastAsia" w:hAnsiTheme="minorEastAsia" w:eastAsiaTheme="minorEastAsia"/>
          <w:color w:val="auto"/>
          <w:sz w:val="28"/>
          <w:szCs w:val="28"/>
          <w:highlight w:val="none"/>
        </w:rPr>
        <w:t>二、法定代表人身份证明</w:t>
      </w:r>
      <w:bookmarkEnd w:id="1571"/>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 标 人：</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单位性质：</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地    址：</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成立时间：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经营期限：</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    名：</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性        别：</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    龄：</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职        务：</w:t>
      </w:r>
      <w:r>
        <w:rPr>
          <w:rFonts w:hint="eastAsia" w:asciiTheme="minorEastAsia" w:hAnsiTheme="minorEastAsia" w:eastAsiaTheme="minorEastAsia"/>
          <w:color w:val="auto"/>
          <w:szCs w:val="21"/>
          <w:highlight w:val="none"/>
          <w:u w:val="single"/>
        </w:rPr>
        <w:t xml:space="preserve">                </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系</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名称）的法定代表人。</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特此证明。</w:t>
      </w:r>
    </w:p>
    <w:p>
      <w:pPr>
        <w:spacing w:line="5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附：法定代表人身份证复印件</w:t>
      </w:r>
    </w:p>
    <w:p>
      <w:pPr>
        <w:spacing w:line="500" w:lineRule="exact"/>
        <w:rPr>
          <w:rFonts w:asciiTheme="minorEastAsia" w:hAnsiTheme="minorEastAsia" w:eastAsiaTheme="minorEastAsia"/>
          <w:color w:val="auto"/>
          <w:szCs w:val="21"/>
          <w:highlight w:val="none"/>
        </w:rPr>
      </w:pPr>
    </w:p>
    <w:p>
      <w:pPr>
        <w:jc w:val="center"/>
        <w:rPr>
          <w:rFonts w:asciiTheme="minorEastAsia" w:hAnsiTheme="minorEastAsia" w:eastAsiaTheme="minorEastAsia"/>
          <w:color w:val="auto"/>
          <w:szCs w:val="21"/>
          <w:highlight w:val="none"/>
        </w:rPr>
      </w:pPr>
      <w:r>
        <w:rPr>
          <w:rFonts w:asciiTheme="minorEastAsia" w:hAnsiTheme="minorEastAsia" w:eastAsiaTheme="minorEastAsia"/>
          <w:color w:val="auto"/>
          <w:highlight w:val="none"/>
        </w:rPr>
        <mc:AlternateContent>
          <mc:Choice Requires="wps">
            <w:drawing>
              <wp:inline distT="0" distB="0" distL="114300" distR="114300">
                <wp:extent cx="2446020" cy="1722120"/>
                <wp:effectExtent l="4445" t="4445" r="18415" b="10795"/>
                <wp:docPr id="1" name="矩形 2"/>
                <wp:cNvGraphicFramePr/>
                <a:graphic xmlns:a="http://schemas.openxmlformats.org/drawingml/2006/main">
                  <a:graphicData uri="http://schemas.microsoft.com/office/word/2010/wordprocessingShape">
                    <wps:wsp>
                      <wps:cNvSpPr/>
                      <wps:spPr>
                        <a:xfrm>
                          <a:off x="0" y="0"/>
                          <a:ext cx="2446020" cy="17221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p>
                          <w:p>
                            <w:pPr>
                              <w:jc w:val="center"/>
                              <w:rPr>
                                <w:szCs w:val="21"/>
                              </w:rPr>
                            </w:pPr>
                          </w:p>
                          <w:p>
                            <w:pPr>
                              <w:jc w:val="center"/>
                              <w:rPr>
                                <w:szCs w:val="21"/>
                              </w:rPr>
                            </w:pPr>
                          </w:p>
                          <w:p>
                            <w:pPr>
                              <w:jc w:val="center"/>
                              <w:rPr>
                                <w:szCs w:val="21"/>
                              </w:rPr>
                            </w:pPr>
                            <w:r>
                              <w:rPr>
                                <w:rFonts w:hint="eastAsia"/>
                                <w:szCs w:val="21"/>
                              </w:rPr>
                              <w:t>法定代表人身份证复印件</w:t>
                            </w:r>
                          </w:p>
                        </w:txbxContent>
                      </wps:txbx>
                      <wps:bodyPr upright="1"/>
                    </wps:wsp>
                  </a:graphicData>
                </a:graphic>
              </wp:inline>
            </w:drawing>
          </mc:Choice>
          <mc:Fallback>
            <w:pict>
              <v:rect id="矩形 2" o:spid="_x0000_s1026" o:spt="1" style="height:135.6pt;width:192.6pt;" fillcolor="#FFFFFF" filled="t" stroked="t" coordsize="21600,21600" o:gfxdata="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KrvGG1QAAAAUBAAAPAAAAAAAAAAEAIAAAACIAAABkcnMvZG93bnJl&#10;di54bWxQSwECFAAUAAAACACHTuJAOHVx7gACAAAqBAAADgAAAAAAAAABACAAAAAkAQAAZHJzL2Uy&#10;b0RvYy54bWxQSwUGAAAAAAYABgBZAQAAlgUAAAAA&#10;">
                <v:fill on="t" focussize="0,0"/>
                <v:stroke color="#000000" joinstyle="miter"/>
                <v:imagedata o:title=""/>
                <o:lock v:ext="edit" aspectratio="f"/>
                <v:textbox>
                  <w:txbxContent>
                    <w:p>
                      <w:pPr>
                        <w:jc w:val="center"/>
                        <w:rPr>
                          <w:szCs w:val="21"/>
                        </w:rPr>
                      </w:pPr>
                    </w:p>
                    <w:p>
                      <w:pPr>
                        <w:jc w:val="center"/>
                        <w:rPr>
                          <w:szCs w:val="21"/>
                        </w:rPr>
                      </w:pPr>
                    </w:p>
                    <w:p>
                      <w:pPr>
                        <w:jc w:val="center"/>
                        <w:rPr>
                          <w:szCs w:val="21"/>
                        </w:rPr>
                      </w:pPr>
                    </w:p>
                    <w:p>
                      <w:pPr>
                        <w:jc w:val="center"/>
                        <w:rPr>
                          <w:szCs w:val="21"/>
                        </w:rPr>
                      </w:pPr>
                      <w:r>
                        <w:rPr>
                          <w:rFonts w:hint="eastAsia"/>
                          <w:szCs w:val="21"/>
                        </w:rPr>
                        <w:t>法定代表人身份证复印件</w:t>
                      </w:r>
                    </w:p>
                  </w:txbxContent>
                </v:textbox>
                <w10:wrap type="none"/>
                <w10:anchorlock/>
              </v:rect>
            </w:pict>
          </mc:Fallback>
        </mc:AlternateContent>
      </w:r>
    </w:p>
    <w:p>
      <w:pPr>
        <w:spacing w:line="50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（盖单位章）</w:t>
      </w:r>
    </w:p>
    <w:p>
      <w:pPr>
        <w:wordWrap w:val="0"/>
        <w:spacing w:line="500" w:lineRule="exact"/>
        <w:jc w:val="right"/>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法定代表人：</w:t>
      </w:r>
      <w:r>
        <w:rPr>
          <w:rFonts w:hint="eastAsia" w:asciiTheme="minorEastAsia" w:hAnsiTheme="minorEastAsia" w:eastAsiaTheme="minorEastAsia"/>
          <w:color w:val="auto"/>
          <w:szCs w:val="21"/>
          <w:highlight w:val="none"/>
          <w:u w:val="single"/>
        </w:rPr>
        <w:t xml:space="preserve">                          （签字或盖章）</w:t>
      </w:r>
    </w:p>
    <w:p>
      <w:pPr>
        <w:wordWrap w:val="0"/>
        <w:spacing w:line="50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 xml:space="preserve">日 </w:t>
      </w:r>
    </w:p>
    <w:p>
      <w:pPr>
        <w:spacing w:line="500" w:lineRule="exact"/>
        <w:jc w:val="left"/>
        <w:rPr>
          <w:rFonts w:asciiTheme="minorEastAsia" w:hAnsiTheme="minorEastAsia" w:eastAsiaTheme="minorEastAsia"/>
          <w:b/>
          <w:color w:val="auto"/>
          <w:sz w:val="24"/>
          <w:highlight w:val="none"/>
        </w:rPr>
      </w:pPr>
    </w:p>
    <w:p>
      <w:pPr>
        <w:pStyle w:val="5"/>
        <w:jc w:val="center"/>
        <w:rPr>
          <w:rFonts w:asciiTheme="minorEastAsia" w:hAnsiTheme="minorEastAsia" w:eastAsiaTheme="minorEastAsia"/>
          <w:b w:val="0"/>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2" w:name="_Toc138238351"/>
      <w:r>
        <w:rPr>
          <w:rFonts w:hint="eastAsia" w:asciiTheme="minorEastAsia" w:hAnsiTheme="minorEastAsia" w:eastAsiaTheme="minorEastAsia"/>
          <w:color w:val="auto"/>
          <w:sz w:val="28"/>
          <w:szCs w:val="28"/>
          <w:highlight w:val="none"/>
        </w:rPr>
        <w:t>三、授权委托书</w:t>
      </w:r>
      <w:bookmarkEnd w:id="1572"/>
    </w:p>
    <w:p>
      <w:pPr>
        <w:spacing w:line="420" w:lineRule="exact"/>
        <w:rPr>
          <w:rFonts w:asciiTheme="minorEastAsia" w:hAnsiTheme="minorEastAsia" w:eastAsiaTheme="minorEastAsia"/>
          <w:b/>
          <w:color w:val="auto"/>
          <w:sz w:val="28"/>
          <w:szCs w:val="28"/>
          <w:highlight w:val="none"/>
        </w:rPr>
      </w:pPr>
    </w:p>
    <w:p>
      <w:pPr>
        <w:spacing w:line="480" w:lineRule="auto"/>
        <w:ind w:firstLine="411" w:firstLineChars="196"/>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本人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（姓名）系</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名称）的法定代表人，现委托</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（姓名）为我方代理人。代理人根据授权，以我方名义签署、澄清、说明、补正、递交、撤回、修改</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（项目名称）施工响应文件、签订合同和处理有关事宜，其法律后果由我方承担。</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委托期限：</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代理人无转委托权。</w:t>
      </w: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60"/>
        <w:gridCol w:w="687"/>
        <w:gridCol w:w="41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7" w:hRule="atLeast"/>
        </w:trPr>
        <w:tc>
          <w:tcPr>
            <w:tcW w:w="4160" w:type="dxa"/>
            <w:tcBorders>
              <w:right w:val="single" w:color="auto" w:sz="2" w:space="0"/>
            </w:tcBorders>
          </w:tcPr>
          <w:p>
            <w:pPr>
              <w:spacing w:line="480" w:lineRule="auto"/>
              <w:jc w:val="center"/>
              <w:rPr>
                <w:rFonts w:asciiTheme="minorEastAsia" w:hAnsiTheme="minorEastAsia" w:eastAsiaTheme="minorEastAsia"/>
                <w:color w:val="auto"/>
                <w:highlight w:val="none"/>
              </w:rPr>
            </w:pPr>
          </w:p>
          <w:p>
            <w:pPr>
              <w:spacing w:line="480" w:lineRule="auto"/>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法定代表人身份证复印件</w:t>
            </w:r>
          </w:p>
        </w:tc>
        <w:tc>
          <w:tcPr>
            <w:tcW w:w="687" w:type="dxa"/>
            <w:tcBorders>
              <w:top w:val="nil"/>
              <w:left w:val="single" w:color="auto" w:sz="2" w:space="0"/>
              <w:bottom w:val="nil"/>
              <w:right w:val="single" w:color="auto" w:sz="2" w:space="0"/>
            </w:tcBorders>
          </w:tcPr>
          <w:p>
            <w:pPr>
              <w:spacing w:line="480" w:lineRule="auto"/>
              <w:jc w:val="center"/>
              <w:rPr>
                <w:rFonts w:asciiTheme="minorEastAsia" w:hAnsiTheme="minorEastAsia" w:eastAsiaTheme="minorEastAsia"/>
                <w:color w:val="auto"/>
                <w:highlight w:val="none"/>
              </w:rPr>
            </w:pPr>
          </w:p>
        </w:tc>
        <w:tc>
          <w:tcPr>
            <w:tcW w:w="4156" w:type="dxa"/>
            <w:tcBorders>
              <w:left w:val="single" w:color="auto" w:sz="2" w:space="0"/>
            </w:tcBorders>
          </w:tcPr>
          <w:p>
            <w:pPr>
              <w:spacing w:line="480" w:lineRule="auto"/>
              <w:jc w:val="center"/>
              <w:rPr>
                <w:rFonts w:asciiTheme="minorEastAsia" w:hAnsiTheme="minorEastAsia" w:eastAsiaTheme="minorEastAsia"/>
                <w:color w:val="auto"/>
                <w:highlight w:val="none"/>
              </w:rPr>
            </w:pPr>
          </w:p>
          <w:p>
            <w:pPr>
              <w:spacing w:line="480" w:lineRule="auto"/>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授权委托人身份证复印件</w:t>
            </w:r>
          </w:p>
        </w:tc>
      </w:tr>
    </w:tbl>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投  标  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（盖单位章）</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法定代表人：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（签字或盖章）</w:t>
      </w:r>
    </w:p>
    <w:p>
      <w:pPr>
        <w:spacing w:line="480" w:lineRule="auto"/>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 xml:space="preserve">                                身份证号码：</w:t>
      </w:r>
      <w:r>
        <w:rPr>
          <w:rFonts w:hint="eastAsia" w:asciiTheme="minorEastAsia" w:hAnsiTheme="minorEastAsia" w:eastAsiaTheme="minorEastAsia"/>
          <w:color w:val="auto"/>
          <w:highlight w:val="none"/>
          <w:u w:val="single"/>
        </w:rPr>
        <w:t xml:space="preserve">                                 </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授权委托人：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（签字）</w:t>
      </w:r>
    </w:p>
    <w:p>
      <w:pPr>
        <w:spacing w:line="480" w:lineRule="auto"/>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 xml:space="preserve">                                身份证号码：</w:t>
      </w:r>
      <w:r>
        <w:rPr>
          <w:rFonts w:hint="eastAsia" w:asciiTheme="minorEastAsia" w:hAnsiTheme="minorEastAsia" w:eastAsiaTheme="minorEastAsia"/>
          <w:color w:val="auto"/>
          <w:highlight w:val="none"/>
          <w:u w:val="single"/>
        </w:rPr>
        <w:t xml:space="preserve">                                 </w:t>
      </w:r>
    </w:p>
    <w:p>
      <w:pPr>
        <w:spacing w:line="48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                                日      期：</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pStyle w:val="5"/>
        <w:jc w:val="center"/>
        <w:rPr>
          <w:rFonts w:asciiTheme="minorEastAsia" w:hAnsiTheme="minorEastAsia" w:eastAsiaTheme="minorEastAsia"/>
          <w:b w:val="0"/>
          <w:color w:val="auto"/>
          <w:highlight w:val="none"/>
        </w:rPr>
      </w:pPr>
      <w:r>
        <w:rPr>
          <w:rFonts w:asciiTheme="minorEastAsia" w:hAnsiTheme="minorEastAsia" w:eastAsiaTheme="minorEastAsia"/>
          <w:color w:val="auto"/>
          <w:szCs w:val="21"/>
          <w:highlight w:val="none"/>
        </w:rPr>
        <w:br w:type="page"/>
      </w:r>
      <w:bookmarkStart w:id="1573" w:name="_Toc138238352"/>
      <w:r>
        <w:rPr>
          <w:rFonts w:hint="eastAsia" w:asciiTheme="minorEastAsia" w:hAnsiTheme="minorEastAsia" w:eastAsiaTheme="minorEastAsia"/>
          <w:color w:val="auto"/>
          <w:sz w:val="28"/>
          <w:szCs w:val="28"/>
          <w:highlight w:val="none"/>
        </w:rPr>
        <w:t>四、磋商保证金</w:t>
      </w:r>
      <w:bookmarkEnd w:id="1573"/>
    </w:p>
    <w:p>
      <w:pPr>
        <w:spacing w:line="360" w:lineRule="auto"/>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致：</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采购人名称</w:t>
      </w:r>
      <w:r>
        <w:rPr>
          <w:rFonts w:asciiTheme="minorEastAsia" w:hAnsiTheme="minorEastAsia" w:eastAsiaTheme="minorEastAsia"/>
          <w:color w:val="auto"/>
          <w:highlight w:val="none"/>
          <w:u w:val="single"/>
        </w:rPr>
        <w:t>}</w:t>
      </w:r>
      <w:r>
        <w:rPr>
          <w:rFonts w:asciiTheme="minorEastAsia" w:hAnsiTheme="minorEastAsia" w:eastAsiaTheme="minorEastAsia"/>
          <w:color w:val="auto"/>
          <w:highlight w:val="none"/>
          <w:u w:val="single"/>
        </w:rPr>
        <w:tab/>
      </w:r>
      <w:r>
        <w:rPr>
          <w:rFonts w:asciiTheme="minorEastAsia" w:hAnsiTheme="minorEastAsia" w:eastAsiaTheme="minorEastAsia"/>
          <w:color w:val="auto"/>
          <w:highlight w:val="none"/>
          <w:u w:val="single"/>
        </w:rPr>
        <w:tab/>
      </w:r>
      <w:r>
        <w:rPr>
          <w:rFonts w:asciiTheme="minorEastAsia" w:hAnsiTheme="minorEastAsia" w:eastAsiaTheme="minorEastAsia"/>
          <w:color w:val="auto"/>
          <w:highlight w:val="none"/>
          <w:u w:val="single"/>
        </w:rPr>
        <w:t xml:space="preserve">  </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t xml:space="preserve"> </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lang w:eastAsia="zh-CN"/>
        </w:rPr>
        <w:t>响应供应商</w:t>
      </w:r>
      <w:r>
        <w:rPr>
          <w:rFonts w:hint="eastAsia" w:asciiTheme="minorEastAsia" w:hAnsiTheme="minorEastAsia" w:eastAsiaTheme="minorEastAsia"/>
          <w:color w:val="auto"/>
          <w:highlight w:val="none"/>
          <w:u w:val="single"/>
        </w:rPr>
        <w:t>名称）</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（以下称</w:t>
      </w:r>
      <w:r>
        <w:rPr>
          <w:rFonts w:asciiTheme="minorEastAsia" w:hAnsiTheme="minorEastAsia" w:eastAsiaTheme="minorEastAsia"/>
          <w:color w:val="auto"/>
          <w:highlight w:val="none"/>
        </w:rPr>
        <w:t>“</w:t>
      </w:r>
      <w:r>
        <w:rPr>
          <w:rFonts w:hint="eastAsia" w:asciiTheme="minorEastAsia" w:hAnsiTheme="minorEastAsia" w:eastAsiaTheme="minorEastAsia"/>
          <w:color w:val="auto"/>
          <w:highlight w:val="none"/>
          <w:lang w:eastAsia="zh-CN"/>
        </w:rPr>
        <w:t>响应供应商</w:t>
      </w:r>
      <w:r>
        <w:rPr>
          <w:rFonts w:asciiTheme="minorEastAsia" w:hAnsiTheme="minorEastAsia" w:eastAsiaTheme="minorEastAsia"/>
          <w:color w:val="auto"/>
          <w:highlight w:val="none"/>
        </w:rPr>
        <w:t>”</w:t>
      </w:r>
      <w:r>
        <w:rPr>
          <w:rFonts w:hint="eastAsia" w:asciiTheme="minorEastAsia" w:hAnsiTheme="minorEastAsia" w:eastAsiaTheme="minorEastAsia"/>
          <w:color w:val="auto"/>
          <w:highlight w:val="none"/>
        </w:rPr>
        <w:t>）于</w:t>
      </w: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日递交了</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采购工程项目名称、采购编号</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的磋商保证金人民币</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元；</w:t>
      </w:r>
    </w:p>
    <w:p>
      <w:pPr>
        <w:spacing w:line="360" w:lineRule="auto"/>
        <w:jc w:val="center"/>
        <w:rPr>
          <w:rFonts w:asciiTheme="minorEastAsia" w:hAnsiTheme="minorEastAsia" w:eastAsiaTheme="minorEastAsia"/>
          <w:color w:val="auto"/>
          <w:highlight w:val="none"/>
        </w:rPr>
      </w:pPr>
    </w:p>
    <w:p>
      <w:pPr>
        <w:spacing w:line="360" w:lineRule="auto"/>
        <w:ind w:firstLine="21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如果我方在响应有效期内收到你方的成交通知书后</w:t>
      </w:r>
    </w:p>
    <w:p>
      <w:pPr>
        <w:spacing w:line="360" w:lineRule="auto"/>
        <w:ind w:firstLine="210" w:firstLineChars="100"/>
        <w:rPr>
          <w:rFonts w:asciiTheme="minorEastAsia" w:hAnsiTheme="minorEastAsia" w:eastAsiaTheme="minorEastAsia"/>
          <w:color w:val="auto"/>
          <w:highlight w:val="none"/>
        </w:rPr>
      </w:pPr>
      <w:r>
        <w:rPr>
          <w:rFonts w:asciiTheme="minorEastAsia" w:hAnsiTheme="minorEastAsia" w:eastAsiaTheme="minorEastAsia"/>
          <w:color w:val="auto"/>
          <w:highlight w:val="none"/>
        </w:rPr>
        <w:t>1</w:t>
      </w:r>
      <w:r>
        <w:rPr>
          <w:rFonts w:hint="eastAsia" w:asciiTheme="minorEastAsia" w:hAnsiTheme="minorEastAsia" w:eastAsiaTheme="minorEastAsia"/>
          <w:color w:val="auto"/>
          <w:highlight w:val="none"/>
        </w:rPr>
        <w:t>、不能或拒绝按响应须知的要求签署合同协议书；</w:t>
      </w:r>
    </w:p>
    <w:p>
      <w:pPr>
        <w:spacing w:line="360" w:lineRule="auto"/>
        <w:ind w:firstLine="210" w:firstLineChars="100"/>
        <w:rPr>
          <w:rFonts w:asciiTheme="minorEastAsia" w:hAnsiTheme="minorEastAsia" w:eastAsiaTheme="minorEastAsia"/>
          <w:color w:val="auto"/>
          <w:highlight w:val="none"/>
        </w:rPr>
      </w:pPr>
      <w:r>
        <w:rPr>
          <w:rFonts w:asciiTheme="minorEastAsia" w:hAnsiTheme="minorEastAsia" w:eastAsiaTheme="minorEastAsia"/>
          <w:color w:val="auto"/>
          <w:highlight w:val="none"/>
        </w:rPr>
        <w:t>2</w:t>
      </w:r>
      <w:r>
        <w:rPr>
          <w:rFonts w:hint="eastAsia" w:asciiTheme="minorEastAsia" w:hAnsiTheme="minorEastAsia" w:eastAsiaTheme="minorEastAsia"/>
          <w:color w:val="auto"/>
          <w:highlight w:val="none"/>
        </w:rPr>
        <w:t>、不能在响应有效期内撤回响应文件。</w:t>
      </w:r>
    </w:p>
    <w:p>
      <w:pPr>
        <w:spacing w:line="360" w:lineRule="auto"/>
        <w:ind w:firstLine="21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否则你方有权没收我方的磋商保证金。</w:t>
      </w:r>
    </w:p>
    <w:p>
      <w:pPr>
        <w:spacing w:line="360" w:lineRule="auto"/>
        <w:ind w:firstLine="210" w:firstLineChars="1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我方同意磋商文件有关磋商保证金规定，并对我方有约束力。</w:t>
      </w:r>
    </w:p>
    <w:p>
      <w:pPr>
        <w:rPr>
          <w:rFonts w:asciiTheme="minorEastAsia" w:hAnsiTheme="minorEastAsia" w:eastAsiaTheme="minorEastAsia"/>
          <w:color w:val="auto"/>
          <w:highlight w:val="none"/>
        </w:rPr>
      </w:pP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7" w:hRule="atLeast"/>
        </w:trPr>
        <w:tc>
          <w:tcPr>
            <w:tcW w:w="9045" w:type="dxa"/>
          </w:tcPr>
          <w:p>
            <w:pPr>
              <w:rPr>
                <w:rFonts w:asciiTheme="minorEastAsia" w:hAnsiTheme="minorEastAsia" w:eastAsiaTheme="minorEastAsia"/>
                <w:b/>
                <w:color w:val="auto"/>
                <w:highlight w:val="none"/>
              </w:rPr>
            </w:pPr>
          </w:p>
          <w:p>
            <w:pPr>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附</w:t>
            </w:r>
            <w:r>
              <w:rPr>
                <w:rFonts w:asciiTheme="minorEastAsia" w:hAnsiTheme="minorEastAsia" w:eastAsiaTheme="minorEastAsia"/>
                <w:b/>
                <w:color w:val="auto"/>
                <w:highlight w:val="none"/>
              </w:rPr>
              <w:t>:</w:t>
            </w:r>
            <w:r>
              <w:rPr>
                <w:rFonts w:hint="eastAsia" w:asciiTheme="minorEastAsia" w:hAnsiTheme="minorEastAsia" w:eastAsiaTheme="minorEastAsia"/>
                <w:b/>
                <w:color w:val="auto"/>
                <w:highlight w:val="none"/>
              </w:rPr>
              <w:t>银行进账单</w:t>
            </w: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附：基本账户开户许可证</w:t>
            </w: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tc>
      </w:tr>
    </w:tbl>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p>
    <w:p>
      <w:pPr>
        <w:spacing w:line="360" w:lineRule="auto"/>
        <w:ind w:firstLine="3255" w:firstLineChars="1550"/>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（公章）</w:t>
      </w:r>
    </w:p>
    <w:p>
      <w:pPr>
        <w:spacing w:line="360" w:lineRule="auto"/>
        <w:ind w:firstLine="3238" w:firstLineChars="154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法定代表人或其授权委托人：</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（签字或盖章）</w:t>
      </w:r>
    </w:p>
    <w:p>
      <w:pPr>
        <w:spacing w:line="360" w:lineRule="auto"/>
        <w:ind w:firstLine="3238" w:firstLineChars="154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日</w:t>
      </w:r>
      <w:r>
        <w:rPr>
          <w:rFonts w:asciiTheme="minorEastAsia" w:hAnsiTheme="minorEastAsia" w:eastAsiaTheme="minorEastAsia"/>
          <w:color w:val="auto"/>
          <w:highlight w:val="none"/>
        </w:rPr>
        <w:t xml:space="preserve">   </w:t>
      </w:r>
      <w:r>
        <w:rPr>
          <w:rFonts w:hint="eastAsia" w:asciiTheme="minorEastAsia" w:hAnsiTheme="minorEastAsia" w:eastAsiaTheme="minorEastAsia"/>
          <w:color w:val="auto"/>
          <w:highlight w:val="none"/>
        </w:rPr>
        <w:t>期：</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月</w:t>
      </w:r>
      <w:r>
        <w:rPr>
          <w:rFonts w:asciiTheme="minorEastAsia" w:hAnsiTheme="minorEastAsia" w:eastAsiaTheme="minorEastAsia"/>
          <w:color w:val="auto"/>
          <w:highlight w:val="non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日</w:t>
      </w:r>
    </w:p>
    <w:p>
      <w:pPr>
        <w:rPr>
          <w:rFonts w:asciiTheme="minorEastAsia" w:hAnsiTheme="minorEastAsia" w:eastAsiaTheme="minorEastAsia"/>
          <w:color w:val="auto"/>
          <w:highlight w:val="none"/>
        </w:rPr>
      </w:pPr>
    </w:p>
    <w:p>
      <w:pPr>
        <w:spacing w:line="460" w:lineRule="exact"/>
        <w:ind w:right="420"/>
        <w:rPr>
          <w:rFonts w:asciiTheme="minorEastAsia" w:hAnsiTheme="minorEastAsia" w:eastAsiaTheme="minorEastAsia"/>
          <w:color w:val="auto"/>
          <w:szCs w:val="21"/>
          <w:highlight w:val="none"/>
        </w:rPr>
      </w:pPr>
    </w:p>
    <w:p>
      <w:pPr>
        <w:spacing w:line="460" w:lineRule="exact"/>
        <w:rPr>
          <w:rFonts w:asciiTheme="minorEastAsia" w:hAnsiTheme="minorEastAsia" w:eastAsiaTheme="minorEastAsia"/>
          <w:color w:val="auto"/>
          <w:szCs w:val="21"/>
          <w:highlight w:val="none"/>
        </w:rPr>
      </w:pPr>
    </w:p>
    <w:p>
      <w:pPr>
        <w:spacing w:line="46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备注：经过采购人事先的书面同意，</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可采用采购人认可的响应保函格式，但相关内容</w:t>
      </w:r>
    </w:p>
    <w:p>
      <w:pPr>
        <w:spacing w:line="46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不得背离磋商文件约定的实质性内容。</w:t>
      </w:r>
    </w:p>
    <w:p>
      <w:pPr>
        <w:pStyle w:val="5"/>
        <w:jc w:val="center"/>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4" w:name="_Toc138238353"/>
      <w:r>
        <w:rPr>
          <w:rFonts w:hint="eastAsia" w:asciiTheme="minorEastAsia" w:hAnsiTheme="minorEastAsia" w:eastAsiaTheme="minorEastAsia"/>
          <w:color w:val="auto"/>
          <w:sz w:val="28"/>
          <w:szCs w:val="28"/>
          <w:highlight w:val="none"/>
        </w:rPr>
        <w:t>五、已标价工程量清单</w:t>
      </w:r>
      <w:bookmarkEnd w:id="1574"/>
    </w:p>
    <w:p>
      <w:pPr>
        <w:spacing w:line="46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说明：已标价工程量清单按第五章“工程量清单”中的相关清单表格式填写。构成合同文件</w:t>
      </w:r>
    </w:p>
    <w:p>
      <w:pPr>
        <w:spacing w:line="46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的已标价工程量清单包括第五章“工程量清单”有关工程量清单、磋商报价以及其他说明的内容。</w:t>
      </w:r>
    </w:p>
    <w:p>
      <w:pPr>
        <w:pStyle w:val="5"/>
        <w:jc w:val="center"/>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5" w:name="_Toc138238354"/>
      <w:r>
        <w:rPr>
          <w:rFonts w:hint="eastAsia" w:asciiTheme="minorEastAsia" w:hAnsiTheme="minorEastAsia" w:eastAsiaTheme="minorEastAsia"/>
          <w:color w:val="auto"/>
          <w:sz w:val="28"/>
          <w:szCs w:val="28"/>
          <w:highlight w:val="none"/>
        </w:rPr>
        <w:t>六、施工组织设计</w:t>
      </w:r>
      <w:bookmarkEnd w:id="1575"/>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应根据磋商文件，采用文字并结合图表形式，参考以下要点编制本工程的施工组织设计：</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（1）施工方案及技术措施；</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（2）质量保证措施和创优计划；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（3）施工总进度计划及保证措施（包括以横道图或标明关键线路的网络进度计划、保障进度计划需要的主要施工机械设备、劳动力需求计划及保证措施、材料设备进场计划及其他保证措施等）；</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（4）施工安全措施计划；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（5）文明施工措施计划；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（6）施工场地治安保卫管理计划；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（7）施工环保措施计划；</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（8）冬季和雨季施工方案；</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（9）施工现场总平面布置（</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应递交一份施工总平面图，绘出现场临时设施布置图表并附文字说明，说明临时设施、加工车间、现场办公、设备及仓储、供电、供水、卫生、生活、道路、消防等设施的情况和布置）；</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（10）成品保护和工程保修工作的管理措施和承诺；</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（11）任何可能的紧急情况的处理措施、预案以及抵抗风险（包括工程施工过程中可能遇到的各种风险）的措施；</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（12）对总包管理的认识以及对专业分包工程的配合、协调、管理、服务方案；</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（13）与发包人、监理及设计人的配合；</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（14）磋商文件规定的其他内容。</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2．施工组织设计除采用文字表述外可附下列图表，图表及格式要求附后。</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附表一  拟投入本工程的主要施工设备表</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附表二  拟配备本工程的试验和检测仪器设备表</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附表三  劳动力计划表</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附表四  计划开、竣工日期和施工进度网络图</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附表五  施工总平面图</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附表六  临时用地表</w:t>
      </w:r>
    </w:p>
    <w:p>
      <w:pPr>
        <w:spacing w:line="42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p>
    <w:p>
      <w:pPr>
        <w:pStyle w:val="5"/>
        <w:rPr>
          <w:rFonts w:asciiTheme="minorEastAsia" w:hAnsiTheme="minorEastAsia" w:eastAsiaTheme="minorEastAsia"/>
          <w:color w:val="auto"/>
          <w:sz w:val="28"/>
          <w:szCs w:val="28"/>
          <w:highlight w:val="none"/>
        </w:rPr>
      </w:pPr>
      <w:bookmarkStart w:id="1576" w:name="_Toc138238355"/>
      <w:r>
        <w:rPr>
          <w:rFonts w:hint="eastAsia" w:asciiTheme="minorEastAsia" w:hAnsiTheme="minorEastAsia" w:eastAsiaTheme="minorEastAsia"/>
          <w:color w:val="auto"/>
          <w:sz w:val="28"/>
          <w:szCs w:val="28"/>
          <w:highlight w:val="none"/>
        </w:rPr>
        <w:t>附表一：拟投入本工程的主要施工设备表</w:t>
      </w:r>
      <w:bookmarkEnd w:id="1576"/>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0"/>
        <w:gridCol w:w="1008"/>
        <w:gridCol w:w="637"/>
        <w:gridCol w:w="969"/>
        <w:gridCol w:w="672"/>
        <w:gridCol w:w="672"/>
        <w:gridCol w:w="1115"/>
        <w:gridCol w:w="827"/>
        <w:gridCol w:w="969"/>
        <w:gridCol w:w="1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339"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560"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设备名称</w:t>
            </w:r>
          </w:p>
        </w:tc>
        <w:tc>
          <w:tcPr>
            <w:tcW w:w="35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型号</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规格</w:t>
            </w:r>
          </w:p>
        </w:tc>
        <w:tc>
          <w:tcPr>
            <w:tcW w:w="538"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数  量</w:t>
            </w:r>
          </w:p>
        </w:tc>
        <w:tc>
          <w:tcPr>
            <w:tcW w:w="373"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国别</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产地</w:t>
            </w:r>
          </w:p>
        </w:tc>
        <w:tc>
          <w:tcPr>
            <w:tcW w:w="373"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制造</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年份</w:t>
            </w:r>
          </w:p>
        </w:tc>
        <w:tc>
          <w:tcPr>
            <w:tcW w:w="619"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额定功率</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（KW）</w:t>
            </w:r>
          </w:p>
        </w:tc>
        <w:tc>
          <w:tcPr>
            <w:tcW w:w="459"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生产</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能力</w:t>
            </w:r>
          </w:p>
        </w:tc>
        <w:tc>
          <w:tcPr>
            <w:tcW w:w="538"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用于施</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工部位</w:t>
            </w:r>
          </w:p>
        </w:tc>
        <w:tc>
          <w:tcPr>
            <w:tcW w:w="84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39" w:type="pct"/>
            <w:vAlign w:val="center"/>
          </w:tcPr>
          <w:p>
            <w:pPr>
              <w:jc w:val="center"/>
              <w:rPr>
                <w:rFonts w:asciiTheme="minorEastAsia" w:hAnsiTheme="minorEastAsia" w:eastAsiaTheme="minorEastAsia"/>
                <w:color w:val="auto"/>
                <w:szCs w:val="21"/>
                <w:highlight w:val="none"/>
              </w:rPr>
            </w:pPr>
          </w:p>
        </w:tc>
        <w:tc>
          <w:tcPr>
            <w:tcW w:w="560" w:type="pct"/>
            <w:vAlign w:val="center"/>
          </w:tcPr>
          <w:p>
            <w:pPr>
              <w:jc w:val="center"/>
              <w:rPr>
                <w:rFonts w:asciiTheme="minorEastAsia" w:hAnsiTheme="minorEastAsia" w:eastAsiaTheme="minorEastAsia"/>
                <w:color w:val="auto"/>
                <w:szCs w:val="21"/>
                <w:highlight w:val="none"/>
              </w:rPr>
            </w:pPr>
          </w:p>
        </w:tc>
        <w:tc>
          <w:tcPr>
            <w:tcW w:w="354"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619" w:type="pct"/>
            <w:vAlign w:val="center"/>
          </w:tcPr>
          <w:p>
            <w:pPr>
              <w:jc w:val="center"/>
              <w:rPr>
                <w:rFonts w:asciiTheme="minorEastAsia" w:hAnsiTheme="minorEastAsia" w:eastAsiaTheme="minorEastAsia"/>
                <w:color w:val="auto"/>
                <w:szCs w:val="21"/>
                <w:highlight w:val="none"/>
              </w:rPr>
            </w:pPr>
          </w:p>
        </w:tc>
        <w:tc>
          <w:tcPr>
            <w:tcW w:w="459" w:type="pct"/>
            <w:vAlign w:val="center"/>
          </w:tcPr>
          <w:p>
            <w:pPr>
              <w:jc w:val="center"/>
              <w:rPr>
                <w:rFonts w:asciiTheme="minorEastAsia" w:hAnsiTheme="minorEastAsia" w:eastAsiaTheme="minorEastAsia"/>
                <w:color w:val="auto"/>
                <w:szCs w:val="21"/>
                <w:highlight w:val="none"/>
              </w:rPr>
            </w:pPr>
          </w:p>
        </w:tc>
        <w:tc>
          <w:tcPr>
            <w:tcW w:w="538" w:type="pct"/>
            <w:vAlign w:val="center"/>
          </w:tcPr>
          <w:p>
            <w:pPr>
              <w:jc w:val="center"/>
              <w:rPr>
                <w:rFonts w:asciiTheme="minorEastAsia" w:hAnsiTheme="minorEastAsia" w:eastAsiaTheme="minorEastAsia"/>
                <w:color w:val="auto"/>
                <w:szCs w:val="21"/>
                <w:highlight w:val="none"/>
              </w:rPr>
            </w:pPr>
          </w:p>
        </w:tc>
        <w:tc>
          <w:tcPr>
            <w:tcW w:w="846" w:type="pct"/>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5"/>
        <w:rPr>
          <w:rFonts w:asciiTheme="minorEastAsia" w:hAnsiTheme="minorEastAsia" w:eastAsiaTheme="minorEastAsia"/>
          <w:color w:val="auto"/>
          <w:sz w:val="28"/>
          <w:szCs w:val="28"/>
          <w:highlight w:val="none"/>
        </w:rPr>
      </w:pPr>
      <w:bookmarkStart w:id="1577" w:name="_Toc138238356"/>
      <w:r>
        <w:rPr>
          <w:rFonts w:hint="eastAsia" w:asciiTheme="minorEastAsia" w:hAnsiTheme="minorEastAsia" w:eastAsiaTheme="minorEastAsia"/>
          <w:color w:val="auto"/>
          <w:sz w:val="28"/>
          <w:szCs w:val="28"/>
          <w:highlight w:val="none"/>
        </w:rPr>
        <w:t>附表二：拟配备本工程的试验和检测仪器设备表</w:t>
      </w:r>
      <w:bookmarkEnd w:id="1577"/>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4"/>
        <w:gridCol w:w="1023"/>
        <w:gridCol w:w="659"/>
        <w:gridCol w:w="983"/>
        <w:gridCol w:w="693"/>
        <w:gridCol w:w="693"/>
        <w:gridCol w:w="1127"/>
        <w:gridCol w:w="1576"/>
        <w:gridCol w:w="16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352"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568"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仪器设备</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名    称</w:t>
            </w:r>
          </w:p>
        </w:tc>
        <w:tc>
          <w:tcPr>
            <w:tcW w:w="36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型号</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规格</w:t>
            </w:r>
          </w:p>
        </w:tc>
        <w:tc>
          <w:tcPr>
            <w:tcW w:w="54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数  量</w:t>
            </w:r>
          </w:p>
        </w:tc>
        <w:tc>
          <w:tcPr>
            <w:tcW w:w="385"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国别</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产地</w:t>
            </w:r>
          </w:p>
        </w:tc>
        <w:tc>
          <w:tcPr>
            <w:tcW w:w="385"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制造</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年份</w:t>
            </w:r>
          </w:p>
        </w:tc>
        <w:tc>
          <w:tcPr>
            <w:tcW w:w="62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已使用台</w:t>
            </w:r>
          </w:p>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时    数</w:t>
            </w:r>
          </w:p>
        </w:tc>
        <w:tc>
          <w:tcPr>
            <w:tcW w:w="875"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用  途</w:t>
            </w:r>
          </w:p>
        </w:tc>
        <w:tc>
          <w:tcPr>
            <w:tcW w:w="897"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52" w:type="pct"/>
            <w:vAlign w:val="center"/>
          </w:tcPr>
          <w:p>
            <w:pPr>
              <w:jc w:val="center"/>
              <w:rPr>
                <w:rFonts w:asciiTheme="minorEastAsia" w:hAnsiTheme="minorEastAsia" w:eastAsiaTheme="minorEastAsia"/>
                <w:color w:val="auto"/>
                <w:szCs w:val="21"/>
                <w:highlight w:val="none"/>
              </w:rPr>
            </w:pPr>
          </w:p>
        </w:tc>
        <w:tc>
          <w:tcPr>
            <w:tcW w:w="568" w:type="pct"/>
            <w:vAlign w:val="center"/>
          </w:tcPr>
          <w:p>
            <w:pPr>
              <w:jc w:val="center"/>
              <w:rPr>
                <w:rFonts w:asciiTheme="minorEastAsia" w:hAnsiTheme="minorEastAsia" w:eastAsiaTheme="minorEastAsia"/>
                <w:color w:val="auto"/>
                <w:szCs w:val="21"/>
                <w:highlight w:val="none"/>
              </w:rPr>
            </w:pPr>
          </w:p>
        </w:tc>
        <w:tc>
          <w:tcPr>
            <w:tcW w:w="366" w:type="pct"/>
            <w:vAlign w:val="center"/>
          </w:tcPr>
          <w:p>
            <w:pPr>
              <w:jc w:val="center"/>
              <w:rPr>
                <w:rFonts w:asciiTheme="minorEastAsia" w:hAnsiTheme="minorEastAsia" w:eastAsiaTheme="minorEastAsia"/>
                <w:color w:val="auto"/>
                <w:szCs w:val="21"/>
                <w:highlight w:val="none"/>
              </w:rPr>
            </w:pPr>
          </w:p>
        </w:tc>
        <w:tc>
          <w:tcPr>
            <w:tcW w:w="546"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385" w:type="pct"/>
            <w:vAlign w:val="center"/>
          </w:tcPr>
          <w:p>
            <w:pPr>
              <w:jc w:val="center"/>
              <w:rPr>
                <w:rFonts w:asciiTheme="minorEastAsia" w:hAnsiTheme="minorEastAsia" w:eastAsiaTheme="minorEastAsia"/>
                <w:color w:val="auto"/>
                <w:szCs w:val="21"/>
                <w:highlight w:val="none"/>
              </w:rPr>
            </w:pPr>
          </w:p>
        </w:tc>
        <w:tc>
          <w:tcPr>
            <w:tcW w:w="626" w:type="pct"/>
            <w:vAlign w:val="center"/>
          </w:tcPr>
          <w:p>
            <w:pPr>
              <w:jc w:val="center"/>
              <w:rPr>
                <w:rFonts w:asciiTheme="minorEastAsia" w:hAnsiTheme="minorEastAsia" w:eastAsiaTheme="minorEastAsia"/>
                <w:color w:val="auto"/>
                <w:szCs w:val="21"/>
                <w:highlight w:val="none"/>
              </w:rPr>
            </w:pPr>
          </w:p>
        </w:tc>
        <w:tc>
          <w:tcPr>
            <w:tcW w:w="875" w:type="pct"/>
            <w:vAlign w:val="center"/>
          </w:tcPr>
          <w:p>
            <w:pPr>
              <w:jc w:val="center"/>
              <w:rPr>
                <w:rFonts w:asciiTheme="minorEastAsia" w:hAnsiTheme="minorEastAsia" w:eastAsiaTheme="minorEastAsia"/>
                <w:color w:val="auto"/>
                <w:szCs w:val="21"/>
                <w:highlight w:val="none"/>
              </w:rPr>
            </w:pPr>
          </w:p>
        </w:tc>
        <w:tc>
          <w:tcPr>
            <w:tcW w:w="897" w:type="pct"/>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5"/>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78" w:name="_Toc138238357"/>
      <w:r>
        <w:rPr>
          <w:rFonts w:hint="eastAsia" w:asciiTheme="minorEastAsia" w:hAnsiTheme="minorEastAsia" w:eastAsiaTheme="minorEastAsia"/>
          <w:color w:val="auto"/>
          <w:sz w:val="28"/>
          <w:szCs w:val="28"/>
          <w:highlight w:val="none"/>
        </w:rPr>
        <w:t>附表三：劳动力计划表</w:t>
      </w:r>
      <w:bookmarkEnd w:id="1578"/>
    </w:p>
    <w:p>
      <w:pPr>
        <w:wordWrap w:val="0"/>
        <w:spacing w:line="42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单位：人   </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1"/>
        <w:gridCol w:w="1343"/>
        <w:gridCol w:w="1010"/>
        <w:gridCol w:w="1010"/>
        <w:gridCol w:w="1010"/>
        <w:gridCol w:w="1011"/>
        <w:gridCol w:w="1011"/>
        <w:gridCol w:w="1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工种</w:t>
            </w:r>
          </w:p>
        </w:tc>
        <w:tc>
          <w:tcPr>
            <w:tcW w:w="8647" w:type="dxa"/>
            <w:gridSpan w:val="7"/>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vAlign w:val="center"/>
          </w:tcPr>
          <w:p>
            <w:pPr>
              <w:jc w:val="center"/>
              <w:rPr>
                <w:rFonts w:asciiTheme="minorEastAsia" w:hAnsiTheme="minorEastAsia" w:eastAsiaTheme="minorEastAsia"/>
                <w:color w:val="auto"/>
                <w:szCs w:val="21"/>
                <w:highlight w:val="none"/>
              </w:rPr>
            </w:pPr>
          </w:p>
        </w:tc>
        <w:tc>
          <w:tcPr>
            <w:tcW w:w="1418"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063" w:type="dxa"/>
            <w:vAlign w:val="center"/>
          </w:tcPr>
          <w:p>
            <w:pPr>
              <w:jc w:val="center"/>
              <w:rPr>
                <w:rFonts w:asciiTheme="minorEastAsia" w:hAnsiTheme="minorEastAsia" w:eastAsiaTheme="minorEastAsia"/>
                <w:color w:val="auto"/>
                <w:szCs w:val="21"/>
                <w:highlight w:val="none"/>
              </w:rPr>
            </w:pPr>
          </w:p>
        </w:tc>
        <w:tc>
          <w:tcPr>
            <w:tcW w:w="1914" w:type="dxa"/>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5"/>
        <w:rPr>
          <w:rFonts w:asciiTheme="minorEastAsia" w:hAnsiTheme="minorEastAsia" w:eastAsiaTheme="minorEastAsia"/>
          <w:color w:val="auto"/>
          <w:sz w:val="28"/>
          <w:szCs w:val="28"/>
          <w:highlight w:val="none"/>
        </w:rPr>
      </w:pPr>
      <w:bookmarkStart w:id="1579" w:name="_Toc138238358"/>
      <w:r>
        <w:rPr>
          <w:rFonts w:hint="eastAsia" w:asciiTheme="minorEastAsia" w:hAnsiTheme="minorEastAsia" w:eastAsiaTheme="minorEastAsia"/>
          <w:color w:val="auto"/>
          <w:sz w:val="28"/>
          <w:szCs w:val="28"/>
          <w:highlight w:val="none"/>
        </w:rPr>
        <w:t>附表四：计划开、竣工日期和施工进度网络图</w:t>
      </w:r>
      <w:bookmarkEnd w:id="1579"/>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应递交施工进度网络图或施工进度表，说明按磋商文件要求的计划工期进行施工的各个关键日期。</w:t>
      </w:r>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2．施工进度表可采用网络图和（或）横道图表示。</w:t>
      </w:r>
    </w:p>
    <w:p>
      <w:pPr>
        <w:pStyle w:val="5"/>
        <w:rPr>
          <w:rFonts w:asciiTheme="minorEastAsia" w:hAnsiTheme="minorEastAsia" w:eastAsiaTheme="minorEastAsia"/>
          <w:color w:val="auto"/>
          <w:sz w:val="28"/>
          <w:szCs w:val="28"/>
          <w:highlight w:val="none"/>
        </w:rPr>
      </w:pPr>
      <w:r>
        <w:rPr>
          <w:rStyle w:val="103"/>
          <w:rFonts w:asciiTheme="minorEastAsia" w:hAnsiTheme="minorEastAsia" w:eastAsiaTheme="minorEastAsia"/>
          <w:b w:val="0"/>
          <w:bCs w:val="0"/>
          <w:color w:val="auto"/>
          <w:highlight w:val="none"/>
        </w:rPr>
        <w:br w:type="page"/>
      </w:r>
      <w:bookmarkStart w:id="1580" w:name="_Toc138238359"/>
      <w:r>
        <w:rPr>
          <w:rFonts w:hint="eastAsia" w:asciiTheme="minorEastAsia" w:hAnsiTheme="minorEastAsia" w:eastAsiaTheme="minorEastAsia"/>
          <w:color w:val="auto"/>
          <w:sz w:val="28"/>
          <w:szCs w:val="28"/>
          <w:highlight w:val="none"/>
        </w:rPr>
        <w:t>附表五：施工总平面图</w:t>
      </w:r>
      <w:bookmarkEnd w:id="1580"/>
    </w:p>
    <w:p>
      <w:pPr>
        <w:spacing w:line="42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应递交一份施工总平面图，绘出现场临时设施布置图表并附文字说明，说明临时设施、加工车间、现场办公、设备及仓储、供电、供水、卫生、生活、道路、消防等设施的情况和布置。</w:t>
      </w: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spacing w:line="420" w:lineRule="exact"/>
        <w:ind w:firstLine="420" w:firstLineChars="200"/>
        <w:rPr>
          <w:rFonts w:asciiTheme="minorEastAsia" w:hAnsiTheme="minorEastAsia" w:eastAsiaTheme="minorEastAsia"/>
          <w:color w:val="auto"/>
          <w:szCs w:val="21"/>
          <w:highlight w:val="none"/>
        </w:rPr>
      </w:pPr>
    </w:p>
    <w:p>
      <w:pPr>
        <w:pStyle w:val="102"/>
        <w:rPr>
          <w:rFonts w:asciiTheme="minorEastAsia" w:hAnsiTheme="minorEastAsia" w:eastAsiaTheme="minorEastAsia"/>
          <w:color w:val="auto"/>
          <w:highlight w:val="none"/>
        </w:rPr>
      </w:pPr>
      <w:bookmarkStart w:id="1581" w:name="_Toc138238360"/>
      <w:r>
        <w:rPr>
          <w:rFonts w:hint="eastAsia" w:asciiTheme="minorEastAsia" w:hAnsiTheme="minorEastAsia" w:eastAsiaTheme="minorEastAsia"/>
          <w:color w:val="auto"/>
          <w:highlight w:val="none"/>
        </w:rPr>
        <w:t>附表六：临时用地表</w:t>
      </w:r>
      <w:bookmarkEnd w:id="1581"/>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53"/>
        <w:gridCol w:w="1990"/>
        <w:gridCol w:w="1977"/>
        <w:gridCol w:w="2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用  途</w:t>
            </w:r>
          </w:p>
        </w:tc>
        <w:tc>
          <w:tcPr>
            <w:tcW w:w="207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面 积（平方米）</w:t>
            </w:r>
          </w:p>
        </w:tc>
        <w:tc>
          <w:tcPr>
            <w:tcW w:w="207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位  置</w:t>
            </w:r>
          </w:p>
        </w:tc>
        <w:tc>
          <w:tcPr>
            <w:tcW w:w="293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079" w:type="dxa"/>
          </w:tcPr>
          <w:p>
            <w:pPr>
              <w:rPr>
                <w:rFonts w:asciiTheme="minorEastAsia" w:hAnsiTheme="minorEastAsia" w:eastAsiaTheme="minorEastAsia"/>
                <w:color w:val="auto"/>
                <w:szCs w:val="21"/>
                <w:highlight w:val="none"/>
              </w:rPr>
            </w:pPr>
          </w:p>
        </w:tc>
        <w:tc>
          <w:tcPr>
            <w:tcW w:w="2930" w:type="dxa"/>
          </w:tcPr>
          <w:p>
            <w:pP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82" w:name="_Toc138238361"/>
      <w:r>
        <w:rPr>
          <w:rFonts w:hint="eastAsia" w:asciiTheme="minorEastAsia" w:hAnsiTheme="minorEastAsia" w:eastAsiaTheme="minorEastAsia"/>
          <w:color w:val="auto"/>
          <w:highlight w:val="none"/>
        </w:rPr>
        <w:t>七、项目管理机构</w:t>
      </w:r>
      <w:bookmarkEnd w:id="1582"/>
    </w:p>
    <w:p>
      <w:pPr>
        <w:pStyle w:val="102"/>
        <w:rPr>
          <w:rFonts w:asciiTheme="minorEastAsia" w:hAnsiTheme="minorEastAsia" w:eastAsiaTheme="minorEastAsia"/>
          <w:color w:val="auto"/>
          <w:highlight w:val="none"/>
        </w:rPr>
      </w:pPr>
      <w:bookmarkStart w:id="1583" w:name="_Toc138238362"/>
      <w:r>
        <w:rPr>
          <w:rFonts w:hint="eastAsia" w:asciiTheme="minorEastAsia" w:hAnsiTheme="minorEastAsia" w:eastAsiaTheme="minorEastAsia"/>
          <w:color w:val="auto"/>
          <w:highlight w:val="none"/>
        </w:rPr>
        <w:t>（一）项目管理机构组成表</w:t>
      </w:r>
      <w:bookmarkEnd w:id="1583"/>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671"/>
        <w:gridCol w:w="672"/>
        <w:gridCol w:w="1075"/>
        <w:gridCol w:w="731"/>
        <w:gridCol w:w="1532"/>
        <w:gridCol w:w="852"/>
        <w:gridCol w:w="2127"/>
        <w:gridCol w:w="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职务</w:t>
            </w:r>
          </w:p>
        </w:tc>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姓名</w:t>
            </w:r>
          </w:p>
        </w:tc>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职称</w:t>
            </w:r>
          </w:p>
        </w:tc>
        <w:tc>
          <w:tcPr>
            <w:tcW w:w="3508" w:type="pct"/>
            <w:gridSpan w:val="5"/>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执业或职业资格证明</w:t>
            </w:r>
          </w:p>
        </w:tc>
        <w:tc>
          <w:tcPr>
            <w:tcW w:w="373" w:type="pct"/>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Merge w:val="continue"/>
            <w:vAlign w:val="center"/>
          </w:tcPr>
          <w:p>
            <w:pPr>
              <w:jc w:val="center"/>
              <w:rPr>
                <w:rFonts w:asciiTheme="minorEastAsia" w:hAnsiTheme="minorEastAsia" w:eastAsiaTheme="minorEastAsia"/>
                <w:color w:val="auto"/>
                <w:szCs w:val="21"/>
                <w:highlight w:val="none"/>
              </w:rPr>
            </w:pPr>
          </w:p>
        </w:tc>
        <w:tc>
          <w:tcPr>
            <w:tcW w:w="373" w:type="pct"/>
            <w:vMerge w:val="continue"/>
            <w:vAlign w:val="center"/>
          </w:tcPr>
          <w:p>
            <w:pPr>
              <w:jc w:val="center"/>
              <w:rPr>
                <w:rFonts w:asciiTheme="minorEastAsia" w:hAnsiTheme="minorEastAsia" w:eastAsiaTheme="minorEastAsia"/>
                <w:color w:val="auto"/>
                <w:szCs w:val="21"/>
                <w:highlight w:val="none"/>
              </w:rPr>
            </w:pPr>
          </w:p>
        </w:tc>
        <w:tc>
          <w:tcPr>
            <w:tcW w:w="373" w:type="pct"/>
            <w:vMerge w:val="continue"/>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证书名称</w:t>
            </w:r>
          </w:p>
        </w:tc>
        <w:tc>
          <w:tcPr>
            <w:tcW w:w="406"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级别</w:t>
            </w:r>
          </w:p>
        </w:tc>
        <w:tc>
          <w:tcPr>
            <w:tcW w:w="851"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证号</w:t>
            </w:r>
          </w:p>
        </w:tc>
        <w:tc>
          <w:tcPr>
            <w:tcW w:w="473"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专业</w:t>
            </w:r>
          </w:p>
        </w:tc>
        <w:tc>
          <w:tcPr>
            <w:tcW w:w="1181"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社会保险参保编号</w:t>
            </w:r>
          </w:p>
        </w:tc>
        <w:tc>
          <w:tcPr>
            <w:tcW w:w="373" w:type="pct"/>
            <w:vMerge w:val="continue"/>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c>
          <w:tcPr>
            <w:tcW w:w="597" w:type="pct"/>
            <w:vAlign w:val="center"/>
          </w:tcPr>
          <w:p>
            <w:pPr>
              <w:jc w:val="center"/>
              <w:rPr>
                <w:rFonts w:asciiTheme="minorEastAsia" w:hAnsiTheme="minorEastAsia" w:eastAsiaTheme="minorEastAsia"/>
                <w:color w:val="auto"/>
                <w:szCs w:val="21"/>
                <w:highlight w:val="none"/>
              </w:rPr>
            </w:pPr>
          </w:p>
        </w:tc>
        <w:tc>
          <w:tcPr>
            <w:tcW w:w="406" w:type="pct"/>
            <w:vAlign w:val="center"/>
          </w:tcPr>
          <w:p>
            <w:pPr>
              <w:jc w:val="center"/>
              <w:rPr>
                <w:rFonts w:asciiTheme="minorEastAsia" w:hAnsiTheme="minorEastAsia" w:eastAsiaTheme="minorEastAsia"/>
                <w:color w:val="auto"/>
                <w:szCs w:val="21"/>
                <w:highlight w:val="none"/>
              </w:rPr>
            </w:pPr>
          </w:p>
        </w:tc>
        <w:tc>
          <w:tcPr>
            <w:tcW w:w="851" w:type="pct"/>
            <w:vAlign w:val="center"/>
          </w:tcPr>
          <w:p>
            <w:pPr>
              <w:jc w:val="center"/>
              <w:rPr>
                <w:rFonts w:asciiTheme="minorEastAsia" w:hAnsiTheme="minorEastAsia" w:eastAsiaTheme="minorEastAsia"/>
                <w:color w:val="auto"/>
                <w:szCs w:val="21"/>
                <w:highlight w:val="none"/>
              </w:rPr>
            </w:pPr>
          </w:p>
        </w:tc>
        <w:tc>
          <w:tcPr>
            <w:tcW w:w="473" w:type="pct"/>
            <w:vAlign w:val="center"/>
          </w:tcPr>
          <w:p>
            <w:pPr>
              <w:jc w:val="center"/>
              <w:rPr>
                <w:rFonts w:asciiTheme="minorEastAsia" w:hAnsiTheme="minorEastAsia" w:eastAsiaTheme="minorEastAsia"/>
                <w:color w:val="auto"/>
                <w:szCs w:val="21"/>
                <w:highlight w:val="none"/>
              </w:rPr>
            </w:pPr>
          </w:p>
        </w:tc>
        <w:tc>
          <w:tcPr>
            <w:tcW w:w="1181" w:type="pct"/>
            <w:vAlign w:val="center"/>
          </w:tcPr>
          <w:p>
            <w:pPr>
              <w:jc w:val="center"/>
              <w:rPr>
                <w:rFonts w:asciiTheme="minorEastAsia" w:hAnsiTheme="minorEastAsia" w:eastAsiaTheme="minorEastAsia"/>
                <w:color w:val="auto"/>
                <w:szCs w:val="21"/>
                <w:highlight w:val="none"/>
              </w:rPr>
            </w:pPr>
          </w:p>
        </w:tc>
        <w:tc>
          <w:tcPr>
            <w:tcW w:w="373" w:type="pct"/>
            <w:vAlign w:val="center"/>
          </w:tcPr>
          <w:p>
            <w:pPr>
              <w:jc w:val="center"/>
              <w:rPr>
                <w:rFonts w:asciiTheme="minorEastAsia" w:hAnsiTheme="minorEastAsia" w:eastAsiaTheme="minorEastAsia"/>
                <w:color w:val="auto"/>
                <w:szCs w:val="21"/>
                <w:highlight w:val="none"/>
              </w:rPr>
            </w:pPr>
          </w:p>
        </w:tc>
      </w:tr>
    </w:tbl>
    <w:p>
      <w:pPr>
        <w:rPr>
          <w:rFonts w:asciiTheme="minorEastAsia" w:hAnsiTheme="minorEastAsia" w:eastAsiaTheme="minorEastAsia"/>
          <w:color w:val="auto"/>
          <w:highlight w:val="none"/>
        </w:rPr>
      </w:pP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p>
    <w:p>
      <w:pPr>
        <w:pStyle w:val="102"/>
        <w:rPr>
          <w:rFonts w:asciiTheme="minorEastAsia" w:hAnsiTheme="minorEastAsia" w:eastAsiaTheme="minorEastAsia"/>
          <w:color w:val="auto"/>
          <w:highlight w:val="none"/>
        </w:rPr>
      </w:pPr>
      <w:bookmarkStart w:id="1584" w:name="_Toc138238363"/>
      <w:r>
        <w:rPr>
          <w:rFonts w:hint="eastAsia" w:asciiTheme="minorEastAsia" w:hAnsiTheme="minorEastAsia" w:eastAsiaTheme="minorEastAsia"/>
          <w:color w:val="auto"/>
          <w:highlight w:val="none"/>
        </w:rPr>
        <w:t>（二）主要人员简历表</w:t>
      </w:r>
      <w:bookmarkEnd w:id="1584"/>
    </w:p>
    <w:p>
      <w:pPr>
        <w:spacing w:line="42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附1：项目经理简历表</w:t>
      </w:r>
    </w:p>
    <w:p>
      <w:pPr>
        <w:rPr>
          <w:color w:val="auto"/>
          <w:highlight w:val="none"/>
        </w:rPr>
      </w:pPr>
      <w:r>
        <w:rPr>
          <w:rFonts w:hint="eastAsia"/>
          <w:color w:val="auto"/>
          <w:highlight w:val="none"/>
        </w:rPr>
        <w:t>项目经理应附身份证、职称证、学历证、养老保险复印件及未担任其他在施建设工程项目项目经理的承诺书，管理过的项目业绩须附成交通知书或合同协议书或竣工验收备案登记表复印件。类似项目限于以项目经理身份参与的项目。</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9"/>
        <w:gridCol w:w="981"/>
        <w:gridCol w:w="1087"/>
        <w:gridCol w:w="1219"/>
        <w:gridCol w:w="1750"/>
        <w:gridCol w:w="2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  名</w:t>
            </w:r>
          </w:p>
        </w:tc>
        <w:tc>
          <w:tcPr>
            <w:tcW w:w="981" w:type="dxa"/>
            <w:vAlign w:val="center"/>
          </w:tcPr>
          <w:p>
            <w:pPr>
              <w:jc w:val="center"/>
              <w:rPr>
                <w:rFonts w:asciiTheme="minorEastAsia" w:hAnsiTheme="minorEastAsia" w:eastAsiaTheme="minorEastAsia"/>
                <w:color w:val="auto"/>
                <w:szCs w:val="21"/>
                <w:highlight w:val="none"/>
              </w:rPr>
            </w:pPr>
          </w:p>
        </w:tc>
        <w:tc>
          <w:tcPr>
            <w:tcW w:w="108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  龄</w:t>
            </w:r>
          </w:p>
        </w:tc>
        <w:tc>
          <w:tcPr>
            <w:tcW w:w="1219" w:type="dxa"/>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学历</w:t>
            </w: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  称</w:t>
            </w:r>
          </w:p>
        </w:tc>
        <w:tc>
          <w:tcPr>
            <w:tcW w:w="981" w:type="dxa"/>
            <w:vAlign w:val="center"/>
          </w:tcPr>
          <w:p>
            <w:pPr>
              <w:jc w:val="center"/>
              <w:rPr>
                <w:rFonts w:asciiTheme="minorEastAsia" w:hAnsiTheme="minorEastAsia" w:eastAsiaTheme="minorEastAsia"/>
                <w:color w:val="auto"/>
                <w:szCs w:val="21"/>
                <w:highlight w:val="none"/>
              </w:rPr>
            </w:pPr>
          </w:p>
        </w:tc>
        <w:tc>
          <w:tcPr>
            <w:tcW w:w="108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职  务</w:t>
            </w:r>
          </w:p>
        </w:tc>
        <w:tc>
          <w:tcPr>
            <w:tcW w:w="1219" w:type="dxa"/>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拟在本工程任职</w:t>
            </w:r>
          </w:p>
        </w:tc>
        <w:tc>
          <w:tcPr>
            <w:tcW w:w="28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毕业学校</w:t>
            </w:r>
          </w:p>
        </w:tc>
        <w:tc>
          <w:tcPr>
            <w:tcW w:w="7846" w:type="dxa"/>
            <w:gridSpan w:val="5"/>
            <w:vAlign w:val="center"/>
          </w:tcPr>
          <w:p>
            <w:pPr>
              <w:ind w:firstLine="840" w:firstLineChars="4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95" w:type="dxa"/>
            <w:gridSpan w:val="6"/>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4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时  间</w:t>
            </w:r>
          </w:p>
        </w:tc>
        <w:tc>
          <w:tcPr>
            <w:tcW w:w="3287" w:type="dxa"/>
            <w:gridSpan w:val="3"/>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参加过的类似项目名称</w:t>
            </w:r>
          </w:p>
        </w:tc>
        <w:tc>
          <w:tcPr>
            <w:tcW w:w="175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工程概况说明</w:t>
            </w:r>
          </w:p>
        </w:tc>
        <w:tc>
          <w:tcPr>
            <w:tcW w:w="28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49" w:type="dxa"/>
            <w:vAlign w:val="center"/>
          </w:tcPr>
          <w:p>
            <w:pPr>
              <w:jc w:val="center"/>
              <w:rPr>
                <w:rFonts w:asciiTheme="minorEastAsia" w:hAnsiTheme="minorEastAsia" w:eastAsiaTheme="minorEastAsia"/>
                <w:color w:val="auto"/>
                <w:szCs w:val="21"/>
                <w:highlight w:val="none"/>
              </w:rPr>
            </w:pPr>
          </w:p>
        </w:tc>
        <w:tc>
          <w:tcPr>
            <w:tcW w:w="3287" w:type="dxa"/>
            <w:gridSpan w:val="3"/>
            <w:vAlign w:val="center"/>
          </w:tcPr>
          <w:p>
            <w:pPr>
              <w:jc w:val="center"/>
              <w:rPr>
                <w:rFonts w:asciiTheme="minorEastAsia" w:hAnsiTheme="minorEastAsia" w:eastAsiaTheme="minorEastAsia"/>
                <w:color w:val="auto"/>
                <w:szCs w:val="21"/>
                <w:highlight w:val="none"/>
              </w:rPr>
            </w:pPr>
          </w:p>
        </w:tc>
        <w:tc>
          <w:tcPr>
            <w:tcW w:w="1750" w:type="dxa"/>
            <w:vAlign w:val="center"/>
          </w:tcPr>
          <w:p>
            <w:pPr>
              <w:jc w:val="center"/>
              <w:rPr>
                <w:rFonts w:asciiTheme="minorEastAsia" w:hAnsiTheme="minorEastAsia" w:eastAsiaTheme="minorEastAsia"/>
                <w:color w:val="auto"/>
                <w:szCs w:val="21"/>
                <w:highlight w:val="none"/>
              </w:rPr>
            </w:pPr>
          </w:p>
        </w:tc>
        <w:tc>
          <w:tcPr>
            <w:tcW w:w="2809" w:type="dxa"/>
            <w:vAlign w:val="center"/>
          </w:tcPr>
          <w:p>
            <w:pPr>
              <w:jc w:val="center"/>
              <w:rPr>
                <w:rFonts w:asciiTheme="minorEastAsia" w:hAnsiTheme="minorEastAsia" w:eastAsiaTheme="minorEastAsia"/>
                <w:color w:val="auto"/>
                <w:szCs w:val="21"/>
                <w:highlight w:val="none"/>
              </w:rPr>
            </w:pPr>
          </w:p>
        </w:tc>
      </w:tr>
    </w:tbl>
    <w:p>
      <w:pPr>
        <w:spacing w:line="420" w:lineRule="exact"/>
        <w:rPr>
          <w:rFonts w:asciiTheme="minorEastAsia" w:hAnsiTheme="minorEastAsia" w:eastAsiaTheme="minorEastAsia"/>
          <w:color w:val="auto"/>
          <w:szCs w:val="21"/>
          <w:highlight w:val="none"/>
        </w:rPr>
      </w:pPr>
    </w:p>
    <w:p>
      <w:pPr>
        <w:spacing w:line="420" w:lineRule="exac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r>
        <w:rPr>
          <w:rFonts w:hint="eastAsia" w:asciiTheme="minorEastAsia" w:hAnsiTheme="minorEastAsia" w:eastAsiaTheme="minorEastAsia"/>
          <w:color w:val="auto"/>
          <w:szCs w:val="21"/>
          <w:highlight w:val="none"/>
        </w:rPr>
        <w:t>附2：主要项目管理人员简历表</w:t>
      </w:r>
    </w:p>
    <w:p>
      <w:pPr>
        <w:rPr>
          <w:color w:val="auto"/>
          <w:highlight w:val="none"/>
        </w:rPr>
      </w:pPr>
      <w:r>
        <w:rPr>
          <w:rFonts w:hint="eastAsia"/>
          <w:color w:val="auto"/>
          <w:highlight w:val="none"/>
        </w:rPr>
        <w:t>主要项目管理人员指技术负责人、施工员、质检员、材料员、专职安全生产管理人员等岗位人员。应附注册资格证书、身份证、职称证、学历证、养老保险复印件，专职安全生产管理人员应附安全生产考核合格证书，主要业绩须附成交通知书或合同协议书或竣工验收备案登记表复印件。</w:t>
      </w: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0"/>
        <w:gridCol w:w="2242"/>
        <w:gridCol w:w="2259"/>
        <w:gridCol w:w="2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岗位名称</w:t>
            </w:r>
          </w:p>
        </w:tc>
        <w:tc>
          <w:tcPr>
            <w:tcW w:w="6743" w:type="dxa"/>
            <w:gridSpan w:val="3"/>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姓    名</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年    龄</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性    别</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毕业学校</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学历和专业</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毕业时间</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拥有的执业资格</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专业职称</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执业资格证书编号</w:t>
            </w:r>
          </w:p>
        </w:tc>
        <w:tc>
          <w:tcPr>
            <w:tcW w:w="2242" w:type="dxa"/>
          </w:tcPr>
          <w:p>
            <w:pPr>
              <w:spacing w:line="480" w:lineRule="auto"/>
              <w:jc w:val="center"/>
              <w:rPr>
                <w:rFonts w:asciiTheme="minorEastAsia" w:hAnsiTheme="minorEastAsia" w:eastAsiaTheme="minorEastAsia"/>
                <w:color w:val="auto"/>
                <w:sz w:val="24"/>
                <w:highlight w:val="none"/>
              </w:rPr>
            </w:pPr>
          </w:p>
        </w:tc>
        <w:tc>
          <w:tcPr>
            <w:tcW w:w="2259" w:type="dxa"/>
          </w:tcPr>
          <w:p>
            <w:pPr>
              <w:spacing w:line="48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工作年限</w:t>
            </w:r>
          </w:p>
        </w:tc>
        <w:tc>
          <w:tcPr>
            <w:tcW w:w="2242" w:type="dxa"/>
          </w:tcPr>
          <w:p>
            <w:pPr>
              <w:spacing w:line="480" w:lineRule="auto"/>
              <w:jc w:val="center"/>
              <w:rPr>
                <w:rFonts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0" w:type="dxa"/>
          </w:tcPr>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主</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要</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工</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作</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业</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绩</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及</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担</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任</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的</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主</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要</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工</w:t>
            </w:r>
          </w:p>
          <w:p>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作</w:t>
            </w:r>
          </w:p>
        </w:tc>
        <w:tc>
          <w:tcPr>
            <w:tcW w:w="6743" w:type="dxa"/>
            <w:gridSpan w:val="3"/>
          </w:tcPr>
          <w:p>
            <w:pPr>
              <w:spacing w:line="360" w:lineRule="auto"/>
              <w:jc w:val="center"/>
              <w:rPr>
                <w:rFonts w:asciiTheme="minorEastAsia" w:hAnsiTheme="minorEastAsia" w:eastAsiaTheme="minorEastAsia"/>
                <w:color w:val="auto"/>
                <w:sz w:val="24"/>
                <w:highlight w:val="none"/>
              </w:rPr>
            </w:pPr>
          </w:p>
        </w:tc>
      </w:tr>
    </w:tbl>
    <w:p>
      <w:pPr>
        <w:rPr>
          <w:rFonts w:asciiTheme="minorEastAsia" w:hAnsiTheme="minorEastAsia" w:eastAsiaTheme="minorEastAsia"/>
          <w:color w:val="auto"/>
          <w:szCs w:val="21"/>
          <w:highlight w:val="none"/>
        </w:rPr>
      </w:pPr>
    </w:p>
    <w:p>
      <w:pPr>
        <w:rPr>
          <w:rFonts w:asciiTheme="minorEastAsia" w:hAnsiTheme="minorEastAsia" w:eastAsiaTheme="minorEastAsia"/>
          <w:color w:val="auto"/>
          <w:szCs w:val="21"/>
          <w:highlight w:val="none"/>
        </w:rPr>
      </w:pPr>
    </w:p>
    <w:p>
      <w:pP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r>
        <w:rPr>
          <w:rFonts w:hint="eastAsia" w:asciiTheme="minorEastAsia" w:hAnsiTheme="minorEastAsia" w:eastAsiaTheme="minorEastAsia"/>
          <w:color w:val="auto"/>
          <w:szCs w:val="21"/>
          <w:highlight w:val="none"/>
        </w:rPr>
        <w:t>附3：承诺书</w:t>
      </w:r>
    </w:p>
    <w:p>
      <w:pPr>
        <w:spacing w:beforeLines="100" w:afterLines="100"/>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承诺书</w:t>
      </w:r>
    </w:p>
    <w:p>
      <w:pPr>
        <w:spacing w:afterLines="100"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（采购人名称）：</w:t>
      </w:r>
    </w:p>
    <w:p>
      <w:pPr>
        <w:spacing w:line="44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我方在此声明，我方拟派往</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（项目名称）（以下简称“本工程”）的项目经理</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（项目经理姓名）现阶段没有担任任何在施建设工程项目的项目经理。</w:t>
      </w:r>
    </w:p>
    <w:p>
      <w:pPr>
        <w:spacing w:line="44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我方保证上述信息的真实和准确，并愿意承担因我方就此弄虚作假所引起的一切法律后果。</w:t>
      </w: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特此承诺</w:t>
      </w: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ind w:firstLine="420" w:firstLineChars="200"/>
        <w:rPr>
          <w:rFonts w:asciiTheme="minorEastAsia" w:hAnsiTheme="minorEastAsia" w:eastAsiaTheme="minorEastAsia"/>
          <w:color w:val="auto"/>
          <w:szCs w:val="21"/>
          <w:highlight w:val="none"/>
        </w:rPr>
      </w:pPr>
    </w:p>
    <w:p>
      <w:pPr>
        <w:spacing w:line="44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（盖单位章）</w:t>
      </w:r>
    </w:p>
    <w:p>
      <w:pPr>
        <w:spacing w:line="44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法定代表人或其</w:t>
      </w:r>
      <w:r>
        <w:rPr>
          <w:rFonts w:hint="eastAsia" w:asciiTheme="minorEastAsia" w:hAnsiTheme="minorEastAsia" w:eastAsiaTheme="minorEastAsia"/>
          <w:color w:val="auto"/>
          <w:highlight w:val="none"/>
        </w:rPr>
        <w:t>授权委托人</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（签字或盖章）</w:t>
      </w:r>
    </w:p>
    <w:p>
      <w:pPr>
        <w:spacing w:line="440" w:lineRule="exact"/>
        <w:jc w:val="righ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85" w:name="_Toc138238364"/>
      <w:bookmarkStart w:id="1586" w:name="_Toc489202510"/>
      <w:r>
        <w:rPr>
          <w:rFonts w:hint="eastAsia" w:asciiTheme="minorEastAsia" w:hAnsiTheme="minorEastAsia" w:eastAsiaTheme="minorEastAsia"/>
          <w:color w:val="auto"/>
          <w:highlight w:val="none"/>
        </w:rPr>
        <w:t>八、拟分包情况表</w:t>
      </w:r>
      <w:bookmarkEnd w:id="1585"/>
      <w:bookmarkEnd w:id="1586"/>
    </w:p>
    <w:p>
      <w:pPr>
        <w:rPr>
          <w:color w:val="auto"/>
          <w:highlight w:val="none"/>
        </w:rPr>
      </w:pPr>
    </w:p>
    <w:tbl>
      <w:tblPr>
        <w:tblStyle w:val="47"/>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2206"/>
        <w:gridCol w:w="2206"/>
        <w:gridCol w:w="2230"/>
        <w:gridCol w:w="2361"/>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分包人名称</w:t>
            </w:r>
          </w:p>
        </w:tc>
        <w:tc>
          <w:tcPr>
            <w:tcW w:w="2353" w:type="dxa"/>
            <w:vAlign w:val="center"/>
          </w:tcPr>
          <w:p>
            <w:pPr>
              <w:jc w:val="center"/>
              <w:rPr>
                <w:rFonts w:asciiTheme="minorEastAsia" w:hAnsiTheme="minorEastAsia" w:eastAsiaTheme="minorEastAsia"/>
                <w:color w:val="auto"/>
                <w:highlight w:val="none"/>
              </w:rPr>
            </w:pP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地址</w:t>
            </w:r>
          </w:p>
        </w:tc>
        <w:tc>
          <w:tcPr>
            <w:tcW w:w="2521" w:type="dxa"/>
            <w:vAlign w:val="center"/>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w:t>
            </w:r>
          </w:p>
        </w:tc>
        <w:tc>
          <w:tcPr>
            <w:tcW w:w="2353" w:type="dxa"/>
            <w:vAlign w:val="center"/>
          </w:tcPr>
          <w:p>
            <w:pPr>
              <w:jc w:val="center"/>
              <w:rPr>
                <w:rFonts w:asciiTheme="minorEastAsia" w:hAnsiTheme="minorEastAsia" w:eastAsiaTheme="minorEastAsia"/>
                <w:color w:val="auto"/>
                <w:highlight w:val="none"/>
              </w:rPr>
            </w:pP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电话</w:t>
            </w:r>
          </w:p>
        </w:tc>
        <w:tc>
          <w:tcPr>
            <w:tcW w:w="2521" w:type="dxa"/>
            <w:vAlign w:val="center"/>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营业执照号码</w:t>
            </w:r>
          </w:p>
        </w:tc>
        <w:tc>
          <w:tcPr>
            <w:tcW w:w="2353" w:type="dxa"/>
            <w:vAlign w:val="center"/>
          </w:tcPr>
          <w:p>
            <w:pPr>
              <w:jc w:val="center"/>
              <w:rPr>
                <w:rFonts w:asciiTheme="minorEastAsia" w:hAnsiTheme="minorEastAsia" w:eastAsiaTheme="minorEastAsia"/>
                <w:color w:val="auto"/>
                <w:highlight w:val="none"/>
              </w:rPr>
            </w:pP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资质等级</w:t>
            </w:r>
          </w:p>
        </w:tc>
        <w:tc>
          <w:tcPr>
            <w:tcW w:w="2521" w:type="dxa"/>
            <w:vAlign w:val="center"/>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拟分包的工程项目</w:t>
            </w:r>
          </w:p>
        </w:tc>
        <w:tc>
          <w:tcPr>
            <w:tcW w:w="2353"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主要内容</w:t>
            </w:r>
          </w:p>
        </w:tc>
        <w:tc>
          <w:tcPr>
            <w:tcW w:w="236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预计造价（万元）</w:t>
            </w:r>
          </w:p>
        </w:tc>
        <w:tc>
          <w:tcPr>
            <w:tcW w:w="2521" w:type="dxa"/>
            <w:vAlign w:val="center"/>
          </w:tcPr>
          <w:p>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已经做过的类似工程</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restart"/>
          </w:tcPr>
          <w:p>
            <w:pPr>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5" w:hRule="exact"/>
        </w:trPr>
        <w:tc>
          <w:tcPr>
            <w:tcW w:w="2353" w:type="dxa"/>
            <w:vAlign w:val="center"/>
          </w:tcPr>
          <w:p>
            <w:pPr>
              <w:rPr>
                <w:rFonts w:asciiTheme="minorEastAsia" w:hAnsiTheme="minorEastAsia" w:eastAsiaTheme="minorEastAsia"/>
                <w:color w:val="auto"/>
                <w:highlight w:val="none"/>
              </w:rPr>
            </w:pPr>
          </w:p>
        </w:tc>
        <w:tc>
          <w:tcPr>
            <w:tcW w:w="2353" w:type="dxa"/>
            <w:vAlign w:val="center"/>
          </w:tcPr>
          <w:p>
            <w:pPr>
              <w:rPr>
                <w:rFonts w:asciiTheme="minorEastAsia" w:hAnsiTheme="minorEastAsia" w:eastAsiaTheme="minorEastAsia"/>
                <w:color w:val="auto"/>
                <w:highlight w:val="none"/>
              </w:rPr>
            </w:pPr>
          </w:p>
        </w:tc>
        <w:tc>
          <w:tcPr>
            <w:tcW w:w="2361" w:type="dxa"/>
            <w:vAlign w:val="center"/>
          </w:tcPr>
          <w:p>
            <w:pPr>
              <w:rPr>
                <w:rFonts w:asciiTheme="minorEastAsia" w:hAnsiTheme="minorEastAsia" w:eastAsiaTheme="minorEastAsia"/>
                <w:color w:val="auto"/>
                <w:highlight w:val="none"/>
              </w:rPr>
            </w:pPr>
          </w:p>
        </w:tc>
        <w:tc>
          <w:tcPr>
            <w:tcW w:w="2521" w:type="dxa"/>
            <w:vMerge w:val="continue"/>
          </w:tcPr>
          <w:p>
            <w:pPr>
              <w:ind w:firstLine="480"/>
              <w:rPr>
                <w:rFonts w:asciiTheme="minorEastAsia" w:hAnsiTheme="minorEastAsia" w:eastAsiaTheme="minorEastAsia"/>
                <w:color w:val="auto"/>
                <w:highlight w:val="none"/>
              </w:rPr>
            </w:pPr>
          </w:p>
        </w:tc>
      </w:tr>
    </w:tbl>
    <w:p>
      <w:pPr>
        <w:rPr>
          <w:rFonts w:asciiTheme="minorEastAsia" w:hAnsiTheme="minorEastAsia" w:eastAsiaTheme="minorEastAsia"/>
          <w:color w:val="auto"/>
          <w:highlight w:val="none"/>
        </w:rPr>
      </w:pP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87" w:name="_Toc489202511"/>
      <w:bookmarkStart w:id="1588" w:name="_Toc138238365"/>
      <w:r>
        <w:rPr>
          <w:rFonts w:hint="eastAsia" w:asciiTheme="minorEastAsia" w:hAnsiTheme="minorEastAsia" w:eastAsiaTheme="minorEastAsia"/>
          <w:color w:val="auto"/>
          <w:highlight w:val="none"/>
        </w:rPr>
        <w:t>九、资格审查资料</w:t>
      </w:r>
      <w:bookmarkEnd w:id="1587"/>
      <w:bookmarkEnd w:id="1588"/>
    </w:p>
    <w:p>
      <w:pPr>
        <w:pStyle w:val="102"/>
        <w:rPr>
          <w:rFonts w:asciiTheme="minorEastAsia" w:hAnsiTheme="minorEastAsia" w:eastAsiaTheme="minorEastAsia"/>
          <w:color w:val="auto"/>
          <w:highlight w:val="none"/>
        </w:rPr>
      </w:pPr>
      <w:bookmarkStart w:id="1589" w:name="_Toc489202512"/>
      <w:bookmarkStart w:id="1590" w:name="_Toc138238366"/>
      <w:r>
        <w:rPr>
          <w:rFonts w:hint="eastAsia" w:asciiTheme="minorEastAsia" w:hAnsiTheme="minorEastAsia" w:eastAsiaTheme="minorEastAsia"/>
          <w:color w:val="auto"/>
          <w:highlight w:val="none"/>
        </w:rPr>
        <w:t>（一）</w:t>
      </w:r>
      <w:r>
        <w:rPr>
          <w:rFonts w:hint="eastAsia" w:asciiTheme="minorEastAsia" w:hAnsiTheme="minorEastAsia" w:eastAsiaTheme="minorEastAsia"/>
          <w:color w:val="auto"/>
          <w:highlight w:val="none"/>
          <w:lang w:eastAsia="zh-CN"/>
        </w:rPr>
        <w:t>响应供应商</w:t>
      </w:r>
      <w:r>
        <w:rPr>
          <w:rFonts w:hint="eastAsia" w:asciiTheme="minorEastAsia" w:hAnsiTheme="minorEastAsia" w:eastAsiaTheme="minorEastAsia"/>
          <w:color w:val="auto"/>
          <w:highlight w:val="none"/>
        </w:rPr>
        <w:t>基本情况表</w:t>
      </w:r>
      <w:bookmarkEnd w:id="1589"/>
      <w:bookmarkEnd w:id="1590"/>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5"/>
        <w:gridCol w:w="897"/>
        <w:gridCol w:w="1021"/>
        <w:gridCol w:w="993"/>
        <w:gridCol w:w="283"/>
        <w:gridCol w:w="195"/>
        <w:gridCol w:w="1246"/>
        <w:gridCol w:w="260"/>
        <w:gridCol w:w="709"/>
        <w:gridCol w:w="1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名称</w:t>
            </w:r>
          </w:p>
        </w:tc>
        <w:tc>
          <w:tcPr>
            <w:tcW w:w="7438" w:type="dxa"/>
            <w:gridSpan w:val="9"/>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注册地址</w:t>
            </w:r>
          </w:p>
        </w:tc>
        <w:tc>
          <w:tcPr>
            <w:tcW w:w="3389" w:type="dxa"/>
            <w:gridSpan w:val="5"/>
            <w:vAlign w:val="center"/>
          </w:tcPr>
          <w:p>
            <w:pPr>
              <w:jc w:val="center"/>
              <w:rPr>
                <w:rFonts w:asciiTheme="minorEastAsia" w:hAnsiTheme="minorEastAsia" w:eastAsiaTheme="minorEastAsia"/>
                <w:color w:val="auto"/>
                <w:szCs w:val="21"/>
                <w:highlight w:val="none"/>
              </w:rPr>
            </w:pPr>
          </w:p>
        </w:tc>
        <w:tc>
          <w:tcPr>
            <w:tcW w:w="1246"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邮政编码</w:t>
            </w:r>
          </w:p>
        </w:tc>
        <w:tc>
          <w:tcPr>
            <w:tcW w:w="2803" w:type="dxa"/>
            <w:gridSpan w:val="3"/>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联系方式</w:t>
            </w: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联系人</w:t>
            </w:r>
          </w:p>
        </w:tc>
        <w:tc>
          <w:tcPr>
            <w:tcW w:w="2492" w:type="dxa"/>
            <w:gridSpan w:val="4"/>
            <w:vAlign w:val="center"/>
          </w:tcPr>
          <w:p>
            <w:pPr>
              <w:jc w:val="center"/>
              <w:rPr>
                <w:rFonts w:asciiTheme="minorEastAsia" w:hAnsiTheme="minorEastAsia" w:eastAsiaTheme="minorEastAsia"/>
                <w:color w:val="auto"/>
                <w:szCs w:val="21"/>
                <w:highlight w:val="none"/>
              </w:rPr>
            </w:pPr>
          </w:p>
        </w:tc>
        <w:tc>
          <w:tcPr>
            <w:tcW w:w="1246"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  话</w:t>
            </w:r>
          </w:p>
        </w:tc>
        <w:tc>
          <w:tcPr>
            <w:tcW w:w="2803" w:type="dxa"/>
            <w:gridSpan w:val="3"/>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vAlign w:val="center"/>
          </w:tcPr>
          <w:p>
            <w:pPr>
              <w:jc w:val="center"/>
              <w:rPr>
                <w:rFonts w:asciiTheme="minorEastAsia" w:hAnsiTheme="minorEastAsia" w:eastAsiaTheme="minorEastAsia"/>
                <w:color w:val="auto"/>
                <w:szCs w:val="21"/>
                <w:highlight w:val="none"/>
              </w:rPr>
            </w:pP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传  真</w:t>
            </w:r>
          </w:p>
        </w:tc>
        <w:tc>
          <w:tcPr>
            <w:tcW w:w="2492" w:type="dxa"/>
            <w:gridSpan w:val="4"/>
            <w:vAlign w:val="center"/>
          </w:tcPr>
          <w:p>
            <w:pPr>
              <w:jc w:val="center"/>
              <w:rPr>
                <w:rFonts w:asciiTheme="minorEastAsia" w:hAnsiTheme="minorEastAsia" w:eastAsiaTheme="minorEastAsia"/>
                <w:color w:val="auto"/>
                <w:szCs w:val="21"/>
                <w:highlight w:val="none"/>
              </w:rPr>
            </w:pPr>
          </w:p>
        </w:tc>
        <w:tc>
          <w:tcPr>
            <w:tcW w:w="1246"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网  址</w:t>
            </w:r>
          </w:p>
        </w:tc>
        <w:tc>
          <w:tcPr>
            <w:tcW w:w="2803" w:type="dxa"/>
            <w:gridSpan w:val="3"/>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组织结构</w:t>
            </w:r>
          </w:p>
        </w:tc>
        <w:tc>
          <w:tcPr>
            <w:tcW w:w="7438" w:type="dxa"/>
            <w:gridSpan w:val="9"/>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w:t>
            </w: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姓名</w:t>
            </w:r>
          </w:p>
        </w:tc>
        <w:tc>
          <w:tcPr>
            <w:tcW w:w="1021" w:type="dxa"/>
            <w:vAlign w:val="center"/>
          </w:tcPr>
          <w:p>
            <w:pPr>
              <w:jc w:val="center"/>
              <w:rPr>
                <w:rFonts w:asciiTheme="minorEastAsia" w:hAnsiTheme="minorEastAsia" w:eastAsiaTheme="minorEastAsia"/>
                <w:color w:val="auto"/>
                <w:szCs w:val="21"/>
                <w:highlight w:val="none"/>
              </w:rPr>
            </w:pPr>
          </w:p>
        </w:tc>
        <w:tc>
          <w:tcPr>
            <w:tcW w:w="1276" w:type="dxa"/>
            <w:gridSpan w:val="2"/>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技术职称</w:t>
            </w:r>
          </w:p>
        </w:tc>
        <w:tc>
          <w:tcPr>
            <w:tcW w:w="1701" w:type="dxa"/>
            <w:gridSpan w:val="3"/>
            <w:vAlign w:val="center"/>
          </w:tcPr>
          <w:p>
            <w:pPr>
              <w:jc w:val="center"/>
              <w:rPr>
                <w:rFonts w:asciiTheme="minorEastAsia" w:hAnsiTheme="minorEastAsia" w:eastAsiaTheme="minorEastAsia"/>
                <w:color w:val="auto"/>
                <w:szCs w:val="21"/>
                <w:highlight w:val="none"/>
              </w:rPr>
            </w:pPr>
          </w:p>
        </w:tc>
        <w:tc>
          <w:tcPr>
            <w:tcW w:w="7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电话</w:t>
            </w:r>
          </w:p>
        </w:tc>
        <w:tc>
          <w:tcPr>
            <w:tcW w:w="183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技术负责人</w:t>
            </w:r>
          </w:p>
        </w:tc>
        <w:tc>
          <w:tcPr>
            <w:tcW w:w="897"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姓名</w:t>
            </w:r>
          </w:p>
        </w:tc>
        <w:tc>
          <w:tcPr>
            <w:tcW w:w="1021" w:type="dxa"/>
            <w:vAlign w:val="center"/>
          </w:tcPr>
          <w:p>
            <w:pPr>
              <w:jc w:val="center"/>
              <w:rPr>
                <w:rFonts w:asciiTheme="minorEastAsia" w:hAnsiTheme="minorEastAsia" w:eastAsiaTheme="minorEastAsia"/>
                <w:color w:val="auto"/>
                <w:szCs w:val="21"/>
                <w:highlight w:val="none"/>
              </w:rPr>
            </w:pPr>
          </w:p>
        </w:tc>
        <w:tc>
          <w:tcPr>
            <w:tcW w:w="1276" w:type="dxa"/>
            <w:gridSpan w:val="2"/>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技术职称</w:t>
            </w:r>
          </w:p>
        </w:tc>
        <w:tc>
          <w:tcPr>
            <w:tcW w:w="1701" w:type="dxa"/>
            <w:gridSpan w:val="3"/>
            <w:vAlign w:val="center"/>
          </w:tcPr>
          <w:p>
            <w:pPr>
              <w:jc w:val="center"/>
              <w:rPr>
                <w:rFonts w:asciiTheme="minorEastAsia" w:hAnsiTheme="minorEastAsia" w:eastAsiaTheme="minorEastAsia"/>
                <w:color w:val="auto"/>
                <w:szCs w:val="21"/>
                <w:highlight w:val="none"/>
              </w:rPr>
            </w:pPr>
          </w:p>
        </w:tc>
        <w:tc>
          <w:tcPr>
            <w:tcW w:w="709"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电话</w:t>
            </w:r>
          </w:p>
        </w:tc>
        <w:tc>
          <w:tcPr>
            <w:tcW w:w="1834"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成立时间</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5520" w:type="dxa"/>
            <w:gridSpan w:val="7"/>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企业资质等级</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restar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其中</w:t>
            </w: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统一机构信用代码</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高级职称人员</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注册资金</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中级职称人员</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开户银行</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初级职称人员</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账号</w:t>
            </w:r>
          </w:p>
        </w:tc>
        <w:tc>
          <w:tcPr>
            <w:tcW w:w="1918" w:type="dxa"/>
            <w:gridSpan w:val="2"/>
            <w:vAlign w:val="center"/>
          </w:tcPr>
          <w:p>
            <w:pPr>
              <w:jc w:val="center"/>
              <w:rPr>
                <w:rFonts w:asciiTheme="minorEastAsia" w:hAnsiTheme="minorEastAsia" w:eastAsiaTheme="minorEastAsia"/>
                <w:color w:val="auto"/>
                <w:szCs w:val="21"/>
                <w:highlight w:val="none"/>
              </w:rPr>
            </w:pPr>
          </w:p>
        </w:tc>
        <w:tc>
          <w:tcPr>
            <w:tcW w:w="993" w:type="dxa"/>
            <w:vMerge w:val="continue"/>
            <w:vAlign w:val="center"/>
          </w:tcPr>
          <w:p>
            <w:pPr>
              <w:jc w:val="center"/>
              <w:rPr>
                <w:rFonts w:asciiTheme="minorEastAsia" w:hAnsiTheme="minorEastAsia" w:eastAsiaTheme="minorEastAsia"/>
                <w:color w:val="auto"/>
                <w:szCs w:val="21"/>
                <w:highlight w:val="none"/>
              </w:rPr>
            </w:pPr>
          </w:p>
        </w:tc>
        <w:tc>
          <w:tcPr>
            <w:tcW w:w="1984" w:type="dxa"/>
            <w:gridSpan w:val="4"/>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  工</w:t>
            </w:r>
          </w:p>
        </w:tc>
        <w:tc>
          <w:tcPr>
            <w:tcW w:w="2543" w:type="dxa"/>
            <w:gridSpan w:val="2"/>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经营范围</w:t>
            </w:r>
          </w:p>
        </w:tc>
        <w:tc>
          <w:tcPr>
            <w:tcW w:w="7438" w:type="dxa"/>
            <w:gridSpan w:val="9"/>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c>
          <w:tcPr>
            <w:tcW w:w="7438" w:type="dxa"/>
            <w:gridSpan w:val="9"/>
            <w:vAlign w:val="center"/>
          </w:tcPr>
          <w:p>
            <w:pPr>
              <w:jc w:val="center"/>
              <w:rPr>
                <w:rFonts w:asciiTheme="minorEastAsia" w:hAnsiTheme="minorEastAsia" w:eastAsiaTheme="minorEastAsia"/>
                <w:color w:val="auto"/>
                <w:szCs w:val="21"/>
                <w:highlight w:val="none"/>
              </w:rPr>
            </w:pPr>
          </w:p>
        </w:tc>
      </w:tr>
    </w:tbl>
    <w:p>
      <w:pPr>
        <w:spacing w:line="440" w:lineRule="exac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备注：本表后应附企业法人营业执照及其年检合格的证明材料、企业资质证书副本、安全生产许可证等材料的复印件。</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1" w:name="_Toc489202513"/>
      <w:bookmarkStart w:id="1592" w:name="_Toc138238367"/>
      <w:r>
        <w:rPr>
          <w:rFonts w:hint="eastAsia" w:asciiTheme="minorEastAsia" w:hAnsiTheme="minorEastAsia" w:eastAsiaTheme="minorEastAsia"/>
          <w:color w:val="auto"/>
          <w:highlight w:val="none"/>
        </w:rPr>
        <w:t>（二）近年财务状况表</w:t>
      </w:r>
      <w:bookmarkEnd w:id="1591"/>
      <w:bookmarkEnd w:id="1592"/>
    </w:p>
    <w:p>
      <w:pPr>
        <w:spacing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备注：在此附财务会计报表，包括资产负债表、损益表、现金流量表、利润表的复印件，具体年份要求见第二章“</w:t>
      </w:r>
      <w:r>
        <w:rPr>
          <w:rFonts w:hint="eastAsia" w:asciiTheme="minorEastAsia" w:hAnsiTheme="minorEastAsia" w:eastAsiaTheme="minorEastAsia"/>
          <w:color w:val="auto"/>
          <w:szCs w:val="21"/>
          <w:highlight w:val="none"/>
          <w:lang w:eastAsia="zh-CN"/>
        </w:rPr>
        <w:t>供应商须知</w:t>
      </w:r>
      <w:r>
        <w:rPr>
          <w:rFonts w:hint="eastAsia" w:asciiTheme="minorEastAsia" w:hAnsiTheme="minorEastAsia" w:eastAsiaTheme="minorEastAsia"/>
          <w:color w:val="auto"/>
          <w:szCs w:val="21"/>
          <w:highlight w:val="none"/>
        </w:rPr>
        <w:t>”的规定。</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3" w:name="_Toc489202514"/>
      <w:bookmarkStart w:id="1594" w:name="_Toc138238368"/>
      <w:r>
        <w:rPr>
          <w:rFonts w:hint="eastAsia" w:asciiTheme="minorEastAsia" w:hAnsiTheme="minorEastAsia" w:eastAsiaTheme="minorEastAsia"/>
          <w:color w:val="auto"/>
          <w:highlight w:val="none"/>
        </w:rPr>
        <w:t>（三）近年完成的类似项目情况表</w:t>
      </w:r>
      <w:bookmarkEnd w:id="1593"/>
      <w:bookmarkEnd w:id="1594"/>
    </w:p>
    <w:tbl>
      <w:tblPr>
        <w:tblStyle w:val="4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86"/>
        <w:gridCol w:w="6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项目所在地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发包人名称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发包人地址</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发包人联系人及电话</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合同价格</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开工日期</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竣工日期</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承担的工作</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工程质量</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技术负责人</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总监理工程师及电话</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项目描述</w:t>
            </w:r>
          </w:p>
        </w:tc>
        <w:tc>
          <w:tcPr>
            <w:tcW w:w="3786" w:type="pct"/>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214" w:type="pct"/>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c>
          <w:tcPr>
            <w:tcW w:w="3786" w:type="pct"/>
            <w:vAlign w:val="center"/>
          </w:tcPr>
          <w:p>
            <w:pPr>
              <w:jc w:val="center"/>
              <w:rPr>
                <w:rFonts w:asciiTheme="minorEastAsia" w:hAnsiTheme="minorEastAsia" w:eastAsiaTheme="minorEastAsia"/>
                <w:color w:val="auto"/>
                <w:szCs w:val="21"/>
                <w:highlight w:val="none"/>
              </w:rPr>
            </w:pPr>
          </w:p>
        </w:tc>
      </w:tr>
    </w:tbl>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备注：1、类似项目指</w:t>
      </w:r>
      <w:r>
        <w:rPr>
          <w:rFonts w:hint="eastAsia" w:asciiTheme="minorEastAsia" w:hAnsiTheme="minorEastAsia" w:eastAsiaTheme="minorEastAsia"/>
          <w:color w:val="auto"/>
          <w:szCs w:val="21"/>
          <w:highlight w:val="none"/>
          <w:u w:val="single"/>
        </w:rPr>
        <w:t>（见响应须知前附表10.1.1）</w:t>
      </w:r>
      <w:r>
        <w:rPr>
          <w:rFonts w:hint="eastAsia" w:asciiTheme="minorEastAsia" w:hAnsiTheme="minorEastAsia" w:eastAsiaTheme="minorEastAsia"/>
          <w:color w:val="auto"/>
          <w:szCs w:val="21"/>
          <w:highlight w:val="none"/>
        </w:rPr>
        <w:t>工程。</w:t>
      </w:r>
    </w:p>
    <w:p>
      <w:pPr>
        <w:spacing w:line="440" w:lineRule="exact"/>
        <w:ind w:left="630" w:left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2、本表后附成交通知书和（或）合同协议书、工程接收证书（工程竣工验收证书）的复印件，具体年份要求见</w:t>
      </w:r>
      <w:r>
        <w:rPr>
          <w:rFonts w:hint="eastAsia" w:asciiTheme="minorEastAsia" w:hAnsiTheme="minorEastAsia" w:eastAsiaTheme="minorEastAsia"/>
          <w:color w:val="auto"/>
          <w:szCs w:val="21"/>
          <w:highlight w:val="none"/>
          <w:lang w:eastAsia="zh-CN"/>
        </w:rPr>
        <w:t>供应商须知</w:t>
      </w:r>
      <w:r>
        <w:rPr>
          <w:rFonts w:hint="eastAsia" w:asciiTheme="minorEastAsia" w:hAnsiTheme="minorEastAsia" w:eastAsiaTheme="minorEastAsia"/>
          <w:color w:val="auto"/>
          <w:szCs w:val="21"/>
          <w:highlight w:val="none"/>
        </w:rPr>
        <w:t>前附表。每张表格只填写一个项目，并标明序号。</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5" w:name="_Toc138238369"/>
      <w:bookmarkStart w:id="1596" w:name="_Toc489202515"/>
      <w:r>
        <w:rPr>
          <w:rFonts w:hint="eastAsia" w:asciiTheme="minorEastAsia" w:hAnsiTheme="minorEastAsia" w:eastAsiaTheme="minorEastAsia"/>
          <w:color w:val="auto"/>
          <w:highlight w:val="none"/>
        </w:rPr>
        <w:t>（四）正在施工的和新承接的项目情况表</w:t>
      </w:r>
      <w:bookmarkEnd w:id="1595"/>
      <w:bookmarkEnd w:id="1596"/>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2"/>
        <w:gridCol w:w="6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项目所在地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发包人名称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发包人地址</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发包人电话</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签约合同价</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开工日期</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计划竣工日期</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承担的工作</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工程质量</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项目经理</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技术负责人</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总监理工程师及电话</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项目描述</w:t>
            </w:r>
          </w:p>
        </w:tc>
        <w:tc>
          <w:tcPr>
            <w:tcW w:w="6935" w:type="dxa"/>
            <w:vAlign w:val="center"/>
          </w:tcPr>
          <w:p>
            <w:pPr>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c>
          <w:tcPr>
            <w:tcW w:w="6935" w:type="dxa"/>
            <w:vAlign w:val="center"/>
          </w:tcPr>
          <w:p>
            <w:pPr>
              <w:jc w:val="center"/>
              <w:rPr>
                <w:rFonts w:asciiTheme="minorEastAsia" w:hAnsiTheme="minorEastAsia" w:eastAsiaTheme="minorEastAsia"/>
                <w:color w:val="auto"/>
                <w:szCs w:val="21"/>
                <w:highlight w:val="none"/>
              </w:rPr>
            </w:pPr>
          </w:p>
        </w:tc>
      </w:tr>
    </w:tbl>
    <w:p>
      <w:pPr>
        <w:spacing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备注：本表后附成交通知书和（或）合同协议书复印件。每张表格只填写一个项目，并标明序号。</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597" w:name="_Toc138238370"/>
      <w:bookmarkStart w:id="1598" w:name="_Toc489202516"/>
      <w:r>
        <w:rPr>
          <w:rFonts w:hint="eastAsia" w:asciiTheme="minorEastAsia" w:hAnsiTheme="minorEastAsia" w:eastAsiaTheme="minorEastAsia"/>
          <w:color w:val="auto"/>
          <w:highlight w:val="none"/>
        </w:rPr>
        <w:t>（五）近年发生的诉讼和仲裁情况</w:t>
      </w:r>
      <w:bookmarkEnd w:id="1597"/>
      <w:bookmarkEnd w:id="1598"/>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说明：近年发生的诉讼和仲裁情况仅限于</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败诉的，且与履行施工承包合同有关的案件，不包括调解结案以及未裁决的仲裁或未终审判决的诉讼。</w:t>
      </w:r>
    </w:p>
    <w:p>
      <w:pPr>
        <w:pStyle w:val="102"/>
        <w:rPr>
          <w:rStyle w:val="58"/>
          <w:rFonts w:asciiTheme="minorEastAsia" w:hAnsiTheme="minorEastAsia" w:eastAsiaTheme="minorEastAsia"/>
          <w:b w:val="0"/>
          <w:bCs w:val="0"/>
          <w:color w:val="auto"/>
          <w:highlight w:val="none"/>
        </w:rPr>
      </w:pPr>
      <w:r>
        <w:rPr>
          <w:rFonts w:asciiTheme="minorEastAsia" w:hAnsiTheme="minorEastAsia" w:eastAsiaTheme="minorEastAsia"/>
          <w:color w:val="auto"/>
          <w:szCs w:val="21"/>
          <w:highlight w:val="none"/>
        </w:rPr>
        <w:br w:type="page"/>
      </w:r>
      <w:bookmarkStart w:id="1599" w:name="_Toc489202517"/>
      <w:bookmarkStart w:id="1600" w:name="_Toc138238371"/>
      <w:r>
        <w:rPr>
          <w:rFonts w:hint="eastAsia" w:asciiTheme="minorEastAsia" w:hAnsiTheme="minorEastAsia" w:eastAsiaTheme="minorEastAsia"/>
          <w:color w:val="auto"/>
          <w:highlight w:val="none"/>
        </w:rPr>
        <w:t>（六）企业其他信誉情况表</w:t>
      </w:r>
      <w:bookmarkEnd w:id="1599"/>
      <w:bookmarkEnd w:id="1600"/>
    </w:p>
    <w:p>
      <w:pPr>
        <w:spacing w:beforeLines="50" w:afterLines="50" w:line="440" w:lineRule="exact"/>
        <w:ind w:left="720" w:hanging="720" w:hangingChars="300"/>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（年份要求同诉讼及仲裁情况年份要求）</w:t>
      </w:r>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1、近年企业不良行为记录情况</w:t>
      </w: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2、在施工程以及近年已竣工工程合同履行情况</w:t>
      </w: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3、其  他</w:t>
      </w: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630" w:hanging="630" w:hangingChars="300"/>
        <w:rPr>
          <w:rFonts w:asciiTheme="minorEastAsia" w:hAnsiTheme="minorEastAsia" w:eastAsiaTheme="minorEastAsia"/>
          <w:color w:val="auto"/>
          <w:szCs w:val="21"/>
          <w:highlight w:val="none"/>
        </w:rPr>
      </w:pPr>
    </w:p>
    <w:p>
      <w:pPr>
        <w:spacing w:line="440" w:lineRule="exact"/>
        <w:ind w:left="945" w:hanging="945" w:hangingChars="4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备注：1、企业不良行为记录情况主要是近年</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在工程建设过程中因违反有关工程建设的法律、法规、规章或强制性标准和执业行为规范，经县级以上建设行政主管部门或其委托的执法监督机构查实和行政处罚，形成的不良行为记录。应当结合第二章“</w:t>
      </w:r>
      <w:r>
        <w:rPr>
          <w:rFonts w:hint="eastAsia" w:asciiTheme="minorEastAsia" w:hAnsiTheme="minorEastAsia" w:eastAsiaTheme="minorEastAsia"/>
          <w:color w:val="auto"/>
          <w:szCs w:val="21"/>
          <w:highlight w:val="none"/>
          <w:lang w:eastAsia="zh-CN"/>
        </w:rPr>
        <w:t>供应商须知</w:t>
      </w:r>
      <w:r>
        <w:rPr>
          <w:rFonts w:hint="eastAsia" w:asciiTheme="minorEastAsia" w:hAnsiTheme="minorEastAsia" w:eastAsiaTheme="minorEastAsia"/>
          <w:color w:val="auto"/>
          <w:szCs w:val="21"/>
          <w:highlight w:val="none"/>
        </w:rPr>
        <w:t>”前附表第10.1.2项定义的范围填写。</w:t>
      </w:r>
    </w:p>
    <w:p>
      <w:pPr>
        <w:spacing w:line="440" w:lineRule="exact"/>
        <w:ind w:left="945" w:leftChars="300" w:hanging="315" w:hangingChars="1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2、合同履行情况主要是</w:t>
      </w:r>
      <w:r>
        <w:rPr>
          <w:rFonts w:hint="eastAsia" w:asciiTheme="minorEastAsia" w:hAnsiTheme="minorEastAsia" w:eastAsiaTheme="minorEastAsia"/>
          <w:color w:val="auto"/>
          <w:szCs w:val="21"/>
          <w:highlight w:val="none"/>
          <w:lang w:eastAsia="zh-CN"/>
        </w:rPr>
        <w:t>响应供应商</w:t>
      </w:r>
      <w:r>
        <w:rPr>
          <w:rFonts w:hint="eastAsia" w:asciiTheme="minorEastAsia" w:hAnsiTheme="minorEastAsia" w:eastAsiaTheme="minorEastAsia"/>
          <w:color w:val="auto"/>
          <w:szCs w:val="21"/>
          <w:highlight w:val="none"/>
        </w:rPr>
        <w:t>近年所承接工程和已竣工工程是否按合同约定的工期、质量、安全等履行合同义务，对未竣工工程合同履行情况还应重点说明非不可抗力解除合同（如果有)的原因等具体情况，等等。</w:t>
      </w:r>
    </w:p>
    <w:p>
      <w:pPr>
        <w:pStyle w:val="102"/>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601" w:name="_Toc138238372"/>
      <w:bookmarkStart w:id="1602" w:name="_Toc489202518"/>
      <w:r>
        <w:rPr>
          <w:rFonts w:hint="eastAsia" w:asciiTheme="minorEastAsia" w:hAnsiTheme="minorEastAsia" w:eastAsiaTheme="minorEastAsia"/>
          <w:color w:val="auto"/>
          <w:highlight w:val="none"/>
        </w:rPr>
        <w:t>（七）主要项目管理人员简历表</w:t>
      </w:r>
      <w:bookmarkEnd w:id="1601"/>
      <w:bookmarkEnd w:id="1602"/>
    </w:p>
    <w:p>
      <w:pPr>
        <w:spacing w:line="44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说明：“主要人员简历表”同本章附件七之（二）。未进行资格预审但本章“项目管理机构”已有本表内容的，无需重复提交。</w:t>
      </w:r>
    </w:p>
    <w:p>
      <w:pPr>
        <w:pStyle w:val="5"/>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bookmarkStart w:id="1603" w:name="_Toc138238373"/>
      <w:bookmarkStart w:id="1604" w:name="_Toc489202519"/>
      <w:r>
        <w:rPr>
          <w:rFonts w:hint="eastAsia" w:asciiTheme="minorEastAsia" w:hAnsiTheme="minorEastAsia" w:eastAsiaTheme="minorEastAsia"/>
          <w:color w:val="auto"/>
          <w:highlight w:val="none"/>
        </w:rPr>
        <w:t>十、</w:t>
      </w:r>
      <w:r>
        <w:rPr>
          <w:rFonts w:hint="eastAsia" w:asciiTheme="minorEastAsia" w:hAnsiTheme="minorEastAsia" w:eastAsiaTheme="minorEastAsia"/>
          <w:color w:val="auto"/>
          <w:highlight w:val="none"/>
          <w:lang w:eastAsia="zh-CN"/>
        </w:rPr>
        <w:t>供应商须知</w:t>
      </w:r>
      <w:r>
        <w:rPr>
          <w:rFonts w:hint="eastAsia" w:asciiTheme="minorEastAsia" w:hAnsiTheme="minorEastAsia" w:eastAsiaTheme="minorEastAsia"/>
          <w:color w:val="auto"/>
          <w:highlight w:val="none"/>
        </w:rPr>
        <w:t>前附表规定的其他材料</w:t>
      </w:r>
      <w:bookmarkEnd w:id="1603"/>
      <w:bookmarkEnd w:id="1604"/>
    </w:p>
    <w:p>
      <w:pPr>
        <w:rPr>
          <w:color w:val="auto"/>
          <w:sz w:val="28"/>
          <w:szCs w:val="28"/>
          <w:highlight w:val="none"/>
        </w:rPr>
      </w:pPr>
      <w:r>
        <w:rPr>
          <w:rFonts w:hint="eastAsia"/>
          <w:color w:val="auto"/>
          <w:sz w:val="28"/>
          <w:szCs w:val="28"/>
          <w:highlight w:val="none"/>
        </w:rPr>
        <w:t>1、保修服务承诺</w:t>
      </w:r>
    </w:p>
    <w:p>
      <w:pPr>
        <w:rPr>
          <w:color w:val="auto"/>
          <w:sz w:val="28"/>
          <w:szCs w:val="28"/>
          <w:highlight w:val="none"/>
        </w:rPr>
      </w:pPr>
      <w:r>
        <w:rPr>
          <w:rFonts w:hint="eastAsia"/>
          <w:color w:val="auto"/>
          <w:sz w:val="28"/>
          <w:szCs w:val="28"/>
          <w:highlight w:val="none"/>
        </w:rPr>
        <w:t>2、优惠条件</w:t>
      </w:r>
    </w:p>
    <w:p>
      <w:pPr>
        <w:rPr>
          <w:color w:val="auto"/>
          <w:sz w:val="28"/>
          <w:szCs w:val="28"/>
          <w:highlight w:val="none"/>
        </w:rPr>
      </w:pPr>
      <w:r>
        <w:rPr>
          <w:rFonts w:hint="eastAsia"/>
          <w:color w:val="auto"/>
          <w:sz w:val="28"/>
          <w:szCs w:val="28"/>
          <w:highlight w:val="none"/>
        </w:rPr>
        <w:t>3、磋商文件要求的其他材料</w:t>
      </w:r>
    </w:p>
    <w:p>
      <w:pPr>
        <w:rPr>
          <w:color w:val="auto"/>
          <w:sz w:val="28"/>
          <w:szCs w:val="28"/>
          <w:highlight w:val="none"/>
        </w:rPr>
      </w:pPr>
      <w:r>
        <w:rPr>
          <w:rFonts w:hint="eastAsia"/>
          <w:color w:val="auto"/>
          <w:sz w:val="28"/>
          <w:szCs w:val="28"/>
          <w:highlight w:val="none"/>
        </w:rPr>
        <w:t>4、</w:t>
      </w:r>
      <w:r>
        <w:rPr>
          <w:rFonts w:hint="eastAsia"/>
          <w:color w:val="auto"/>
          <w:sz w:val="28"/>
          <w:szCs w:val="28"/>
          <w:highlight w:val="none"/>
          <w:lang w:eastAsia="zh-CN"/>
        </w:rPr>
        <w:t>响应供应商</w:t>
      </w:r>
      <w:r>
        <w:rPr>
          <w:rFonts w:hint="eastAsia"/>
          <w:color w:val="auto"/>
          <w:sz w:val="28"/>
          <w:szCs w:val="28"/>
          <w:highlight w:val="none"/>
        </w:rPr>
        <w:t>认为需要提供的其他材料。</w:t>
      </w:r>
    </w:p>
    <w:p>
      <w:pPr>
        <w:rPr>
          <w:color w:val="auto"/>
          <w:sz w:val="28"/>
          <w:szCs w:val="28"/>
          <w:highlight w:val="none"/>
        </w:rPr>
      </w:pPr>
      <w:r>
        <w:rPr>
          <w:color w:val="auto"/>
          <w:sz w:val="28"/>
          <w:szCs w:val="28"/>
          <w:highlight w:val="none"/>
        </w:rPr>
        <w:br w:type="page"/>
      </w:r>
    </w:p>
    <w:p>
      <w:pPr>
        <w:pStyle w:val="4"/>
        <w:rPr>
          <w:rFonts w:hint="eastAsia" w:ascii="宋体" w:hAnsi="宋体" w:eastAsia="宋体" w:cs="宋体"/>
          <w:b/>
          <w:bCs/>
          <w:color w:val="auto"/>
          <w:sz w:val="28"/>
          <w:szCs w:val="28"/>
          <w:highlight w:val="none"/>
        </w:rPr>
      </w:pPr>
      <w:r>
        <w:rPr>
          <w:rFonts w:hint="eastAsia"/>
          <w:color w:val="auto"/>
          <w:highlight w:val="none"/>
        </w:rPr>
        <w:t>第</w:t>
      </w:r>
      <w:r>
        <w:rPr>
          <w:rFonts w:hint="eastAsia"/>
          <w:color w:val="auto"/>
          <w:highlight w:val="none"/>
          <w:lang w:val="en-US" w:eastAsia="zh-CN"/>
        </w:rPr>
        <w:t>九</w:t>
      </w:r>
      <w:r>
        <w:rPr>
          <w:rFonts w:hint="eastAsia"/>
          <w:color w:val="auto"/>
          <w:highlight w:val="none"/>
        </w:rPr>
        <w:t xml:space="preserve">章  </w:t>
      </w:r>
      <w:r>
        <w:rPr>
          <w:rFonts w:hint="eastAsia"/>
          <w:color w:val="auto"/>
          <w:highlight w:val="none"/>
          <w:lang w:val="en-US" w:eastAsia="zh-CN"/>
        </w:rPr>
        <w:t>附件</w:t>
      </w:r>
    </w:p>
    <w:p>
      <w:pPr>
        <w:pStyle w:val="3"/>
        <w:numPr>
          <w:ilvl w:val="0"/>
          <w:numId w:val="0"/>
        </w:numPr>
        <w:jc w:val="both"/>
        <w:rPr>
          <w:rFonts w:hint="eastAsia" w:ascii="宋体" w:hAnsi="宋体" w:eastAsia="宋体" w:cs="宋体"/>
          <w:color w:val="auto"/>
          <w:sz w:val="24"/>
          <w:szCs w:val="24"/>
          <w:highlight w:val="none"/>
        </w:rPr>
      </w:pPr>
      <w:r>
        <w:rPr>
          <w:rFonts w:hint="eastAsia" w:ascii="宋体" w:hAnsi="宋体" w:eastAsia="宋体" w:cs="宋体"/>
          <w:b/>
          <w:bCs/>
          <w:color w:val="auto"/>
          <w:sz w:val="28"/>
          <w:szCs w:val="28"/>
          <w:highlight w:val="none"/>
        </w:rPr>
        <w:t>附件一：</w:t>
      </w:r>
    </w:p>
    <w:p>
      <w:pPr>
        <w:widowControl/>
        <w:jc w:val="center"/>
        <w:rPr>
          <w:rFonts w:hint="eastAsia" w:ascii="宋体" w:hAnsi="宋体" w:eastAsia="宋体" w:cs="宋体"/>
          <w:b/>
          <w:color w:val="auto"/>
          <w:kern w:val="0"/>
          <w:sz w:val="36"/>
          <w:szCs w:val="36"/>
          <w:highlight w:val="none"/>
          <w:lang w:bidi="ar"/>
        </w:rPr>
      </w:pPr>
      <w:r>
        <w:rPr>
          <w:rFonts w:hint="eastAsia" w:ascii="宋体" w:hAnsi="宋体" w:eastAsia="宋体" w:cs="宋体"/>
          <w:b/>
          <w:color w:val="auto"/>
          <w:kern w:val="0"/>
          <w:sz w:val="36"/>
          <w:szCs w:val="36"/>
          <w:highlight w:val="none"/>
          <w:lang w:bidi="ar"/>
        </w:rPr>
        <w:t>中小企业声明函（</w:t>
      </w:r>
      <w:r>
        <w:rPr>
          <w:rFonts w:hint="eastAsia" w:ascii="宋体" w:hAnsi="宋体" w:eastAsia="宋体" w:cs="宋体"/>
          <w:b/>
          <w:color w:val="auto"/>
          <w:kern w:val="0"/>
          <w:sz w:val="36"/>
          <w:szCs w:val="36"/>
          <w:highlight w:val="none"/>
          <w:lang w:val="en-US" w:eastAsia="zh-CN" w:bidi="ar"/>
        </w:rPr>
        <w:t>货物</w:t>
      </w:r>
      <w:r>
        <w:rPr>
          <w:rFonts w:hint="eastAsia" w:ascii="宋体" w:hAnsi="宋体" w:eastAsia="宋体" w:cs="宋体"/>
          <w:b/>
          <w:color w:val="auto"/>
          <w:kern w:val="0"/>
          <w:sz w:val="36"/>
          <w:szCs w:val="36"/>
          <w:highlight w:val="none"/>
          <w:lang w:bidi="ar"/>
        </w:rPr>
        <w:t>）</w:t>
      </w:r>
    </w:p>
    <w:p>
      <w:pPr>
        <w:widowControl/>
        <w:jc w:val="both"/>
        <w:rPr>
          <w:rFonts w:hint="eastAsia" w:ascii="宋体" w:hAnsi="宋体" w:eastAsia="宋体" w:cs="宋体"/>
          <w:b/>
          <w:color w:val="auto"/>
          <w:kern w:val="0"/>
          <w:sz w:val="36"/>
          <w:szCs w:val="36"/>
          <w:highlight w:val="none"/>
          <w:lang w:bidi="ar"/>
        </w:rPr>
      </w:pP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本公司（联合体）郑重声明，根据《政府采购促进中小企业发展管理办法》（财库﹝2020﹞46 号）的规定，本公司（联合体）参加</w:t>
      </w:r>
      <w:r>
        <w:rPr>
          <w:rFonts w:hint="eastAsia" w:ascii="宋体" w:hAnsi="宋体" w:eastAsia="宋体" w:cs="宋体"/>
          <w:i/>
          <w:color w:val="auto"/>
          <w:kern w:val="0"/>
          <w:sz w:val="24"/>
          <w:szCs w:val="24"/>
          <w:highlight w:val="none"/>
          <w:u w:val="single"/>
          <w:lang w:bidi="ar"/>
        </w:rPr>
        <w:t>（单位名称）</w:t>
      </w:r>
      <w:r>
        <w:rPr>
          <w:rFonts w:hint="eastAsia" w:ascii="宋体" w:hAnsi="宋体" w:eastAsia="宋体" w:cs="宋体"/>
          <w:color w:val="auto"/>
          <w:kern w:val="0"/>
          <w:sz w:val="24"/>
          <w:szCs w:val="24"/>
          <w:highlight w:val="none"/>
          <w:lang w:bidi="ar"/>
        </w:rPr>
        <w:t>的</w:t>
      </w:r>
      <w:r>
        <w:rPr>
          <w:rFonts w:hint="eastAsia" w:ascii="宋体" w:hAnsi="宋体" w:eastAsia="宋体" w:cs="宋体"/>
          <w:i/>
          <w:color w:val="auto"/>
          <w:kern w:val="0"/>
          <w:sz w:val="24"/>
          <w:szCs w:val="24"/>
          <w:highlight w:val="none"/>
          <w:u w:val="single"/>
          <w:lang w:bidi="ar"/>
        </w:rPr>
        <w:t>（项目名称）</w:t>
      </w:r>
      <w:r>
        <w:rPr>
          <w:rFonts w:hint="eastAsia" w:ascii="宋体" w:hAnsi="宋体" w:eastAsia="宋体" w:cs="宋体"/>
          <w:color w:val="auto"/>
          <w:kern w:val="0"/>
          <w:sz w:val="24"/>
          <w:szCs w:val="24"/>
          <w:highlight w:val="none"/>
          <w:lang w:bidi="ar"/>
        </w:rPr>
        <w:t>采购活动，</w:t>
      </w:r>
      <w:r>
        <w:rPr>
          <w:rFonts w:hint="eastAsia" w:ascii="宋体" w:hAnsi="宋体" w:eastAsia="宋体" w:cs="宋体"/>
          <w:color w:val="auto"/>
          <w:kern w:val="0"/>
          <w:sz w:val="24"/>
          <w:szCs w:val="24"/>
          <w:highlight w:val="none"/>
          <w:lang w:val="en-US" w:eastAsia="zh-CN" w:bidi="ar"/>
        </w:rPr>
        <w:t>提供的货物全部由符合政策要求的中小企业制造</w:t>
      </w:r>
      <w:r>
        <w:rPr>
          <w:rFonts w:hint="eastAsia" w:ascii="宋体" w:hAnsi="宋体" w:eastAsia="宋体" w:cs="宋体"/>
          <w:color w:val="auto"/>
          <w:kern w:val="0"/>
          <w:sz w:val="24"/>
          <w:szCs w:val="24"/>
          <w:highlight w:val="none"/>
          <w:lang w:bidi="ar"/>
        </w:rPr>
        <w:t>。相关企业（含联合体中的中小企业、签订分包意向协议的中小企业）的具体情况如下：</w:t>
      </w:r>
    </w:p>
    <w:p>
      <w:pPr>
        <w:widowControl/>
        <w:autoSpaceDE w:val="0"/>
        <w:autoSpaceDN w:val="0"/>
        <w:adjustRightInd w:val="0"/>
        <w:snapToGrid w:val="0"/>
        <w:spacing w:line="360" w:lineRule="auto"/>
        <w:ind w:firstLine="480" w:firstLineChars="200"/>
        <w:jc w:val="left"/>
        <w:rPr>
          <w:rFonts w:hint="eastAsia" w:ascii="宋体" w:hAnsi="宋体" w:eastAsia="宋体" w:cs="宋体"/>
          <w:b w:val="0"/>
          <w:bCs w:val="0"/>
          <w:i/>
          <w:iCs/>
          <w:color w:val="auto"/>
          <w:sz w:val="24"/>
          <w:szCs w:val="24"/>
          <w:highlight w:val="none"/>
        </w:rPr>
      </w:pPr>
      <w:r>
        <w:rPr>
          <w:rFonts w:hint="eastAsia" w:ascii="宋体" w:hAnsi="宋体" w:eastAsia="宋体" w:cs="宋体"/>
          <w:b w:val="0"/>
          <w:bCs w:val="0"/>
          <w:i w:val="0"/>
          <w:iCs w:val="0"/>
          <w:color w:val="auto"/>
          <w:kern w:val="0"/>
          <w:sz w:val="24"/>
          <w:szCs w:val="24"/>
          <w:highlight w:val="none"/>
          <w:lang w:bidi="ar"/>
        </w:rPr>
        <w:t>1</w:t>
      </w:r>
      <w:r>
        <w:rPr>
          <w:rFonts w:hint="eastAsia" w:ascii="宋体" w:hAnsi="宋体" w:eastAsia="宋体" w:cs="宋体"/>
          <w:b w:val="0"/>
          <w:bCs w:val="0"/>
          <w:i/>
          <w:iCs/>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iCs/>
          <w:color w:val="auto"/>
          <w:kern w:val="0"/>
          <w:sz w:val="24"/>
          <w:szCs w:val="24"/>
          <w:highlight w:val="none"/>
          <w:u w:val="single"/>
          <w:lang w:val="en-US" w:eastAsia="zh-CN" w:bidi="ar"/>
        </w:rPr>
        <w:t>行业</w:t>
      </w:r>
      <w:r>
        <w:rPr>
          <w:rFonts w:hint="eastAsia" w:ascii="宋体" w:hAnsi="宋体" w:eastAsia="宋体" w:cs="宋体"/>
          <w:b w:val="0"/>
          <w:bCs w:val="0"/>
          <w:i w:val="0"/>
          <w:iCs w:val="0"/>
          <w:color w:val="auto"/>
          <w:kern w:val="0"/>
          <w:sz w:val="24"/>
          <w:szCs w:val="24"/>
          <w:highlight w:val="none"/>
          <w:u w:val="none"/>
          <w:lang w:val="en-US" w:eastAsia="zh-CN" w:bidi="ar"/>
        </w:rPr>
        <w:t>；</w:t>
      </w:r>
      <w:r>
        <w:rPr>
          <w:rFonts w:hint="eastAsia" w:ascii="宋体" w:hAnsi="宋体" w:eastAsia="宋体" w:cs="宋体"/>
          <w:b w:val="0"/>
          <w:bCs w:val="0"/>
          <w:i w:val="0"/>
          <w:iCs w:val="0"/>
          <w:color w:val="auto"/>
          <w:kern w:val="0"/>
          <w:sz w:val="24"/>
          <w:szCs w:val="24"/>
          <w:highlight w:val="none"/>
          <w:lang w:val="en-US" w:eastAsia="zh-CN" w:bidi="ar"/>
        </w:rPr>
        <w:t>制造商</w:t>
      </w:r>
      <w:r>
        <w:rPr>
          <w:rFonts w:hint="eastAsia" w:ascii="宋体" w:hAnsi="宋体" w:eastAsia="宋体" w:cs="宋体"/>
          <w:b w:val="0"/>
          <w:bCs w:val="0"/>
          <w:i w:val="0"/>
          <w:iCs w:val="0"/>
          <w:color w:val="auto"/>
          <w:kern w:val="0"/>
          <w:sz w:val="24"/>
          <w:szCs w:val="24"/>
          <w:highlight w:val="none"/>
          <w:lang w:bidi="ar"/>
        </w:rPr>
        <w:t>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w:t>
      </w:r>
      <w:r>
        <w:rPr>
          <w:rFonts w:hint="eastAsia" w:ascii="宋体" w:hAnsi="宋体" w:eastAsia="宋体" w:cs="宋体"/>
          <w:b w:val="0"/>
          <w:bCs w:val="0"/>
          <w:i w:val="0"/>
          <w:iCs w:val="0"/>
          <w:color w:val="auto"/>
          <w:kern w:val="0"/>
          <w:sz w:val="24"/>
          <w:szCs w:val="24"/>
          <w:highlight w:val="none"/>
          <w:vertAlign w:val="superscript"/>
          <w:lang w:bidi="ar"/>
        </w:rPr>
        <w:t>1</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b w:val="0"/>
          <w:bCs w:val="0"/>
          <w:i w:val="0"/>
          <w:iCs w:val="0"/>
          <w:color w:val="auto"/>
          <w:kern w:val="0"/>
          <w:sz w:val="24"/>
          <w:szCs w:val="24"/>
          <w:highlight w:val="none"/>
          <w:lang w:bidi="ar"/>
        </w:rPr>
        <w:t>2</w:t>
      </w:r>
      <w:r>
        <w:rPr>
          <w:rFonts w:hint="eastAsia" w:ascii="宋体" w:hAnsi="宋体" w:eastAsia="宋体" w:cs="宋体"/>
          <w:b w:val="0"/>
          <w:bCs w:val="0"/>
          <w:i/>
          <w:iCs/>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iCs/>
          <w:color w:val="auto"/>
          <w:kern w:val="0"/>
          <w:sz w:val="24"/>
          <w:szCs w:val="24"/>
          <w:highlight w:val="none"/>
          <w:u w:val="single"/>
          <w:lang w:val="en-US" w:eastAsia="zh-CN" w:bidi="ar"/>
        </w:rPr>
        <w:t>行业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val="0"/>
          <w:iCs w:val="0"/>
          <w:color w:val="auto"/>
          <w:kern w:val="0"/>
          <w:sz w:val="24"/>
          <w:szCs w:val="24"/>
          <w:highlight w:val="none"/>
          <w:lang w:val="en-US" w:eastAsia="zh-CN" w:bidi="ar"/>
        </w:rPr>
        <w:t>制造商</w:t>
      </w:r>
      <w:r>
        <w:rPr>
          <w:rFonts w:hint="eastAsia" w:ascii="宋体" w:hAnsi="宋体" w:eastAsia="宋体" w:cs="宋体"/>
          <w:b w:val="0"/>
          <w:bCs w:val="0"/>
          <w:i w:val="0"/>
          <w:iCs w:val="0"/>
          <w:color w:val="auto"/>
          <w:kern w:val="0"/>
          <w:sz w:val="24"/>
          <w:szCs w:val="24"/>
          <w:highlight w:val="none"/>
          <w:lang w:bidi="ar"/>
        </w:rPr>
        <w:t>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i w:val="0"/>
          <w:iCs w:val="0"/>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本企业对上述声明内容的真实性负责。如有虚假，将依法承担相应责任。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企业名称（盖章）：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kern w:val="0"/>
          <w:sz w:val="24"/>
          <w:szCs w:val="24"/>
          <w:highlight w:val="none"/>
          <w:vertAlign w:val="superscript"/>
          <w:lang w:bidi="ar"/>
        </w:rPr>
      </w:pPr>
      <w:r>
        <w:rPr>
          <w:rFonts w:hint="eastAsia" w:ascii="宋体" w:hAnsi="宋体" w:eastAsia="宋体" w:cs="宋体"/>
          <w:color w:val="auto"/>
          <w:kern w:val="0"/>
          <w:sz w:val="24"/>
          <w:szCs w:val="24"/>
          <w:highlight w:val="none"/>
          <w:lang w:bidi="ar"/>
        </w:rPr>
        <w:t xml:space="preserve">日 期： </w:t>
      </w: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28"/>
          <w:szCs w:val="18"/>
          <w:highlight w:val="none"/>
          <w:vertAlign w:val="superscript"/>
          <w:lang w:bidi="ar"/>
        </w:rPr>
        <w:t>1</w:t>
      </w:r>
      <w:r>
        <w:rPr>
          <w:rFonts w:hint="eastAsia" w:ascii="宋体" w:hAnsi="宋体" w:eastAsia="宋体" w:cs="宋体"/>
          <w:color w:val="auto"/>
          <w:kern w:val="0"/>
          <w:sz w:val="18"/>
          <w:szCs w:val="18"/>
          <w:highlight w:val="none"/>
          <w:lang w:bidi="ar"/>
        </w:rPr>
        <w:t>从业人员、营业收入、资产总额填报上一年度数据，无上一年度数据的新成立企业可不填报。</w:t>
      </w:r>
    </w:p>
    <w:p>
      <w:pPr>
        <w:pStyle w:val="4"/>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4"/>
        <w:rPr>
          <w:rFonts w:hint="eastAsia"/>
          <w:color w:val="auto"/>
          <w:highlight w:val="none"/>
        </w:rPr>
      </w:pPr>
    </w:p>
    <w:p>
      <w:pPr>
        <w:widowControl/>
        <w:jc w:val="center"/>
        <w:rPr>
          <w:rFonts w:hint="eastAsia" w:ascii="宋体" w:hAnsi="宋体" w:eastAsia="宋体" w:cs="宋体"/>
          <w:b/>
          <w:color w:val="auto"/>
          <w:kern w:val="0"/>
          <w:sz w:val="36"/>
          <w:szCs w:val="36"/>
          <w:highlight w:val="none"/>
          <w:lang w:bidi="ar"/>
        </w:rPr>
      </w:pPr>
      <w:r>
        <w:rPr>
          <w:rFonts w:hint="eastAsia" w:ascii="宋体" w:hAnsi="宋体" w:eastAsia="宋体" w:cs="宋体"/>
          <w:b/>
          <w:color w:val="auto"/>
          <w:kern w:val="0"/>
          <w:sz w:val="36"/>
          <w:szCs w:val="36"/>
          <w:highlight w:val="none"/>
          <w:lang w:bidi="ar"/>
        </w:rPr>
        <w:t>中小企业声明函（工程、服务）</w:t>
      </w:r>
    </w:p>
    <w:p>
      <w:pPr>
        <w:widowControl/>
        <w:jc w:val="both"/>
        <w:rPr>
          <w:rFonts w:hint="eastAsia" w:ascii="宋体" w:hAnsi="宋体" w:eastAsia="宋体" w:cs="宋体"/>
          <w:b/>
          <w:color w:val="auto"/>
          <w:kern w:val="0"/>
          <w:sz w:val="36"/>
          <w:szCs w:val="36"/>
          <w:highlight w:val="none"/>
          <w:lang w:bidi="ar"/>
        </w:rPr>
      </w:pP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本公司（联合体）郑重声明，根据《政府采购促进中小企业发展管理办法》（财库﹝2020﹞46 号）的规定，本公司（联合体）参加</w:t>
      </w:r>
      <w:r>
        <w:rPr>
          <w:rFonts w:hint="eastAsia" w:ascii="宋体" w:hAnsi="宋体" w:eastAsia="宋体" w:cs="宋体"/>
          <w:i/>
          <w:color w:val="auto"/>
          <w:kern w:val="0"/>
          <w:sz w:val="24"/>
          <w:szCs w:val="24"/>
          <w:highlight w:val="none"/>
          <w:u w:val="single"/>
          <w:lang w:bidi="ar"/>
        </w:rPr>
        <w:t>（单位名称）</w:t>
      </w:r>
      <w:r>
        <w:rPr>
          <w:rFonts w:hint="eastAsia" w:ascii="宋体" w:hAnsi="宋体" w:eastAsia="宋体" w:cs="宋体"/>
          <w:color w:val="auto"/>
          <w:kern w:val="0"/>
          <w:sz w:val="24"/>
          <w:szCs w:val="24"/>
          <w:highlight w:val="none"/>
          <w:lang w:bidi="ar"/>
        </w:rPr>
        <w:t>的</w:t>
      </w:r>
      <w:r>
        <w:rPr>
          <w:rFonts w:hint="eastAsia" w:ascii="宋体" w:hAnsi="宋体" w:eastAsia="宋体" w:cs="宋体"/>
          <w:i/>
          <w:color w:val="auto"/>
          <w:kern w:val="0"/>
          <w:sz w:val="24"/>
          <w:szCs w:val="24"/>
          <w:highlight w:val="none"/>
          <w:u w:val="single"/>
          <w:lang w:bidi="ar"/>
        </w:rPr>
        <w:t>（项目名称）</w:t>
      </w:r>
      <w:r>
        <w:rPr>
          <w:rFonts w:hint="eastAsia" w:ascii="宋体" w:hAnsi="宋体" w:eastAsia="宋体" w:cs="宋体"/>
          <w:color w:val="auto"/>
          <w:kern w:val="0"/>
          <w:sz w:val="24"/>
          <w:szCs w:val="24"/>
          <w:highlight w:val="none"/>
          <w:lang w:bidi="ar"/>
        </w:rPr>
        <w:t>采购活动，工程的施工单位全部为符合政策要求的中小企业（或者：服务全部由符合政策要求的中小企业承接）。相关企业（含联合体中的中小企业、签订分包意向协议的中小企业）的具体情况如下：</w:t>
      </w:r>
    </w:p>
    <w:p>
      <w:pPr>
        <w:widowControl/>
        <w:autoSpaceDE w:val="0"/>
        <w:autoSpaceDN w:val="0"/>
        <w:adjustRightInd w:val="0"/>
        <w:snapToGrid w:val="0"/>
        <w:spacing w:line="360" w:lineRule="auto"/>
        <w:ind w:firstLine="480" w:firstLineChars="200"/>
        <w:jc w:val="left"/>
        <w:rPr>
          <w:rFonts w:hint="eastAsia" w:ascii="宋体" w:hAnsi="宋体" w:eastAsia="宋体" w:cs="宋体"/>
          <w:b w:val="0"/>
          <w:bCs w:val="0"/>
          <w:i/>
          <w:iCs/>
          <w:color w:val="auto"/>
          <w:sz w:val="24"/>
          <w:szCs w:val="24"/>
          <w:highlight w:val="none"/>
        </w:rPr>
      </w:pPr>
      <w:r>
        <w:rPr>
          <w:rFonts w:hint="eastAsia" w:ascii="宋体" w:hAnsi="宋体" w:eastAsia="宋体" w:cs="宋体"/>
          <w:b w:val="0"/>
          <w:bCs w:val="0"/>
          <w:i/>
          <w:iCs/>
          <w:color w:val="auto"/>
          <w:kern w:val="0"/>
          <w:sz w:val="24"/>
          <w:szCs w:val="24"/>
          <w:highlight w:val="none"/>
          <w:lang w:bidi="ar"/>
        </w:rPr>
        <w:t>1.</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val="0"/>
          <w:iCs w:val="0"/>
          <w:color w:val="auto"/>
          <w:kern w:val="0"/>
          <w:sz w:val="24"/>
          <w:szCs w:val="24"/>
          <w:highlight w:val="none"/>
          <w:u w:val="none"/>
          <w:lang w:bidi="ar"/>
        </w:rPr>
        <w:t>；</w:t>
      </w:r>
      <w:r>
        <w:rPr>
          <w:rFonts w:hint="eastAsia" w:ascii="宋体" w:hAnsi="宋体" w:eastAsia="宋体" w:cs="宋体"/>
          <w:b w:val="0"/>
          <w:bCs w:val="0"/>
          <w:i w:val="0"/>
          <w:iCs w:val="0"/>
          <w:color w:val="auto"/>
          <w:kern w:val="0"/>
          <w:sz w:val="24"/>
          <w:szCs w:val="24"/>
          <w:highlight w:val="none"/>
          <w:lang w:val="en-US" w:eastAsia="zh-CN" w:bidi="ar"/>
        </w:rPr>
        <w:t>承建</w:t>
      </w:r>
      <w:r>
        <w:rPr>
          <w:rFonts w:hint="eastAsia" w:ascii="宋体" w:hAnsi="宋体" w:eastAsia="宋体" w:cs="宋体"/>
          <w:b w:val="0"/>
          <w:bCs w:val="0"/>
          <w:i w:val="0"/>
          <w:iCs w:val="0"/>
          <w:color w:val="auto"/>
          <w:kern w:val="0"/>
          <w:sz w:val="24"/>
          <w:szCs w:val="24"/>
          <w:highlight w:val="none"/>
          <w:lang w:bidi="ar"/>
        </w:rPr>
        <w:t>（承接）企业为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 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w:t>
      </w:r>
      <w:r>
        <w:rPr>
          <w:rFonts w:hint="eastAsia" w:ascii="宋体" w:hAnsi="宋体" w:eastAsia="宋体" w:cs="宋体"/>
          <w:b w:val="0"/>
          <w:bCs w:val="0"/>
          <w:i w:val="0"/>
          <w:iCs w:val="0"/>
          <w:color w:val="auto"/>
          <w:kern w:val="0"/>
          <w:sz w:val="24"/>
          <w:szCs w:val="24"/>
          <w:highlight w:val="none"/>
          <w:vertAlign w:val="superscript"/>
          <w:lang w:bidi="ar"/>
        </w:rPr>
        <w:t>1</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b w:val="0"/>
          <w:bCs w:val="0"/>
          <w:i/>
          <w:iCs/>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i w:val="0"/>
          <w:iCs w:val="0"/>
          <w:color w:val="auto"/>
          <w:sz w:val="24"/>
          <w:szCs w:val="24"/>
          <w:highlight w:val="none"/>
        </w:rPr>
      </w:pPr>
      <w:r>
        <w:rPr>
          <w:rFonts w:hint="eastAsia" w:ascii="宋体" w:hAnsi="宋体" w:eastAsia="宋体" w:cs="宋体"/>
          <w:b w:val="0"/>
          <w:bCs w:val="0"/>
          <w:i/>
          <w:iCs/>
          <w:color w:val="auto"/>
          <w:kern w:val="0"/>
          <w:sz w:val="24"/>
          <w:szCs w:val="24"/>
          <w:highlight w:val="none"/>
          <w:lang w:bidi="ar"/>
        </w:rPr>
        <w:t>2.</w:t>
      </w:r>
      <w:r>
        <w:rPr>
          <w:rFonts w:hint="eastAsia" w:ascii="宋体" w:hAnsi="宋体" w:eastAsia="宋体" w:cs="宋体"/>
          <w:b w:val="0"/>
          <w:bCs w:val="0"/>
          <w:i/>
          <w:iCs/>
          <w:color w:val="auto"/>
          <w:kern w:val="0"/>
          <w:sz w:val="24"/>
          <w:szCs w:val="24"/>
          <w:highlight w:val="none"/>
          <w:u w:val="single"/>
          <w:lang w:bidi="ar"/>
        </w:rPr>
        <w:t>（标的名称）</w:t>
      </w:r>
      <w:r>
        <w:rPr>
          <w:rFonts w:hint="eastAsia" w:ascii="宋体" w:hAnsi="宋体" w:eastAsia="宋体" w:cs="宋体"/>
          <w:b w:val="0"/>
          <w:bCs w:val="0"/>
          <w:i/>
          <w:iCs/>
          <w:color w:val="auto"/>
          <w:kern w:val="0"/>
          <w:sz w:val="24"/>
          <w:szCs w:val="24"/>
          <w:highlight w:val="none"/>
          <w:lang w:bidi="ar"/>
        </w:rPr>
        <w:t xml:space="preserve"> </w:t>
      </w:r>
      <w:r>
        <w:rPr>
          <w:rFonts w:hint="eastAsia" w:ascii="宋体" w:hAnsi="宋体" w:eastAsia="宋体" w:cs="宋体"/>
          <w:b w:val="0"/>
          <w:bCs w:val="0"/>
          <w:i w:val="0"/>
          <w:iCs w:val="0"/>
          <w:color w:val="auto"/>
          <w:kern w:val="0"/>
          <w:sz w:val="24"/>
          <w:szCs w:val="24"/>
          <w:highlight w:val="none"/>
          <w:lang w:bidi="ar"/>
        </w:rPr>
        <w:t>，属于</w:t>
      </w:r>
      <w:r>
        <w:rPr>
          <w:rFonts w:hint="eastAsia" w:ascii="宋体" w:hAnsi="宋体" w:eastAsia="宋体" w:cs="宋体"/>
          <w:b w:val="0"/>
          <w:bCs w:val="0"/>
          <w:i/>
          <w:iCs/>
          <w:color w:val="auto"/>
          <w:kern w:val="0"/>
          <w:sz w:val="24"/>
          <w:szCs w:val="24"/>
          <w:highlight w:val="none"/>
          <w:u w:val="single"/>
          <w:lang w:bidi="ar"/>
        </w:rPr>
        <w:t>（采购文件中明确的所属行业）</w:t>
      </w:r>
      <w:r>
        <w:rPr>
          <w:rFonts w:hint="eastAsia" w:ascii="宋体" w:hAnsi="宋体" w:eastAsia="宋体" w:cs="宋体"/>
          <w:b w:val="0"/>
          <w:bCs w:val="0"/>
          <w:i w:val="0"/>
          <w:iCs w:val="0"/>
          <w:color w:val="auto"/>
          <w:kern w:val="0"/>
          <w:sz w:val="24"/>
          <w:szCs w:val="24"/>
          <w:highlight w:val="none"/>
          <w:lang w:bidi="ar"/>
        </w:rPr>
        <w:t>；承建（承接）企业为</w:t>
      </w:r>
      <w:r>
        <w:rPr>
          <w:rFonts w:hint="eastAsia" w:ascii="宋体" w:hAnsi="宋体" w:eastAsia="宋体" w:cs="宋体"/>
          <w:b w:val="0"/>
          <w:bCs w:val="0"/>
          <w:i/>
          <w:iCs/>
          <w:color w:val="auto"/>
          <w:kern w:val="0"/>
          <w:sz w:val="24"/>
          <w:szCs w:val="24"/>
          <w:highlight w:val="none"/>
          <w:u w:val="single"/>
          <w:lang w:bidi="ar"/>
        </w:rPr>
        <w:t>（企业名称）</w:t>
      </w:r>
      <w:r>
        <w:rPr>
          <w:rFonts w:hint="eastAsia" w:ascii="宋体" w:hAnsi="宋体" w:eastAsia="宋体" w:cs="宋体"/>
          <w:b w:val="0"/>
          <w:bCs w:val="0"/>
          <w:i w:val="0"/>
          <w:iCs w:val="0"/>
          <w:color w:val="auto"/>
          <w:kern w:val="0"/>
          <w:sz w:val="24"/>
          <w:szCs w:val="24"/>
          <w:highlight w:val="none"/>
          <w:lang w:bidi="ar"/>
        </w:rPr>
        <w:t>，从业人员</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人，营业</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收入为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万元，资产总额为</w:t>
      </w:r>
      <w:r>
        <w:rPr>
          <w:rFonts w:hint="eastAsia" w:ascii="宋体" w:hAnsi="宋体" w:eastAsia="宋体" w:cs="宋体"/>
          <w:b w:val="0"/>
          <w:bCs w:val="0"/>
          <w:i w:val="0"/>
          <w:iCs w:val="0"/>
          <w:color w:val="auto"/>
          <w:kern w:val="0"/>
          <w:sz w:val="24"/>
          <w:szCs w:val="24"/>
          <w:highlight w:val="none"/>
          <w:u w:val="single"/>
          <w:lang w:bidi="ar"/>
        </w:rPr>
        <w:t xml:space="preserve">       </w:t>
      </w:r>
      <w:r>
        <w:rPr>
          <w:rFonts w:hint="eastAsia" w:ascii="宋体" w:hAnsi="宋体" w:eastAsia="宋体" w:cs="宋体"/>
          <w:b w:val="0"/>
          <w:bCs w:val="0"/>
          <w:i w:val="0"/>
          <w:iCs w:val="0"/>
          <w:color w:val="auto"/>
          <w:kern w:val="0"/>
          <w:sz w:val="24"/>
          <w:szCs w:val="24"/>
          <w:highlight w:val="none"/>
          <w:lang w:bidi="ar"/>
        </w:rPr>
        <w:t>万元，属于</w:t>
      </w:r>
      <w:r>
        <w:rPr>
          <w:rFonts w:hint="eastAsia" w:ascii="宋体" w:hAnsi="宋体" w:eastAsia="宋体" w:cs="宋体"/>
          <w:b w:val="0"/>
          <w:bCs w:val="0"/>
          <w:i/>
          <w:iCs/>
          <w:color w:val="auto"/>
          <w:kern w:val="0"/>
          <w:sz w:val="24"/>
          <w:szCs w:val="24"/>
          <w:highlight w:val="none"/>
          <w:u w:val="single"/>
          <w:lang w:bidi="ar"/>
        </w:rPr>
        <w:t>（中型企业、小型企业、微型企业）</w:t>
      </w:r>
      <w:r>
        <w:rPr>
          <w:rFonts w:hint="eastAsia" w:ascii="宋体" w:hAnsi="宋体" w:eastAsia="宋体" w:cs="宋体"/>
          <w:b w:val="0"/>
          <w:bCs w:val="0"/>
          <w:i w:val="0"/>
          <w:iCs w:val="0"/>
          <w:color w:val="auto"/>
          <w:kern w:val="0"/>
          <w:sz w:val="24"/>
          <w:szCs w:val="24"/>
          <w:highlight w:val="none"/>
          <w:lang w:bidi="ar"/>
        </w:rPr>
        <w:t>；</w:t>
      </w:r>
      <w:r>
        <w:rPr>
          <w:rFonts w:hint="eastAsia" w:ascii="宋体" w:hAnsi="宋体" w:eastAsia="宋体" w:cs="宋体"/>
          <w:i w:val="0"/>
          <w:iCs w:val="0"/>
          <w:color w:val="auto"/>
          <w:kern w:val="0"/>
          <w:sz w:val="24"/>
          <w:szCs w:val="24"/>
          <w:highlight w:val="none"/>
          <w:lang w:bidi="ar"/>
        </w:rPr>
        <w:t xml:space="preserve"> </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pPr>
        <w:widowControl/>
        <w:autoSpaceDE w:val="0"/>
        <w:autoSpaceDN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本企业对上述声明内容的真实性负责。如有虚假，将依法承担相应责任。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 xml:space="preserve">企业名称（盖章）： </w:t>
      </w:r>
    </w:p>
    <w:p>
      <w:pPr>
        <w:widowControl/>
        <w:autoSpaceDE w:val="0"/>
        <w:autoSpaceDN w:val="0"/>
        <w:adjustRightInd w:val="0"/>
        <w:snapToGrid w:val="0"/>
        <w:spacing w:line="360" w:lineRule="auto"/>
        <w:ind w:firstLine="3600" w:firstLineChars="1500"/>
        <w:jc w:val="left"/>
        <w:rPr>
          <w:rFonts w:hint="eastAsia" w:ascii="宋体" w:hAnsi="宋体" w:eastAsia="宋体" w:cs="宋体"/>
          <w:color w:val="auto"/>
          <w:kern w:val="0"/>
          <w:sz w:val="24"/>
          <w:szCs w:val="24"/>
          <w:highlight w:val="none"/>
          <w:vertAlign w:val="superscript"/>
          <w:lang w:bidi="ar"/>
        </w:rPr>
      </w:pPr>
      <w:r>
        <w:rPr>
          <w:rFonts w:hint="eastAsia" w:ascii="宋体" w:hAnsi="宋体" w:eastAsia="宋体" w:cs="宋体"/>
          <w:color w:val="auto"/>
          <w:kern w:val="0"/>
          <w:sz w:val="24"/>
          <w:szCs w:val="24"/>
          <w:highlight w:val="none"/>
          <w:lang w:bidi="ar"/>
        </w:rPr>
        <w:t xml:space="preserve">日 期： </w:t>
      </w: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28"/>
          <w:szCs w:val="18"/>
          <w:highlight w:val="none"/>
          <w:vertAlign w:val="superscript"/>
          <w:lang w:bidi="ar"/>
        </w:rPr>
      </w:pPr>
    </w:p>
    <w:p>
      <w:pPr>
        <w:widowControl/>
        <w:jc w:val="left"/>
        <w:rPr>
          <w:rFonts w:hint="eastAsia" w:ascii="宋体" w:hAnsi="宋体" w:eastAsia="宋体" w:cs="宋体"/>
          <w:color w:val="auto"/>
          <w:kern w:val="0"/>
          <w:sz w:val="18"/>
          <w:szCs w:val="18"/>
          <w:highlight w:val="none"/>
          <w:lang w:bidi="ar"/>
        </w:rPr>
      </w:pPr>
      <w:r>
        <w:rPr>
          <w:rFonts w:hint="eastAsia" w:ascii="宋体" w:hAnsi="宋体" w:eastAsia="宋体" w:cs="宋体"/>
          <w:color w:val="auto"/>
          <w:kern w:val="0"/>
          <w:sz w:val="28"/>
          <w:szCs w:val="18"/>
          <w:highlight w:val="none"/>
          <w:vertAlign w:val="superscript"/>
          <w:lang w:bidi="ar"/>
        </w:rPr>
        <w:t>1</w:t>
      </w:r>
      <w:r>
        <w:rPr>
          <w:rFonts w:hint="eastAsia" w:ascii="宋体" w:hAnsi="宋体" w:eastAsia="宋体" w:cs="宋体"/>
          <w:color w:val="auto"/>
          <w:kern w:val="0"/>
          <w:sz w:val="18"/>
          <w:szCs w:val="18"/>
          <w:highlight w:val="none"/>
          <w:lang w:bidi="ar"/>
        </w:rPr>
        <w:t>从业人员、营业收入、资产总额填报上一年度数据，无上一年度数据的新成立企业可不填报。</w:t>
      </w:r>
    </w:p>
    <w:p>
      <w:pPr>
        <w:pStyle w:val="94"/>
        <w:rPr>
          <w:rFonts w:hint="eastAsia" w:ascii="宋体" w:hAnsi="宋体" w:eastAsia="宋体" w:cs="宋体"/>
          <w:color w:val="auto"/>
          <w:highlight w:val="none"/>
        </w:rPr>
      </w:pPr>
    </w:p>
    <w:p>
      <w:pPr>
        <w:pStyle w:val="260"/>
        <w:rPr>
          <w:rFonts w:hint="eastAsia" w:ascii="宋体" w:hAnsi="宋体" w:eastAsia="宋体" w:cs="宋体"/>
          <w:b/>
          <w:color w:val="auto"/>
          <w:kern w:val="2"/>
          <w:sz w:val="28"/>
          <w:szCs w:val="28"/>
          <w:highlight w:val="none"/>
          <w:lang w:val="zh-CN"/>
        </w:rPr>
      </w:pPr>
      <w:bookmarkStart w:id="1605" w:name="_Toc14018_WPSOffice_Level1"/>
    </w:p>
    <w:p>
      <w:pPr>
        <w:pStyle w:val="260"/>
        <w:rPr>
          <w:rFonts w:hint="eastAsia" w:ascii="宋体" w:hAnsi="宋体" w:eastAsia="宋体" w:cs="宋体"/>
          <w:b/>
          <w:color w:val="auto"/>
          <w:kern w:val="2"/>
          <w:sz w:val="28"/>
          <w:szCs w:val="28"/>
          <w:highlight w:val="none"/>
          <w:lang w:val="zh-CN"/>
        </w:rPr>
      </w:pPr>
    </w:p>
    <w:p>
      <w:pPr>
        <w:pStyle w:val="260"/>
        <w:rPr>
          <w:rFonts w:hint="eastAsia" w:ascii="宋体" w:hAnsi="宋体" w:eastAsia="宋体" w:cs="宋体"/>
          <w:b/>
          <w:color w:val="auto"/>
          <w:kern w:val="2"/>
          <w:sz w:val="28"/>
          <w:szCs w:val="28"/>
          <w:highlight w:val="none"/>
          <w:lang w:val="zh-CN"/>
        </w:rPr>
      </w:pPr>
    </w:p>
    <w:p>
      <w:pPr>
        <w:pStyle w:val="260"/>
        <w:rPr>
          <w:rFonts w:hint="eastAsia" w:ascii="宋体" w:hAnsi="宋体" w:eastAsia="宋体" w:cs="宋体"/>
          <w:b/>
          <w:color w:val="auto"/>
          <w:kern w:val="2"/>
          <w:sz w:val="28"/>
          <w:szCs w:val="28"/>
          <w:highlight w:val="none"/>
          <w:lang w:val="zh-CN"/>
        </w:rPr>
      </w:pPr>
      <w:r>
        <w:rPr>
          <w:rFonts w:hint="eastAsia" w:ascii="宋体" w:hAnsi="宋体" w:eastAsia="宋体" w:cs="宋体"/>
          <w:b/>
          <w:color w:val="auto"/>
          <w:kern w:val="2"/>
          <w:sz w:val="28"/>
          <w:szCs w:val="28"/>
          <w:highlight w:val="none"/>
          <w:lang w:val="zh-CN"/>
        </w:rPr>
        <w:t>附件</w:t>
      </w:r>
      <w:r>
        <w:rPr>
          <w:rFonts w:hint="eastAsia" w:ascii="宋体" w:hAnsi="宋体" w:eastAsia="宋体" w:cs="宋体"/>
          <w:b/>
          <w:color w:val="auto"/>
          <w:kern w:val="2"/>
          <w:sz w:val="28"/>
          <w:szCs w:val="28"/>
          <w:highlight w:val="none"/>
          <w:lang w:val="en-US" w:eastAsia="zh-CN"/>
        </w:rPr>
        <w:t>二</w:t>
      </w:r>
      <w:r>
        <w:rPr>
          <w:rFonts w:hint="eastAsia" w:ascii="宋体" w:hAnsi="宋体" w:eastAsia="宋体" w:cs="宋体"/>
          <w:b/>
          <w:color w:val="auto"/>
          <w:kern w:val="2"/>
          <w:sz w:val="28"/>
          <w:szCs w:val="28"/>
          <w:highlight w:val="none"/>
          <w:lang w:val="zh-CN"/>
        </w:rPr>
        <w:t>：</w:t>
      </w:r>
      <w:bookmarkEnd w:id="1605"/>
    </w:p>
    <w:p>
      <w:pPr>
        <w:pStyle w:val="3"/>
        <w:jc w:val="center"/>
        <w:rPr>
          <w:rFonts w:hint="eastAsia" w:ascii="宋体" w:hAnsi="宋体" w:eastAsia="宋体" w:cs="宋体"/>
          <w:b w:val="0"/>
          <w:color w:val="auto"/>
          <w:sz w:val="28"/>
          <w:szCs w:val="28"/>
          <w:highlight w:val="none"/>
        </w:rPr>
      </w:pPr>
      <w:bookmarkStart w:id="1606" w:name="_Toc26887382"/>
      <w:bookmarkStart w:id="1607" w:name="_Toc55569576"/>
      <w:r>
        <w:rPr>
          <w:rFonts w:hint="eastAsia" w:ascii="宋体" w:hAnsi="宋体" w:eastAsia="宋体" w:cs="宋体"/>
          <w:color w:val="auto"/>
          <w:sz w:val="28"/>
          <w:szCs w:val="28"/>
          <w:highlight w:val="none"/>
        </w:rPr>
        <w:t>残疾人福利性单位声明函（格式）</w:t>
      </w:r>
      <w:bookmarkEnd w:id="1606"/>
      <w:bookmarkEnd w:id="1607"/>
    </w:p>
    <w:p>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本单位对上述声明的真实性负责。如有虚假，将依法承担相应责任。</w:t>
      </w:r>
    </w:p>
    <w:p>
      <w:pPr>
        <w:spacing w:line="588" w:lineRule="exact"/>
        <w:ind w:firstLine="504" w:firstLineChars="200"/>
        <w:rPr>
          <w:rFonts w:hint="eastAsia" w:ascii="宋体" w:hAnsi="宋体" w:eastAsia="宋体" w:cs="宋体"/>
          <w:color w:val="auto"/>
          <w:spacing w:val="6"/>
          <w:sz w:val="24"/>
          <w:highlight w:val="none"/>
        </w:rPr>
      </w:pPr>
    </w:p>
    <w:p>
      <w:pPr>
        <w:spacing w:line="588" w:lineRule="exact"/>
        <w:ind w:firstLine="504" w:firstLineChars="200"/>
        <w:rPr>
          <w:rFonts w:hint="eastAsia" w:ascii="宋体" w:hAnsi="宋体" w:eastAsia="宋体" w:cs="宋体"/>
          <w:color w:val="auto"/>
          <w:spacing w:val="6"/>
          <w:sz w:val="24"/>
          <w:highlight w:val="none"/>
        </w:rPr>
      </w:pPr>
    </w:p>
    <w:p>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单位名称（盖章）：</w:t>
      </w:r>
    </w:p>
    <w:p>
      <w:pPr>
        <w:spacing w:line="588" w:lineRule="exact"/>
        <w:ind w:firstLine="504" w:firstLineChars="200"/>
        <w:rPr>
          <w:rFonts w:hint="eastAsia" w:ascii="宋体" w:hAnsi="宋体" w:eastAsia="宋体" w:cs="宋体"/>
          <w:b/>
          <w:bCs/>
          <w:color w:val="auto"/>
          <w:sz w:val="24"/>
          <w:szCs w:val="24"/>
          <w:highlight w:val="none"/>
          <w:lang w:val="zh-CN"/>
        </w:rPr>
      </w:pPr>
      <w:r>
        <w:rPr>
          <w:rFonts w:hint="eastAsia" w:ascii="宋体" w:hAnsi="宋体" w:eastAsia="宋体" w:cs="宋体"/>
          <w:color w:val="auto"/>
          <w:spacing w:val="6"/>
          <w:sz w:val="24"/>
          <w:highlight w:val="none"/>
        </w:rPr>
        <w:t>日  期：</w:t>
      </w: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pStyle w:val="260"/>
        <w:rPr>
          <w:rFonts w:hint="eastAsia" w:ascii="宋体" w:hAnsi="宋体" w:eastAsia="宋体" w:cs="宋体"/>
          <w:b/>
          <w:bCs/>
          <w:color w:val="auto"/>
          <w:sz w:val="24"/>
          <w:szCs w:val="24"/>
          <w:highlight w:val="none"/>
          <w:lang w:val="zh-CN"/>
        </w:rPr>
      </w:pPr>
    </w:p>
    <w:p>
      <w:pPr>
        <w:spacing w:line="360" w:lineRule="auto"/>
        <w:rPr>
          <w:rFonts w:hint="eastAsia" w:ascii="宋体" w:hAnsi="宋体" w:eastAsia="宋体" w:cs="宋体"/>
          <w:b/>
          <w:bCs/>
          <w:i/>
          <w:iCs/>
          <w:color w:val="auto"/>
          <w:sz w:val="28"/>
          <w:szCs w:val="28"/>
          <w:highlight w:val="none"/>
          <w:u w:val="single"/>
        </w:rPr>
      </w:pPr>
    </w:p>
    <w:p>
      <w:pPr>
        <w:numPr>
          <w:ilvl w:val="0"/>
          <w:numId w:val="0"/>
        </w:numPr>
        <w:rPr>
          <w:rFonts w:hint="eastAsia"/>
          <w:color w:val="auto"/>
          <w:highlight w:val="none"/>
        </w:rPr>
      </w:pPr>
    </w:p>
    <w:p>
      <w:pPr>
        <w:autoSpaceDE w:val="0"/>
        <w:autoSpaceDN w:val="0"/>
        <w:adjustRightInd w:val="0"/>
        <w:jc w:val="both"/>
        <w:rPr>
          <w:rFonts w:ascii="宋体" w:hAnsi="宋体"/>
          <w:b/>
          <w:bCs/>
          <w:color w:val="auto"/>
          <w:sz w:val="28"/>
          <w:szCs w:val="24"/>
          <w:highlight w:val="none"/>
          <w:lang w:val="zh-CN"/>
        </w:rPr>
      </w:pPr>
    </w:p>
    <w:p>
      <w:pPr>
        <w:tabs>
          <w:tab w:val="left" w:pos="0"/>
        </w:tabs>
        <w:spacing w:line="360" w:lineRule="auto"/>
        <w:ind w:firstLine="480"/>
        <w:rPr>
          <w:rFonts w:ascii="宋体" w:hAnsi="宋体"/>
          <w:color w:val="auto"/>
          <w:sz w:val="24"/>
          <w:highlight w:val="none"/>
        </w:rPr>
      </w:pPr>
    </w:p>
    <w:p>
      <w:pPr>
        <w:tabs>
          <w:tab w:val="left" w:pos="0"/>
        </w:tabs>
        <w:spacing w:line="360" w:lineRule="auto"/>
        <w:ind w:firstLine="480"/>
        <w:rPr>
          <w:rFonts w:ascii="宋体" w:hAnsi="宋体"/>
          <w:color w:val="auto"/>
          <w:sz w:val="24"/>
          <w:highlight w:val="none"/>
        </w:rPr>
      </w:pPr>
    </w:p>
    <w:p>
      <w:pPr>
        <w:pStyle w:val="4"/>
        <w:rPr>
          <w:rFonts w:ascii="宋体" w:hAnsi="宋体"/>
          <w:color w:val="auto"/>
          <w:sz w:val="24"/>
          <w:highlight w:val="none"/>
        </w:rPr>
      </w:pPr>
    </w:p>
    <w:p>
      <w:pPr>
        <w:rPr>
          <w:rFonts w:ascii="宋体" w:hAnsi="宋体"/>
          <w:color w:val="auto"/>
          <w:sz w:val="24"/>
          <w:highlight w:val="none"/>
        </w:rPr>
      </w:pPr>
    </w:p>
    <w:p>
      <w:pPr>
        <w:tabs>
          <w:tab w:val="left" w:pos="0"/>
        </w:tabs>
        <w:spacing w:line="276" w:lineRule="auto"/>
        <w:jc w:val="both"/>
        <w:rPr>
          <w:rFonts w:hint="eastAsia" w:ascii="宋体" w:hAnsi="宋体"/>
          <w:b/>
          <w:color w:val="auto"/>
          <w:sz w:val="24"/>
          <w:highlight w:val="none"/>
        </w:rPr>
      </w:pPr>
    </w:p>
    <w:p>
      <w:pPr>
        <w:tabs>
          <w:tab w:val="left" w:pos="0"/>
        </w:tabs>
        <w:spacing w:line="276" w:lineRule="auto"/>
        <w:jc w:val="center"/>
        <w:rPr>
          <w:rFonts w:hint="eastAsia" w:ascii="宋体" w:hAnsi="宋体"/>
          <w:b/>
          <w:color w:val="auto"/>
          <w:sz w:val="24"/>
          <w:highlight w:val="none"/>
        </w:rPr>
      </w:pPr>
    </w:p>
    <w:p>
      <w:pPr>
        <w:tabs>
          <w:tab w:val="left" w:pos="0"/>
        </w:tabs>
        <w:spacing w:line="276" w:lineRule="auto"/>
        <w:jc w:val="center"/>
        <w:rPr>
          <w:rFonts w:ascii="宋体" w:hAnsi="宋体"/>
          <w:b/>
          <w:color w:val="auto"/>
          <w:sz w:val="24"/>
          <w:highlight w:val="none"/>
        </w:rPr>
      </w:pPr>
      <w:r>
        <w:rPr>
          <w:rFonts w:hint="eastAsia" w:ascii="宋体" w:hAnsi="宋体"/>
          <w:b/>
          <w:color w:val="auto"/>
          <w:sz w:val="24"/>
          <w:highlight w:val="none"/>
        </w:rPr>
        <w:t>中小企业划型标准规定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一、根据《中华人民共和国中小企业促进法》和《国务院关于进一步促进中小企业发展的若干意见》 (国发〔2009〕 36 号)，制定本规定。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二、中小企业划分为中型、小型、微型三种类型，具体标准根据企业从业人员、营业收入、资产总额等指标，结合行业特点制定。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四、各行业划型标准为：</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（一）农、林、牧、渔业。营业收入 20000 万元以下的为中小微型企业。其中，营业收入 500 万元及以上的为中型企业，营业收入 50 万元及以上的为小型企业，营业收入 50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（二）工业。从业人员 1000 人以下或营业收入 40000 万元以下的为中小微型企业。其中，从业人员 300 人及以上，且营业收入 2000 万元及以上的为中型企业；从业人员 20 人及以上，且营业收入 300万元及以上的为小型企业；从业人员 20 人以下或营业收入 300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 万元以下或资产总额 300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（四）批发业。从业人员 200 人以下或营业收入 40000 万元以下的为中小微型企业。其中，从业人员 20 人及以上，且营业收入 5000 万元及以上的为中型企业；从业人员 5 人及以上，且营业收入 1000万元及以上的为小型企业；从业人员 5 人以下或营业收入 1000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（五）零售业。从业人员 300 人以下或营业收入 20000 万元以下的为中小微型企业。其中，从业人员 50 人及以上，且营业收入 500 万元及以上的为中型企业；从业人员 10 人及以上，且营业收入 100万元及以上的为小型企业；从业人员 10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（六）交通运输业。从业人员 1000 人以下或营业收入 30000 万元以下的为中小微型企业。其中，从业人员 300 人及以上，且营业收入 3000 万元及以上的为中型企业；从业人员 20 人及以上，且营业收入 200 万元及以上的为小型企业；从业人员 20 人以下或营业收入 200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（七）仓储业。从业人员 200 人以下或营业收入 30000 万元以下的为中小微型企业。其中，从业人员 100 人及以上，且营业收入 1000 万元及以上的为中型企业；从业人员 20 人及以上，且营业收入100 万元及以上的为小型企业；从业人员 20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（八）邮政业。从业人员 1000 人以下或营业收入 30000 万元以下的为中小微型企业。其中，从业人员 300 人及以上，且营业收入 2000 万元及以上的为中型企业；从业人员 20 人及以上，且营业收入100 万元及以上的为小型企业；从业人员 20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（九）住宿业。从业人员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万元以下的为微型企业。36</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（十）餐饮业。从业人员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（十一）信息传输业。从业人员 2000 人以下或营业收入 100000 万元以下的为中小微型企业。其中，从业人员 100 人及以上，且营业收入 1000 万元及以上的为中型企业；从业人员 10 人及以上，且营业收入 100 万元及以上的为小型企业；从业人员 10 人以下或营业收入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（十二）软件和信息技术服务业。从业人员 300 人以下或营业收入 10000 万元以下的为中小微型企业。其中，从业人员 100 人及以上，且营业收入 1000 万元及以上的为中型企业；从业人员 10 人及以上，且营业收入 50 万元及以上的为小型企业；从业人员 10 人以下或营业收入 50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（十三）房地产开发经营。营业收入 200000 万元以下或资产总额 10000 万元以下的为中小微型企业。其中，营业收入 1000 万元及以上，且资产总额 5000 万元及以上的为中型企业；营业收入 100 万元及以上，且资产总额 2000 万元及以上的为小型企业；营业收入 100 万元以下或资产总额 2000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（十四）物业管理。从业人员 1000 人以下或营业收入 5000 万元以下的为中小微型企业。其中，从业人员 300 人及以上，且营业收入 1000 万元及以上的为中型企业；从业人员 100 人及以上，且营业收入 500 万元及以上的为小型企业；从业人员 100 人以下或营业收入 500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（十五）租赁和商务服务业。从业人员 300 人以下或资产总额 120000 万元以下的为中小微型企业。其中，从业人员 100 人及以上，且资产总额 8000 万元及以上的为中型企业；从业人员 10 人及以上，且资产总额 100 万元及以上的为小型企业；从业人员 10 人以下或资产总额 100 万元以下的为微型企业。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（十六）其他未列明行业。从业人员 300 人以下的为中小微型企业。其中，从业人员 100 人及以上的为中型企业；从业人员 10 人及以上的为小型企业；从业人员 10 人以下的为微型企业。</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五、企业类型的划分以统计部门的统计数据为依据。</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六、本规定适用于在中华人民共和国境内依法设立的各类所有制和各种组织形式的企业。个体工商户和本规定以外的行业，参照本规定进行划型。</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八、本规定由工业和信息化部、国家统计局会同有关部门根据《国民经济行业分类》修订情况和企业发展变化情况适时修订。</w:t>
      </w:r>
    </w:p>
    <w:p>
      <w:pPr>
        <w:tabs>
          <w:tab w:val="left" w:pos="0"/>
        </w:tabs>
        <w:spacing w:line="276" w:lineRule="auto"/>
        <w:ind w:firstLine="480"/>
        <w:rPr>
          <w:rFonts w:ascii="宋体" w:hAnsi="宋体"/>
          <w:color w:val="auto"/>
          <w:sz w:val="24"/>
          <w:highlight w:val="none"/>
        </w:rPr>
      </w:pPr>
      <w:r>
        <w:rPr>
          <w:rFonts w:hint="eastAsia" w:ascii="宋体" w:hAnsi="宋体"/>
          <w:color w:val="auto"/>
          <w:sz w:val="24"/>
          <w:highlight w:val="none"/>
        </w:rPr>
        <w:t>九、本规定由工业和信息化部、国家统计局会同有关部门负责解释。</w:t>
      </w:r>
    </w:p>
    <w:p>
      <w:pPr>
        <w:ind w:firstLine="480" w:firstLineChars="200"/>
        <w:rPr>
          <w:rFonts w:asciiTheme="minorEastAsia" w:hAnsiTheme="minorEastAsia" w:eastAsiaTheme="minorEastAsia"/>
          <w:color w:val="auto"/>
          <w:sz w:val="24"/>
          <w:highlight w:val="none"/>
        </w:rPr>
      </w:pPr>
      <w:r>
        <w:rPr>
          <w:rFonts w:hint="eastAsia" w:ascii="宋体" w:hAnsi="宋体"/>
          <w:color w:val="auto"/>
          <w:sz w:val="24"/>
          <w:highlight w:val="none"/>
        </w:rPr>
        <w:t>十、本规定自发布之日起执行，原国家经贸委、原国家计委、财政部和国家统计局 2003 年颁布的《中小企业标准暂行规定》同时废止。</w:t>
      </w:r>
    </w:p>
    <w:p>
      <w:pPr>
        <w:rPr>
          <w:rFonts w:asciiTheme="minorEastAsia" w:hAnsiTheme="minorEastAsia" w:eastAsiaTheme="minorEastAsia"/>
          <w:color w:val="auto"/>
          <w:highlight w:val="none"/>
        </w:rPr>
      </w:pPr>
      <w:r>
        <w:rPr>
          <w:rFonts w:asciiTheme="minorEastAsia" w:hAnsiTheme="minorEastAsia" w:eastAsiaTheme="minorEastAsia"/>
          <w:color w:val="auto"/>
          <w:highlight w:val="none"/>
        </w:rPr>
        <w:br w:type="page"/>
      </w:r>
    </w:p>
    <w:p>
      <w:pPr>
        <w:autoSpaceDE w:val="0"/>
        <w:autoSpaceDN w:val="0"/>
        <w:adjustRightInd w:val="0"/>
        <w:spacing w:line="360" w:lineRule="auto"/>
        <w:jc w:val="left"/>
        <w:rPr>
          <w:rFonts w:hint="eastAsia" w:ascii="宋体" w:hAnsi="宋体"/>
          <w:b/>
          <w:color w:val="auto"/>
          <w:sz w:val="28"/>
          <w:szCs w:val="28"/>
          <w:highlight w:val="none"/>
          <w:lang w:val="en-US" w:eastAsia="zh-CN"/>
        </w:rPr>
      </w:pPr>
      <w:r>
        <w:rPr>
          <w:rFonts w:hint="eastAsia" w:ascii="宋体" w:hAnsi="宋体"/>
          <w:b/>
          <w:color w:val="auto"/>
          <w:sz w:val="28"/>
          <w:szCs w:val="28"/>
          <w:highlight w:val="none"/>
          <w:lang w:val="en-US" w:eastAsia="zh-CN"/>
        </w:rPr>
        <w:t>附表</w:t>
      </w:r>
    </w:p>
    <w:p>
      <w:pPr>
        <w:autoSpaceDE w:val="0"/>
        <w:autoSpaceDN w:val="0"/>
        <w:adjustRightInd w:val="0"/>
        <w:spacing w:line="360" w:lineRule="auto"/>
        <w:jc w:val="center"/>
        <w:rPr>
          <w:rFonts w:hint="default" w:ascii="宋体" w:hAnsi="宋体"/>
          <w:b/>
          <w:color w:val="auto"/>
          <w:sz w:val="32"/>
          <w:szCs w:val="32"/>
          <w:highlight w:val="none"/>
          <w:lang w:val="en-US" w:eastAsia="zh-CN"/>
        </w:rPr>
      </w:pPr>
      <w:r>
        <w:rPr>
          <w:rFonts w:hint="eastAsia" w:ascii="宋体" w:hAnsi="宋体"/>
          <w:b/>
          <w:color w:val="auto"/>
          <w:sz w:val="32"/>
          <w:szCs w:val="32"/>
          <w:highlight w:val="none"/>
          <w:lang w:val="en-US" w:eastAsia="zh-CN"/>
        </w:rPr>
        <w:t>最后报价表</w:t>
      </w:r>
    </w:p>
    <w:p>
      <w:pPr>
        <w:autoSpaceDE w:val="0"/>
        <w:autoSpaceDN w:val="0"/>
        <w:adjustRightInd w:val="0"/>
        <w:spacing w:line="360" w:lineRule="auto"/>
        <w:rPr>
          <w:rFonts w:ascii="宋体" w:hAnsi="宋体"/>
          <w:color w:val="auto"/>
          <w:sz w:val="24"/>
          <w:highlight w:val="none"/>
        </w:rPr>
      </w:pPr>
      <w:r>
        <w:rPr>
          <w:rFonts w:hint="eastAsia" w:ascii="宋体" w:hAnsi="宋体"/>
          <w:color w:val="auto"/>
          <w:sz w:val="24"/>
          <w:highlight w:val="none"/>
        </w:rPr>
        <w:t>项目名称：</w:t>
      </w:r>
      <w:r>
        <w:rPr>
          <w:rFonts w:hint="eastAsia" w:ascii="宋体" w:hAnsi="宋体"/>
          <w:color w:val="auto"/>
          <w:sz w:val="24"/>
          <w:highlight w:val="none"/>
          <w:u w:val="single"/>
        </w:rPr>
        <w:t xml:space="preserve">                </w:t>
      </w:r>
    </w:p>
    <w:p>
      <w:pPr>
        <w:autoSpaceDE w:val="0"/>
        <w:autoSpaceDN w:val="0"/>
        <w:adjustRightInd w:val="0"/>
        <w:spacing w:line="360" w:lineRule="auto"/>
        <w:rPr>
          <w:rFonts w:hint="eastAsia" w:ascii="宋体" w:hAnsi="宋体"/>
          <w:color w:val="auto"/>
          <w:sz w:val="24"/>
          <w:highlight w:val="none"/>
          <w:u w:val="single"/>
        </w:rPr>
      </w:pPr>
      <w:r>
        <w:rPr>
          <w:rFonts w:hint="eastAsia" w:ascii="宋体" w:hAnsi="宋体"/>
          <w:color w:val="auto"/>
          <w:sz w:val="24"/>
          <w:highlight w:val="none"/>
          <w:lang w:val="en-US" w:eastAsia="zh-CN"/>
        </w:rPr>
        <w:t>采购</w:t>
      </w:r>
      <w:r>
        <w:rPr>
          <w:rFonts w:hint="eastAsia" w:ascii="宋体" w:hAnsi="宋体"/>
          <w:color w:val="auto"/>
          <w:sz w:val="24"/>
          <w:highlight w:val="none"/>
        </w:rPr>
        <w:t>编号：</w:t>
      </w:r>
      <w:r>
        <w:rPr>
          <w:rFonts w:hint="eastAsia" w:ascii="宋体" w:hAnsi="宋体"/>
          <w:color w:val="auto"/>
          <w:sz w:val="24"/>
          <w:highlight w:val="none"/>
          <w:u w:val="single"/>
        </w:rPr>
        <w:t xml:space="preserve">                </w:t>
      </w:r>
    </w:p>
    <w:tbl>
      <w:tblPr>
        <w:tblStyle w:val="4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2"/>
        <w:gridCol w:w="5610"/>
        <w:gridCol w:w="15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1001" w:type="pct"/>
            <w:noWrap w:val="0"/>
            <w:vAlign w:val="center"/>
          </w:tcPr>
          <w:p>
            <w:pPr>
              <w:pStyle w:val="24"/>
              <w:spacing w:line="360" w:lineRule="auto"/>
              <w:jc w:val="center"/>
              <w:rPr>
                <w:rFonts w:hAnsi="宋体"/>
                <w:b/>
                <w:color w:val="auto"/>
                <w:sz w:val="24"/>
                <w:highlight w:val="none"/>
                <w:lang w:val="en-US" w:eastAsia="zh-CN"/>
              </w:rPr>
            </w:pPr>
            <w:r>
              <w:rPr>
                <w:rFonts w:hint="eastAsia" w:hAnsi="宋体"/>
                <w:b/>
                <w:color w:val="auto"/>
                <w:sz w:val="24"/>
                <w:highlight w:val="none"/>
                <w:lang w:val="en-US" w:eastAsia="zh-CN"/>
              </w:rPr>
              <w:t>供应商名称</w:t>
            </w:r>
          </w:p>
        </w:tc>
        <w:tc>
          <w:tcPr>
            <w:tcW w:w="3116" w:type="pct"/>
            <w:noWrap w:val="0"/>
            <w:vAlign w:val="center"/>
          </w:tcPr>
          <w:p>
            <w:pPr>
              <w:pStyle w:val="24"/>
              <w:spacing w:line="360" w:lineRule="auto"/>
              <w:jc w:val="center"/>
              <w:rPr>
                <w:rFonts w:hint="default" w:hAnsi="宋体"/>
                <w:b/>
                <w:color w:val="auto"/>
                <w:sz w:val="24"/>
                <w:highlight w:val="none"/>
                <w:lang w:val="en-US" w:eastAsia="zh-CN"/>
              </w:rPr>
            </w:pPr>
            <w:r>
              <w:rPr>
                <w:rFonts w:hint="eastAsia" w:hAnsi="宋体"/>
                <w:b/>
                <w:color w:val="auto"/>
                <w:sz w:val="24"/>
                <w:highlight w:val="none"/>
                <w:lang w:val="en-US" w:eastAsia="zh-CN"/>
              </w:rPr>
              <w:t>最后报价（元）</w:t>
            </w:r>
          </w:p>
        </w:tc>
        <w:tc>
          <w:tcPr>
            <w:tcW w:w="881" w:type="pct"/>
            <w:noWrap w:val="0"/>
            <w:vAlign w:val="center"/>
          </w:tcPr>
          <w:p>
            <w:pPr>
              <w:pStyle w:val="24"/>
              <w:spacing w:line="360" w:lineRule="auto"/>
              <w:jc w:val="center"/>
              <w:rPr>
                <w:rFonts w:hint="eastAsia" w:hAnsi="宋体"/>
                <w:b/>
                <w:color w:val="auto"/>
                <w:sz w:val="24"/>
                <w:highlight w:val="none"/>
                <w:lang w:val="en-US" w:eastAsia="zh-CN"/>
              </w:rPr>
            </w:pPr>
            <w:r>
              <w:rPr>
                <w:rFonts w:hint="eastAsia" w:hAnsi="宋体"/>
                <w:b/>
                <w:color w:val="auto"/>
                <w:sz w:val="24"/>
                <w:szCs w:val="28"/>
                <w:highlight w:val="none"/>
                <w:lang w:eastAsia="zh-CN"/>
              </w:rPr>
              <w:t>供应商代表</w:t>
            </w:r>
            <w:r>
              <w:rPr>
                <w:rFonts w:hint="eastAsia" w:hAnsi="宋体"/>
                <w:b/>
                <w:color w:val="auto"/>
                <w:sz w:val="24"/>
                <w:szCs w:val="28"/>
                <w:highlight w:val="none"/>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9" w:hRule="atLeast"/>
        </w:trPr>
        <w:tc>
          <w:tcPr>
            <w:tcW w:w="1001" w:type="pct"/>
            <w:noWrap w:val="0"/>
            <w:vAlign w:val="center"/>
          </w:tcPr>
          <w:p>
            <w:pPr>
              <w:pStyle w:val="24"/>
              <w:spacing w:line="360" w:lineRule="auto"/>
              <w:jc w:val="center"/>
              <w:rPr>
                <w:rFonts w:hAnsi="宋体"/>
                <w:b/>
                <w:color w:val="auto"/>
                <w:sz w:val="24"/>
                <w:highlight w:val="none"/>
                <w:lang w:val="en-US" w:eastAsia="zh-CN"/>
              </w:rPr>
            </w:pPr>
          </w:p>
        </w:tc>
        <w:tc>
          <w:tcPr>
            <w:tcW w:w="3116" w:type="pct"/>
            <w:noWrap w:val="0"/>
            <w:vAlign w:val="center"/>
          </w:tcPr>
          <w:p>
            <w:pPr>
              <w:pStyle w:val="24"/>
              <w:spacing w:line="360" w:lineRule="auto"/>
              <w:jc w:val="left"/>
              <w:rPr>
                <w:rFonts w:hAnsi="宋体"/>
                <w:color w:val="auto"/>
                <w:sz w:val="24"/>
                <w:highlight w:val="none"/>
                <w:lang w:val="en-US" w:eastAsia="zh-CN"/>
              </w:rPr>
            </w:pPr>
            <w:r>
              <w:rPr>
                <w:rFonts w:hint="eastAsia" w:hAnsi="宋体"/>
                <w:color w:val="auto"/>
                <w:sz w:val="24"/>
                <w:highlight w:val="none"/>
                <w:lang w:val="en-US" w:eastAsia="zh-CN"/>
              </w:rPr>
              <w:t>大写：</w:t>
            </w:r>
          </w:p>
          <w:p>
            <w:pPr>
              <w:pStyle w:val="24"/>
              <w:spacing w:line="360" w:lineRule="auto"/>
              <w:jc w:val="center"/>
              <w:rPr>
                <w:rFonts w:hint="eastAsia" w:hAnsi="宋体"/>
                <w:color w:val="auto"/>
                <w:sz w:val="24"/>
                <w:highlight w:val="none"/>
                <w:lang w:val="en-US" w:eastAsia="zh-CN"/>
              </w:rPr>
            </w:pPr>
          </w:p>
          <w:p>
            <w:pPr>
              <w:pStyle w:val="24"/>
              <w:spacing w:line="360" w:lineRule="auto"/>
              <w:jc w:val="left"/>
              <w:rPr>
                <w:rFonts w:hAnsi="宋体"/>
                <w:color w:val="auto"/>
                <w:sz w:val="24"/>
                <w:highlight w:val="none"/>
                <w:lang w:val="en-US" w:eastAsia="zh-CN"/>
              </w:rPr>
            </w:pPr>
            <w:r>
              <w:rPr>
                <w:rFonts w:hint="eastAsia" w:hAnsi="宋体"/>
                <w:color w:val="auto"/>
                <w:sz w:val="24"/>
                <w:highlight w:val="none"/>
                <w:lang w:val="en-US" w:eastAsia="zh-CN"/>
              </w:rPr>
              <w:t>小写：</w:t>
            </w:r>
          </w:p>
        </w:tc>
        <w:tc>
          <w:tcPr>
            <w:tcW w:w="881" w:type="pct"/>
            <w:noWrap w:val="0"/>
            <w:vAlign w:val="center"/>
          </w:tcPr>
          <w:p>
            <w:pPr>
              <w:pStyle w:val="24"/>
              <w:spacing w:line="360" w:lineRule="auto"/>
              <w:jc w:val="center"/>
              <w:rPr>
                <w:rFonts w:hint="eastAsia" w:hAnsi="宋体"/>
                <w:color w:val="auto"/>
                <w:sz w:val="24"/>
                <w:highlight w:val="none"/>
                <w:u w:val="single"/>
                <w:lang w:val="en-US" w:eastAsia="zh-CN"/>
              </w:rPr>
            </w:pPr>
          </w:p>
        </w:tc>
      </w:tr>
    </w:tbl>
    <w:p>
      <w:pPr>
        <w:autoSpaceDE w:val="0"/>
        <w:autoSpaceDN w:val="0"/>
        <w:adjustRightInd w:val="0"/>
        <w:spacing w:line="360" w:lineRule="auto"/>
        <w:ind w:firstLine="360" w:firstLineChars="150"/>
        <w:rPr>
          <w:rFonts w:ascii="宋体" w:hAnsi="宋体"/>
          <w:color w:val="auto"/>
          <w:sz w:val="24"/>
          <w:highlight w:val="none"/>
          <w:lang w:val="zh-CN"/>
        </w:rPr>
      </w:pPr>
    </w:p>
    <w:p>
      <w:pPr>
        <w:autoSpaceDE w:val="0"/>
        <w:autoSpaceDN w:val="0"/>
        <w:adjustRightInd w:val="0"/>
        <w:spacing w:line="360" w:lineRule="auto"/>
        <w:rPr>
          <w:rFonts w:ascii="宋体" w:hAnsi="宋体"/>
          <w:b/>
          <w:color w:val="auto"/>
          <w:sz w:val="24"/>
          <w:highlight w:val="none"/>
        </w:rPr>
      </w:pPr>
    </w:p>
    <w:p>
      <w:pPr>
        <w:autoSpaceDE w:val="0"/>
        <w:autoSpaceDN w:val="0"/>
        <w:adjustRightInd w:val="0"/>
        <w:spacing w:line="360" w:lineRule="auto"/>
        <w:jc w:val="left"/>
        <w:rPr>
          <w:rFonts w:hint="eastAsia" w:ascii="宋体" w:hAnsi="宋体"/>
          <w:color w:val="auto"/>
          <w:sz w:val="24"/>
          <w:szCs w:val="21"/>
          <w:highlight w:val="none"/>
        </w:rPr>
      </w:pPr>
      <w:r>
        <w:rPr>
          <w:rFonts w:hint="eastAsia" w:ascii="宋体" w:hAnsi="宋体"/>
          <w:bCs/>
          <w:color w:val="auto"/>
          <w:sz w:val="24"/>
          <w:szCs w:val="21"/>
          <w:highlight w:val="none"/>
        </w:rPr>
        <w:t>法定代表人或委托代理人</w:t>
      </w:r>
      <w:r>
        <w:rPr>
          <w:rFonts w:hint="eastAsia" w:ascii="宋体" w:hAnsi="宋体"/>
          <w:color w:val="auto"/>
          <w:sz w:val="24"/>
          <w:szCs w:val="21"/>
          <w:highlight w:val="none"/>
        </w:rPr>
        <w:t>：</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（签字）</w:t>
      </w:r>
    </w:p>
    <w:p>
      <w:pPr>
        <w:autoSpaceDE w:val="0"/>
        <w:autoSpaceDN w:val="0"/>
        <w:adjustRightInd w:val="0"/>
        <w:spacing w:line="360" w:lineRule="auto"/>
        <w:jc w:val="left"/>
        <w:rPr>
          <w:rFonts w:hint="eastAsia" w:ascii="宋体" w:hAnsi="宋体"/>
          <w:color w:val="auto"/>
          <w:sz w:val="24"/>
          <w:szCs w:val="21"/>
          <w:highlight w:val="none"/>
        </w:rPr>
      </w:pPr>
      <w:r>
        <w:rPr>
          <w:rFonts w:hint="eastAsia" w:ascii="宋体" w:hAnsi="宋体"/>
          <w:color w:val="auto"/>
          <w:sz w:val="24"/>
          <w:szCs w:val="21"/>
          <w:highlight w:val="none"/>
        </w:rPr>
        <w:t>日      期：</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年</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月</w:t>
      </w:r>
      <w:r>
        <w:rPr>
          <w:rFonts w:hint="eastAsia" w:ascii="宋体" w:hAnsi="宋体"/>
          <w:color w:val="auto"/>
          <w:sz w:val="24"/>
          <w:szCs w:val="21"/>
          <w:highlight w:val="none"/>
          <w:u w:val="single"/>
        </w:rPr>
        <w:t xml:space="preserve">      </w:t>
      </w:r>
      <w:r>
        <w:rPr>
          <w:rFonts w:hint="eastAsia" w:ascii="宋体" w:hAnsi="宋体"/>
          <w:color w:val="auto"/>
          <w:sz w:val="24"/>
          <w:szCs w:val="21"/>
          <w:highlight w:val="none"/>
        </w:rPr>
        <w:t>日</w:t>
      </w:r>
    </w:p>
    <w:p>
      <w:pPr>
        <w:autoSpaceDE w:val="0"/>
        <w:autoSpaceDN w:val="0"/>
        <w:adjustRightInd w:val="0"/>
        <w:spacing w:line="360" w:lineRule="auto"/>
        <w:rPr>
          <w:rFonts w:hint="eastAsia" w:ascii="宋体" w:hAnsi="宋体"/>
          <w:b/>
          <w:color w:val="auto"/>
          <w:sz w:val="24"/>
          <w:highlight w:val="none"/>
          <w:lang w:val="zh-CN"/>
        </w:rPr>
      </w:pPr>
    </w:p>
    <w:p>
      <w:pPr>
        <w:autoSpaceDE w:val="0"/>
        <w:autoSpaceDN w:val="0"/>
        <w:adjustRightInd w:val="0"/>
        <w:spacing w:line="360" w:lineRule="auto"/>
        <w:rPr>
          <w:rFonts w:hint="eastAsia" w:ascii="宋体" w:hAnsi="宋体"/>
          <w:b/>
          <w:color w:val="auto"/>
          <w:sz w:val="24"/>
          <w:highlight w:val="none"/>
          <w:lang w:val="zh-CN"/>
        </w:rPr>
      </w:pPr>
    </w:p>
    <w:p>
      <w:pPr>
        <w:autoSpaceDE w:val="0"/>
        <w:autoSpaceDN w:val="0"/>
        <w:adjustRightInd w:val="0"/>
        <w:spacing w:line="360" w:lineRule="auto"/>
        <w:rPr>
          <w:rFonts w:hint="eastAsia" w:ascii="宋体" w:hAnsi="宋体"/>
          <w:b/>
          <w:color w:val="auto"/>
          <w:sz w:val="24"/>
          <w:highlight w:val="none"/>
          <w:lang w:val="zh-CN"/>
        </w:rPr>
      </w:pPr>
    </w:p>
    <w:p>
      <w:pPr>
        <w:autoSpaceDE w:val="0"/>
        <w:autoSpaceDN w:val="0"/>
        <w:adjustRightInd w:val="0"/>
        <w:spacing w:line="360" w:lineRule="auto"/>
        <w:rPr>
          <w:rFonts w:ascii="宋体" w:hAnsi="宋体"/>
          <w:b/>
          <w:bCs/>
          <w:color w:val="auto"/>
          <w:sz w:val="24"/>
          <w:highlight w:val="none"/>
          <w:lang w:val="zh-CN"/>
        </w:rPr>
      </w:pPr>
      <w:r>
        <w:rPr>
          <w:rFonts w:hint="eastAsia" w:ascii="宋体" w:hAnsi="宋体"/>
          <w:b/>
          <w:color w:val="auto"/>
          <w:sz w:val="24"/>
          <w:highlight w:val="none"/>
          <w:lang w:val="zh-CN"/>
        </w:rPr>
        <w:t>说明：</w:t>
      </w:r>
      <w:r>
        <w:rPr>
          <w:rFonts w:ascii="宋体" w:hAnsi="宋体"/>
          <w:b/>
          <w:color w:val="auto"/>
          <w:sz w:val="24"/>
          <w:highlight w:val="none"/>
          <w:lang w:val="zh-CN"/>
        </w:rPr>
        <w:t xml:space="preserve"> </w:t>
      </w:r>
    </w:p>
    <w:p>
      <w:pPr>
        <w:autoSpaceDE w:val="0"/>
        <w:autoSpaceDN w:val="0"/>
        <w:adjustRightInd w:val="0"/>
        <w:spacing w:line="360" w:lineRule="auto"/>
        <w:rPr>
          <w:rFonts w:ascii="宋体" w:hAnsi="宋体"/>
          <w:b/>
          <w:bCs/>
          <w:color w:val="auto"/>
          <w:sz w:val="24"/>
          <w:highlight w:val="none"/>
        </w:rPr>
      </w:pPr>
      <w:r>
        <w:rPr>
          <w:rFonts w:hint="eastAsia" w:ascii="宋体" w:hAnsi="宋体"/>
          <w:b/>
          <w:bCs/>
          <w:color w:val="auto"/>
          <w:sz w:val="24"/>
          <w:highlight w:val="none"/>
          <w:lang w:val="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最后报价表</w:t>
      </w:r>
      <w:r>
        <w:rPr>
          <w:rFonts w:hint="eastAsia" w:ascii="宋体" w:hAnsi="宋体"/>
          <w:b/>
          <w:bCs/>
          <w:color w:val="auto"/>
          <w:sz w:val="24"/>
          <w:highlight w:val="none"/>
        </w:rPr>
        <w:t>”</w:t>
      </w:r>
      <w:r>
        <w:rPr>
          <w:rFonts w:hint="eastAsia" w:ascii="宋体" w:hAnsi="宋体"/>
          <w:b/>
          <w:bCs/>
          <w:color w:val="auto"/>
          <w:sz w:val="24"/>
          <w:highlight w:val="none"/>
          <w:lang w:val="en-US" w:eastAsia="zh-CN"/>
        </w:rPr>
        <w:t>在</w:t>
      </w:r>
      <w:r>
        <w:rPr>
          <w:rFonts w:hint="eastAsia" w:ascii="宋体" w:hAnsi="宋体"/>
          <w:b/>
          <w:bCs/>
          <w:color w:val="auto"/>
          <w:sz w:val="24"/>
          <w:highlight w:val="none"/>
        </w:rPr>
        <w:t>最终报价时使用，不要装订在响应文件中。</w:t>
      </w:r>
    </w:p>
    <w:p>
      <w:pPr>
        <w:autoSpaceDE w:val="0"/>
        <w:autoSpaceDN w:val="0"/>
        <w:adjustRightInd w:val="0"/>
        <w:spacing w:line="360" w:lineRule="auto"/>
        <w:rPr>
          <w:rFonts w:hint="eastAsia" w:ascii="宋体" w:hAnsi="宋体"/>
          <w:b/>
          <w:color w:val="auto"/>
          <w:sz w:val="24"/>
          <w:highlight w:val="none"/>
        </w:rPr>
      </w:pPr>
      <w:r>
        <w:rPr>
          <w:rFonts w:hint="eastAsia" w:ascii="宋体" w:hAnsi="宋体"/>
          <w:b/>
          <w:color w:val="auto"/>
          <w:sz w:val="24"/>
          <w:highlight w:val="none"/>
        </w:rPr>
        <w:t>2、此表为通过初步审查合格的供应商按照磋商要求</w:t>
      </w:r>
      <w:r>
        <w:rPr>
          <w:rFonts w:hint="eastAsia" w:ascii="宋体" w:hAnsi="宋体"/>
          <w:b/>
          <w:color w:val="auto"/>
          <w:sz w:val="24"/>
          <w:highlight w:val="none"/>
          <w:lang w:eastAsia="zh-CN"/>
        </w:rPr>
        <w:t>在政采云网上</w:t>
      </w:r>
      <w:r>
        <w:rPr>
          <w:rFonts w:hint="eastAsia" w:ascii="宋体" w:hAnsi="宋体"/>
          <w:b/>
          <w:color w:val="auto"/>
          <w:sz w:val="24"/>
          <w:highlight w:val="none"/>
        </w:rPr>
        <w:t>报价。</w:t>
      </w:r>
    </w:p>
    <w:p>
      <w:pPr>
        <w:autoSpaceDE w:val="0"/>
        <w:autoSpaceDN w:val="0"/>
        <w:adjustRightInd w:val="0"/>
        <w:ind w:firstLine="480"/>
        <w:rPr>
          <w:rFonts w:ascii="宋体" w:hAnsi="宋体" w:cs="宋体"/>
          <w:b/>
          <w:color w:val="auto"/>
          <w:sz w:val="22"/>
          <w:szCs w:val="24"/>
          <w:highlight w:val="none"/>
        </w:rPr>
      </w:pPr>
    </w:p>
    <w:p>
      <w:pPr>
        <w:pStyle w:val="4"/>
        <w:rPr>
          <w:color w:val="auto"/>
          <w:highlight w:val="none"/>
        </w:rPr>
      </w:pPr>
    </w:p>
    <w:p>
      <w:pPr>
        <w:rPr>
          <w:color w:val="auto"/>
          <w:highlight w:val="none"/>
        </w:rPr>
      </w:pPr>
    </w:p>
    <w:sectPr>
      <w:footerReference r:id="rId6" w:type="default"/>
      <w:pgSz w:w="11906" w:h="16838"/>
      <w:pgMar w:top="1418" w:right="1418" w:bottom="1418" w:left="1701" w:header="851" w:footer="992" w:gutter="0"/>
      <w:pgNumType w:fmt="decimal" w:start="137"/>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华文行楷">
    <w:panose1 w:val="02010800040101010101"/>
    <w:charset w:val="86"/>
    <w:family w:val="auto"/>
    <w:pitch w:val="default"/>
    <w:sig w:usb0="00000001" w:usb1="080F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9"/>
                    </w:pPr>
                    <w:r>
                      <w:fldChar w:fldCharType="begin"/>
                    </w:r>
                    <w:r>
                      <w:instrText xml:space="preserve"> PAGE  \* MERGEFORMAT </w:instrText>
                    </w:r>
                    <w:r>
                      <w:fldChar w:fldCharType="separate"/>
                    </w:r>
                    <w:r>
                      <w:t>2</w:t>
                    </w:r>
                    <w:r>
                      <w:fldChar w:fldCharType="end"/>
                    </w:r>
                  </w:p>
                </w:txbxContent>
              </v:textbox>
            </v:shape>
          </w:pict>
        </mc:Fallback>
      </mc:AlternateContent>
    </w:r>
  </w:p>
  <w:p>
    <w:pPr>
      <w:pStyle w:val="2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ind w:right="45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9"/>
                          </w:pPr>
                          <w:r>
                            <w:fldChar w:fldCharType="begin"/>
                          </w:r>
                          <w:r>
                            <w:instrText xml:space="preserve"> PAGE  \* MERGEFORMAT </w:instrText>
                          </w:r>
                          <w:r>
                            <w:fldChar w:fldCharType="separate"/>
                          </w:r>
                          <w:r>
                            <w:t>137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9"/>
                    </w:pPr>
                    <w:r>
                      <w:fldChar w:fldCharType="begin"/>
                    </w:r>
                    <w:r>
                      <w:instrText xml:space="preserve"> PAGE  \* MERGEFORMAT </w:instrText>
                    </w:r>
                    <w:r>
                      <w:fldChar w:fldCharType="separate"/>
                    </w:r>
                    <w:r>
                      <w:t>137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1"/>
      </w:pBdr>
      <w:jc w:val="left"/>
    </w:pPr>
    <w:r>
      <w:rPr>
        <w:rFonts w:hint="eastAsia" w:ascii="华文行楷" w:eastAsia="华文行楷"/>
        <w:b/>
        <w:color w:val="000000"/>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3"/>
    <w:multiLevelType w:val="singleLevel"/>
    <w:tmpl w:val="00000003"/>
    <w:lvl w:ilvl="0" w:tentative="0">
      <w:start w:val="1"/>
      <w:numFmt w:val="chineseCounting"/>
      <w:suff w:val="space"/>
      <w:lvlText w:val="第%1部分"/>
      <w:lvlJc w:val="left"/>
      <w:rPr>
        <w:rFonts w:hint="eastAsia"/>
      </w:rPr>
    </w:lvl>
  </w:abstractNum>
  <w:abstractNum w:abstractNumId="1">
    <w:nsid w:val="00000005"/>
    <w:multiLevelType w:val="singleLevel"/>
    <w:tmpl w:val="00000005"/>
    <w:lvl w:ilvl="0" w:tentative="0">
      <w:start w:val="1"/>
      <w:numFmt w:val="decimal"/>
      <w:suff w:val="nothing"/>
      <w:lvlText w:val="（%1）"/>
      <w:lvlJc w:val="left"/>
    </w:lvl>
  </w:abstractNum>
  <w:abstractNum w:abstractNumId="2">
    <w:nsid w:val="353A0EC4"/>
    <w:multiLevelType w:val="singleLevel"/>
    <w:tmpl w:val="353A0EC4"/>
    <w:lvl w:ilvl="0" w:tentative="0">
      <w:start w:val="14"/>
      <w:numFmt w:val="decimal"/>
      <w:suff w:val="nothing"/>
      <w:lvlText w:val="%1、"/>
      <w:lvlJc w:val="left"/>
    </w:lvl>
  </w:abstractNum>
  <w:abstractNum w:abstractNumId="3">
    <w:nsid w:val="5F1F1272"/>
    <w:multiLevelType w:val="singleLevel"/>
    <w:tmpl w:val="5F1F1272"/>
    <w:lvl w:ilvl="0" w:tentative="0">
      <w:start w:val="7"/>
      <w:numFmt w:val="decimal"/>
      <w:suff w:val="nothing"/>
      <w:lvlText w:val="%1、"/>
      <w:lvlJc w:val="left"/>
    </w:lvl>
  </w:abstractNum>
  <w:abstractNum w:abstractNumId="4">
    <w:nsid w:val="614B46F0"/>
    <w:multiLevelType w:val="singleLevel"/>
    <w:tmpl w:val="614B46F0"/>
    <w:lvl w:ilvl="0" w:tentative="0">
      <w:start w:val="2"/>
      <w:numFmt w:val="decimal"/>
      <w:suff w:val="nothing"/>
      <w:lvlText w:val="%1、"/>
      <w:lvlJc w:val="left"/>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embedSystemFonts/>
  <w:bordersDoNotSurroundHeader w:val="0"/>
  <w:bordersDoNotSurroundFooter w:val="0"/>
  <w:hideSpellingErrors/>
  <w:hideGrammaticalErrors/>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5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gxYmFkOWUxMWJlZTBlNzI0NTI2NmFkODNkYzc1NGYifQ=="/>
  </w:docVars>
  <w:rsids>
    <w:rsidRoot w:val="00637315"/>
    <w:rsid w:val="0000016F"/>
    <w:rsid w:val="00001002"/>
    <w:rsid w:val="00002F83"/>
    <w:rsid w:val="00003974"/>
    <w:rsid w:val="00003CF9"/>
    <w:rsid w:val="0000548D"/>
    <w:rsid w:val="00005B9E"/>
    <w:rsid w:val="000106E0"/>
    <w:rsid w:val="00011019"/>
    <w:rsid w:val="000148D7"/>
    <w:rsid w:val="000205DF"/>
    <w:rsid w:val="00021731"/>
    <w:rsid w:val="00023642"/>
    <w:rsid w:val="0002367A"/>
    <w:rsid w:val="00023B23"/>
    <w:rsid w:val="00023C19"/>
    <w:rsid w:val="00024B2F"/>
    <w:rsid w:val="000261CB"/>
    <w:rsid w:val="00026730"/>
    <w:rsid w:val="00030C21"/>
    <w:rsid w:val="00033650"/>
    <w:rsid w:val="00034971"/>
    <w:rsid w:val="00035341"/>
    <w:rsid w:val="00040472"/>
    <w:rsid w:val="000405E3"/>
    <w:rsid w:val="000408B5"/>
    <w:rsid w:val="0004185D"/>
    <w:rsid w:val="00041FD4"/>
    <w:rsid w:val="00043012"/>
    <w:rsid w:val="00043B94"/>
    <w:rsid w:val="00043F11"/>
    <w:rsid w:val="00044060"/>
    <w:rsid w:val="00045A75"/>
    <w:rsid w:val="00046056"/>
    <w:rsid w:val="000536DB"/>
    <w:rsid w:val="00054459"/>
    <w:rsid w:val="000560A5"/>
    <w:rsid w:val="00056D01"/>
    <w:rsid w:val="00056E39"/>
    <w:rsid w:val="0005745E"/>
    <w:rsid w:val="000576C3"/>
    <w:rsid w:val="000579F5"/>
    <w:rsid w:val="00057D79"/>
    <w:rsid w:val="00060362"/>
    <w:rsid w:val="0006241F"/>
    <w:rsid w:val="00063699"/>
    <w:rsid w:val="000656F2"/>
    <w:rsid w:val="00065B03"/>
    <w:rsid w:val="0006635D"/>
    <w:rsid w:val="00066C89"/>
    <w:rsid w:val="000717D2"/>
    <w:rsid w:val="00073648"/>
    <w:rsid w:val="0007608C"/>
    <w:rsid w:val="000765CD"/>
    <w:rsid w:val="00077A13"/>
    <w:rsid w:val="00080F3A"/>
    <w:rsid w:val="000816FD"/>
    <w:rsid w:val="00083B62"/>
    <w:rsid w:val="00084348"/>
    <w:rsid w:val="00087321"/>
    <w:rsid w:val="000903CE"/>
    <w:rsid w:val="00090BFC"/>
    <w:rsid w:val="00091080"/>
    <w:rsid w:val="0009146D"/>
    <w:rsid w:val="000956F1"/>
    <w:rsid w:val="000969F5"/>
    <w:rsid w:val="000A0099"/>
    <w:rsid w:val="000A1302"/>
    <w:rsid w:val="000A17A2"/>
    <w:rsid w:val="000A3A1A"/>
    <w:rsid w:val="000A3DA4"/>
    <w:rsid w:val="000A4D14"/>
    <w:rsid w:val="000A5114"/>
    <w:rsid w:val="000A535A"/>
    <w:rsid w:val="000A7DAE"/>
    <w:rsid w:val="000B0358"/>
    <w:rsid w:val="000B1ABA"/>
    <w:rsid w:val="000B4DAD"/>
    <w:rsid w:val="000B60E7"/>
    <w:rsid w:val="000B675C"/>
    <w:rsid w:val="000B6DF8"/>
    <w:rsid w:val="000B71FE"/>
    <w:rsid w:val="000C08C9"/>
    <w:rsid w:val="000C32AB"/>
    <w:rsid w:val="000C3328"/>
    <w:rsid w:val="000C4033"/>
    <w:rsid w:val="000C5BEC"/>
    <w:rsid w:val="000C6B3A"/>
    <w:rsid w:val="000C719D"/>
    <w:rsid w:val="000D0A15"/>
    <w:rsid w:val="000D0B54"/>
    <w:rsid w:val="000D0F1B"/>
    <w:rsid w:val="000D0FDE"/>
    <w:rsid w:val="000D315B"/>
    <w:rsid w:val="000D3A4D"/>
    <w:rsid w:val="000D43E8"/>
    <w:rsid w:val="000D4DEA"/>
    <w:rsid w:val="000D5959"/>
    <w:rsid w:val="000D5D77"/>
    <w:rsid w:val="000D661A"/>
    <w:rsid w:val="000E06E3"/>
    <w:rsid w:val="000E29B8"/>
    <w:rsid w:val="000E3AA7"/>
    <w:rsid w:val="000E3F49"/>
    <w:rsid w:val="000E74EE"/>
    <w:rsid w:val="000F0E33"/>
    <w:rsid w:val="000F17D4"/>
    <w:rsid w:val="000F3A2A"/>
    <w:rsid w:val="000F4FC8"/>
    <w:rsid w:val="000F5435"/>
    <w:rsid w:val="000F5C06"/>
    <w:rsid w:val="000F645C"/>
    <w:rsid w:val="000F6BA6"/>
    <w:rsid w:val="000F6EAA"/>
    <w:rsid w:val="001003A4"/>
    <w:rsid w:val="00101ADE"/>
    <w:rsid w:val="00102B81"/>
    <w:rsid w:val="0010366A"/>
    <w:rsid w:val="00103D5E"/>
    <w:rsid w:val="001045C9"/>
    <w:rsid w:val="001052BF"/>
    <w:rsid w:val="0010680B"/>
    <w:rsid w:val="00106DFA"/>
    <w:rsid w:val="00106E72"/>
    <w:rsid w:val="00106FE8"/>
    <w:rsid w:val="001100A3"/>
    <w:rsid w:val="00113D0D"/>
    <w:rsid w:val="00114ACC"/>
    <w:rsid w:val="00115A53"/>
    <w:rsid w:val="001178F3"/>
    <w:rsid w:val="00122405"/>
    <w:rsid w:val="001255F0"/>
    <w:rsid w:val="00125C75"/>
    <w:rsid w:val="0012673E"/>
    <w:rsid w:val="001329AB"/>
    <w:rsid w:val="00132FA3"/>
    <w:rsid w:val="00133565"/>
    <w:rsid w:val="00135504"/>
    <w:rsid w:val="001361D7"/>
    <w:rsid w:val="001372EA"/>
    <w:rsid w:val="00137F8E"/>
    <w:rsid w:val="00143A97"/>
    <w:rsid w:val="00144040"/>
    <w:rsid w:val="001440AD"/>
    <w:rsid w:val="00144422"/>
    <w:rsid w:val="00145051"/>
    <w:rsid w:val="001469C3"/>
    <w:rsid w:val="00147579"/>
    <w:rsid w:val="0015015F"/>
    <w:rsid w:val="00150232"/>
    <w:rsid w:val="00152056"/>
    <w:rsid w:val="001552B4"/>
    <w:rsid w:val="0015622A"/>
    <w:rsid w:val="00157C85"/>
    <w:rsid w:val="001611BC"/>
    <w:rsid w:val="00161EC9"/>
    <w:rsid w:val="00163F0F"/>
    <w:rsid w:val="0016545D"/>
    <w:rsid w:val="00165F45"/>
    <w:rsid w:val="00172B53"/>
    <w:rsid w:val="00172F42"/>
    <w:rsid w:val="00173AC9"/>
    <w:rsid w:val="00174EE1"/>
    <w:rsid w:val="00175F4A"/>
    <w:rsid w:val="001762EC"/>
    <w:rsid w:val="00183A9D"/>
    <w:rsid w:val="00184F14"/>
    <w:rsid w:val="00185E19"/>
    <w:rsid w:val="00187096"/>
    <w:rsid w:val="00190274"/>
    <w:rsid w:val="00190823"/>
    <w:rsid w:val="001911B5"/>
    <w:rsid w:val="00191470"/>
    <w:rsid w:val="001915C7"/>
    <w:rsid w:val="00192DEF"/>
    <w:rsid w:val="001936D2"/>
    <w:rsid w:val="001942F6"/>
    <w:rsid w:val="00194B81"/>
    <w:rsid w:val="0019541C"/>
    <w:rsid w:val="001954AF"/>
    <w:rsid w:val="00196370"/>
    <w:rsid w:val="001A06AC"/>
    <w:rsid w:val="001A3636"/>
    <w:rsid w:val="001A4D07"/>
    <w:rsid w:val="001A5987"/>
    <w:rsid w:val="001A67E9"/>
    <w:rsid w:val="001B1C25"/>
    <w:rsid w:val="001B239B"/>
    <w:rsid w:val="001B2E4A"/>
    <w:rsid w:val="001B65D7"/>
    <w:rsid w:val="001C00F5"/>
    <w:rsid w:val="001C12CB"/>
    <w:rsid w:val="001C1944"/>
    <w:rsid w:val="001C4DF9"/>
    <w:rsid w:val="001C5144"/>
    <w:rsid w:val="001C6C26"/>
    <w:rsid w:val="001D10C0"/>
    <w:rsid w:val="001D2979"/>
    <w:rsid w:val="001E0271"/>
    <w:rsid w:val="001E05E7"/>
    <w:rsid w:val="001E1866"/>
    <w:rsid w:val="001E4FC7"/>
    <w:rsid w:val="001E67D8"/>
    <w:rsid w:val="001E706E"/>
    <w:rsid w:val="001F14C1"/>
    <w:rsid w:val="001F22C7"/>
    <w:rsid w:val="001F4BBF"/>
    <w:rsid w:val="001F592A"/>
    <w:rsid w:val="00204FD9"/>
    <w:rsid w:val="00205E5E"/>
    <w:rsid w:val="002060B1"/>
    <w:rsid w:val="00206876"/>
    <w:rsid w:val="002077F6"/>
    <w:rsid w:val="00210809"/>
    <w:rsid w:val="00210A89"/>
    <w:rsid w:val="002118AA"/>
    <w:rsid w:val="002119F7"/>
    <w:rsid w:val="00211BDE"/>
    <w:rsid w:val="00212520"/>
    <w:rsid w:val="00212F5F"/>
    <w:rsid w:val="002132BD"/>
    <w:rsid w:val="002133DF"/>
    <w:rsid w:val="00215A91"/>
    <w:rsid w:val="00217EA4"/>
    <w:rsid w:val="00217FDB"/>
    <w:rsid w:val="00220101"/>
    <w:rsid w:val="00220E7F"/>
    <w:rsid w:val="00222190"/>
    <w:rsid w:val="00225B87"/>
    <w:rsid w:val="002260AC"/>
    <w:rsid w:val="00226359"/>
    <w:rsid w:val="00226625"/>
    <w:rsid w:val="002271FE"/>
    <w:rsid w:val="002273B6"/>
    <w:rsid w:val="00227B3E"/>
    <w:rsid w:val="00230CEC"/>
    <w:rsid w:val="00231BF5"/>
    <w:rsid w:val="00231EE6"/>
    <w:rsid w:val="00232A1D"/>
    <w:rsid w:val="00233CD7"/>
    <w:rsid w:val="002344DB"/>
    <w:rsid w:val="0023450E"/>
    <w:rsid w:val="00236267"/>
    <w:rsid w:val="00240040"/>
    <w:rsid w:val="00242785"/>
    <w:rsid w:val="00242B56"/>
    <w:rsid w:val="00243E53"/>
    <w:rsid w:val="0024626F"/>
    <w:rsid w:val="002473C0"/>
    <w:rsid w:val="00250A12"/>
    <w:rsid w:val="00254F15"/>
    <w:rsid w:val="0025787A"/>
    <w:rsid w:val="00257A2D"/>
    <w:rsid w:val="0026099D"/>
    <w:rsid w:val="00261110"/>
    <w:rsid w:val="00263B86"/>
    <w:rsid w:val="00264474"/>
    <w:rsid w:val="00264D99"/>
    <w:rsid w:val="00266025"/>
    <w:rsid w:val="0026684E"/>
    <w:rsid w:val="0026740B"/>
    <w:rsid w:val="002702FF"/>
    <w:rsid w:val="00271614"/>
    <w:rsid w:val="00272086"/>
    <w:rsid w:val="0027293C"/>
    <w:rsid w:val="00273F49"/>
    <w:rsid w:val="0027521F"/>
    <w:rsid w:val="002800B7"/>
    <w:rsid w:val="00280C97"/>
    <w:rsid w:val="00281FC5"/>
    <w:rsid w:val="00282105"/>
    <w:rsid w:val="0028270A"/>
    <w:rsid w:val="002832FE"/>
    <w:rsid w:val="00286C5C"/>
    <w:rsid w:val="002870BA"/>
    <w:rsid w:val="00294B9E"/>
    <w:rsid w:val="00295C44"/>
    <w:rsid w:val="00296AFA"/>
    <w:rsid w:val="002A07D5"/>
    <w:rsid w:val="002A1778"/>
    <w:rsid w:val="002A217E"/>
    <w:rsid w:val="002A695F"/>
    <w:rsid w:val="002A7231"/>
    <w:rsid w:val="002B0308"/>
    <w:rsid w:val="002B284E"/>
    <w:rsid w:val="002B31EF"/>
    <w:rsid w:val="002B3AFF"/>
    <w:rsid w:val="002B3BB1"/>
    <w:rsid w:val="002B3C26"/>
    <w:rsid w:val="002B40F2"/>
    <w:rsid w:val="002B5617"/>
    <w:rsid w:val="002C06B7"/>
    <w:rsid w:val="002C1FD9"/>
    <w:rsid w:val="002C28FE"/>
    <w:rsid w:val="002C2957"/>
    <w:rsid w:val="002C362D"/>
    <w:rsid w:val="002C4627"/>
    <w:rsid w:val="002C5F7A"/>
    <w:rsid w:val="002D12A2"/>
    <w:rsid w:val="002D1376"/>
    <w:rsid w:val="002D1CAA"/>
    <w:rsid w:val="002D3313"/>
    <w:rsid w:val="002D34FB"/>
    <w:rsid w:val="002D4884"/>
    <w:rsid w:val="002D4E6B"/>
    <w:rsid w:val="002D5AB4"/>
    <w:rsid w:val="002D67CE"/>
    <w:rsid w:val="002D6FE5"/>
    <w:rsid w:val="002E067E"/>
    <w:rsid w:val="002E0B48"/>
    <w:rsid w:val="002E1862"/>
    <w:rsid w:val="002E23D3"/>
    <w:rsid w:val="002E23E3"/>
    <w:rsid w:val="002E28D3"/>
    <w:rsid w:val="002E2CBB"/>
    <w:rsid w:val="002F3DF7"/>
    <w:rsid w:val="002F4080"/>
    <w:rsid w:val="00301888"/>
    <w:rsid w:val="00301C99"/>
    <w:rsid w:val="0030269C"/>
    <w:rsid w:val="00303B40"/>
    <w:rsid w:val="003047B3"/>
    <w:rsid w:val="00305761"/>
    <w:rsid w:val="00307074"/>
    <w:rsid w:val="003071EC"/>
    <w:rsid w:val="00307551"/>
    <w:rsid w:val="00307CF4"/>
    <w:rsid w:val="003104C2"/>
    <w:rsid w:val="00311410"/>
    <w:rsid w:val="00312519"/>
    <w:rsid w:val="003139D1"/>
    <w:rsid w:val="00313B4D"/>
    <w:rsid w:val="003148D7"/>
    <w:rsid w:val="00316EB1"/>
    <w:rsid w:val="003213EE"/>
    <w:rsid w:val="00322189"/>
    <w:rsid w:val="003230AF"/>
    <w:rsid w:val="00323174"/>
    <w:rsid w:val="00324B2B"/>
    <w:rsid w:val="00325D48"/>
    <w:rsid w:val="0033006E"/>
    <w:rsid w:val="00330B95"/>
    <w:rsid w:val="0033245A"/>
    <w:rsid w:val="00332FA3"/>
    <w:rsid w:val="003350AB"/>
    <w:rsid w:val="00337072"/>
    <w:rsid w:val="00341102"/>
    <w:rsid w:val="0034156E"/>
    <w:rsid w:val="003422AD"/>
    <w:rsid w:val="00342691"/>
    <w:rsid w:val="0034318B"/>
    <w:rsid w:val="003445F8"/>
    <w:rsid w:val="0034593F"/>
    <w:rsid w:val="003464D9"/>
    <w:rsid w:val="00347642"/>
    <w:rsid w:val="00347A61"/>
    <w:rsid w:val="00350DE8"/>
    <w:rsid w:val="003517B8"/>
    <w:rsid w:val="003517CA"/>
    <w:rsid w:val="003522FA"/>
    <w:rsid w:val="00352831"/>
    <w:rsid w:val="0035393C"/>
    <w:rsid w:val="00355515"/>
    <w:rsid w:val="00355AE7"/>
    <w:rsid w:val="0035632C"/>
    <w:rsid w:val="00357D79"/>
    <w:rsid w:val="003619E6"/>
    <w:rsid w:val="003628FF"/>
    <w:rsid w:val="00364014"/>
    <w:rsid w:val="00365A1E"/>
    <w:rsid w:val="00366082"/>
    <w:rsid w:val="00366EA8"/>
    <w:rsid w:val="003677B5"/>
    <w:rsid w:val="00370491"/>
    <w:rsid w:val="00370E60"/>
    <w:rsid w:val="00371163"/>
    <w:rsid w:val="00371CDB"/>
    <w:rsid w:val="003729EC"/>
    <w:rsid w:val="00377BD8"/>
    <w:rsid w:val="0038043A"/>
    <w:rsid w:val="00380594"/>
    <w:rsid w:val="003815A4"/>
    <w:rsid w:val="00381A17"/>
    <w:rsid w:val="003840EB"/>
    <w:rsid w:val="00385046"/>
    <w:rsid w:val="00391E0C"/>
    <w:rsid w:val="00393204"/>
    <w:rsid w:val="0039329D"/>
    <w:rsid w:val="003970AC"/>
    <w:rsid w:val="003A10FB"/>
    <w:rsid w:val="003A4230"/>
    <w:rsid w:val="003A6D6F"/>
    <w:rsid w:val="003A6F97"/>
    <w:rsid w:val="003A7799"/>
    <w:rsid w:val="003B1B8E"/>
    <w:rsid w:val="003B3048"/>
    <w:rsid w:val="003B68D5"/>
    <w:rsid w:val="003B6C7A"/>
    <w:rsid w:val="003C1B71"/>
    <w:rsid w:val="003C2B06"/>
    <w:rsid w:val="003C3909"/>
    <w:rsid w:val="003C4110"/>
    <w:rsid w:val="003C43CA"/>
    <w:rsid w:val="003C4870"/>
    <w:rsid w:val="003C4F30"/>
    <w:rsid w:val="003C6669"/>
    <w:rsid w:val="003C6751"/>
    <w:rsid w:val="003C749A"/>
    <w:rsid w:val="003C7EDC"/>
    <w:rsid w:val="003D19E6"/>
    <w:rsid w:val="003D2175"/>
    <w:rsid w:val="003D24C8"/>
    <w:rsid w:val="003D261F"/>
    <w:rsid w:val="003D2B6F"/>
    <w:rsid w:val="003D4F99"/>
    <w:rsid w:val="003D509D"/>
    <w:rsid w:val="003D7534"/>
    <w:rsid w:val="003D7592"/>
    <w:rsid w:val="003D7F16"/>
    <w:rsid w:val="003E231C"/>
    <w:rsid w:val="003E2519"/>
    <w:rsid w:val="003E260D"/>
    <w:rsid w:val="003E57CB"/>
    <w:rsid w:val="003E5CBF"/>
    <w:rsid w:val="003E5CDF"/>
    <w:rsid w:val="003F0198"/>
    <w:rsid w:val="003F22D6"/>
    <w:rsid w:val="003F57FC"/>
    <w:rsid w:val="003F5D8D"/>
    <w:rsid w:val="003F67E4"/>
    <w:rsid w:val="003F6C29"/>
    <w:rsid w:val="003F776B"/>
    <w:rsid w:val="004008A7"/>
    <w:rsid w:val="00402CB8"/>
    <w:rsid w:val="00402D09"/>
    <w:rsid w:val="00410788"/>
    <w:rsid w:val="00410D2B"/>
    <w:rsid w:val="00411C1C"/>
    <w:rsid w:val="00412791"/>
    <w:rsid w:val="004151B9"/>
    <w:rsid w:val="00417746"/>
    <w:rsid w:val="004204A1"/>
    <w:rsid w:val="00420979"/>
    <w:rsid w:val="004216A9"/>
    <w:rsid w:val="0042258C"/>
    <w:rsid w:val="0042368F"/>
    <w:rsid w:val="00424FE6"/>
    <w:rsid w:val="004254CB"/>
    <w:rsid w:val="00425AB3"/>
    <w:rsid w:val="004278C3"/>
    <w:rsid w:val="00427A00"/>
    <w:rsid w:val="00430A40"/>
    <w:rsid w:val="00431C7C"/>
    <w:rsid w:val="004322CE"/>
    <w:rsid w:val="00432DB6"/>
    <w:rsid w:val="00434110"/>
    <w:rsid w:val="00434C25"/>
    <w:rsid w:val="00435809"/>
    <w:rsid w:val="00437C5D"/>
    <w:rsid w:val="00440944"/>
    <w:rsid w:val="004418A9"/>
    <w:rsid w:val="00441EB5"/>
    <w:rsid w:val="004431D6"/>
    <w:rsid w:val="00444332"/>
    <w:rsid w:val="00444DCD"/>
    <w:rsid w:val="004455C5"/>
    <w:rsid w:val="0045042C"/>
    <w:rsid w:val="004519BC"/>
    <w:rsid w:val="00451AE1"/>
    <w:rsid w:val="00453578"/>
    <w:rsid w:val="0045492B"/>
    <w:rsid w:val="00454D42"/>
    <w:rsid w:val="00457388"/>
    <w:rsid w:val="00460174"/>
    <w:rsid w:val="00460375"/>
    <w:rsid w:val="004604AD"/>
    <w:rsid w:val="00460BB6"/>
    <w:rsid w:val="004622AF"/>
    <w:rsid w:val="00462BD6"/>
    <w:rsid w:val="00462FA5"/>
    <w:rsid w:val="00463219"/>
    <w:rsid w:val="004647E8"/>
    <w:rsid w:val="004648ED"/>
    <w:rsid w:val="00464B0B"/>
    <w:rsid w:val="00466077"/>
    <w:rsid w:val="00466255"/>
    <w:rsid w:val="0046655C"/>
    <w:rsid w:val="004670AD"/>
    <w:rsid w:val="004678C6"/>
    <w:rsid w:val="00470AD3"/>
    <w:rsid w:val="004721B7"/>
    <w:rsid w:val="004737BE"/>
    <w:rsid w:val="004738DE"/>
    <w:rsid w:val="00476C45"/>
    <w:rsid w:val="0047795B"/>
    <w:rsid w:val="00477982"/>
    <w:rsid w:val="00480C4C"/>
    <w:rsid w:val="00480F62"/>
    <w:rsid w:val="00481370"/>
    <w:rsid w:val="00482E24"/>
    <w:rsid w:val="00484051"/>
    <w:rsid w:val="00484F8E"/>
    <w:rsid w:val="00485DD2"/>
    <w:rsid w:val="0048719A"/>
    <w:rsid w:val="00487AE6"/>
    <w:rsid w:val="00492F0A"/>
    <w:rsid w:val="004939A5"/>
    <w:rsid w:val="00494C5A"/>
    <w:rsid w:val="0049561C"/>
    <w:rsid w:val="00495D09"/>
    <w:rsid w:val="00495EFD"/>
    <w:rsid w:val="00495FDA"/>
    <w:rsid w:val="004A25DE"/>
    <w:rsid w:val="004A2812"/>
    <w:rsid w:val="004B00DA"/>
    <w:rsid w:val="004B197D"/>
    <w:rsid w:val="004B2951"/>
    <w:rsid w:val="004B31D1"/>
    <w:rsid w:val="004B3E05"/>
    <w:rsid w:val="004B4F86"/>
    <w:rsid w:val="004B5966"/>
    <w:rsid w:val="004B65C7"/>
    <w:rsid w:val="004C1BE6"/>
    <w:rsid w:val="004C279E"/>
    <w:rsid w:val="004C5D30"/>
    <w:rsid w:val="004C6AF8"/>
    <w:rsid w:val="004C6F17"/>
    <w:rsid w:val="004C7C00"/>
    <w:rsid w:val="004D0D24"/>
    <w:rsid w:val="004D155B"/>
    <w:rsid w:val="004D22B3"/>
    <w:rsid w:val="004D550D"/>
    <w:rsid w:val="004D630D"/>
    <w:rsid w:val="004D7822"/>
    <w:rsid w:val="004D7AE2"/>
    <w:rsid w:val="004E0715"/>
    <w:rsid w:val="004E0CE5"/>
    <w:rsid w:val="004E37AC"/>
    <w:rsid w:val="004E3BCE"/>
    <w:rsid w:val="004E3C8F"/>
    <w:rsid w:val="004E47EA"/>
    <w:rsid w:val="004E5477"/>
    <w:rsid w:val="004E559F"/>
    <w:rsid w:val="004E7806"/>
    <w:rsid w:val="004E7AF1"/>
    <w:rsid w:val="004F12D7"/>
    <w:rsid w:val="004F186A"/>
    <w:rsid w:val="004F2709"/>
    <w:rsid w:val="004F36B7"/>
    <w:rsid w:val="004F4420"/>
    <w:rsid w:val="004F4CF1"/>
    <w:rsid w:val="004F5DA8"/>
    <w:rsid w:val="004F7734"/>
    <w:rsid w:val="005003B0"/>
    <w:rsid w:val="005018B5"/>
    <w:rsid w:val="00502D65"/>
    <w:rsid w:val="00504D11"/>
    <w:rsid w:val="00506621"/>
    <w:rsid w:val="00506830"/>
    <w:rsid w:val="00506BC9"/>
    <w:rsid w:val="00507BA9"/>
    <w:rsid w:val="00510FFE"/>
    <w:rsid w:val="00512FFD"/>
    <w:rsid w:val="00513649"/>
    <w:rsid w:val="00515C72"/>
    <w:rsid w:val="00516FAC"/>
    <w:rsid w:val="00517320"/>
    <w:rsid w:val="005177A6"/>
    <w:rsid w:val="00520AA4"/>
    <w:rsid w:val="00521AA3"/>
    <w:rsid w:val="00523975"/>
    <w:rsid w:val="00524B03"/>
    <w:rsid w:val="005250E2"/>
    <w:rsid w:val="0052590F"/>
    <w:rsid w:val="00526AE1"/>
    <w:rsid w:val="005270FA"/>
    <w:rsid w:val="00531516"/>
    <w:rsid w:val="005317ED"/>
    <w:rsid w:val="00531DF3"/>
    <w:rsid w:val="005333A3"/>
    <w:rsid w:val="0054091A"/>
    <w:rsid w:val="00544FDC"/>
    <w:rsid w:val="00545225"/>
    <w:rsid w:val="005454C8"/>
    <w:rsid w:val="005459DA"/>
    <w:rsid w:val="0054614C"/>
    <w:rsid w:val="00546583"/>
    <w:rsid w:val="00546708"/>
    <w:rsid w:val="00550366"/>
    <w:rsid w:val="00553D88"/>
    <w:rsid w:val="00554C35"/>
    <w:rsid w:val="00556328"/>
    <w:rsid w:val="005566D4"/>
    <w:rsid w:val="005603BC"/>
    <w:rsid w:val="00560B37"/>
    <w:rsid w:val="005614A7"/>
    <w:rsid w:val="00561D01"/>
    <w:rsid w:val="005622F4"/>
    <w:rsid w:val="00563B4F"/>
    <w:rsid w:val="0056407B"/>
    <w:rsid w:val="00564FAE"/>
    <w:rsid w:val="005665D7"/>
    <w:rsid w:val="0056730E"/>
    <w:rsid w:val="005678B5"/>
    <w:rsid w:val="00567A27"/>
    <w:rsid w:val="00570535"/>
    <w:rsid w:val="005710B6"/>
    <w:rsid w:val="005713DB"/>
    <w:rsid w:val="0057167D"/>
    <w:rsid w:val="00572AAD"/>
    <w:rsid w:val="00572CA8"/>
    <w:rsid w:val="00576CC3"/>
    <w:rsid w:val="005810E1"/>
    <w:rsid w:val="00581144"/>
    <w:rsid w:val="005817E3"/>
    <w:rsid w:val="00583915"/>
    <w:rsid w:val="00586C06"/>
    <w:rsid w:val="0058745B"/>
    <w:rsid w:val="005877AC"/>
    <w:rsid w:val="00587A49"/>
    <w:rsid w:val="0059018B"/>
    <w:rsid w:val="00593C97"/>
    <w:rsid w:val="00596832"/>
    <w:rsid w:val="00597A4F"/>
    <w:rsid w:val="005A22EA"/>
    <w:rsid w:val="005A2587"/>
    <w:rsid w:val="005A3639"/>
    <w:rsid w:val="005A4005"/>
    <w:rsid w:val="005A4B69"/>
    <w:rsid w:val="005A5884"/>
    <w:rsid w:val="005A5C25"/>
    <w:rsid w:val="005A5D7C"/>
    <w:rsid w:val="005A6743"/>
    <w:rsid w:val="005A6F0E"/>
    <w:rsid w:val="005B0364"/>
    <w:rsid w:val="005B08A9"/>
    <w:rsid w:val="005B1582"/>
    <w:rsid w:val="005B495B"/>
    <w:rsid w:val="005B50EB"/>
    <w:rsid w:val="005B541C"/>
    <w:rsid w:val="005B572D"/>
    <w:rsid w:val="005C04DE"/>
    <w:rsid w:val="005C1113"/>
    <w:rsid w:val="005C233D"/>
    <w:rsid w:val="005C2869"/>
    <w:rsid w:val="005C39EE"/>
    <w:rsid w:val="005C3FBE"/>
    <w:rsid w:val="005C42ED"/>
    <w:rsid w:val="005C608F"/>
    <w:rsid w:val="005C61BD"/>
    <w:rsid w:val="005C6B81"/>
    <w:rsid w:val="005C6C49"/>
    <w:rsid w:val="005C7FB6"/>
    <w:rsid w:val="005D0190"/>
    <w:rsid w:val="005D0989"/>
    <w:rsid w:val="005D0DDC"/>
    <w:rsid w:val="005D195E"/>
    <w:rsid w:val="005D1B44"/>
    <w:rsid w:val="005D29BE"/>
    <w:rsid w:val="005D5794"/>
    <w:rsid w:val="005D74AE"/>
    <w:rsid w:val="005E0121"/>
    <w:rsid w:val="005E182D"/>
    <w:rsid w:val="005E424E"/>
    <w:rsid w:val="005E57BE"/>
    <w:rsid w:val="005E5BC5"/>
    <w:rsid w:val="005E688B"/>
    <w:rsid w:val="005E6DDE"/>
    <w:rsid w:val="005E7039"/>
    <w:rsid w:val="005E75D6"/>
    <w:rsid w:val="005E787D"/>
    <w:rsid w:val="005F0857"/>
    <w:rsid w:val="005F1642"/>
    <w:rsid w:val="005F2153"/>
    <w:rsid w:val="005F47C5"/>
    <w:rsid w:val="005F6B0F"/>
    <w:rsid w:val="005F6CF9"/>
    <w:rsid w:val="005F7AD3"/>
    <w:rsid w:val="0060008F"/>
    <w:rsid w:val="00603396"/>
    <w:rsid w:val="00605476"/>
    <w:rsid w:val="00605824"/>
    <w:rsid w:val="00605B1C"/>
    <w:rsid w:val="0060663C"/>
    <w:rsid w:val="00607872"/>
    <w:rsid w:val="006116C8"/>
    <w:rsid w:val="006118BB"/>
    <w:rsid w:val="006124FF"/>
    <w:rsid w:val="0061310C"/>
    <w:rsid w:val="00613E7A"/>
    <w:rsid w:val="0061406F"/>
    <w:rsid w:val="00614355"/>
    <w:rsid w:val="006158C2"/>
    <w:rsid w:val="006165A6"/>
    <w:rsid w:val="00620951"/>
    <w:rsid w:val="006209B7"/>
    <w:rsid w:val="0062108A"/>
    <w:rsid w:val="00622B9F"/>
    <w:rsid w:val="00622F72"/>
    <w:rsid w:val="00623A56"/>
    <w:rsid w:val="00624B04"/>
    <w:rsid w:val="0062616B"/>
    <w:rsid w:val="00626E83"/>
    <w:rsid w:val="00627170"/>
    <w:rsid w:val="00627256"/>
    <w:rsid w:val="00627B26"/>
    <w:rsid w:val="00627B81"/>
    <w:rsid w:val="00630BC4"/>
    <w:rsid w:val="00630C85"/>
    <w:rsid w:val="00631175"/>
    <w:rsid w:val="00632138"/>
    <w:rsid w:val="00632459"/>
    <w:rsid w:val="006326A3"/>
    <w:rsid w:val="006372FC"/>
    <w:rsid w:val="00637315"/>
    <w:rsid w:val="006377F6"/>
    <w:rsid w:val="00637EE7"/>
    <w:rsid w:val="00641045"/>
    <w:rsid w:val="00641FE6"/>
    <w:rsid w:val="00642501"/>
    <w:rsid w:val="00642F57"/>
    <w:rsid w:val="006450E9"/>
    <w:rsid w:val="006459EF"/>
    <w:rsid w:val="00646ABB"/>
    <w:rsid w:val="006477AB"/>
    <w:rsid w:val="00651166"/>
    <w:rsid w:val="006526EB"/>
    <w:rsid w:val="00652AAC"/>
    <w:rsid w:val="006537F3"/>
    <w:rsid w:val="00654B07"/>
    <w:rsid w:val="00656209"/>
    <w:rsid w:val="00660576"/>
    <w:rsid w:val="00660BBA"/>
    <w:rsid w:val="006615F1"/>
    <w:rsid w:val="006635BE"/>
    <w:rsid w:val="00663CE6"/>
    <w:rsid w:val="00665D19"/>
    <w:rsid w:val="00665DFE"/>
    <w:rsid w:val="00667759"/>
    <w:rsid w:val="00667863"/>
    <w:rsid w:val="00667D75"/>
    <w:rsid w:val="00674818"/>
    <w:rsid w:val="0067658F"/>
    <w:rsid w:val="006768A9"/>
    <w:rsid w:val="0067734F"/>
    <w:rsid w:val="00680197"/>
    <w:rsid w:val="00681028"/>
    <w:rsid w:val="00684532"/>
    <w:rsid w:val="00686FC7"/>
    <w:rsid w:val="00691D36"/>
    <w:rsid w:val="006923FC"/>
    <w:rsid w:val="00692665"/>
    <w:rsid w:val="00692BFD"/>
    <w:rsid w:val="00693305"/>
    <w:rsid w:val="00695394"/>
    <w:rsid w:val="006956CC"/>
    <w:rsid w:val="006971B0"/>
    <w:rsid w:val="006973BB"/>
    <w:rsid w:val="006A0241"/>
    <w:rsid w:val="006A05C8"/>
    <w:rsid w:val="006A0C72"/>
    <w:rsid w:val="006A0EAC"/>
    <w:rsid w:val="006A11DE"/>
    <w:rsid w:val="006A204E"/>
    <w:rsid w:val="006A2C75"/>
    <w:rsid w:val="006A2EB3"/>
    <w:rsid w:val="006A5EFE"/>
    <w:rsid w:val="006B08E6"/>
    <w:rsid w:val="006B18CE"/>
    <w:rsid w:val="006B2ABD"/>
    <w:rsid w:val="006B3ED1"/>
    <w:rsid w:val="006B4170"/>
    <w:rsid w:val="006B4B9A"/>
    <w:rsid w:val="006B5A29"/>
    <w:rsid w:val="006B7E5E"/>
    <w:rsid w:val="006C0803"/>
    <w:rsid w:val="006C0ACA"/>
    <w:rsid w:val="006C0D6F"/>
    <w:rsid w:val="006C2779"/>
    <w:rsid w:val="006C5F4F"/>
    <w:rsid w:val="006C797A"/>
    <w:rsid w:val="006C7B44"/>
    <w:rsid w:val="006C7E3B"/>
    <w:rsid w:val="006D0082"/>
    <w:rsid w:val="006D1641"/>
    <w:rsid w:val="006D1FA0"/>
    <w:rsid w:val="006D23C8"/>
    <w:rsid w:val="006D3FC4"/>
    <w:rsid w:val="006D423C"/>
    <w:rsid w:val="006E0182"/>
    <w:rsid w:val="006E063E"/>
    <w:rsid w:val="006E0712"/>
    <w:rsid w:val="006E2865"/>
    <w:rsid w:val="006E5240"/>
    <w:rsid w:val="006E538F"/>
    <w:rsid w:val="006F1DBD"/>
    <w:rsid w:val="006F1F6C"/>
    <w:rsid w:val="006F244C"/>
    <w:rsid w:val="006F33F0"/>
    <w:rsid w:val="006F4454"/>
    <w:rsid w:val="006F63D9"/>
    <w:rsid w:val="006F65C1"/>
    <w:rsid w:val="006F7A24"/>
    <w:rsid w:val="00700AD2"/>
    <w:rsid w:val="00701563"/>
    <w:rsid w:val="00707D1C"/>
    <w:rsid w:val="00710874"/>
    <w:rsid w:val="0071114F"/>
    <w:rsid w:val="00712175"/>
    <w:rsid w:val="00712D6A"/>
    <w:rsid w:val="00714C4D"/>
    <w:rsid w:val="00715DBE"/>
    <w:rsid w:val="00716BDF"/>
    <w:rsid w:val="00716E2D"/>
    <w:rsid w:val="00717742"/>
    <w:rsid w:val="00723CC6"/>
    <w:rsid w:val="0073075D"/>
    <w:rsid w:val="007308F3"/>
    <w:rsid w:val="00732310"/>
    <w:rsid w:val="00734192"/>
    <w:rsid w:val="0073462C"/>
    <w:rsid w:val="00734F24"/>
    <w:rsid w:val="00735E1B"/>
    <w:rsid w:val="0074041D"/>
    <w:rsid w:val="00742B43"/>
    <w:rsid w:val="0074419E"/>
    <w:rsid w:val="0074442B"/>
    <w:rsid w:val="00746A93"/>
    <w:rsid w:val="007477D0"/>
    <w:rsid w:val="007507CD"/>
    <w:rsid w:val="00752117"/>
    <w:rsid w:val="00757C84"/>
    <w:rsid w:val="0076216C"/>
    <w:rsid w:val="00762E47"/>
    <w:rsid w:val="0076600E"/>
    <w:rsid w:val="00766270"/>
    <w:rsid w:val="00767095"/>
    <w:rsid w:val="007679CF"/>
    <w:rsid w:val="00767FD9"/>
    <w:rsid w:val="00770452"/>
    <w:rsid w:val="00770A0F"/>
    <w:rsid w:val="00772A2E"/>
    <w:rsid w:val="00773A27"/>
    <w:rsid w:val="007743EC"/>
    <w:rsid w:val="00774E8F"/>
    <w:rsid w:val="0077521B"/>
    <w:rsid w:val="00777077"/>
    <w:rsid w:val="00777A59"/>
    <w:rsid w:val="00777E52"/>
    <w:rsid w:val="007801A1"/>
    <w:rsid w:val="00780682"/>
    <w:rsid w:val="00783143"/>
    <w:rsid w:val="00783520"/>
    <w:rsid w:val="007840E5"/>
    <w:rsid w:val="0078505D"/>
    <w:rsid w:val="00785137"/>
    <w:rsid w:val="007853AD"/>
    <w:rsid w:val="00785F2E"/>
    <w:rsid w:val="007862B8"/>
    <w:rsid w:val="007907E2"/>
    <w:rsid w:val="00792BBF"/>
    <w:rsid w:val="007932EC"/>
    <w:rsid w:val="00794DDC"/>
    <w:rsid w:val="00795061"/>
    <w:rsid w:val="00796908"/>
    <w:rsid w:val="007973B6"/>
    <w:rsid w:val="0079797F"/>
    <w:rsid w:val="007A0749"/>
    <w:rsid w:val="007A158F"/>
    <w:rsid w:val="007A4495"/>
    <w:rsid w:val="007A4E01"/>
    <w:rsid w:val="007A6FC9"/>
    <w:rsid w:val="007B04F0"/>
    <w:rsid w:val="007B2C13"/>
    <w:rsid w:val="007B2DAF"/>
    <w:rsid w:val="007B4691"/>
    <w:rsid w:val="007B59F0"/>
    <w:rsid w:val="007B5B48"/>
    <w:rsid w:val="007C0DE7"/>
    <w:rsid w:val="007C0F86"/>
    <w:rsid w:val="007C3E83"/>
    <w:rsid w:val="007C416A"/>
    <w:rsid w:val="007C4ABE"/>
    <w:rsid w:val="007C4B73"/>
    <w:rsid w:val="007C5153"/>
    <w:rsid w:val="007C57F1"/>
    <w:rsid w:val="007C5B53"/>
    <w:rsid w:val="007C60E6"/>
    <w:rsid w:val="007C7377"/>
    <w:rsid w:val="007D11D2"/>
    <w:rsid w:val="007D29FD"/>
    <w:rsid w:val="007D2B6A"/>
    <w:rsid w:val="007D2E78"/>
    <w:rsid w:val="007D3D9E"/>
    <w:rsid w:val="007D5745"/>
    <w:rsid w:val="007E154B"/>
    <w:rsid w:val="007E4C4E"/>
    <w:rsid w:val="007E75B5"/>
    <w:rsid w:val="007E7610"/>
    <w:rsid w:val="007F0C5E"/>
    <w:rsid w:val="007F2A2C"/>
    <w:rsid w:val="007F3415"/>
    <w:rsid w:val="007F36AA"/>
    <w:rsid w:val="007F3C82"/>
    <w:rsid w:val="007F3CD9"/>
    <w:rsid w:val="007F4834"/>
    <w:rsid w:val="007F521A"/>
    <w:rsid w:val="00800498"/>
    <w:rsid w:val="0080135F"/>
    <w:rsid w:val="0080224F"/>
    <w:rsid w:val="008043E2"/>
    <w:rsid w:val="00804B2E"/>
    <w:rsid w:val="00804B92"/>
    <w:rsid w:val="00804CA3"/>
    <w:rsid w:val="00805892"/>
    <w:rsid w:val="00806816"/>
    <w:rsid w:val="008104E7"/>
    <w:rsid w:val="00810D00"/>
    <w:rsid w:val="00810F84"/>
    <w:rsid w:val="00811758"/>
    <w:rsid w:val="00811B90"/>
    <w:rsid w:val="0081265D"/>
    <w:rsid w:val="008128C4"/>
    <w:rsid w:val="008128D2"/>
    <w:rsid w:val="00813989"/>
    <w:rsid w:val="00814E5F"/>
    <w:rsid w:val="00815D6D"/>
    <w:rsid w:val="008173D5"/>
    <w:rsid w:val="00817EB6"/>
    <w:rsid w:val="00820CFC"/>
    <w:rsid w:val="0082131A"/>
    <w:rsid w:val="00821F8B"/>
    <w:rsid w:val="008225B7"/>
    <w:rsid w:val="00822D85"/>
    <w:rsid w:val="00823D60"/>
    <w:rsid w:val="00825F3E"/>
    <w:rsid w:val="008277B6"/>
    <w:rsid w:val="008277D9"/>
    <w:rsid w:val="008278F4"/>
    <w:rsid w:val="008329DF"/>
    <w:rsid w:val="00834561"/>
    <w:rsid w:val="00834C5F"/>
    <w:rsid w:val="008360FC"/>
    <w:rsid w:val="00836119"/>
    <w:rsid w:val="008377FD"/>
    <w:rsid w:val="00837F81"/>
    <w:rsid w:val="008413DC"/>
    <w:rsid w:val="008440BE"/>
    <w:rsid w:val="00844E77"/>
    <w:rsid w:val="008459B6"/>
    <w:rsid w:val="008474E4"/>
    <w:rsid w:val="00847592"/>
    <w:rsid w:val="00850DC3"/>
    <w:rsid w:val="0085128F"/>
    <w:rsid w:val="00851E2C"/>
    <w:rsid w:val="0085346B"/>
    <w:rsid w:val="00853FC2"/>
    <w:rsid w:val="008542E5"/>
    <w:rsid w:val="0085606D"/>
    <w:rsid w:val="00857132"/>
    <w:rsid w:val="008572B4"/>
    <w:rsid w:val="00857A12"/>
    <w:rsid w:val="00857D32"/>
    <w:rsid w:val="00860446"/>
    <w:rsid w:val="00861DDA"/>
    <w:rsid w:val="00862C18"/>
    <w:rsid w:val="00864B9F"/>
    <w:rsid w:val="00864C8B"/>
    <w:rsid w:val="00865595"/>
    <w:rsid w:val="00865738"/>
    <w:rsid w:val="00865D00"/>
    <w:rsid w:val="00873005"/>
    <w:rsid w:val="00876092"/>
    <w:rsid w:val="008761EC"/>
    <w:rsid w:val="00876FBF"/>
    <w:rsid w:val="00880126"/>
    <w:rsid w:val="0088128C"/>
    <w:rsid w:val="00881B90"/>
    <w:rsid w:val="008832FE"/>
    <w:rsid w:val="0088450F"/>
    <w:rsid w:val="008854E8"/>
    <w:rsid w:val="00885BEB"/>
    <w:rsid w:val="008869E3"/>
    <w:rsid w:val="008872F2"/>
    <w:rsid w:val="008900BB"/>
    <w:rsid w:val="0089061D"/>
    <w:rsid w:val="008912FB"/>
    <w:rsid w:val="00893036"/>
    <w:rsid w:val="00894F81"/>
    <w:rsid w:val="00895F29"/>
    <w:rsid w:val="0089764F"/>
    <w:rsid w:val="008A02C6"/>
    <w:rsid w:val="008A0815"/>
    <w:rsid w:val="008A0854"/>
    <w:rsid w:val="008A29D3"/>
    <w:rsid w:val="008A5A8F"/>
    <w:rsid w:val="008A618F"/>
    <w:rsid w:val="008A7024"/>
    <w:rsid w:val="008A7E56"/>
    <w:rsid w:val="008B1120"/>
    <w:rsid w:val="008B1B90"/>
    <w:rsid w:val="008B7053"/>
    <w:rsid w:val="008B7964"/>
    <w:rsid w:val="008C1C3C"/>
    <w:rsid w:val="008C2F3F"/>
    <w:rsid w:val="008C40E8"/>
    <w:rsid w:val="008C5A1F"/>
    <w:rsid w:val="008C76B8"/>
    <w:rsid w:val="008C7BA5"/>
    <w:rsid w:val="008D0D3C"/>
    <w:rsid w:val="008D2249"/>
    <w:rsid w:val="008D2728"/>
    <w:rsid w:val="008D2FEE"/>
    <w:rsid w:val="008D4414"/>
    <w:rsid w:val="008D6C42"/>
    <w:rsid w:val="008D7FDB"/>
    <w:rsid w:val="008E0945"/>
    <w:rsid w:val="008E16DB"/>
    <w:rsid w:val="008E4389"/>
    <w:rsid w:val="008E455B"/>
    <w:rsid w:val="008E6709"/>
    <w:rsid w:val="008F17C3"/>
    <w:rsid w:val="008F3096"/>
    <w:rsid w:val="008F48BD"/>
    <w:rsid w:val="008F5BEB"/>
    <w:rsid w:val="008F63BF"/>
    <w:rsid w:val="008F6AF6"/>
    <w:rsid w:val="008F6E01"/>
    <w:rsid w:val="00902605"/>
    <w:rsid w:val="00905410"/>
    <w:rsid w:val="009074AD"/>
    <w:rsid w:val="00910C0B"/>
    <w:rsid w:val="00910D64"/>
    <w:rsid w:val="00911270"/>
    <w:rsid w:val="00911336"/>
    <w:rsid w:val="00911BBB"/>
    <w:rsid w:val="00914303"/>
    <w:rsid w:val="00914490"/>
    <w:rsid w:val="00914FA3"/>
    <w:rsid w:val="00915463"/>
    <w:rsid w:val="00920F82"/>
    <w:rsid w:val="0092191D"/>
    <w:rsid w:val="00921ECF"/>
    <w:rsid w:val="0092290D"/>
    <w:rsid w:val="009236DA"/>
    <w:rsid w:val="00923989"/>
    <w:rsid w:val="009239BA"/>
    <w:rsid w:val="009240D0"/>
    <w:rsid w:val="009269A1"/>
    <w:rsid w:val="00926A22"/>
    <w:rsid w:val="00927AB7"/>
    <w:rsid w:val="00931A68"/>
    <w:rsid w:val="009326D5"/>
    <w:rsid w:val="00932D2E"/>
    <w:rsid w:val="009333C1"/>
    <w:rsid w:val="00933E08"/>
    <w:rsid w:val="00933F78"/>
    <w:rsid w:val="00934412"/>
    <w:rsid w:val="009357A0"/>
    <w:rsid w:val="00935EE9"/>
    <w:rsid w:val="00936AB9"/>
    <w:rsid w:val="0094017E"/>
    <w:rsid w:val="00940E03"/>
    <w:rsid w:val="00943640"/>
    <w:rsid w:val="0094374A"/>
    <w:rsid w:val="009444DC"/>
    <w:rsid w:val="00944ACB"/>
    <w:rsid w:val="0095134A"/>
    <w:rsid w:val="00952796"/>
    <w:rsid w:val="00952C70"/>
    <w:rsid w:val="00953586"/>
    <w:rsid w:val="009548ED"/>
    <w:rsid w:val="0095646E"/>
    <w:rsid w:val="00956603"/>
    <w:rsid w:val="00956DF7"/>
    <w:rsid w:val="00960FF6"/>
    <w:rsid w:val="00961759"/>
    <w:rsid w:val="00962DAB"/>
    <w:rsid w:val="00964731"/>
    <w:rsid w:val="00965709"/>
    <w:rsid w:val="0096612A"/>
    <w:rsid w:val="00966B4A"/>
    <w:rsid w:val="00967CFF"/>
    <w:rsid w:val="00972BAB"/>
    <w:rsid w:val="00975BF1"/>
    <w:rsid w:val="009769A8"/>
    <w:rsid w:val="009828FC"/>
    <w:rsid w:val="00983C4E"/>
    <w:rsid w:val="00985680"/>
    <w:rsid w:val="009917F0"/>
    <w:rsid w:val="00991C03"/>
    <w:rsid w:val="009926C9"/>
    <w:rsid w:val="00992E04"/>
    <w:rsid w:val="00992E5B"/>
    <w:rsid w:val="009941EB"/>
    <w:rsid w:val="00995064"/>
    <w:rsid w:val="0099689C"/>
    <w:rsid w:val="00996C70"/>
    <w:rsid w:val="00996CAF"/>
    <w:rsid w:val="009A174F"/>
    <w:rsid w:val="009A2492"/>
    <w:rsid w:val="009A2FC5"/>
    <w:rsid w:val="009A5C0A"/>
    <w:rsid w:val="009B0910"/>
    <w:rsid w:val="009B5EF0"/>
    <w:rsid w:val="009C0DCD"/>
    <w:rsid w:val="009C0DF2"/>
    <w:rsid w:val="009C1990"/>
    <w:rsid w:val="009C2D59"/>
    <w:rsid w:val="009C472A"/>
    <w:rsid w:val="009C7597"/>
    <w:rsid w:val="009D178D"/>
    <w:rsid w:val="009D1C91"/>
    <w:rsid w:val="009D2877"/>
    <w:rsid w:val="009D3D2E"/>
    <w:rsid w:val="009D3D63"/>
    <w:rsid w:val="009D4E55"/>
    <w:rsid w:val="009D5589"/>
    <w:rsid w:val="009D60C4"/>
    <w:rsid w:val="009D6764"/>
    <w:rsid w:val="009D729C"/>
    <w:rsid w:val="009D7E41"/>
    <w:rsid w:val="009E2AF4"/>
    <w:rsid w:val="009E2CA2"/>
    <w:rsid w:val="009E31DA"/>
    <w:rsid w:val="009E5071"/>
    <w:rsid w:val="009E7004"/>
    <w:rsid w:val="009F0064"/>
    <w:rsid w:val="009F13FF"/>
    <w:rsid w:val="009F1985"/>
    <w:rsid w:val="009F249B"/>
    <w:rsid w:val="009F3E7F"/>
    <w:rsid w:val="009F4473"/>
    <w:rsid w:val="009F4A61"/>
    <w:rsid w:val="009F56DE"/>
    <w:rsid w:val="009F5916"/>
    <w:rsid w:val="009F660D"/>
    <w:rsid w:val="00A01125"/>
    <w:rsid w:val="00A01A02"/>
    <w:rsid w:val="00A027CF"/>
    <w:rsid w:val="00A02809"/>
    <w:rsid w:val="00A040EF"/>
    <w:rsid w:val="00A04B6D"/>
    <w:rsid w:val="00A0656E"/>
    <w:rsid w:val="00A06AF3"/>
    <w:rsid w:val="00A10BA9"/>
    <w:rsid w:val="00A110B6"/>
    <w:rsid w:val="00A120A3"/>
    <w:rsid w:val="00A12688"/>
    <w:rsid w:val="00A14FA8"/>
    <w:rsid w:val="00A15375"/>
    <w:rsid w:val="00A157DF"/>
    <w:rsid w:val="00A2086D"/>
    <w:rsid w:val="00A2097A"/>
    <w:rsid w:val="00A2326F"/>
    <w:rsid w:val="00A240DC"/>
    <w:rsid w:val="00A2410B"/>
    <w:rsid w:val="00A24382"/>
    <w:rsid w:val="00A24A72"/>
    <w:rsid w:val="00A24EAF"/>
    <w:rsid w:val="00A25B86"/>
    <w:rsid w:val="00A260F5"/>
    <w:rsid w:val="00A3063F"/>
    <w:rsid w:val="00A32AD1"/>
    <w:rsid w:val="00A338E5"/>
    <w:rsid w:val="00A34B8F"/>
    <w:rsid w:val="00A35398"/>
    <w:rsid w:val="00A35E69"/>
    <w:rsid w:val="00A3648D"/>
    <w:rsid w:val="00A44242"/>
    <w:rsid w:val="00A45E90"/>
    <w:rsid w:val="00A469E2"/>
    <w:rsid w:val="00A47258"/>
    <w:rsid w:val="00A4744B"/>
    <w:rsid w:val="00A519DC"/>
    <w:rsid w:val="00A51F14"/>
    <w:rsid w:val="00A52963"/>
    <w:rsid w:val="00A55680"/>
    <w:rsid w:val="00A57457"/>
    <w:rsid w:val="00A63032"/>
    <w:rsid w:val="00A65F01"/>
    <w:rsid w:val="00A66934"/>
    <w:rsid w:val="00A7059A"/>
    <w:rsid w:val="00A70949"/>
    <w:rsid w:val="00A71E7D"/>
    <w:rsid w:val="00A73FB0"/>
    <w:rsid w:val="00A75B43"/>
    <w:rsid w:val="00A75BAA"/>
    <w:rsid w:val="00A77172"/>
    <w:rsid w:val="00A77A4C"/>
    <w:rsid w:val="00A77CC2"/>
    <w:rsid w:val="00A802F6"/>
    <w:rsid w:val="00A822B0"/>
    <w:rsid w:val="00A822C0"/>
    <w:rsid w:val="00A82760"/>
    <w:rsid w:val="00A84413"/>
    <w:rsid w:val="00A84FE0"/>
    <w:rsid w:val="00A86415"/>
    <w:rsid w:val="00A866E1"/>
    <w:rsid w:val="00A87A20"/>
    <w:rsid w:val="00A87A40"/>
    <w:rsid w:val="00A91284"/>
    <w:rsid w:val="00A91ABB"/>
    <w:rsid w:val="00A92F6B"/>
    <w:rsid w:val="00A93947"/>
    <w:rsid w:val="00A9408E"/>
    <w:rsid w:val="00A94125"/>
    <w:rsid w:val="00A94FC4"/>
    <w:rsid w:val="00A969F7"/>
    <w:rsid w:val="00AA132B"/>
    <w:rsid w:val="00AA1F62"/>
    <w:rsid w:val="00AA2435"/>
    <w:rsid w:val="00AA2802"/>
    <w:rsid w:val="00AA285C"/>
    <w:rsid w:val="00AA4871"/>
    <w:rsid w:val="00AA6831"/>
    <w:rsid w:val="00AB0507"/>
    <w:rsid w:val="00AB065E"/>
    <w:rsid w:val="00AB5706"/>
    <w:rsid w:val="00AB7E0E"/>
    <w:rsid w:val="00AC0F1D"/>
    <w:rsid w:val="00AC148B"/>
    <w:rsid w:val="00AC1A91"/>
    <w:rsid w:val="00AC1DF9"/>
    <w:rsid w:val="00AC4262"/>
    <w:rsid w:val="00AC68DE"/>
    <w:rsid w:val="00AD44C0"/>
    <w:rsid w:val="00AD5D7F"/>
    <w:rsid w:val="00AD6BF3"/>
    <w:rsid w:val="00AD7669"/>
    <w:rsid w:val="00AD7EA3"/>
    <w:rsid w:val="00AE1423"/>
    <w:rsid w:val="00AE14EA"/>
    <w:rsid w:val="00AE1760"/>
    <w:rsid w:val="00AE1FFC"/>
    <w:rsid w:val="00AE279D"/>
    <w:rsid w:val="00AE3A15"/>
    <w:rsid w:val="00AE494E"/>
    <w:rsid w:val="00AE59CB"/>
    <w:rsid w:val="00AE5ABA"/>
    <w:rsid w:val="00AE688B"/>
    <w:rsid w:val="00AE6CF1"/>
    <w:rsid w:val="00AF2987"/>
    <w:rsid w:val="00AF2A04"/>
    <w:rsid w:val="00AF2BBB"/>
    <w:rsid w:val="00AF4AD9"/>
    <w:rsid w:val="00AF59EB"/>
    <w:rsid w:val="00AF6153"/>
    <w:rsid w:val="00AF64D2"/>
    <w:rsid w:val="00AF74DB"/>
    <w:rsid w:val="00B01BEB"/>
    <w:rsid w:val="00B02397"/>
    <w:rsid w:val="00B03231"/>
    <w:rsid w:val="00B03C1C"/>
    <w:rsid w:val="00B04418"/>
    <w:rsid w:val="00B0477F"/>
    <w:rsid w:val="00B07D0E"/>
    <w:rsid w:val="00B107A9"/>
    <w:rsid w:val="00B11E36"/>
    <w:rsid w:val="00B12ED7"/>
    <w:rsid w:val="00B13223"/>
    <w:rsid w:val="00B14330"/>
    <w:rsid w:val="00B16EAE"/>
    <w:rsid w:val="00B176CE"/>
    <w:rsid w:val="00B20D85"/>
    <w:rsid w:val="00B2206A"/>
    <w:rsid w:val="00B22140"/>
    <w:rsid w:val="00B22546"/>
    <w:rsid w:val="00B234F7"/>
    <w:rsid w:val="00B26B60"/>
    <w:rsid w:val="00B27CF4"/>
    <w:rsid w:val="00B323F7"/>
    <w:rsid w:val="00B3339A"/>
    <w:rsid w:val="00B33826"/>
    <w:rsid w:val="00B363BF"/>
    <w:rsid w:val="00B3755F"/>
    <w:rsid w:val="00B406D1"/>
    <w:rsid w:val="00B46A0A"/>
    <w:rsid w:val="00B47209"/>
    <w:rsid w:val="00B472EC"/>
    <w:rsid w:val="00B479F5"/>
    <w:rsid w:val="00B47D5C"/>
    <w:rsid w:val="00B50AAC"/>
    <w:rsid w:val="00B512E5"/>
    <w:rsid w:val="00B523EC"/>
    <w:rsid w:val="00B53AD9"/>
    <w:rsid w:val="00B54DDE"/>
    <w:rsid w:val="00B56BB6"/>
    <w:rsid w:val="00B57BA1"/>
    <w:rsid w:val="00B600BF"/>
    <w:rsid w:val="00B603DC"/>
    <w:rsid w:val="00B62AAA"/>
    <w:rsid w:val="00B63E44"/>
    <w:rsid w:val="00B64BF1"/>
    <w:rsid w:val="00B67587"/>
    <w:rsid w:val="00B6786D"/>
    <w:rsid w:val="00B74670"/>
    <w:rsid w:val="00B7594F"/>
    <w:rsid w:val="00B7652B"/>
    <w:rsid w:val="00B811CF"/>
    <w:rsid w:val="00B823DC"/>
    <w:rsid w:val="00B84603"/>
    <w:rsid w:val="00B85B73"/>
    <w:rsid w:val="00B86310"/>
    <w:rsid w:val="00B86429"/>
    <w:rsid w:val="00B86A9C"/>
    <w:rsid w:val="00B87DD1"/>
    <w:rsid w:val="00B90317"/>
    <w:rsid w:val="00B918A4"/>
    <w:rsid w:val="00B9286D"/>
    <w:rsid w:val="00B962A6"/>
    <w:rsid w:val="00B96D1D"/>
    <w:rsid w:val="00BA08DA"/>
    <w:rsid w:val="00BA21CA"/>
    <w:rsid w:val="00BA2224"/>
    <w:rsid w:val="00BA2C4B"/>
    <w:rsid w:val="00BA334D"/>
    <w:rsid w:val="00BA4518"/>
    <w:rsid w:val="00BA4F4E"/>
    <w:rsid w:val="00BB2084"/>
    <w:rsid w:val="00BB2F06"/>
    <w:rsid w:val="00BB3FFA"/>
    <w:rsid w:val="00BB4D7C"/>
    <w:rsid w:val="00BB4E64"/>
    <w:rsid w:val="00BB58E5"/>
    <w:rsid w:val="00BB7A44"/>
    <w:rsid w:val="00BC3244"/>
    <w:rsid w:val="00BC4CC0"/>
    <w:rsid w:val="00BC57C3"/>
    <w:rsid w:val="00BC7853"/>
    <w:rsid w:val="00BD05DC"/>
    <w:rsid w:val="00BD192D"/>
    <w:rsid w:val="00BD1A29"/>
    <w:rsid w:val="00BD37C8"/>
    <w:rsid w:val="00BD3A00"/>
    <w:rsid w:val="00BD3B77"/>
    <w:rsid w:val="00BD5E99"/>
    <w:rsid w:val="00BD6438"/>
    <w:rsid w:val="00BE2789"/>
    <w:rsid w:val="00BE4B6C"/>
    <w:rsid w:val="00BE5109"/>
    <w:rsid w:val="00BF1EC9"/>
    <w:rsid w:val="00BF2B68"/>
    <w:rsid w:val="00BF3495"/>
    <w:rsid w:val="00BF4A69"/>
    <w:rsid w:val="00BF5149"/>
    <w:rsid w:val="00BF57D2"/>
    <w:rsid w:val="00BF5B30"/>
    <w:rsid w:val="00BF5E0A"/>
    <w:rsid w:val="00BF7910"/>
    <w:rsid w:val="00C004AA"/>
    <w:rsid w:val="00C00BEA"/>
    <w:rsid w:val="00C0322C"/>
    <w:rsid w:val="00C051A5"/>
    <w:rsid w:val="00C066E5"/>
    <w:rsid w:val="00C076D2"/>
    <w:rsid w:val="00C1078C"/>
    <w:rsid w:val="00C10804"/>
    <w:rsid w:val="00C11974"/>
    <w:rsid w:val="00C127E5"/>
    <w:rsid w:val="00C12949"/>
    <w:rsid w:val="00C12E88"/>
    <w:rsid w:val="00C14307"/>
    <w:rsid w:val="00C1601C"/>
    <w:rsid w:val="00C2100A"/>
    <w:rsid w:val="00C211E2"/>
    <w:rsid w:val="00C21C7D"/>
    <w:rsid w:val="00C22107"/>
    <w:rsid w:val="00C22CC0"/>
    <w:rsid w:val="00C23FF7"/>
    <w:rsid w:val="00C25056"/>
    <w:rsid w:val="00C326C8"/>
    <w:rsid w:val="00C32B8A"/>
    <w:rsid w:val="00C32BB9"/>
    <w:rsid w:val="00C32BF6"/>
    <w:rsid w:val="00C32EDD"/>
    <w:rsid w:val="00C334EC"/>
    <w:rsid w:val="00C36271"/>
    <w:rsid w:val="00C369AE"/>
    <w:rsid w:val="00C40EB2"/>
    <w:rsid w:val="00C43811"/>
    <w:rsid w:val="00C448F8"/>
    <w:rsid w:val="00C46118"/>
    <w:rsid w:val="00C469B4"/>
    <w:rsid w:val="00C509BA"/>
    <w:rsid w:val="00C521B0"/>
    <w:rsid w:val="00C539DB"/>
    <w:rsid w:val="00C53B60"/>
    <w:rsid w:val="00C53F2B"/>
    <w:rsid w:val="00C54974"/>
    <w:rsid w:val="00C55381"/>
    <w:rsid w:val="00C5613E"/>
    <w:rsid w:val="00C5620D"/>
    <w:rsid w:val="00C57464"/>
    <w:rsid w:val="00C578E0"/>
    <w:rsid w:val="00C61F29"/>
    <w:rsid w:val="00C62B80"/>
    <w:rsid w:val="00C64044"/>
    <w:rsid w:val="00C6416C"/>
    <w:rsid w:val="00C64E79"/>
    <w:rsid w:val="00C65CFE"/>
    <w:rsid w:val="00C663DD"/>
    <w:rsid w:val="00C6711E"/>
    <w:rsid w:val="00C701CE"/>
    <w:rsid w:val="00C71361"/>
    <w:rsid w:val="00C71B0A"/>
    <w:rsid w:val="00C71C4B"/>
    <w:rsid w:val="00C72B53"/>
    <w:rsid w:val="00C73376"/>
    <w:rsid w:val="00C7347B"/>
    <w:rsid w:val="00C73C74"/>
    <w:rsid w:val="00C74649"/>
    <w:rsid w:val="00C74B4D"/>
    <w:rsid w:val="00C75214"/>
    <w:rsid w:val="00C753BF"/>
    <w:rsid w:val="00C75D89"/>
    <w:rsid w:val="00C77152"/>
    <w:rsid w:val="00C77332"/>
    <w:rsid w:val="00C776AE"/>
    <w:rsid w:val="00C80751"/>
    <w:rsid w:val="00C8081B"/>
    <w:rsid w:val="00C80EAE"/>
    <w:rsid w:val="00C81795"/>
    <w:rsid w:val="00C8202D"/>
    <w:rsid w:val="00C87B24"/>
    <w:rsid w:val="00C87CA9"/>
    <w:rsid w:val="00C87F0F"/>
    <w:rsid w:val="00C90FCF"/>
    <w:rsid w:val="00C91A78"/>
    <w:rsid w:val="00C92016"/>
    <w:rsid w:val="00C943E5"/>
    <w:rsid w:val="00C9740E"/>
    <w:rsid w:val="00C97479"/>
    <w:rsid w:val="00CA0827"/>
    <w:rsid w:val="00CA224B"/>
    <w:rsid w:val="00CA28D3"/>
    <w:rsid w:val="00CA2FC1"/>
    <w:rsid w:val="00CA34D5"/>
    <w:rsid w:val="00CA46D8"/>
    <w:rsid w:val="00CA4C22"/>
    <w:rsid w:val="00CA4D94"/>
    <w:rsid w:val="00CA5A0F"/>
    <w:rsid w:val="00CA687D"/>
    <w:rsid w:val="00CA78DC"/>
    <w:rsid w:val="00CB0302"/>
    <w:rsid w:val="00CB1131"/>
    <w:rsid w:val="00CB1911"/>
    <w:rsid w:val="00CB2A17"/>
    <w:rsid w:val="00CB3797"/>
    <w:rsid w:val="00CB49EF"/>
    <w:rsid w:val="00CB7447"/>
    <w:rsid w:val="00CC0D6A"/>
    <w:rsid w:val="00CC2759"/>
    <w:rsid w:val="00CC2E4C"/>
    <w:rsid w:val="00CC392F"/>
    <w:rsid w:val="00CC44A3"/>
    <w:rsid w:val="00CC59CC"/>
    <w:rsid w:val="00CD0348"/>
    <w:rsid w:val="00CD0806"/>
    <w:rsid w:val="00CD092B"/>
    <w:rsid w:val="00CD2B6A"/>
    <w:rsid w:val="00CD2CEB"/>
    <w:rsid w:val="00CD35B7"/>
    <w:rsid w:val="00CD482C"/>
    <w:rsid w:val="00CD49A4"/>
    <w:rsid w:val="00CD4B47"/>
    <w:rsid w:val="00CD4BA6"/>
    <w:rsid w:val="00CD4BE1"/>
    <w:rsid w:val="00CE0613"/>
    <w:rsid w:val="00CE088D"/>
    <w:rsid w:val="00CE0A4E"/>
    <w:rsid w:val="00CE24A4"/>
    <w:rsid w:val="00CE26AE"/>
    <w:rsid w:val="00CE38AB"/>
    <w:rsid w:val="00CE3B6A"/>
    <w:rsid w:val="00CE54E4"/>
    <w:rsid w:val="00CE58EC"/>
    <w:rsid w:val="00CE5A7D"/>
    <w:rsid w:val="00CE7645"/>
    <w:rsid w:val="00CF018A"/>
    <w:rsid w:val="00CF023E"/>
    <w:rsid w:val="00CF06B6"/>
    <w:rsid w:val="00CF1628"/>
    <w:rsid w:val="00CF40C1"/>
    <w:rsid w:val="00CF50CC"/>
    <w:rsid w:val="00CF511A"/>
    <w:rsid w:val="00CF6B04"/>
    <w:rsid w:val="00CF7924"/>
    <w:rsid w:val="00CF79FC"/>
    <w:rsid w:val="00D018C7"/>
    <w:rsid w:val="00D02819"/>
    <w:rsid w:val="00D03BF0"/>
    <w:rsid w:val="00D07703"/>
    <w:rsid w:val="00D07ACF"/>
    <w:rsid w:val="00D105FF"/>
    <w:rsid w:val="00D10900"/>
    <w:rsid w:val="00D12806"/>
    <w:rsid w:val="00D12937"/>
    <w:rsid w:val="00D14D51"/>
    <w:rsid w:val="00D177EE"/>
    <w:rsid w:val="00D227A2"/>
    <w:rsid w:val="00D23D27"/>
    <w:rsid w:val="00D25A07"/>
    <w:rsid w:val="00D26BE4"/>
    <w:rsid w:val="00D27969"/>
    <w:rsid w:val="00D27A61"/>
    <w:rsid w:val="00D310D2"/>
    <w:rsid w:val="00D311C5"/>
    <w:rsid w:val="00D31BD4"/>
    <w:rsid w:val="00D33A9C"/>
    <w:rsid w:val="00D34D44"/>
    <w:rsid w:val="00D353FE"/>
    <w:rsid w:val="00D35F82"/>
    <w:rsid w:val="00D36397"/>
    <w:rsid w:val="00D364B9"/>
    <w:rsid w:val="00D37BA7"/>
    <w:rsid w:val="00D40EAE"/>
    <w:rsid w:val="00D42D23"/>
    <w:rsid w:val="00D43792"/>
    <w:rsid w:val="00D4661F"/>
    <w:rsid w:val="00D47275"/>
    <w:rsid w:val="00D479CB"/>
    <w:rsid w:val="00D51897"/>
    <w:rsid w:val="00D543F4"/>
    <w:rsid w:val="00D5536E"/>
    <w:rsid w:val="00D557F5"/>
    <w:rsid w:val="00D55A8E"/>
    <w:rsid w:val="00D56266"/>
    <w:rsid w:val="00D567B5"/>
    <w:rsid w:val="00D57043"/>
    <w:rsid w:val="00D57BCC"/>
    <w:rsid w:val="00D57EBE"/>
    <w:rsid w:val="00D6397A"/>
    <w:rsid w:val="00D6534F"/>
    <w:rsid w:val="00D708CF"/>
    <w:rsid w:val="00D70F45"/>
    <w:rsid w:val="00D7422A"/>
    <w:rsid w:val="00D80C35"/>
    <w:rsid w:val="00D815CB"/>
    <w:rsid w:val="00D828F2"/>
    <w:rsid w:val="00D83173"/>
    <w:rsid w:val="00D83801"/>
    <w:rsid w:val="00D845A7"/>
    <w:rsid w:val="00D85104"/>
    <w:rsid w:val="00D8539B"/>
    <w:rsid w:val="00D8551A"/>
    <w:rsid w:val="00D8787E"/>
    <w:rsid w:val="00D91989"/>
    <w:rsid w:val="00D92914"/>
    <w:rsid w:val="00D955D0"/>
    <w:rsid w:val="00D95818"/>
    <w:rsid w:val="00D95D76"/>
    <w:rsid w:val="00D962B5"/>
    <w:rsid w:val="00DA0AE1"/>
    <w:rsid w:val="00DA13BD"/>
    <w:rsid w:val="00DA193A"/>
    <w:rsid w:val="00DA35DD"/>
    <w:rsid w:val="00DA380C"/>
    <w:rsid w:val="00DA49C0"/>
    <w:rsid w:val="00DA731F"/>
    <w:rsid w:val="00DB3581"/>
    <w:rsid w:val="00DB371E"/>
    <w:rsid w:val="00DB4B3E"/>
    <w:rsid w:val="00DB5A9F"/>
    <w:rsid w:val="00DB5C50"/>
    <w:rsid w:val="00DB6603"/>
    <w:rsid w:val="00DC1096"/>
    <w:rsid w:val="00DC25C2"/>
    <w:rsid w:val="00DC2F67"/>
    <w:rsid w:val="00DC313A"/>
    <w:rsid w:val="00DC32CB"/>
    <w:rsid w:val="00DC35CA"/>
    <w:rsid w:val="00DC4434"/>
    <w:rsid w:val="00DC4505"/>
    <w:rsid w:val="00DC55E4"/>
    <w:rsid w:val="00DC746E"/>
    <w:rsid w:val="00DC7574"/>
    <w:rsid w:val="00DD0E31"/>
    <w:rsid w:val="00DD2DD6"/>
    <w:rsid w:val="00DD2E4C"/>
    <w:rsid w:val="00DD33CE"/>
    <w:rsid w:val="00DD4CA6"/>
    <w:rsid w:val="00DD51E7"/>
    <w:rsid w:val="00DD6F23"/>
    <w:rsid w:val="00DD7782"/>
    <w:rsid w:val="00DE2386"/>
    <w:rsid w:val="00DE3DCF"/>
    <w:rsid w:val="00DE4963"/>
    <w:rsid w:val="00DE558F"/>
    <w:rsid w:val="00DE5792"/>
    <w:rsid w:val="00DE58EF"/>
    <w:rsid w:val="00DE703E"/>
    <w:rsid w:val="00DE7B90"/>
    <w:rsid w:val="00DF0718"/>
    <w:rsid w:val="00DF31FD"/>
    <w:rsid w:val="00DF35CE"/>
    <w:rsid w:val="00DF4036"/>
    <w:rsid w:val="00DF50AB"/>
    <w:rsid w:val="00DF5ED8"/>
    <w:rsid w:val="00E01DBB"/>
    <w:rsid w:val="00E03AA9"/>
    <w:rsid w:val="00E045D7"/>
    <w:rsid w:val="00E04631"/>
    <w:rsid w:val="00E06D50"/>
    <w:rsid w:val="00E06DF0"/>
    <w:rsid w:val="00E0730D"/>
    <w:rsid w:val="00E07EC2"/>
    <w:rsid w:val="00E105B6"/>
    <w:rsid w:val="00E11FD8"/>
    <w:rsid w:val="00E133F0"/>
    <w:rsid w:val="00E138B3"/>
    <w:rsid w:val="00E145FB"/>
    <w:rsid w:val="00E149EE"/>
    <w:rsid w:val="00E15164"/>
    <w:rsid w:val="00E157B5"/>
    <w:rsid w:val="00E16087"/>
    <w:rsid w:val="00E16569"/>
    <w:rsid w:val="00E2197D"/>
    <w:rsid w:val="00E221DB"/>
    <w:rsid w:val="00E240F7"/>
    <w:rsid w:val="00E27D08"/>
    <w:rsid w:val="00E301D9"/>
    <w:rsid w:val="00E3053D"/>
    <w:rsid w:val="00E34E6B"/>
    <w:rsid w:val="00E352D0"/>
    <w:rsid w:val="00E41A19"/>
    <w:rsid w:val="00E42A62"/>
    <w:rsid w:val="00E444D7"/>
    <w:rsid w:val="00E449E4"/>
    <w:rsid w:val="00E46389"/>
    <w:rsid w:val="00E47C47"/>
    <w:rsid w:val="00E51D9C"/>
    <w:rsid w:val="00E556FA"/>
    <w:rsid w:val="00E55AE6"/>
    <w:rsid w:val="00E5681D"/>
    <w:rsid w:val="00E60BF3"/>
    <w:rsid w:val="00E63217"/>
    <w:rsid w:val="00E63D58"/>
    <w:rsid w:val="00E647B8"/>
    <w:rsid w:val="00E6537B"/>
    <w:rsid w:val="00E66ACB"/>
    <w:rsid w:val="00E713F4"/>
    <w:rsid w:val="00E7194C"/>
    <w:rsid w:val="00E71B59"/>
    <w:rsid w:val="00E729CE"/>
    <w:rsid w:val="00E72A2A"/>
    <w:rsid w:val="00E74DEF"/>
    <w:rsid w:val="00E75E78"/>
    <w:rsid w:val="00E76DEF"/>
    <w:rsid w:val="00E771C9"/>
    <w:rsid w:val="00E7739D"/>
    <w:rsid w:val="00E77F90"/>
    <w:rsid w:val="00E80620"/>
    <w:rsid w:val="00E808B9"/>
    <w:rsid w:val="00E820EF"/>
    <w:rsid w:val="00E836A9"/>
    <w:rsid w:val="00E83A6A"/>
    <w:rsid w:val="00E92943"/>
    <w:rsid w:val="00E942B0"/>
    <w:rsid w:val="00E95052"/>
    <w:rsid w:val="00E950E2"/>
    <w:rsid w:val="00E9773D"/>
    <w:rsid w:val="00EA1D35"/>
    <w:rsid w:val="00EA2D43"/>
    <w:rsid w:val="00EA3548"/>
    <w:rsid w:val="00EA4937"/>
    <w:rsid w:val="00EA4BCD"/>
    <w:rsid w:val="00EA623D"/>
    <w:rsid w:val="00EA691C"/>
    <w:rsid w:val="00EA7E5D"/>
    <w:rsid w:val="00EB1EC8"/>
    <w:rsid w:val="00EB4290"/>
    <w:rsid w:val="00EB54F5"/>
    <w:rsid w:val="00EC08FC"/>
    <w:rsid w:val="00EC15F0"/>
    <w:rsid w:val="00EC17A6"/>
    <w:rsid w:val="00EC282D"/>
    <w:rsid w:val="00EC2C28"/>
    <w:rsid w:val="00EC326E"/>
    <w:rsid w:val="00EC46F4"/>
    <w:rsid w:val="00EC4843"/>
    <w:rsid w:val="00EC547A"/>
    <w:rsid w:val="00EC5788"/>
    <w:rsid w:val="00EC6BF6"/>
    <w:rsid w:val="00EC7F5E"/>
    <w:rsid w:val="00ED02A5"/>
    <w:rsid w:val="00ED14D7"/>
    <w:rsid w:val="00ED3BAE"/>
    <w:rsid w:val="00ED3C48"/>
    <w:rsid w:val="00ED45A9"/>
    <w:rsid w:val="00ED62C3"/>
    <w:rsid w:val="00ED66DC"/>
    <w:rsid w:val="00ED6C16"/>
    <w:rsid w:val="00ED7024"/>
    <w:rsid w:val="00ED73EF"/>
    <w:rsid w:val="00ED7A94"/>
    <w:rsid w:val="00EE0A5C"/>
    <w:rsid w:val="00EE1765"/>
    <w:rsid w:val="00EE1B0E"/>
    <w:rsid w:val="00EE2B95"/>
    <w:rsid w:val="00EE2D99"/>
    <w:rsid w:val="00EE302F"/>
    <w:rsid w:val="00EE4C41"/>
    <w:rsid w:val="00EE560E"/>
    <w:rsid w:val="00EE6277"/>
    <w:rsid w:val="00EF1414"/>
    <w:rsid w:val="00EF242F"/>
    <w:rsid w:val="00EF2C00"/>
    <w:rsid w:val="00EF2E31"/>
    <w:rsid w:val="00EF5A7B"/>
    <w:rsid w:val="00EF5D98"/>
    <w:rsid w:val="00EF60A1"/>
    <w:rsid w:val="00EF744D"/>
    <w:rsid w:val="00F00816"/>
    <w:rsid w:val="00F03F0A"/>
    <w:rsid w:val="00F068A8"/>
    <w:rsid w:val="00F101E7"/>
    <w:rsid w:val="00F114B3"/>
    <w:rsid w:val="00F1159F"/>
    <w:rsid w:val="00F11927"/>
    <w:rsid w:val="00F11A41"/>
    <w:rsid w:val="00F11CF1"/>
    <w:rsid w:val="00F1442B"/>
    <w:rsid w:val="00F15894"/>
    <w:rsid w:val="00F16933"/>
    <w:rsid w:val="00F17153"/>
    <w:rsid w:val="00F2041E"/>
    <w:rsid w:val="00F20429"/>
    <w:rsid w:val="00F25A51"/>
    <w:rsid w:val="00F25B02"/>
    <w:rsid w:val="00F26417"/>
    <w:rsid w:val="00F26598"/>
    <w:rsid w:val="00F273B1"/>
    <w:rsid w:val="00F27769"/>
    <w:rsid w:val="00F30F46"/>
    <w:rsid w:val="00F31E7E"/>
    <w:rsid w:val="00F329B1"/>
    <w:rsid w:val="00F33BAA"/>
    <w:rsid w:val="00F33D62"/>
    <w:rsid w:val="00F33D63"/>
    <w:rsid w:val="00F33F54"/>
    <w:rsid w:val="00F360B7"/>
    <w:rsid w:val="00F36453"/>
    <w:rsid w:val="00F36D4F"/>
    <w:rsid w:val="00F40804"/>
    <w:rsid w:val="00F4095D"/>
    <w:rsid w:val="00F416AF"/>
    <w:rsid w:val="00F41A36"/>
    <w:rsid w:val="00F43BAE"/>
    <w:rsid w:val="00F45FB3"/>
    <w:rsid w:val="00F46C28"/>
    <w:rsid w:val="00F476CC"/>
    <w:rsid w:val="00F50FFB"/>
    <w:rsid w:val="00F514DF"/>
    <w:rsid w:val="00F532FC"/>
    <w:rsid w:val="00F53AF2"/>
    <w:rsid w:val="00F6250B"/>
    <w:rsid w:val="00F631C7"/>
    <w:rsid w:val="00F648CC"/>
    <w:rsid w:val="00F65C33"/>
    <w:rsid w:val="00F70B43"/>
    <w:rsid w:val="00F70CFA"/>
    <w:rsid w:val="00F7166C"/>
    <w:rsid w:val="00F73E14"/>
    <w:rsid w:val="00F73F76"/>
    <w:rsid w:val="00F75AAA"/>
    <w:rsid w:val="00F7607C"/>
    <w:rsid w:val="00F76F28"/>
    <w:rsid w:val="00F80DC1"/>
    <w:rsid w:val="00F81562"/>
    <w:rsid w:val="00F823D7"/>
    <w:rsid w:val="00F82813"/>
    <w:rsid w:val="00F848A7"/>
    <w:rsid w:val="00F84EA9"/>
    <w:rsid w:val="00F85440"/>
    <w:rsid w:val="00F86733"/>
    <w:rsid w:val="00F86ACA"/>
    <w:rsid w:val="00F90CA4"/>
    <w:rsid w:val="00F91300"/>
    <w:rsid w:val="00F91E40"/>
    <w:rsid w:val="00F931E6"/>
    <w:rsid w:val="00F949AE"/>
    <w:rsid w:val="00FA11B8"/>
    <w:rsid w:val="00FA1C41"/>
    <w:rsid w:val="00FA2070"/>
    <w:rsid w:val="00FA255C"/>
    <w:rsid w:val="00FA53E7"/>
    <w:rsid w:val="00FA5402"/>
    <w:rsid w:val="00FA7E6D"/>
    <w:rsid w:val="00FB31F7"/>
    <w:rsid w:val="00FB36EF"/>
    <w:rsid w:val="00FB42EF"/>
    <w:rsid w:val="00FB4EF7"/>
    <w:rsid w:val="00FB5DFA"/>
    <w:rsid w:val="00FB6B8A"/>
    <w:rsid w:val="00FC1C2F"/>
    <w:rsid w:val="00FC28B2"/>
    <w:rsid w:val="00FC387D"/>
    <w:rsid w:val="00FC3C88"/>
    <w:rsid w:val="00FC6A7C"/>
    <w:rsid w:val="00FD052B"/>
    <w:rsid w:val="00FD0956"/>
    <w:rsid w:val="00FD0F23"/>
    <w:rsid w:val="00FD1785"/>
    <w:rsid w:val="00FD1CB3"/>
    <w:rsid w:val="00FD299E"/>
    <w:rsid w:val="00FD5048"/>
    <w:rsid w:val="00FD51F9"/>
    <w:rsid w:val="00FD674B"/>
    <w:rsid w:val="00FD7360"/>
    <w:rsid w:val="00FD7AAB"/>
    <w:rsid w:val="00FE0F9F"/>
    <w:rsid w:val="00FE1628"/>
    <w:rsid w:val="00FE1A7A"/>
    <w:rsid w:val="00FE477A"/>
    <w:rsid w:val="00FE64B9"/>
    <w:rsid w:val="00FF00F9"/>
    <w:rsid w:val="00FF1F4B"/>
    <w:rsid w:val="00FF2A1F"/>
    <w:rsid w:val="00FF2CE3"/>
    <w:rsid w:val="00FF3574"/>
    <w:rsid w:val="00FF3D61"/>
    <w:rsid w:val="00FF51D4"/>
    <w:rsid w:val="00FF5711"/>
    <w:rsid w:val="00FF6060"/>
    <w:rsid w:val="00FF6F93"/>
    <w:rsid w:val="00FF6FA5"/>
    <w:rsid w:val="01674A51"/>
    <w:rsid w:val="017442FA"/>
    <w:rsid w:val="01C524FC"/>
    <w:rsid w:val="053C512E"/>
    <w:rsid w:val="0598001F"/>
    <w:rsid w:val="05C649F8"/>
    <w:rsid w:val="07247C28"/>
    <w:rsid w:val="072F235B"/>
    <w:rsid w:val="07A1571D"/>
    <w:rsid w:val="07B40FAC"/>
    <w:rsid w:val="0AEB5B49"/>
    <w:rsid w:val="0B6B22C9"/>
    <w:rsid w:val="0B7C44D7"/>
    <w:rsid w:val="0BBA6DAD"/>
    <w:rsid w:val="0C3721AC"/>
    <w:rsid w:val="0D0B3D64"/>
    <w:rsid w:val="0DFC596F"/>
    <w:rsid w:val="0E0B50A2"/>
    <w:rsid w:val="0E1E5FDC"/>
    <w:rsid w:val="0E323572"/>
    <w:rsid w:val="0EBE21EB"/>
    <w:rsid w:val="0F6220B1"/>
    <w:rsid w:val="103108D9"/>
    <w:rsid w:val="108A48F4"/>
    <w:rsid w:val="11D80A34"/>
    <w:rsid w:val="12A14823"/>
    <w:rsid w:val="131E1352"/>
    <w:rsid w:val="14763B47"/>
    <w:rsid w:val="14B22CF1"/>
    <w:rsid w:val="14B4319D"/>
    <w:rsid w:val="15BE4495"/>
    <w:rsid w:val="16EB5ADF"/>
    <w:rsid w:val="1723614E"/>
    <w:rsid w:val="17806B8D"/>
    <w:rsid w:val="17A10E21"/>
    <w:rsid w:val="17D3547E"/>
    <w:rsid w:val="19393A07"/>
    <w:rsid w:val="19614D0C"/>
    <w:rsid w:val="1A9058A9"/>
    <w:rsid w:val="1A9133CF"/>
    <w:rsid w:val="1B461C71"/>
    <w:rsid w:val="1C6C4115"/>
    <w:rsid w:val="1CE26164"/>
    <w:rsid w:val="1D064FA3"/>
    <w:rsid w:val="1E4C1AE7"/>
    <w:rsid w:val="1F572083"/>
    <w:rsid w:val="1FB65DB1"/>
    <w:rsid w:val="2059673D"/>
    <w:rsid w:val="20667DE2"/>
    <w:rsid w:val="209A55E8"/>
    <w:rsid w:val="21B74034"/>
    <w:rsid w:val="21E31A38"/>
    <w:rsid w:val="222A2E1D"/>
    <w:rsid w:val="22CC2B69"/>
    <w:rsid w:val="230358CA"/>
    <w:rsid w:val="2423778D"/>
    <w:rsid w:val="24EE03A3"/>
    <w:rsid w:val="24F924E6"/>
    <w:rsid w:val="256838D4"/>
    <w:rsid w:val="260206B3"/>
    <w:rsid w:val="267E1091"/>
    <w:rsid w:val="26BC7A25"/>
    <w:rsid w:val="27896562"/>
    <w:rsid w:val="282E6701"/>
    <w:rsid w:val="28CA5506"/>
    <w:rsid w:val="290860F5"/>
    <w:rsid w:val="294C1F4D"/>
    <w:rsid w:val="2B5B780D"/>
    <w:rsid w:val="2CA90A4C"/>
    <w:rsid w:val="2D273A7B"/>
    <w:rsid w:val="2F68074A"/>
    <w:rsid w:val="32543208"/>
    <w:rsid w:val="32615E24"/>
    <w:rsid w:val="34BD0964"/>
    <w:rsid w:val="35E745DB"/>
    <w:rsid w:val="380134EA"/>
    <w:rsid w:val="3A4428CE"/>
    <w:rsid w:val="3A6C5AC0"/>
    <w:rsid w:val="3AFE2FB1"/>
    <w:rsid w:val="3B0532F1"/>
    <w:rsid w:val="3BC91DFB"/>
    <w:rsid w:val="3BF22422"/>
    <w:rsid w:val="3C5C41BD"/>
    <w:rsid w:val="3C8A6E5F"/>
    <w:rsid w:val="3E95498C"/>
    <w:rsid w:val="3F792699"/>
    <w:rsid w:val="40AB7ACE"/>
    <w:rsid w:val="414D154E"/>
    <w:rsid w:val="423A41C8"/>
    <w:rsid w:val="44B244EA"/>
    <w:rsid w:val="455D76AC"/>
    <w:rsid w:val="45EF52CA"/>
    <w:rsid w:val="4690085B"/>
    <w:rsid w:val="46B75D3F"/>
    <w:rsid w:val="46DE6680"/>
    <w:rsid w:val="483B65A4"/>
    <w:rsid w:val="48847F4B"/>
    <w:rsid w:val="488B624F"/>
    <w:rsid w:val="48E521C0"/>
    <w:rsid w:val="494902DF"/>
    <w:rsid w:val="4999221F"/>
    <w:rsid w:val="4A892791"/>
    <w:rsid w:val="4BF50E1B"/>
    <w:rsid w:val="4C172E84"/>
    <w:rsid w:val="4C6D6F48"/>
    <w:rsid w:val="4D422183"/>
    <w:rsid w:val="4D6245D3"/>
    <w:rsid w:val="4F980780"/>
    <w:rsid w:val="4FA2733C"/>
    <w:rsid w:val="50DD1EDA"/>
    <w:rsid w:val="52C33D66"/>
    <w:rsid w:val="53470D10"/>
    <w:rsid w:val="536E3EDF"/>
    <w:rsid w:val="544A7CEC"/>
    <w:rsid w:val="547846DC"/>
    <w:rsid w:val="54C771CC"/>
    <w:rsid w:val="54E77DF9"/>
    <w:rsid w:val="553E5926"/>
    <w:rsid w:val="57280901"/>
    <w:rsid w:val="576F1DC6"/>
    <w:rsid w:val="57C26E7E"/>
    <w:rsid w:val="57C71C02"/>
    <w:rsid w:val="58F05189"/>
    <w:rsid w:val="59215342"/>
    <w:rsid w:val="595A2602"/>
    <w:rsid w:val="59825CF1"/>
    <w:rsid w:val="5A5A6D5E"/>
    <w:rsid w:val="5B1909C7"/>
    <w:rsid w:val="5BEF21C7"/>
    <w:rsid w:val="5C7F67FF"/>
    <w:rsid w:val="5DF03535"/>
    <w:rsid w:val="5E145476"/>
    <w:rsid w:val="5EEE3F19"/>
    <w:rsid w:val="606A46FC"/>
    <w:rsid w:val="609D5BF6"/>
    <w:rsid w:val="619125E5"/>
    <w:rsid w:val="62A414BE"/>
    <w:rsid w:val="6405643E"/>
    <w:rsid w:val="64B96D77"/>
    <w:rsid w:val="64DE058B"/>
    <w:rsid w:val="65622F6B"/>
    <w:rsid w:val="65C21C5B"/>
    <w:rsid w:val="67BA6A28"/>
    <w:rsid w:val="68833924"/>
    <w:rsid w:val="6B421874"/>
    <w:rsid w:val="6C1D7361"/>
    <w:rsid w:val="6C20093E"/>
    <w:rsid w:val="6E1A0FD5"/>
    <w:rsid w:val="6E2B3734"/>
    <w:rsid w:val="6F050A16"/>
    <w:rsid w:val="6F6E713D"/>
    <w:rsid w:val="6FA134EF"/>
    <w:rsid w:val="6FDA12B5"/>
    <w:rsid w:val="70912956"/>
    <w:rsid w:val="70A1528F"/>
    <w:rsid w:val="711517D9"/>
    <w:rsid w:val="711D41EA"/>
    <w:rsid w:val="73B13A3B"/>
    <w:rsid w:val="73CD0149"/>
    <w:rsid w:val="74DB6895"/>
    <w:rsid w:val="767C42B2"/>
    <w:rsid w:val="7893360F"/>
    <w:rsid w:val="7A432F13"/>
    <w:rsid w:val="7A7F1A71"/>
    <w:rsid w:val="7AF847B4"/>
    <w:rsid w:val="7B095787"/>
    <w:rsid w:val="7B82311A"/>
    <w:rsid w:val="7BA63759"/>
    <w:rsid w:val="7D99176E"/>
    <w:rsid w:val="7EBE525E"/>
    <w:rsid w:val="7EF90044"/>
    <w:rsid w:val="7F08297D"/>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6"/>
    <w:autoRedefine/>
    <w:qFormat/>
    <w:uiPriority w:val="0"/>
    <w:pPr>
      <w:keepNext/>
      <w:keepLines/>
      <w:spacing w:before="120" w:after="120"/>
      <w:jc w:val="center"/>
      <w:outlineLvl w:val="0"/>
    </w:pPr>
    <w:rPr>
      <w:b/>
      <w:bCs/>
      <w:kern w:val="44"/>
      <w:sz w:val="44"/>
      <w:szCs w:val="44"/>
    </w:rPr>
  </w:style>
  <w:style w:type="paragraph" w:styleId="4">
    <w:name w:val="heading 2"/>
    <w:basedOn w:val="1"/>
    <w:next w:val="1"/>
    <w:link w:val="57"/>
    <w:autoRedefine/>
    <w:qFormat/>
    <w:uiPriority w:val="0"/>
    <w:pPr>
      <w:keepNext/>
      <w:keepLines/>
      <w:spacing w:before="120" w:after="120"/>
      <w:jc w:val="center"/>
      <w:outlineLvl w:val="1"/>
    </w:pPr>
    <w:rPr>
      <w:rFonts w:ascii="Arial" w:hAnsi="Arial"/>
      <w:b/>
      <w:bCs/>
      <w:sz w:val="44"/>
      <w:szCs w:val="32"/>
    </w:rPr>
  </w:style>
  <w:style w:type="paragraph" w:styleId="5">
    <w:name w:val="heading 3"/>
    <w:basedOn w:val="1"/>
    <w:next w:val="1"/>
    <w:link w:val="58"/>
    <w:autoRedefine/>
    <w:qFormat/>
    <w:uiPriority w:val="0"/>
    <w:pPr>
      <w:keepNext/>
      <w:keepLines/>
      <w:outlineLvl w:val="2"/>
    </w:pPr>
    <w:rPr>
      <w:b/>
      <w:bCs/>
      <w:sz w:val="32"/>
      <w:szCs w:val="32"/>
    </w:rPr>
  </w:style>
  <w:style w:type="paragraph" w:styleId="6">
    <w:name w:val="heading 4"/>
    <w:basedOn w:val="1"/>
    <w:next w:val="1"/>
    <w:link w:val="59"/>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60"/>
    <w:autoRedefine/>
    <w:qFormat/>
    <w:uiPriority w:val="0"/>
    <w:pPr>
      <w:keepNext/>
      <w:keepLines/>
      <w:widowControl/>
      <w:spacing w:before="120" w:after="120" w:line="360" w:lineRule="auto"/>
      <w:ind w:firstLine="499"/>
      <w:jc w:val="left"/>
      <w:outlineLvl w:val="4"/>
    </w:pPr>
    <w:rPr>
      <w:rFonts w:ascii="宋体" w:hAnsi="宋体"/>
      <w:b/>
      <w:kern w:val="0"/>
      <w:sz w:val="24"/>
      <w:szCs w:val="20"/>
    </w:rPr>
  </w:style>
  <w:style w:type="paragraph" w:styleId="8">
    <w:name w:val="heading 6"/>
    <w:basedOn w:val="1"/>
    <w:next w:val="1"/>
    <w:link w:val="61"/>
    <w:autoRedefine/>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paragraph" w:styleId="9">
    <w:name w:val="heading 7"/>
    <w:basedOn w:val="1"/>
    <w:next w:val="1"/>
    <w:link w:val="62"/>
    <w:autoRedefine/>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10">
    <w:name w:val="heading 8"/>
    <w:basedOn w:val="1"/>
    <w:next w:val="1"/>
    <w:link w:val="63"/>
    <w:autoRedefine/>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1">
    <w:name w:val="heading 9"/>
    <w:basedOn w:val="1"/>
    <w:next w:val="1"/>
    <w:link w:val="64"/>
    <w:autoRedefine/>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49">
    <w:name w:val="Default Paragraph Font"/>
    <w:autoRedefine/>
    <w:semiHidden/>
    <w:unhideWhenUsed/>
    <w:qFormat/>
    <w:uiPriority w:val="1"/>
  </w:style>
  <w:style w:type="table" w:default="1" w:styleId="4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link w:val="76"/>
    <w:autoRedefine/>
    <w:qFormat/>
    <w:uiPriority w:val="0"/>
    <w:pPr>
      <w:spacing w:after="120"/>
    </w:pPr>
  </w:style>
  <w:style w:type="paragraph" w:styleId="12">
    <w:name w:val="List 3"/>
    <w:basedOn w:val="1"/>
    <w:autoRedefine/>
    <w:qFormat/>
    <w:uiPriority w:val="0"/>
    <w:pPr>
      <w:ind w:left="100" w:leftChars="400" w:hanging="200" w:hangingChars="200"/>
    </w:pPr>
  </w:style>
  <w:style w:type="paragraph" w:styleId="13">
    <w:name w:val="toc 7"/>
    <w:basedOn w:val="1"/>
    <w:next w:val="1"/>
    <w:autoRedefine/>
    <w:qFormat/>
    <w:uiPriority w:val="39"/>
    <w:pPr>
      <w:ind w:left="1260"/>
      <w:jc w:val="left"/>
    </w:pPr>
    <w:rPr>
      <w:sz w:val="18"/>
      <w:szCs w:val="18"/>
    </w:rPr>
  </w:style>
  <w:style w:type="paragraph" w:styleId="14">
    <w:name w:val="Normal Indent"/>
    <w:basedOn w:val="1"/>
    <w:autoRedefine/>
    <w:qFormat/>
    <w:uiPriority w:val="0"/>
    <w:pPr>
      <w:ind w:firstLine="420" w:firstLineChars="200"/>
    </w:pPr>
  </w:style>
  <w:style w:type="paragraph" w:styleId="15">
    <w:name w:val="caption"/>
    <w:basedOn w:val="1"/>
    <w:next w:val="1"/>
    <w:autoRedefine/>
    <w:qFormat/>
    <w:uiPriority w:val="0"/>
    <w:rPr>
      <w:rFonts w:ascii="Cambria" w:hAnsi="Cambria" w:eastAsia="黑体"/>
      <w:sz w:val="20"/>
      <w:szCs w:val="20"/>
    </w:rPr>
  </w:style>
  <w:style w:type="paragraph" w:styleId="16">
    <w:name w:val="Document Map"/>
    <w:basedOn w:val="1"/>
    <w:link w:val="82"/>
    <w:autoRedefine/>
    <w:qFormat/>
    <w:uiPriority w:val="0"/>
    <w:pPr>
      <w:shd w:val="clear" w:color="auto" w:fill="000080"/>
    </w:pPr>
  </w:style>
  <w:style w:type="paragraph" w:styleId="17">
    <w:name w:val="annotation text"/>
    <w:basedOn w:val="1"/>
    <w:link w:val="99"/>
    <w:autoRedefine/>
    <w:qFormat/>
    <w:uiPriority w:val="0"/>
    <w:pPr>
      <w:adjustRightInd w:val="0"/>
      <w:spacing w:line="360" w:lineRule="atLeast"/>
      <w:jc w:val="left"/>
    </w:pPr>
    <w:rPr>
      <w:kern w:val="0"/>
      <w:sz w:val="24"/>
      <w:szCs w:val="20"/>
    </w:rPr>
  </w:style>
  <w:style w:type="paragraph" w:styleId="18">
    <w:name w:val="Body Text 3"/>
    <w:basedOn w:val="1"/>
    <w:link w:val="67"/>
    <w:autoRedefine/>
    <w:qFormat/>
    <w:uiPriority w:val="0"/>
    <w:rPr>
      <w:rFonts w:ascii="宋体"/>
      <w:sz w:val="24"/>
      <w:szCs w:val="20"/>
    </w:rPr>
  </w:style>
  <w:style w:type="paragraph" w:styleId="19">
    <w:name w:val="Body Text Indent"/>
    <w:basedOn w:val="1"/>
    <w:next w:val="1"/>
    <w:link w:val="72"/>
    <w:autoRedefine/>
    <w:qFormat/>
    <w:uiPriority w:val="0"/>
    <w:pPr>
      <w:spacing w:after="120"/>
      <w:ind w:left="420" w:leftChars="200"/>
    </w:pPr>
  </w:style>
  <w:style w:type="paragraph" w:styleId="20">
    <w:name w:val="List 2"/>
    <w:basedOn w:val="1"/>
    <w:autoRedefine/>
    <w:qFormat/>
    <w:uiPriority w:val="0"/>
    <w:pPr>
      <w:ind w:left="100" w:leftChars="200" w:hanging="200" w:hangingChars="200"/>
    </w:pPr>
  </w:style>
  <w:style w:type="paragraph" w:styleId="21">
    <w:name w:val="index 4"/>
    <w:basedOn w:val="1"/>
    <w:next w:val="1"/>
    <w:autoRedefine/>
    <w:qFormat/>
    <w:uiPriority w:val="0"/>
    <w:pPr>
      <w:ind w:left="600" w:leftChars="600"/>
    </w:pPr>
  </w:style>
  <w:style w:type="paragraph" w:styleId="22">
    <w:name w:val="toc 5"/>
    <w:basedOn w:val="1"/>
    <w:next w:val="1"/>
    <w:autoRedefine/>
    <w:qFormat/>
    <w:uiPriority w:val="39"/>
    <w:pPr>
      <w:ind w:left="840"/>
      <w:jc w:val="left"/>
    </w:pPr>
    <w:rPr>
      <w:sz w:val="18"/>
      <w:szCs w:val="18"/>
    </w:rPr>
  </w:style>
  <w:style w:type="paragraph" w:styleId="23">
    <w:name w:val="toc 3"/>
    <w:basedOn w:val="1"/>
    <w:next w:val="1"/>
    <w:autoRedefine/>
    <w:qFormat/>
    <w:uiPriority w:val="39"/>
    <w:pPr>
      <w:ind w:left="420"/>
      <w:jc w:val="left"/>
    </w:pPr>
    <w:rPr>
      <w:i/>
      <w:iCs/>
      <w:sz w:val="20"/>
      <w:szCs w:val="20"/>
    </w:rPr>
  </w:style>
  <w:style w:type="paragraph" w:styleId="24">
    <w:name w:val="Plain Text"/>
    <w:basedOn w:val="1"/>
    <w:link w:val="87"/>
    <w:autoRedefine/>
    <w:qFormat/>
    <w:uiPriority w:val="0"/>
    <w:rPr>
      <w:rFonts w:ascii="宋体" w:hAnsi="Courier New" w:cs="Courier New"/>
      <w:szCs w:val="21"/>
    </w:rPr>
  </w:style>
  <w:style w:type="paragraph" w:styleId="25">
    <w:name w:val="toc 8"/>
    <w:basedOn w:val="1"/>
    <w:next w:val="1"/>
    <w:autoRedefine/>
    <w:qFormat/>
    <w:uiPriority w:val="39"/>
    <w:pPr>
      <w:ind w:left="1470"/>
      <w:jc w:val="left"/>
    </w:pPr>
    <w:rPr>
      <w:sz w:val="18"/>
      <w:szCs w:val="18"/>
    </w:rPr>
  </w:style>
  <w:style w:type="paragraph" w:styleId="26">
    <w:name w:val="Date"/>
    <w:basedOn w:val="1"/>
    <w:next w:val="1"/>
    <w:link w:val="78"/>
    <w:autoRedefine/>
    <w:qFormat/>
    <w:uiPriority w:val="0"/>
    <w:rPr>
      <w:sz w:val="24"/>
      <w:szCs w:val="20"/>
    </w:rPr>
  </w:style>
  <w:style w:type="paragraph" w:styleId="27">
    <w:name w:val="Body Text Indent 2"/>
    <w:basedOn w:val="1"/>
    <w:link w:val="85"/>
    <w:autoRedefine/>
    <w:qFormat/>
    <w:uiPriority w:val="0"/>
    <w:pPr>
      <w:widowControl/>
      <w:overflowPunct w:val="0"/>
      <w:autoSpaceDE w:val="0"/>
      <w:autoSpaceDN w:val="0"/>
      <w:adjustRightInd w:val="0"/>
      <w:spacing w:line="360" w:lineRule="auto"/>
      <w:ind w:firstLine="555"/>
      <w:textAlignment w:val="baseline"/>
    </w:pPr>
    <w:rPr>
      <w:rFonts w:ascii="宋体" w:hAnsi="MS Sans Serif"/>
      <w:spacing w:val="12"/>
      <w:kern w:val="0"/>
      <w:sz w:val="24"/>
      <w:szCs w:val="20"/>
    </w:rPr>
  </w:style>
  <w:style w:type="paragraph" w:styleId="28">
    <w:name w:val="Balloon Text"/>
    <w:basedOn w:val="1"/>
    <w:link w:val="91"/>
    <w:autoRedefine/>
    <w:qFormat/>
    <w:uiPriority w:val="0"/>
    <w:rPr>
      <w:sz w:val="18"/>
      <w:szCs w:val="18"/>
    </w:rPr>
  </w:style>
  <w:style w:type="paragraph" w:styleId="29">
    <w:name w:val="footer"/>
    <w:basedOn w:val="1"/>
    <w:link w:val="66"/>
    <w:autoRedefine/>
    <w:qFormat/>
    <w:uiPriority w:val="99"/>
    <w:pPr>
      <w:tabs>
        <w:tab w:val="center" w:pos="4153"/>
        <w:tab w:val="right" w:pos="8306"/>
      </w:tabs>
      <w:snapToGrid w:val="0"/>
      <w:jc w:val="left"/>
    </w:pPr>
    <w:rPr>
      <w:sz w:val="18"/>
      <w:szCs w:val="18"/>
    </w:rPr>
  </w:style>
  <w:style w:type="paragraph" w:styleId="30">
    <w:name w:val="header"/>
    <w:basedOn w:val="1"/>
    <w:link w:val="65"/>
    <w:autoRedefine/>
    <w:qFormat/>
    <w:uiPriority w:val="0"/>
    <w:pPr>
      <w:pBdr>
        <w:bottom w:val="single" w:color="auto" w:sz="6" w:space="1"/>
      </w:pBdr>
      <w:tabs>
        <w:tab w:val="center" w:pos="4153"/>
        <w:tab w:val="right" w:pos="8306"/>
      </w:tabs>
      <w:snapToGrid w:val="0"/>
      <w:jc w:val="center"/>
    </w:pPr>
    <w:rPr>
      <w:sz w:val="18"/>
      <w:szCs w:val="18"/>
    </w:rPr>
  </w:style>
  <w:style w:type="paragraph" w:styleId="31">
    <w:name w:val="toc 1"/>
    <w:basedOn w:val="1"/>
    <w:next w:val="1"/>
    <w:autoRedefine/>
    <w:qFormat/>
    <w:uiPriority w:val="39"/>
    <w:pPr>
      <w:spacing w:before="120" w:after="120" w:line="480" w:lineRule="auto"/>
      <w:jc w:val="center"/>
    </w:pPr>
    <w:rPr>
      <w:rFonts w:ascii="宋体" w:hAnsi="宋体"/>
      <w:b/>
      <w:bCs/>
      <w:caps/>
      <w:sz w:val="30"/>
      <w:szCs w:val="30"/>
    </w:rPr>
  </w:style>
  <w:style w:type="paragraph" w:styleId="32">
    <w:name w:val="toc 4"/>
    <w:basedOn w:val="1"/>
    <w:next w:val="1"/>
    <w:autoRedefine/>
    <w:qFormat/>
    <w:uiPriority w:val="39"/>
    <w:pPr>
      <w:ind w:left="630"/>
      <w:jc w:val="left"/>
    </w:pPr>
    <w:rPr>
      <w:sz w:val="18"/>
      <w:szCs w:val="18"/>
    </w:rPr>
  </w:style>
  <w:style w:type="paragraph" w:styleId="33">
    <w:name w:val="Subtitle"/>
    <w:basedOn w:val="1"/>
    <w:next w:val="1"/>
    <w:link w:val="114"/>
    <w:autoRedefine/>
    <w:qFormat/>
    <w:uiPriority w:val="0"/>
    <w:pPr>
      <w:spacing w:before="240" w:after="60" w:line="312" w:lineRule="auto"/>
      <w:jc w:val="center"/>
      <w:outlineLvl w:val="1"/>
    </w:pPr>
    <w:rPr>
      <w:rFonts w:ascii="Cambria" w:hAnsi="Cambria"/>
      <w:b/>
      <w:bCs/>
      <w:kern w:val="28"/>
      <w:sz w:val="32"/>
      <w:szCs w:val="32"/>
    </w:rPr>
  </w:style>
  <w:style w:type="paragraph" w:styleId="34">
    <w:name w:val="List"/>
    <w:basedOn w:val="1"/>
    <w:autoRedefine/>
    <w:qFormat/>
    <w:uiPriority w:val="0"/>
    <w:pPr>
      <w:ind w:left="200" w:hanging="200" w:hangingChars="200"/>
    </w:pPr>
  </w:style>
  <w:style w:type="paragraph" w:styleId="35">
    <w:name w:val="toc 6"/>
    <w:basedOn w:val="1"/>
    <w:next w:val="1"/>
    <w:autoRedefine/>
    <w:qFormat/>
    <w:uiPriority w:val="39"/>
    <w:pPr>
      <w:ind w:left="1050"/>
      <w:jc w:val="left"/>
    </w:pPr>
    <w:rPr>
      <w:sz w:val="18"/>
      <w:szCs w:val="18"/>
    </w:rPr>
  </w:style>
  <w:style w:type="paragraph" w:styleId="36">
    <w:name w:val="Body Text Indent 3"/>
    <w:basedOn w:val="1"/>
    <w:link w:val="73"/>
    <w:autoRedefine/>
    <w:qFormat/>
    <w:uiPriority w:val="0"/>
    <w:pPr>
      <w:spacing w:after="120"/>
      <w:ind w:left="420" w:leftChars="200"/>
    </w:pPr>
    <w:rPr>
      <w:sz w:val="16"/>
      <w:szCs w:val="16"/>
    </w:rPr>
  </w:style>
  <w:style w:type="paragraph" w:styleId="37">
    <w:name w:val="toc 2"/>
    <w:basedOn w:val="1"/>
    <w:next w:val="1"/>
    <w:autoRedefine/>
    <w:qFormat/>
    <w:uiPriority w:val="39"/>
    <w:pPr>
      <w:ind w:left="210"/>
      <w:jc w:val="left"/>
    </w:pPr>
    <w:rPr>
      <w:smallCaps/>
      <w:sz w:val="20"/>
      <w:szCs w:val="20"/>
    </w:rPr>
  </w:style>
  <w:style w:type="paragraph" w:styleId="38">
    <w:name w:val="toc 9"/>
    <w:basedOn w:val="1"/>
    <w:next w:val="1"/>
    <w:autoRedefine/>
    <w:qFormat/>
    <w:uiPriority w:val="39"/>
    <w:pPr>
      <w:ind w:left="1680"/>
      <w:jc w:val="left"/>
    </w:pPr>
    <w:rPr>
      <w:sz w:val="18"/>
      <w:szCs w:val="18"/>
    </w:rPr>
  </w:style>
  <w:style w:type="paragraph" w:styleId="39">
    <w:name w:val="Body Text 2"/>
    <w:basedOn w:val="1"/>
    <w:link w:val="162"/>
    <w:autoRedefine/>
    <w:qFormat/>
    <w:uiPriority w:val="0"/>
    <w:pPr>
      <w:spacing w:after="120" w:line="480" w:lineRule="auto"/>
    </w:pPr>
  </w:style>
  <w:style w:type="paragraph" w:styleId="40">
    <w:name w:val="List Continue 2"/>
    <w:basedOn w:val="1"/>
    <w:autoRedefine/>
    <w:qFormat/>
    <w:uiPriority w:val="0"/>
    <w:pPr>
      <w:spacing w:after="120"/>
      <w:ind w:left="840" w:leftChars="400"/>
    </w:pPr>
  </w:style>
  <w:style w:type="paragraph" w:styleId="41">
    <w:name w:val="HTML Preformatted"/>
    <w:basedOn w:val="1"/>
    <w:link w:val="161"/>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70" w:lineRule="atLeast"/>
      <w:jc w:val="left"/>
    </w:pPr>
    <w:rPr>
      <w:rFonts w:ascii="Arial" w:hAnsi="Arial" w:cs="Arial"/>
      <w:kern w:val="0"/>
      <w:sz w:val="11"/>
      <w:szCs w:val="11"/>
    </w:rPr>
  </w:style>
  <w:style w:type="paragraph" w:styleId="42">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43">
    <w:name w:val="index 1"/>
    <w:basedOn w:val="1"/>
    <w:next w:val="1"/>
    <w:autoRedefine/>
    <w:qFormat/>
    <w:uiPriority w:val="0"/>
    <w:pPr>
      <w:spacing w:line="220" w:lineRule="exact"/>
      <w:jc w:val="center"/>
    </w:pPr>
    <w:rPr>
      <w:rFonts w:ascii="仿宋_GB2312" w:eastAsia="仿宋_GB2312"/>
      <w:szCs w:val="21"/>
    </w:rPr>
  </w:style>
  <w:style w:type="paragraph" w:styleId="44">
    <w:name w:val="Title"/>
    <w:basedOn w:val="1"/>
    <w:link w:val="71"/>
    <w:autoRedefine/>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45">
    <w:name w:val="annotation subject"/>
    <w:basedOn w:val="17"/>
    <w:next w:val="17"/>
    <w:link w:val="133"/>
    <w:autoRedefine/>
    <w:qFormat/>
    <w:uiPriority w:val="0"/>
    <w:pPr>
      <w:adjustRightInd/>
      <w:spacing w:line="240" w:lineRule="auto"/>
    </w:pPr>
    <w:rPr>
      <w:rFonts w:ascii="宋体" w:eastAsia="Times New Roman"/>
      <w:b/>
      <w:bCs/>
      <w:sz w:val="28"/>
    </w:rPr>
  </w:style>
  <w:style w:type="paragraph" w:styleId="46">
    <w:name w:val="Body Text First Indent 2"/>
    <w:basedOn w:val="19"/>
    <w:autoRedefine/>
    <w:qFormat/>
    <w:uiPriority w:val="0"/>
    <w:pPr>
      <w:ind w:firstLine="420" w:firstLineChars="200"/>
    </w:pPr>
  </w:style>
  <w:style w:type="table" w:styleId="48">
    <w:name w:val="Table Grid"/>
    <w:basedOn w:val="4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0">
    <w:name w:val="Strong"/>
    <w:basedOn w:val="49"/>
    <w:autoRedefine/>
    <w:qFormat/>
    <w:uiPriority w:val="0"/>
    <w:rPr>
      <w:b/>
      <w:bCs/>
    </w:rPr>
  </w:style>
  <w:style w:type="character" w:styleId="51">
    <w:name w:val="page number"/>
    <w:basedOn w:val="49"/>
    <w:autoRedefine/>
    <w:qFormat/>
    <w:uiPriority w:val="0"/>
  </w:style>
  <w:style w:type="character" w:styleId="52">
    <w:name w:val="FollowedHyperlink"/>
    <w:basedOn w:val="49"/>
    <w:autoRedefine/>
    <w:qFormat/>
    <w:uiPriority w:val="0"/>
    <w:rPr>
      <w:color w:val="800080"/>
      <w:u w:val="single"/>
    </w:rPr>
  </w:style>
  <w:style w:type="character" w:styleId="53">
    <w:name w:val="Emphasis"/>
    <w:autoRedefine/>
    <w:qFormat/>
    <w:uiPriority w:val="0"/>
    <w:rPr>
      <w:i/>
      <w:iCs/>
    </w:rPr>
  </w:style>
  <w:style w:type="character" w:styleId="54">
    <w:name w:val="Hyperlink"/>
    <w:basedOn w:val="49"/>
    <w:autoRedefine/>
    <w:qFormat/>
    <w:uiPriority w:val="99"/>
    <w:rPr>
      <w:color w:val="0000FF"/>
      <w:u w:val="single"/>
    </w:rPr>
  </w:style>
  <w:style w:type="character" w:styleId="55">
    <w:name w:val="annotation reference"/>
    <w:autoRedefine/>
    <w:qFormat/>
    <w:uiPriority w:val="0"/>
    <w:rPr>
      <w:rFonts w:cs="Times New Roman"/>
      <w:sz w:val="21"/>
      <w:szCs w:val="21"/>
    </w:rPr>
  </w:style>
  <w:style w:type="character" w:customStyle="1" w:styleId="56">
    <w:name w:val="标题 1 Char"/>
    <w:link w:val="3"/>
    <w:autoRedefine/>
    <w:qFormat/>
    <w:uiPriority w:val="0"/>
    <w:rPr>
      <w:b/>
      <w:bCs/>
      <w:kern w:val="44"/>
      <w:sz w:val="44"/>
      <w:szCs w:val="44"/>
    </w:rPr>
  </w:style>
  <w:style w:type="character" w:customStyle="1" w:styleId="57">
    <w:name w:val="标题 2 Char1"/>
    <w:basedOn w:val="49"/>
    <w:link w:val="4"/>
    <w:autoRedefine/>
    <w:qFormat/>
    <w:uiPriority w:val="0"/>
    <w:rPr>
      <w:rFonts w:ascii="Arial" w:hAnsi="Arial"/>
      <w:b/>
      <w:bCs/>
      <w:kern w:val="2"/>
      <w:sz w:val="44"/>
      <w:szCs w:val="32"/>
    </w:rPr>
  </w:style>
  <w:style w:type="character" w:customStyle="1" w:styleId="58">
    <w:name w:val="标题 3 Char1"/>
    <w:basedOn w:val="49"/>
    <w:link w:val="5"/>
    <w:autoRedefine/>
    <w:qFormat/>
    <w:uiPriority w:val="0"/>
    <w:rPr>
      <w:b/>
      <w:bCs/>
      <w:kern w:val="2"/>
      <w:sz w:val="32"/>
      <w:szCs w:val="32"/>
    </w:rPr>
  </w:style>
  <w:style w:type="character" w:customStyle="1" w:styleId="59">
    <w:name w:val="标题 4 Char"/>
    <w:link w:val="6"/>
    <w:autoRedefine/>
    <w:qFormat/>
    <w:uiPriority w:val="0"/>
    <w:rPr>
      <w:rFonts w:ascii="Arial" w:hAnsi="Arial" w:eastAsia="黑体"/>
      <w:b/>
      <w:bCs/>
      <w:kern w:val="2"/>
      <w:sz w:val="28"/>
      <w:szCs w:val="28"/>
      <w:lang w:val="en-US" w:eastAsia="zh-CN" w:bidi="ar-SA"/>
    </w:rPr>
  </w:style>
  <w:style w:type="character" w:customStyle="1" w:styleId="60">
    <w:name w:val="标题 5 Char"/>
    <w:link w:val="7"/>
    <w:autoRedefine/>
    <w:qFormat/>
    <w:uiPriority w:val="0"/>
    <w:rPr>
      <w:rFonts w:ascii="宋体" w:hAnsi="宋体" w:eastAsia="宋体"/>
      <w:b/>
      <w:sz w:val="24"/>
      <w:lang w:val="en-US" w:eastAsia="zh-CN" w:bidi="ar-SA"/>
    </w:rPr>
  </w:style>
  <w:style w:type="character" w:customStyle="1" w:styleId="61">
    <w:name w:val="标题 6 Char"/>
    <w:link w:val="8"/>
    <w:autoRedefine/>
    <w:qFormat/>
    <w:uiPriority w:val="0"/>
    <w:rPr>
      <w:rFonts w:ascii="Arial" w:hAnsi="Arial" w:eastAsia="黑体"/>
      <w:b/>
      <w:bCs/>
      <w:sz w:val="24"/>
      <w:szCs w:val="24"/>
      <w:lang w:val="en-US" w:eastAsia="zh-CN" w:bidi="ar-SA"/>
    </w:rPr>
  </w:style>
  <w:style w:type="character" w:customStyle="1" w:styleId="62">
    <w:name w:val="标题 7 Char"/>
    <w:link w:val="9"/>
    <w:autoRedefine/>
    <w:qFormat/>
    <w:uiPriority w:val="0"/>
    <w:rPr>
      <w:rFonts w:eastAsia="宋体"/>
      <w:b/>
      <w:bCs/>
      <w:sz w:val="24"/>
      <w:szCs w:val="24"/>
      <w:lang w:val="en-US" w:eastAsia="zh-CN" w:bidi="ar-SA"/>
    </w:rPr>
  </w:style>
  <w:style w:type="character" w:customStyle="1" w:styleId="63">
    <w:name w:val="标题 8 Char"/>
    <w:link w:val="10"/>
    <w:autoRedefine/>
    <w:qFormat/>
    <w:uiPriority w:val="0"/>
    <w:rPr>
      <w:rFonts w:ascii="Arial" w:hAnsi="Arial" w:eastAsia="黑体"/>
      <w:sz w:val="24"/>
      <w:szCs w:val="24"/>
      <w:lang w:val="en-US" w:eastAsia="zh-CN" w:bidi="ar-SA"/>
    </w:rPr>
  </w:style>
  <w:style w:type="character" w:customStyle="1" w:styleId="64">
    <w:name w:val="标题 9 Char"/>
    <w:link w:val="11"/>
    <w:autoRedefine/>
    <w:qFormat/>
    <w:uiPriority w:val="0"/>
    <w:rPr>
      <w:rFonts w:ascii="Arial" w:hAnsi="Arial" w:eastAsia="黑体"/>
      <w:sz w:val="21"/>
      <w:szCs w:val="21"/>
      <w:lang w:val="en-US" w:eastAsia="zh-CN" w:bidi="ar-SA"/>
    </w:rPr>
  </w:style>
  <w:style w:type="character" w:customStyle="1" w:styleId="65">
    <w:name w:val="页眉 Char"/>
    <w:link w:val="30"/>
    <w:autoRedefine/>
    <w:qFormat/>
    <w:uiPriority w:val="0"/>
    <w:rPr>
      <w:rFonts w:eastAsia="宋体"/>
      <w:kern w:val="2"/>
      <w:sz w:val="18"/>
      <w:szCs w:val="18"/>
      <w:lang w:val="en-US" w:eastAsia="zh-CN" w:bidi="ar-SA"/>
    </w:rPr>
  </w:style>
  <w:style w:type="character" w:customStyle="1" w:styleId="66">
    <w:name w:val="页脚 Char"/>
    <w:basedOn w:val="49"/>
    <w:link w:val="29"/>
    <w:autoRedefine/>
    <w:qFormat/>
    <w:uiPriority w:val="99"/>
    <w:rPr>
      <w:kern w:val="2"/>
      <w:sz w:val="18"/>
      <w:szCs w:val="18"/>
    </w:rPr>
  </w:style>
  <w:style w:type="character" w:customStyle="1" w:styleId="67">
    <w:name w:val="正文文本 3 Char"/>
    <w:basedOn w:val="49"/>
    <w:link w:val="18"/>
    <w:autoRedefine/>
    <w:qFormat/>
    <w:uiPriority w:val="0"/>
    <w:rPr>
      <w:rFonts w:ascii="宋体"/>
      <w:kern w:val="2"/>
      <w:sz w:val="24"/>
    </w:rPr>
  </w:style>
  <w:style w:type="paragraph" w:customStyle="1" w:styleId="68">
    <w:name w:val="样式 标题 3 + (中文) 黑体 小四 非加粗 段前: 7.8 磅 段后: 0 磅 行距: 固定值 20 磅"/>
    <w:basedOn w:val="5"/>
    <w:autoRedefine/>
    <w:qFormat/>
    <w:uiPriority w:val="0"/>
    <w:pPr>
      <w:spacing w:line="400" w:lineRule="exact"/>
    </w:pPr>
    <w:rPr>
      <w:rFonts w:eastAsia="黑体" w:cs="宋体"/>
      <w:b w:val="0"/>
      <w:bCs w:val="0"/>
      <w:sz w:val="24"/>
      <w:szCs w:val="20"/>
    </w:rPr>
  </w:style>
  <w:style w:type="paragraph" w:customStyle="1" w:styleId="69">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b w:val="0"/>
      <w:bCs w:val="0"/>
      <w:sz w:val="28"/>
      <w:szCs w:val="20"/>
    </w:rPr>
  </w:style>
  <w:style w:type="paragraph" w:customStyle="1" w:styleId="70">
    <w:name w:val="样式 标题 1 + 黑体 三号 非加粗 居中 段前: 6 磅 段后: 6 磅 行距: 固定值 20 磅"/>
    <w:basedOn w:val="3"/>
    <w:autoRedefine/>
    <w:qFormat/>
    <w:uiPriority w:val="0"/>
    <w:pPr>
      <w:spacing w:line="400" w:lineRule="exact"/>
    </w:pPr>
    <w:rPr>
      <w:rFonts w:ascii="黑体" w:hAnsi="黑体" w:eastAsia="黑体" w:cs="宋体"/>
      <w:b w:val="0"/>
      <w:bCs w:val="0"/>
      <w:sz w:val="32"/>
      <w:szCs w:val="20"/>
    </w:rPr>
  </w:style>
  <w:style w:type="character" w:customStyle="1" w:styleId="71">
    <w:name w:val="标题 Char"/>
    <w:link w:val="44"/>
    <w:autoRedefine/>
    <w:qFormat/>
    <w:uiPriority w:val="0"/>
    <w:rPr>
      <w:rFonts w:ascii="Arial" w:hAnsi="Arial" w:eastAsia="宋体"/>
      <w:b/>
      <w:sz w:val="32"/>
      <w:lang w:val="en-US" w:eastAsia="zh-CN" w:bidi="ar-SA"/>
    </w:rPr>
  </w:style>
  <w:style w:type="character" w:customStyle="1" w:styleId="72">
    <w:name w:val="正文文本缩进 Char"/>
    <w:basedOn w:val="49"/>
    <w:link w:val="19"/>
    <w:autoRedefine/>
    <w:qFormat/>
    <w:uiPriority w:val="0"/>
    <w:rPr>
      <w:kern w:val="2"/>
      <w:sz w:val="21"/>
      <w:szCs w:val="24"/>
    </w:rPr>
  </w:style>
  <w:style w:type="character" w:customStyle="1" w:styleId="73">
    <w:name w:val="正文文本缩进 3 Char"/>
    <w:basedOn w:val="49"/>
    <w:link w:val="36"/>
    <w:autoRedefine/>
    <w:qFormat/>
    <w:uiPriority w:val="0"/>
    <w:rPr>
      <w:kern w:val="2"/>
      <w:sz w:val="16"/>
      <w:szCs w:val="16"/>
    </w:rPr>
  </w:style>
  <w:style w:type="paragraph" w:customStyle="1" w:styleId="74">
    <w:name w:val="1"/>
    <w:basedOn w:val="1"/>
    <w:autoRedefine/>
    <w:qFormat/>
    <w:uiPriority w:val="0"/>
  </w:style>
  <w:style w:type="character" w:customStyle="1" w:styleId="75">
    <w:name w:val="font161"/>
    <w:basedOn w:val="49"/>
    <w:autoRedefine/>
    <w:qFormat/>
    <w:uiPriority w:val="0"/>
    <w:rPr>
      <w:b/>
      <w:bCs/>
      <w:sz w:val="32"/>
      <w:szCs w:val="32"/>
    </w:rPr>
  </w:style>
  <w:style w:type="character" w:customStyle="1" w:styleId="76">
    <w:name w:val="正文文本 Char"/>
    <w:link w:val="2"/>
    <w:autoRedefine/>
    <w:qFormat/>
    <w:uiPriority w:val="0"/>
    <w:rPr>
      <w:rFonts w:eastAsia="宋体"/>
      <w:kern w:val="2"/>
      <w:sz w:val="21"/>
      <w:szCs w:val="24"/>
      <w:lang w:val="en-US" w:eastAsia="zh-CN" w:bidi="ar-SA"/>
    </w:rPr>
  </w:style>
  <w:style w:type="paragraph" w:customStyle="1" w:styleId="77">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character" w:customStyle="1" w:styleId="78">
    <w:name w:val="日期 Char"/>
    <w:basedOn w:val="49"/>
    <w:link w:val="26"/>
    <w:autoRedefine/>
    <w:qFormat/>
    <w:uiPriority w:val="0"/>
    <w:rPr>
      <w:kern w:val="2"/>
      <w:sz w:val="24"/>
    </w:rPr>
  </w:style>
  <w:style w:type="paragraph" w:customStyle="1" w:styleId="79">
    <w:name w:val="表格"/>
    <w:basedOn w:val="1"/>
    <w:autoRedefine/>
    <w:qFormat/>
    <w:uiPriority w:val="0"/>
    <w:pPr>
      <w:jc w:val="center"/>
      <w:textAlignment w:val="center"/>
    </w:pPr>
    <w:rPr>
      <w:rFonts w:ascii="华文细黑" w:hAnsi="华文细黑"/>
      <w:kern w:val="0"/>
      <w:szCs w:val="20"/>
    </w:rPr>
  </w:style>
  <w:style w:type="paragraph" w:customStyle="1" w:styleId="80">
    <w:name w:val="表格文字"/>
    <w:basedOn w:val="1"/>
    <w:autoRedefine/>
    <w:qFormat/>
    <w:uiPriority w:val="0"/>
    <w:pPr>
      <w:adjustRightInd w:val="0"/>
      <w:spacing w:line="420" w:lineRule="atLeast"/>
      <w:jc w:val="left"/>
      <w:textAlignment w:val="baseline"/>
    </w:pPr>
    <w:rPr>
      <w:kern w:val="0"/>
      <w:szCs w:val="20"/>
    </w:rPr>
  </w:style>
  <w:style w:type="paragraph" w:customStyle="1" w:styleId="81">
    <w:name w:val="Char Char Char"/>
    <w:basedOn w:val="1"/>
    <w:autoRedefine/>
    <w:qFormat/>
    <w:uiPriority w:val="0"/>
    <w:pPr>
      <w:spacing w:line="360" w:lineRule="auto"/>
      <w:ind w:firstLine="200" w:firstLineChars="200"/>
    </w:pPr>
    <w:rPr>
      <w:rFonts w:ascii="宋体" w:hAnsi="宋体" w:cs="宋体"/>
      <w:sz w:val="24"/>
    </w:rPr>
  </w:style>
  <w:style w:type="character" w:customStyle="1" w:styleId="82">
    <w:name w:val="文档结构图 Char"/>
    <w:link w:val="16"/>
    <w:autoRedefine/>
    <w:qFormat/>
    <w:uiPriority w:val="0"/>
    <w:rPr>
      <w:rFonts w:eastAsia="宋体"/>
      <w:kern w:val="2"/>
      <w:sz w:val="21"/>
      <w:szCs w:val="24"/>
      <w:lang w:val="en-US" w:eastAsia="zh-CN" w:bidi="ar-SA"/>
    </w:rPr>
  </w:style>
  <w:style w:type="paragraph" w:customStyle="1" w:styleId="83">
    <w:name w:val="Char Char Char11"/>
    <w:basedOn w:val="16"/>
    <w:autoRedefine/>
    <w:qFormat/>
    <w:uiPriority w:val="0"/>
    <w:pPr>
      <w:adjustRightInd w:val="0"/>
      <w:spacing w:line="436" w:lineRule="exact"/>
      <w:ind w:left="357"/>
      <w:jc w:val="left"/>
      <w:outlineLvl w:val="3"/>
    </w:pPr>
    <w:rPr>
      <w:rFonts w:ascii="Tahoma" w:hAnsi="Tahoma" w:cs="Tahoma"/>
      <w:b/>
      <w:bCs/>
      <w:sz w:val="24"/>
    </w:rPr>
  </w:style>
  <w:style w:type="paragraph" w:customStyle="1" w:styleId="84">
    <w:name w:val="目录文字"/>
    <w:basedOn w:val="1"/>
    <w:autoRedefine/>
    <w:qFormat/>
    <w:uiPriority w:val="0"/>
    <w:pPr>
      <w:widowControl/>
      <w:spacing w:line="480" w:lineRule="auto"/>
      <w:jc w:val="left"/>
    </w:pPr>
    <w:rPr>
      <w:rFonts w:ascii="宋体" w:hAnsi="宋体" w:cs="宋体"/>
      <w:kern w:val="0"/>
      <w:sz w:val="24"/>
    </w:rPr>
  </w:style>
  <w:style w:type="character" w:customStyle="1" w:styleId="85">
    <w:name w:val="正文文本缩进 2 Char"/>
    <w:basedOn w:val="49"/>
    <w:link w:val="27"/>
    <w:autoRedefine/>
    <w:qFormat/>
    <w:uiPriority w:val="0"/>
    <w:rPr>
      <w:rFonts w:ascii="宋体" w:hAnsi="MS Sans Serif"/>
      <w:spacing w:val="12"/>
      <w:sz w:val="24"/>
    </w:rPr>
  </w:style>
  <w:style w:type="paragraph" w:customStyle="1" w:styleId="8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character" w:customStyle="1" w:styleId="87">
    <w:name w:val="纯文本 Char"/>
    <w:basedOn w:val="49"/>
    <w:link w:val="24"/>
    <w:autoRedefine/>
    <w:qFormat/>
    <w:uiPriority w:val="0"/>
    <w:rPr>
      <w:rFonts w:ascii="宋体" w:hAnsi="Courier New" w:cs="Courier New"/>
      <w:kern w:val="2"/>
      <w:sz w:val="21"/>
      <w:szCs w:val="21"/>
    </w:rPr>
  </w:style>
  <w:style w:type="paragraph" w:customStyle="1" w:styleId="88">
    <w:name w:val="Char"/>
    <w:basedOn w:val="1"/>
    <w:autoRedefine/>
    <w:qFormat/>
    <w:uiPriority w:val="0"/>
    <w:pPr>
      <w:spacing w:line="360" w:lineRule="auto"/>
      <w:ind w:firstLine="200" w:firstLineChars="200"/>
    </w:pPr>
    <w:rPr>
      <w:rFonts w:ascii="宋体" w:hAnsi="宋体" w:cs="宋体"/>
      <w:sz w:val="24"/>
    </w:rPr>
  </w:style>
  <w:style w:type="paragraph" w:customStyle="1" w:styleId="89">
    <w:name w:val="Char Char Char Char"/>
    <w:basedOn w:val="1"/>
    <w:autoRedefine/>
    <w:qFormat/>
    <w:uiPriority w:val="0"/>
    <w:pPr>
      <w:spacing w:line="360" w:lineRule="auto"/>
      <w:ind w:firstLine="200" w:firstLineChars="200"/>
    </w:pPr>
    <w:rPr>
      <w:rFonts w:ascii="宋体" w:hAnsi="宋体" w:cs="宋体"/>
      <w:sz w:val="24"/>
    </w:rPr>
  </w:style>
  <w:style w:type="character" w:customStyle="1" w:styleId="90">
    <w:name w:val="标题 2 Char"/>
    <w:basedOn w:val="49"/>
    <w:autoRedefine/>
    <w:qFormat/>
    <w:uiPriority w:val="0"/>
    <w:rPr>
      <w:rFonts w:ascii="Arial" w:hAnsi="Arial" w:eastAsia="黑体"/>
      <w:b/>
      <w:sz w:val="44"/>
      <w:lang w:val="en-US" w:eastAsia="zh-CN" w:bidi="ar-SA"/>
    </w:rPr>
  </w:style>
  <w:style w:type="character" w:customStyle="1" w:styleId="91">
    <w:name w:val="批注框文本 Char"/>
    <w:basedOn w:val="49"/>
    <w:link w:val="28"/>
    <w:autoRedefine/>
    <w:qFormat/>
    <w:uiPriority w:val="0"/>
    <w:rPr>
      <w:kern w:val="2"/>
      <w:sz w:val="18"/>
      <w:szCs w:val="18"/>
    </w:rPr>
  </w:style>
  <w:style w:type="character" w:customStyle="1" w:styleId="92">
    <w:name w:val="EmailStyle771"/>
    <w:basedOn w:val="49"/>
    <w:autoRedefine/>
    <w:qFormat/>
    <w:uiPriority w:val="0"/>
    <w:rPr>
      <w:rFonts w:ascii="Arial" w:hAnsi="Arial" w:eastAsia="宋体" w:cs="Arial"/>
      <w:color w:val="auto"/>
      <w:sz w:val="20"/>
    </w:rPr>
  </w:style>
  <w:style w:type="character" w:customStyle="1" w:styleId="93">
    <w:name w:val="EmailStyle781"/>
    <w:basedOn w:val="49"/>
    <w:autoRedefine/>
    <w:qFormat/>
    <w:uiPriority w:val="0"/>
    <w:rPr>
      <w:rFonts w:ascii="Arial" w:hAnsi="Arial" w:eastAsia="宋体" w:cs="Arial"/>
      <w:color w:val="auto"/>
      <w:sz w:val="20"/>
    </w:rPr>
  </w:style>
  <w:style w:type="paragraph" w:styleId="94">
    <w:name w:val="List Paragraph"/>
    <w:basedOn w:val="1"/>
    <w:autoRedefine/>
    <w:qFormat/>
    <w:uiPriority w:val="34"/>
    <w:pPr>
      <w:ind w:firstLine="420" w:firstLineChars="200"/>
    </w:pPr>
  </w:style>
  <w:style w:type="paragraph" w:customStyle="1" w:styleId="95">
    <w:name w:val="Default"/>
    <w:next w:val="29"/>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96">
    <w:name w:val="样式1"/>
    <w:basedOn w:val="1"/>
    <w:next w:val="6"/>
    <w:autoRedefine/>
    <w:qFormat/>
    <w:uiPriority w:val="0"/>
    <w:pPr>
      <w:spacing w:line="360" w:lineRule="auto"/>
      <w:ind w:firstLine="420" w:firstLineChars="200"/>
    </w:pPr>
    <w:rPr>
      <w:rFonts w:ascii="宋体" w:hAnsi="宋体"/>
      <w:szCs w:val="21"/>
    </w:rPr>
  </w:style>
  <w:style w:type="character" w:customStyle="1" w:styleId="97">
    <w:name w:val="textcontents"/>
    <w:basedOn w:val="49"/>
    <w:autoRedefine/>
    <w:qFormat/>
    <w:uiPriority w:val="0"/>
  </w:style>
  <w:style w:type="paragraph" w:customStyle="1" w:styleId="98">
    <w:name w:val="标题3"/>
    <w:basedOn w:val="1"/>
    <w:autoRedefine/>
    <w:qFormat/>
    <w:uiPriority w:val="0"/>
    <w:pPr>
      <w:jc w:val="center"/>
    </w:pPr>
    <w:rPr>
      <w:rFonts w:ascii="黑体" w:eastAsia="黑体"/>
      <w:color w:val="000000"/>
      <w:sz w:val="28"/>
      <w:szCs w:val="28"/>
    </w:rPr>
  </w:style>
  <w:style w:type="character" w:customStyle="1" w:styleId="99">
    <w:name w:val="批注文字 Char"/>
    <w:basedOn w:val="49"/>
    <w:link w:val="17"/>
    <w:autoRedefine/>
    <w:qFormat/>
    <w:uiPriority w:val="0"/>
    <w:rPr>
      <w:sz w:val="24"/>
    </w:rPr>
  </w:style>
  <w:style w:type="paragraph" w:customStyle="1" w:styleId="100">
    <w:name w:val="Char5"/>
    <w:basedOn w:val="1"/>
    <w:autoRedefine/>
    <w:qFormat/>
    <w:uiPriority w:val="0"/>
    <w:pPr>
      <w:spacing w:line="360" w:lineRule="auto"/>
      <w:ind w:firstLine="200" w:firstLineChars="200"/>
    </w:pPr>
    <w:rPr>
      <w:rFonts w:ascii="宋体" w:hAnsi="宋体" w:cs="宋体"/>
      <w:sz w:val="24"/>
    </w:rPr>
  </w:style>
  <w:style w:type="paragraph" w:customStyle="1" w:styleId="101">
    <w:name w:val="样式 标题 2 + 居中"/>
    <w:basedOn w:val="4"/>
    <w:autoRedefine/>
    <w:qFormat/>
    <w:uiPriority w:val="0"/>
    <w:rPr>
      <w:rFonts w:cs="宋体"/>
      <w:szCs w:val="20"/>
    </w:rPr>
  </w:style>
  <w:style w:type="paragraph" w:customStyle="1" w:styleId="102">
    <w:name w:val="样式 标题 3 + 宋体"/>
    <w:basedOn w:val="5"/>
    <w:link w:val="103"/>
    <w:autoRedefine/>
    <w:qFormat/>
    <w:uiPriority w:val="0"/>
    <w:rPr>
      <w:rFonts w:ascii="宋体" w:hAnsi="宋体"/>
    </w:rPr>
  </w:style>
  <w:style w:type="character" w:customStyle="1" w:styleId="103">
    <w:name w:val="样式 标题 3 + 宋体 Char"/>
    <w:basedOn w:val="58"/>
    <w:link w:val="102"/>
    <w:autoRedefine/>
    <w:qFormat/>
    <w:uiPriority w:val="0"/>
    <w:rPr>
      <w:rFonts w:ascii="宋体" w:hAnsi="宋体" w:eastAsia="宋体"/>
      <w:lang w:val="en-US" w:eastAsia="zh-CN" w:bidi="ar-SA"/>
    </w:rPr>
  </w:style>
  <w:style w:type="paragraph" w:customStyle="1" w:styleId="104">
    <w:name w:val="样式 宋体 四号 居中 段前: 7.8 磅 段后: 7.8 磅"/>
    <w:basedOn w:val="1"/>
    <w:autoRedefine/>
    <w:qFormat/>
    <w:uiPriority w:val="0"/>
    <w:pPr>
      <w:jc w:val="center"/>
    </w:pPr>
    <w:rPr>
      <w:rFonts w:ascii="宋体" w:hAnsi="宋体" w:cs="宋体"/>
      <w:sz w:val="28"/>
      <w:szCs w:val="20"/>
    </w:rPr>
  </w:style>
  <w:style w:type="paragraph" w:customStyle="1" w:styleId="105">
    <w:name w:val="样式 11111111111111111111 + 小一"/>
    <w:basedOn w:val="1"/>
    <w:autoRedefine/>
    <w:qFormat/>
    <w:uiPriority w:val="0"/>
    <w:pPr>
      <w:spacing w:line="600" w:lineRule="exact"/>
      <w:jc w:val="center"/>
      <w:outlineLvl w:val="0"/>
    </w:pPr>
    <w:rPr>
      <w:sz w:val="48"/>
      <w:szCs w:val="48"/>
    </w:rPr>
  </w:style>
  <w:style w:type="paragraph" w:customStyle="1" w:styleId="106">
    <w:name w:val="Char Char Char1"/>
    <w:basedOn w:val="16"/>
    <w:autoRedefine/>
    <w:qFormat/>
    <w:uiPriority w:val="0"/>
    <w:pPr>
      <w:adjustRightInd w:val="0"/>
      <w:spacing w:line="436" w:lineRule="exact"/>
      <w:ind w:left="357"/>
      <w:jc w:val="left"/>
      <w:outlineLvl w:val="3"/>
    </w:pPr>
    <w:rPr>
      <w:rFonts w:ascii="Tahoma" w:hAnsi="Tahoma" w:cs="Tahoma"/>
      <w:b/>
      <w:bCs/>
      <w:sz w:val="24"/>
    </w:rPr>
  </w:style>
  <w:style w:type="character" w:customStyle="1" w:styleId="107">
    <w:name w:val="标题 3 Char"/>
    <w:basedOn w:val="49"/>
    <w:autoRedefine/>
    <w:qFormat/>
    <w:uiPriority w:val="0"/>
    <w:rPr>
      <w:rFonts w:eastAsia="宋体"/>
      <w:b/>
      <w:bCs/>
      <w:kern w:val="2"/>
      <w:sz w:val="24"/>
      <w:szCs w:val="32"/>
      <w:lang w:val="en-US" w:eastAsia="zh-CN" w:bidi="ar-SA"/>
    </w:rPr>
  </w:style>
  <w:style w:type="character" w:customStyle="1" w:styleId="108">
    <w:name w:val="Char Char16"/>
    <w:autoRedefine/>
    <w:qFormat/>
    <w:uiPriority w:val="0"/>
    <w:rPr>
      <w:rFonts w:ascii="Calibri" w:hAnsi="Calibri" w:eastAsia="宋体"/>
      <w:b/>
      <w:bCs/>
      <w:kern w:val="2"/>
      <w:sz w:val="28"/>
      <w:szCs w:val="32"/>
      <w:lang w:bidi="ar-SA"/>
    </w:rPr>
  </w:style>
  <w:style w:type="character" w:customStyle="1" w:styleId="109">
    <w:name w:val="标题4 Char Char"/>
    <w:link w:val="110"/>
    <w:autoRedefine/>
    <w:qFormat/>
    <w:uiPriority w:val="0"/>
    <w:rPr>
      <w:rFonts w:ascii="Arial" w:hAnsi="Arial"/>
      <w:b/>
      <w:bCs/>
      <w:sz w:val="24"/>
      <w:szCs w:val="32"/>
      <w:lang w:bidi="ar-SA"/>
    </w:rPr>
  </w:style>
  <w:style w:type="paragraph" w:customStyle="1" w:styleId="110">
    <w:name w:val="标题4"/>
    <w:basedOn w:val="4"/>
    <w:next w:val="21"/>
    <w:link w:val="109"/>
    <w:autoRedefine/>
    <w:qFormat/>
    <w:uiPriority w:val="0"/>
    <w:pPr>
      <w:spacing w:line="413" w:lineRule="auto"/>
    </w:pPr>
    <w:rPr>
      <w:kern w:val="0"/>
      <w:sz w:val="24"/>
    </w:rPr>
  </w:style>
  <w:style w:type="character" w:customStyle="1" w:styleId="111">
    <w:name w:val="明显引用 Char"/>
    <w:link w:val="112"/>
    <w:autoRedefine/>
    <w:qFormat/>
    <w:uiPriority w:val="0"/>
    <w:rPr>
      <w:b/>
      <w:bCs/>
      <w:i/>
      <w:iCs/>
      <w:color w:val="4F81BD"/>
      <w:kern w:val="2"/>
      <w:sz w:val="21"/>
      <w:szCs w:val="22"/>
      <w:lang w:bidi="ar-SA"/>
    </w:rPr>
  </w:style>
  <w:style w:type="paragraph" w:styleId="112">
    <w:name w:val="Intense Quote"/>
    <w:basedOn w:val="1"/>
    <w:next w:val="1"/>
    <w:link w:val="111"/>
    <w:autoRedefine/>
    <w:qFormat/>
    <w:uiPriority w:val="0"/>
    <w:pPr>
      <w:pBdr>
        <w:bottom w:val="single" w:color="4F81BD" w:sz="4" w:space="4"/>
      </w:pBdr>
      <w:spacing w:before="200" w:after="280"/>
      <w:ind w:left="936" w:right="936"/>
    </w:pPr>
    <w:rPr>
      <w:b/>
      <w:bCs/>
      <w:i/>
      <w:iCs/>
      <w:color w:val="4F81BD"/>
      <w:szCs w:val="22"/>
    </w:rPr>
  </w:style>
  <w:style w:type="character" w:customStyle="1" w:styleId="113">
    <w:name w:val="Book Title"/>
    <w:autoRedefine/>
    <w:qFormat/>
    <w:uiPriority w:val="0"/>
    <w:rPr>
      <w:b/>
      <w:bCs/>
      <w:smallCaps/>
      <w:spacing w:val="5"/>
    </w:rPr>
  </w:style>
  <w:style w:type="character" w:customStyle="1" w:styleId="114">
    <w:name w:val="副标题 Char"/>
    <w:link w:val="33"/>
    <w:autoRedefine/>
    <w:qFormat/>
    <w:uiPriority w:val="0"/>
    <w:rPr>
      <w:rFonts w:ascii="Cambria" w:hAnsi="Cambria"/>
      <w:b/>
      <w:bCs/>
      <w:kern w:val="28"/>
      <w:sz w:val="32"/>
      <w:szCs w:val="32"/>
      <w:lang w:bidi="ar-SA"/>
    </w:rPr>
  </w:style>
  <w:style w:type="character" w:customStyle="1" w:styleId="115">
    <w:name w:val="Intense Emphasis"/>
    <w:autoRedefine/>
    <w:qFormat/>
    <w:uiPriority w:val="0"/>
    <w:rPr>
      <w:b/>
      <w:bCs/>
      <w:i/>
      <w:iCs/>
      <w:color w:val="4F81BD"/>
    </w:rPr>
  </w:style>
  <w:style w:type="character" w:customStyle="1" w:styleId="116">
    <w:name w:val="Char Char17"/>
    <w:autoRedefine/>
    <w:qFormat/>
    <w:uiPriority w:val="0"/>
    <w:rPr>
      <w:rFonts w:ascii="Arial" w:hAnsi="Arial" w:eastAsia="宋体" w:cs="黑体"/>
      <w:b/>
      <w:bCs/>
      <w:color w:val="000000"/>
      <w:sz w:val="28"/>
      <w:szCs w:val="44"/>
      <w:lang w:val="en-US" w:eastAsia="zh-CN" w:bidi="ar-SA"/>
    </w:rPr>
  </w:style>
  <w:style w:type="character" w:customStyle="1" w:styleId="117">
    <w:name w:val="标题5 Char Char"/>
    <w:link w:val="118"/>
    <w:autoRedefine/>
    <w:qFormat/>
    <w:uiPriority w:val="0"/>
    <w:rPr>
      <w:rFonts w:ascii="Arial" w:hAnsi="Arial"/>
      <w:b/>
      <w:bCs/>
      <w:sz w:val="24"/>
      <w:szCs w:val="32"/>
      <w:lang w:bidi="ar-SA"/>
    </w:rPr>
  </w:style>
  <w:style w:type="paragraph" w:customStyle="1" w:styleId="118">
    <w:name w:val="标题5"/>
    <w:basedOn w:val="5"/>
    <w:link w:val="117"/>
    <w:autoRedefine/>
    <w:qFormat/>
    <w:uiPriority w:val="0"/>
    <w:pPr>
      <w:spacing w:before="120" w:after="120" w:line="413" w:lineRule="auto"/>
      <w:jc w:val="center"/>
    </w:pPr>
    <w:rPr>
      <w:rFonts w:ascii="Arial" w:hAnsi="Arial"/>
      <w:kern w:val="0"/>
      <w:sz w:val="24"/>
    </w:rPr>
  </w:style>
  <w:style w:type="character" w:customStyle="1" w:styleId="119">
    <w:name w:val="Char Char9"/>
    <w:autoRedefine/>
    <w:qFormat/>
    <w:uiPriority w:val="0"/>
    <w:rPr>
      <w:rFonts w:eastAsia="宋体"/>
      <w:sz w:val="24"/>
      <w:szCs w:val="24"/>
      <w:lang w:val="en-US" w:eastAsia="zh-CN" w:bidi="ar-SA"/>
    </w:rPr>
  </w:style>
  <w:style w:type="character" w:customStyle="1" w:styleId="120">
    <w:name w:val="Subtle Emphasis"/>
    <w:autoRedefine/>
    <w:qFormat/>
    <w:uiPriority w:val="0"/>
    <w:rPr>
      <w:i/>
      <w:iCs/>
      <w:color w:val="808080"/>
    </w:rPr>
  </w:style>
  <w:style w:type="character" w:customStyle="1" w:styleId="121">
    <w:name w:val="Subtle Reference"/>
    <w:autoRedefine/>
    <w:qFormat/>
    <w:uiPriority w:val="0"/>
    <w:rPr>
      <w:smallCaps/>
      <w:color w:val="C0504D"/>
      <w:u w:val="single"/>
    </w:rPr>
  </w:style>
  <w:style w:type="character" w:customStyle="1" w:styleId="122">
    <w:name w:val="日期 Char1"/>
    <w:autoRedefine/>
    <w:qFormat/>
    <w:uiPriority w:val="0"/>
    <w:rPr>
      <w:kern w:val="2"/>
      <w:sz w:val="21"/>
      <w:szCs w:val="22"/>
    </w:rPr>
  </w:style>
  <w:style w:type="character" w:customStyle="1" w:styleId="123">
    <w:name w:val="正文文本 Char1"/>
    <w:autoRedefine/>
    <w:qFormat/>
    <w:uiPriority w:val="0"/>
    <w:rPr>
      <w:kern w:val="2"/>
      <w:sz w:val="21"/>
      <w:szCs w:val="22"/>
    </w:rPr>
  </w:style>
  <w:style w:type="character" w:customStyle="1" w:styleId="124">
    <w:name w:val="批注主题 Char1"/>
    <w:autoRedefine/>
    <w:qFormat/>
    <w:uiPriority w:val="0"/>
    <w:rPr>
      <w:b/>
      <w:bCs/>
      <w:kern w:val="2"/>
      <w:sz w:val="21"/>
      <w:szCs w:val="22"/>
    </w:rPr>
  </w:style>
  <w:style w:type="character" w:customStyle="1" w:styleId="125">
    <w:name w:val="批注文字 Char Char"/>
    <w:autoRedefine/>
    <w:qFormat/>
    <w:uiPriority w:val="0"/>
    <w:rPr>
      <w:rFonts w:ascii="宋体" w:hAnsi="Times New Roman" w:eastAsia="宋体" w:cs="Times New Roman"/>
      <w:sz w:val="28"/>
      <w:szCs w:val="20"/>
    </w:rPr>
  </w:style>
  <w:style w:type="character" w:customStyle="1" w:styleId="126">
    <w:name w:val="Intense Reference"/>
    <w:autoRedefine/>
    <w:qFormat/>
    <w:uiPriority w:val="0"/>
    <w:rPr>
      <w:b/>
      <w:bCs/>
      <w:smallCaps/>
      <w:color w:val="C0504D"/>
      <w:spacing w:val="5"/>
      <w:u w:val="single"/>
    </w:rPr>
  </w:style>
  <w:style w:type="character" w:customStyle="1" w:styleId="127">
    <w:name w:val="批注框文本 Char1"/>
    <w:autoRedefine/>
    <w:qFormat/>
    <w:uiPriority w:val="0"/>
    <w:rPr>
      <w:kern w:val="2"/>
      <w:sz w:val="18"/>
      <w:szCs w:val="18"/>
    </w:rPr>
  </w:style>
  <w:style w:type="character" w:customStyle="1" w:styleId="128">
    <w:name w:val="引用 Char"/>
    <w:link w:val="129"/>
    <w:autoRedefine/>
    <w:qFormat/>
    <w:uiPriority w:val="0"/>
    <w:rPr>
      <w:i/>
      <w:iCs/>
      <w:color w:val="000000"/>
      <w:kern w:val="2"/>
      <w:sz w:val="21"/>
      <w:szCs w:val="22"/>
      <w:lang w:bidi="ar-SA"/>
    </w:rPr>
  </w:style>
  <w:style w:type="paragraph" w:styleId="129">
    <w:name w:val="Quote"/>
    <w:basedOn w:val="1"/>
    <w:next w:val="1"/>
    <w:link w:val="128"/>
    <w:autoRedefine/>
    <w:qFormat/>
    <w:uiPriority w:val="0"/>
    <w:rPr>
      <w:i/>
      <w:iCs/>
      <w:color w:val="000000"/>
      <w:szCs w:val="22"/>
    </w:rPr>
  </w:style>
  <w:style w:type="character" w:customStyle="1" w:styleId="130">
    <w:name w:val="文档结构图 Char1"/>
    <w:autoRedefine/>
    <w:qFormat/>
    <w:uiPriority w:val="0"/>
    <w:rPr>
      <w:rFonts w:ascii="宋体"/>
      <w:kern w:val="2"/>
      <w:sz w:val="18"/>
      <w:szCs w:val="18"/>
    </w:rPr>
  </w:style>
  <w:style w:type="paragraph" w:styleId="131">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2">
    <w:name w:val="Revision"/>
    <w:autoRedefine/>
    <w:qFormat/>
    <w:uiPriority w:val="0"/>
    <w:rPr>
      <w:rFonts w:ascii="Times New Roman" w:hAnsi="Times New Roman" w:eastAsia="宋体" w:cs="Times New Roman"/>
      <w:kern w:val="2"/>
      <w:sz w:val="21"/>
      <w:szCs w:val="24"/>
      <w:lang w:val="en-US" w:eastAsia="zh-CN" w:bidi="ar-SA"/>
    </w:rPr>
  </w:style>
  <w:style w:type="character" w:customStyle="1" w:styleId="133">
    <w:name w:val="批注主题 Char"/>
    <w:link w:val="45"/>
    <w:autoRedefine/>
    <w:qFormat/>
    <w:uiPriority w:val="0"/>
    <w:rPr>
      <w:rFonts w:ascii="宋体" w:eastAsia="Times New Roman"/>
      <w:b/>
      <w:bCs/>
      <w:sz w:val="28"/>
    </w:rPr>
  </w:style>
  <w:style w:type="paragraph" w:customStyle="1" w:styleId="134">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35">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136">
    <w:name w:val="TOC Heading"/>
    <w:basedOn w:val="3"/>
    <w:next w:val="1"/>
    <w:autoRedefine/>
    <w:qFormat/>
    <w:uiPriority w:val="0"/>
    <w:pPr>
      <w:spacing w:line="576" w:lineRule="auto"/>
      <w:outlineLvl w:val="9"/>
    </w:pPr>
    <w:rPr>
      <w:rFonts w:ascii="Calibri" w:hAnsi="Calibri"/>
    </w:rPr>
  </w:style>
  <w:style w:type="paragraph" w:customStyle="1" w:styleId="137">
    <w:name w:val="b"/>
    <w:basedOn w:val="1"/>
    <w:link w:val="138"/>
    <w:autoRedefine/>
    <w:qFormat/>
    <w:uiPriority w:val="0"/>
    <w:pPr>
      <w:spacing w:line="360" w:lineRule="auto"/>
      <w:ind w:firstLine="560" w:firstLineChars="200"/>
    </w:pPr>
    <w:rPr>
      <w:rFonts w:ascii="宋体" w:hAnsi="宋体"/>
      <w:sz w:val="28"/>
    </w:rPr>
  </w:style>
  <w:style w:type="character" w:customStyle="1" w:styleId="138">
    <w:name w:val="b Char"/>
    <w:link w:val="137"/>
    <w:autoRedefine/>
    <w:qFormat/>
    <w:uiPriority w:val="0"/>
    <w:rPr>
      <w:rFonts w:ascii="宋体" w:hAnsi="宋体"/>
      <w:kern w:val="2"/>
      <w:sz w:val="28"/>
      <w:szCs w:val="24"/>
    </w:rPr>
  </w:style>
  <w:style w:type="paragraph" w:customStyle="1" w:styleId="139">
    <w:name w:val="Char Char Char2"/>
    <w:basedOn w:val="1"/>
    <w:autoRedefine/>
    <w:qFormat/>
    <w:uiPriority w:val="0"/>
    <w:pPr>
      <w:spacing w:line="360" w:lineRule="auto"/>
      <w:ind w:firstLine="200" w:firstLineChars="200"/>
    </w:pPr>
    <w:rPr>
      <w:rFonts w:ascii="宋体" w:hAnsi="宋体" w:cs="宋体"/>
      <w:sz w:val="24"/>
    </w:rPr>
  </w:style>
  <w:style w:type="paragraph" w:customStyle="1" w:styleId="140">
    <w:name w:val="Char1"/>
    <w:basedOn w:val="1"/>
    <w:autoRedefine/>
    <w:qFormat/>
    <w:uiPriority w:val="0"/>
    <w:pPr>
      <w:spacing w:line="360" w:lineRule="auto"/>
      <w:ind w:firstLine="200" w:firstLineChars="200"/>
    </w:pPr>
    <w:rPr>
      <w:rFonts w:ascii="宋体" w:hAnsi="宋体" w:cs="宋体"/>
      <w:sz w:val="24"/>
    </w:rPr>
  </w:style>
  <w:style w:type="paragraph" w:customStyle="1" w:styleId="141">
    <w:name w:val="Char Char Char Char1"/>
    <w:basedOn w:val="1"/>
    <w:autoRedefine/>
    <w:qFormat/>
    <w:uiPriority w:val="0"/>
    <w:pPr>
      <w:spacing w:line="360" w:lineRule="auto"/>
      <w:ind w:firstLine="200" w:firstLineChars="200"/>
    </w:pPr>
    <w:rPr>
      <w:rFonts w:ascii="宋体" w:hAnsi="宋体" w:cs="宋体"/>
      <w:sz w:val="24"/>
    </w:rPr>
  </w:style>
  <w:style w:type="character" w:customStyle="1" w:styleId="142">
    <w:name w:val="EmailStyle1361"/>
    <w:basedOn w:val="49"/>
    <w:autoRedefine/>
    <w:qFormat/>
    <w:uiPriority w:val="0"/>
    <w:rPr>
      <w:rFonts w:ascii="Arial" w:hAnsi="Arial" w:eastAsia="宋体" w:cs="Arial"/>
      <w:color w:val="auto"/>
      <w:sz w:val="20"/>
    </w:rPr>
  </w:style>
  <w:style w:type="character" w:customStyle="1" w:styleId="143">
    <w:name w:val="EmailStyle1371"/>
    <w:basedOn w:val="49"/>
    <w:autoRedefine/>
    <w:qFormat/>
    <w:uiPriority w:val="0"/>
    <w:rPr>
      <w:rFonts w:ascii="Arial" w:hAnsi="Arial" w:eastAsia="宋体" w:cs="Arial"/>
      <w:color w:val="auto"/>
      <w:sz w:val="20"/>
    </w:rPr>
  </w:style>
  <w:style w:type="character" w:customStyle="1" w:styleId="144">
    <w:name w:val="Char Char161"/>
    <w:autoRedefine/>
    <w:qFormat/>
    <w:uiPriority w:val="0"/>
    <w:rPr>
      <w:rFonts w:ascii="Calibri" w:hAnsi="Calibri" w:eastAsia="宋体"/>
      <w:b/>
      <w:bCs/>
      <w:kern w:val="2"/>
      <w:sz w:val="28"/>
      <w:szCs w:val="32"/>
      <w:lang w:bidi="ar-SA"/>
    </w:rPr>
  </w:style>
  <w:style w:type="character" w:customStyle="1" w:styleId="145">
    <w:name w:val="Char Char171"/>
    <w:autoRedefine/>
    <w:qFormat/>
    <w:uiPriority w:val="0"/>
    <w:rPr>
      <w:rFonts w:ascii="Arial" w:hAnsi="Arial" w:eastAsia="宋体" w:cs="黑体"/>
      <w:b/>
      <w:bCs/>
      <w:color w:val="000000"/>
      <w:sz w:val="28"/>
      <w:szCs w:val="44"/>
      <w:lang w:val="en-US" w:eastAsia="zh-CN" w:bidi="ar-SA"/>
    </w:rPr>
  </w:style>
  <w:style w:type="character" w:customStyle="1" w:styleId="146">
    <w:name w:val="Char Char91"/>
    <w:autoRedefine/>
    <w:qFormat/>
    <w:uiPriority w:val="0"/>
    <w:rPr>
      <w:rFonts w:eastAsia="宋体"/>
      <w:sz w:val="24"/>
      <w:szCs w:val="24"/>
      <w:lang w:val="en-US" w:eastAsia="zh-CN" w:bidi="ar-SA"/>
    </w:rPr>
  </w:style>
  <w:style w:type="character" w:customStyle="1" w:styleId="147">
    <w:name w:val="apple-converted-space"/>
    <w:autoRedefine/>
    <w:qFormat/>
    <w:uiPriority w:val="0"/>
  </w:style>
  <w:style w:type="character" w:customStyle="1" w:styleId="148">
    <w:name w:val="font5 Char"/>
    <w:basedOn w:val="49"/>
    <w:link w:val="149"/>
    <w:autoRedefine/>
    <w:qFormat/>
    <w:uiPriority w:val="0"/>
    <w:rPr>
      <w:rFonts w:ascii="宋体" w:hAnsi="宋体"/>
      <w:sz w:val="24"/>
      <w:szCs w:val="24"/>
    </w:rPr>
  </w:style>
  <w:style w:type="paragraph" w:customStyle="1" w:styleId="149">
    <w:name w:val="font5"/>
    <w:basedOn w:val="1"/>
    <w:link w:val="148"/>
    <w:autoRedefine/>
    <w:qFormat/>
    <w:uiPriority w:val="0"/>
    <w:pPr>
      <w:widowControl/>
      <w:spacing w:before="100" w:beforeAutospacing="1" w:after="100" w:afterAutospacing="1"/>
      <w:jc w:val="left"/>
    </w:pPr>
    <w:rPr>
      <w:rFonts w:ascii="宋体" w:hAnsi="宋体"/>
      <w:kern w:val="0"/>
      <w:sz w:val="24"/>
    </w:rPr>
  </w:style>
  <w:style w:type="character" w:customStyle="1" w:styleId="150">
    <w:name w:val="SY-ZW Char"/>
    <w:link w:val="151"/>
    <w:autoRedefine/>
    <w:qFormat/>
    <w:uiPriority w:val="0"/>
    <w:rPr>
      <w:kern w:val="2"/>
      <w:sz w:val="24"/>
      <w:szCs w:val="24"/>
    </w:rPr>
  </w:style>
  <w:style w:type="paragraph" w:customStyle="1" w:styleId="151">
    <w:name w:val="SY-ZW"/>
    <w:basedOn w:val="1"/>
    <w:link w:val="150"/>
    <w:autoRedefine/>
    <w:qFormat/>
    <w:uiPriority w:val="0"/>
    <w:pPr>
      <w:adjustRightInd w:val="0"/>
      <w:snapToGrid w:val="0"/>
      <w:spacing w:line="500" w:lineRule="exact"/>
      <w:ind w:firstLine="480" w:firstLineChars="200"/>
    </w:pPr>
    <w:rPr>
      <w:sz w:val="24"/>
    </w:rPr>
  </w:style>
  <w:style w:type="character" w:customStyle="1" w:styleId="152">
    <w:name w:val="标题 1 Char3"/>
    <w:basedOn w:val="49"/>
    <w:autoRedefine/>
    <w:qFormat/>
    <w:uiPriority w:val="0"/>
    <w:rPr>
      <w:b/>
      <w:bCs/>
      <w:kern w:val="44"/>
      <w:sz w:val="32"/>
      <w:szCs w:val="44"/>
    </w:rPr>
  </w:style>
  <w:style w:type="character" w:customStyle="1" w:styleId="153">
    <w:name w:val="正文文本 2 Char"/>
    <w:basedOn w:val="49"/>
    <w:link w:val="39"/>
    <w:autoRedefine/>
    <w:qFormat/>
    <w:uiPriority w:val="0"/>
    <w:rPr>
      <w:kern w:val="2"/>
      <w:sz w:val="21"/>
      <w:szCs w:val="24"/>
    </w:rPr>
  </w:style>
  <w:style w:type="character" w:customStyle="1" w:styleId="154">
    <w:name w:val="样式 粉红"/>
    <w:basedOn w:val="49"/>
    <w:autoRedefine/>
    <w:qFormat/>
    <w:uiPriority w:val="0"/>
    <w:rPr>
      <w:color w:val="auto"/>
      <w:u w:val="none"/>
    </w:rPr>
  </w:style>
  <w:style w:type="character" w:customStyle="1" w:styleId="155">
    <w:name w:val="样式 粉红 下划线"/>
    <w:basedOn w:val="49"/>
    <w:autoRedefine/>
    <w:qFormat/>
    <w:uiPriority w:val="0"/>
    <w:rPr>
      <w:color w:val="auto"/>
      <w:u w:val="none"/>
    </w:rPr>
  </w:style>
  <w:style w:type="character" w:customStyle="1" w:styleId="156">
    <w:name w:val="p21"/>
    <w:basedOn w:val="49"/>
    <w:autoRedefine/>
    <w:qFormat/>
    <w:uiPriority w:val="0"/>
    <w:rPr>
      <w:sz w:val="9"/>
      <w:szCs w:val="9"/>
    </w:rPr>
  </w:style>
  <w:style w:type="character" w:customStyle="1" w:styleId="157">
    <w:name w:val="正文文本缩进 Char1"/>
    <w:basedOn w:val="49"/>
    <w:autoRedefine/>
    <w:qFormat/>
    <w:uiPriority w:val="0"/>
    <w:rPr>
      <w:kern w:val="2"/>
      <w:sz w:val="21"/>
      <w:szCs w:val="24"/>
    </w:rPr>
  </w:style>
  <w:style w:type="character" w:customStyle="1" w:styleId="158">
    <w:name w:val="正文文本缩进 2 Char1"/>
    <w:basedOn w:val="49"/>
    <w:autoRedefine/>
    <w:qFormat/>
    <w:uiPriority w:val="0"/>
    <w:rPr>
      <w:kern w:val="2"/>
      <w:sz w:val="21"/>
      <w:szCs w:val="24"/>
    </w:rPr>
  </w:style>
  <w:style w:type="character" w:customStyle="1" w:styleId="159">
    <w:name w:val="页脚 Char1"/>
    <w:basedOn w:val="49"/>
    <w:autoRedefine/>
    <w:qFormat/>
    <w:uiPriority w:val="0"/>
    <w:rPr>
      <w:kern w:val="2"/>
      <w:sz w:val="18"/>
      <w:szCs w:val="18"/>
    </w:rPr>
  </w:style>
  <w:style w:type="character" w:customStyle="1" w:styleId="160">
    <w:name w:val="正文文本 3 Char1"/>
    <w:basedOn w:val="49"/>
    <w:autoRedefine/>
    <w:qFormat/>
    <w:uiPriority w:val="0"/>
    <w:rPr>
      <w:kern w:val="2"/>
      <w:sz w:val="16"/>
      <w:szCs w:val="16"/>
    </w:rPr>
  </w:style>
  <w:style w:type="character" w:customStyle="1" w:styleId="161">
    <w:name w:val="HTML 预设格式 Char"/>
    <w:basedOn w:val="49"/>
    <w:link w:val="41"/>
    <w:autoRedefine/>
    <w:qFormat/>
    <w:uiPriority w:val="0"/>
    <w:rPr>
      <w:rFonts w:ascii="Arial" w:hAnsi="Arial" w:cs="Arial"/>
      <w:sz w:val="11"/>
      <w:szCs w:val="11"/>
    </w:rPr>
  </w:style>
  <w:style w:type="character" w:customStyle="1" w:styleId="162">
    <w:name w:val="正文文本 2 Char1"/>
    <w:basedOn w:val="49"/>
    <w:link w:val="39"/>
    <w:autoRedefine/>
    <w:qFormat/>
    <w:uiPriority w:val="0"/>
    <w:rPr>
      <w:kern w:val="2"/>
      <w:sz w:val="21"/>
      <w:szCs w:val="24"/>
    </w:rPr>
  </w:style>
  <w:style w:type="character" w:customStyle="1" w:styleId="163">
    <w:name w:val="纯文本 Char1"/>
    <w:basedOn w:val="49"/>
    <w:autoRedefine/>
    <w:qFormat/>
    <w:uiPriority w:val="0"/>
    <w:rPr>
      <w:rFonts w:ascii="宋体" w:hAnsi="Courier New" w:cs="Courier New"/>
      <w:kern w:val="2"/>
      <w:sz w:val="21"/>
      <w:szCs w:val="21"/>
    </w:rPr>
  </w:style>
  <w:style w:type="character" w:customStyle="1" w:styleId="164">
    <w:name w:val="正文文本缩进 3 Char1"/>
    <w:basedOn w:val="49"/>
    <w:autoRedefine/>
    <w:qFormat/>
    <w:uiPriority w:val="0"/>
    <w:rPr>
      <w:kern w:val="2"/>
      <w:sz w:val="16"/>
      <w:szCs w:val="16"/>
    </w:rPr>
  </w:style>
  <w:style w:type="character" w:customStyle="1" w:styleId="165">
    <w:name w:val="页眉 Char1"/>
    <w:basedOn w:val="49"/>
    <w:autoRedefine/>
    <w:qFormat/>
    <w:uiPriority w:val="0"/>
    <w:rPr>
      <w:kern w:val="2"/>
      <w:sz w:val="18"/>
      <w:szCs w:val="18"/>
    </w:rPr>
  </w:style>
  <w:style w:type="paragraph" w:customStyle="1" w:styleId="166">
    <w:name w:val="t_black_12_b"/>
    <w:basedOn w:val="1"/>
    <w:autoRedefine/>
    <w:qFormat/>
    <w:uiPriority w:val="0"/>
    <w:pPr>
      <w:widowControl/>
      <w:jc w:val="left"/>
    </w:pPr>
    <w:rPr>
      <w:rFonts w:ascii="宋体" w:hAnsi="宋体" w:cs="宋体"/>
      <w:b/>
      <w:bCs/>
      <w:color w:val="212121"/>
      <w:kern w:val="0"/>
      <w:sz w:val="9"/>
      <w:szCs w:val="9"/>
    </w:rPr>
  </w:style>
  <w:style w:type="paragraph" w:customStyle="1" w:styleId="167">
    <w:name w:val="金安桥正文"/>
    <w:basedOn w:val="19"/>
    <w:autoRedefine/>
    <w:qFormat/>
    <w:uiPriority w:val="0"/>
    <w:pPr>
      <w:adjustRightInd w:val="0"/>
      <w:spacing w:after="0" w:line="300" w:lineRule="auto"/>
      <w:ind w:left="0" w:leftChars="0" w:firstLine="200" w:firstLineChars="200"/>
      <w:jc w:val="left"/>
    </w:pPr>
    <w:rPr>
      <w:kern w:val="0"/>
      <w:sz w:val="24"/>
      <w:szCs w:val="20"/>
    </w:rPr>
  </w:style>
  <w:style w:type="paragraph" w:customStyle="1" w:styleId="168">
    <w:name w:val="Char Char1 Char Char Char Char Char Char Char"/>
    <w:basedOn w:val="1"/>
    <w:autoRedefine/>
    <w:qFormat/>
    <w:uiPriority w:val="0"/>
    <w:pPr>
      <w:spacing w:line="360" w:lineRule="auto"/>
      <w:ind w:firstLine="200" w:firstLineChars="200"/>
    </w:pPr>
    <w:rPr>
      <w:szCs w:val="20"/>
    </w:rPr>
  </w:style>
  <w:style w:type="paragraph" w:customStyle="1" w:styleId="169">
    <w:name w:val="explanatory_notes"/>
    <w:basedOn w:val="1"/>
    <w:autoRedefine/>
    <w:qFormat/>
    <w:uiPriority w:val="0"/>
    <w:pPr>
      <w:widowControl/>
      <w:suppressAutoHyphens/>
      <w:spacing w:after="240" w:line="360" w:lineRule="exact"/>
    </w:pPr>
    <w:rPr>
      <w:rFonts w:ascii="Arial" w:hAnsi="Arial" w:eastAsia="Times New Roman"/>
      <w:kern w:val="0"/>
      <w:sz w:val="20"/>
      <w:szCs w:val="20"/>
      <w:lang w:eastAsia="en-US"/>
    </w:rPr>
  </w:style>
  <w:style w:type="paragraph" w:customStyle="1" w:styleId="170">
    <w:name w:val="Char4"/>
    <w:basedOn w:val="1"/>
    <w:autoRedefine/>
    <w:qFormat/>
    <w:uiPriority w:val="0"/>
    <w:pPr>
      <w:spacing w:line="360" w:lineRule="auto"/>
      <w:ind w:firstLine="200" w:firstLineChars="200"/>
    </w:pPr>
    <w:rPr>
      <w:rFonts w:ascii="宋体" w:hAnsi="宋体" w:cs="宋体"/>
      <w:sz w:val="24"/>
    </w:rPr>
  </w:style>
  <w:style w:type="paragraph" w:customStyle="1" w:styleId="171">
    <w:name w:val="Char2"/>
    <w:basedOn w:val="1"/>
    <w:autoRedefine/>
    <w:qFormat/>
    <w:uiPriority w:val="0"/>
    <w:pPr>
      <w:snapToGrid w:val="0"/>
      <w:spacing w:line="360" w:lineRule="auto"/>
      <w:ind w:firstLine="200" w:firstLineChars="200"/>
    </w:pPr>
    <w:rPr>
      <w:rFonts w:ascii="Arial" w:hAnsi="Arial" w:eastAsia="黑体"/>
      <w:szCs w:val="21"/>
    </w:rPr>
  </w:style>
  <w:style w:type="paragraph" w:customStyle="1" w:styleId="172">
    <w:name w:val="xl27"/>
    <w:basedOn w:val="1"/>
    <w:autoRedefine/>
    <w:qFormat/>
    <w:uiPriority w:val="0"/>
    <w:pPr>
      <w:widowControl/>
      <w:pBdr>
        <w:bottom w:val="single" w:color="auto" w:sz="4" w:space="0"/>
        <w:right w:val="single" w:color="auto" w:sz="4" w:space="0"/>
      </w:pBdr>
      <w:spacing w:before="100" w:beforeAutospacing="1" w:after="100" w:afterAutospacing="1"/>
      <w:jc w:val="center"/>
    </w:pPr>
    <w:rPr>
      <w:kern w:val="0"/>
      <w:sz w:val="24"/>
    </w:rPr>
  </w:style>
  <w:style w:type="paragraph" w:customStyle="1" w:styleId="173">
    <w:name w:val="标题2"/>
    <w:basedOn w:val="4"/>
    <w:next w:val="1"/>
    <w:autoRedefine/>
    <w:qFormat/>
    <w:uiPriority w:val="0"/>
    <w:pPr>
      <w:snapToGrid w:val="0"/>
      <w:jc w:val="left"/>
    </w:pPr>
    <w:rPr>
      <w:rFonts w:eastAsia="黑体"/>
      <w:b w:val="0"/>
      <w:bCs w:val="0"/>
      <w:sz w:val="21"/>
      <w:szCs w:val="21"/>
    </w:rPr>
  </w:style>
  <w:style w:type="paragraph" w:customStyle="1" w:styleId="174">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175">
    <w:name w:val="p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76">
    <w:name w:val="contentarticle"/>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77">
    <w:name w:val="Char1 Char Char Char"/>
    <w:basedOn w:val="1"/>
    <w:autoRedefine/>
    <w:qFormat/>
    <w:uiPriority w:val="0"/>
    <w:rPr>
      <w:rFonts w:ascii="Tahoma" w:hAnsi="Tahoma" w:eastAsia="仿宋_GB2312"/>
      <w:sz w:val="24"/>
      <w:szCs w:val="20"/>
    </w:rPr>
  </w:style>
  <w:style w:type="paragraph" w:customStyle="1" w:styleId="178">
    <w:name w:val="段首行缩进 2字符"/>
    <w:basedOn w:val="1"/>
    <w:autoRedefine/>
    <w:qFormat/>
    <w:uiPriority w:val="0"/>
    <w:pPr>
      <w:widowControl/>
      <w:autoSpaceDE w:val="0"/>
      <w:autoSpaceDN w:val="0"/>
      <w:ind w:firstLine="420" w:firstLineChars="200"/>
    </w:pPr>
    <w:rPr>
      <w:rFonts w:cs="宋体"/>
      <w:kern w:val="0"/>
      <w:szCs w:val="20"/>
    </w:rPr>
  </w:style>
  <w:style w:type="paragraph" w:customStyle="1" w:styleId="179">
    <w:name w:val="正  文"/>
    <w:basedOn w:val="1"/>
    <w:autoRedefine/>
    <w:qFormat/>
    <w:uiPriority w:val="0"/>
    <w:pPr>
      <w:spacing w:line="360" w:lineRule="auto"/>
      <w:ind w:firstLine="200" w:firstLineChars="200"/>
    </w:pPr>
    <w:rPr>
      <w:rFonts w:ascii="宋体"/>
      <w:sz w:val="24"/>
    </w:rPr>
  </w:style>
  <w:style w:type="paragraph" w:customStyle="1" w:styleId="180">
    <w:name w:val="5"/>
    <w:basedOn w:val="1"/>
    <w:autoRedefine/>
    <w:qFormat/>
    <w:uiPriority w:val="0"/>
    <w:pPr>
      <w:tabs>
        <w:tab w:val="left" w:pos="1560"/>
      </w:tabs>
      <w:adjustRightInd w:val="0"/>
      <w:jc w:val="left"/>
      <w:textAlignment w:val="baseline"/>
    </w:pPr>
    <w:rPr>
      <w:kern w:val="0"/>
      <w:sz w:val="28"/>
      <w:szCs w:val="20"/>
    </w:rPr>
  </w:style>
  <w:style w:type="paragraph" w:customStyle="1" w:styleId="181">
    <w:name w:val="xl31"/>
    <w:basedOn w:val="1"/>
    <w:autoRedefine/>
    <w:qFormat/>
    <w:uiPriority w:val="0"/>
    <w:pPr>
      <w:widowControl/>
      <w:spacing w:before="100" w:beforeAutospacing="1" w:after="100" w:afterAutospacing="1"/>
      <w:jc w:val="center"/>
    </w:pPr>
    <w:rPr>
      <w:rFonts w:ascii="宋体" w:hAnsi="宋体"/>
      <w:kern w:val="0"/>
      <w:sz w:val="24"/>
    </w:rPr>
  </w:style>
  <w:style w:type="paragraph" w:customStyle="1" w:styleId="182">
    <w:name w:val="XW正文"/>
    <w:basedOn w:val="19"/>
    <w:autoRedefine/>
    <w:qFormat/>
    <w:uiPriority w:val="0"/>
    <w:pPr>
      <w:adjustRightInd w:val="0"/>
      <w:snapToGrid w:val="0"/>
      <w:spacing w:after="0" w:line="300" w:lineRule="auto"/>
      <w:ind w:left="0" w:leftChars="0" w:firstLine="520" w:firstLineChars="200"/>
      <w:jc w:val="left"/>
    </w:pPr>
    <w:rPr>
      <w:kern w:val="0"/>
    </w:rPr>
  </w:style>
  <w:style w:type="paragraph" w:customStyle="1" w:styleId="183">
    <w:name w:val="xl47"/>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184">
    <w:name w:val="font7"/>
    <w:basedOn w:val="1"/>
    <w:autoRedefine/>
    <w:qFormat/>
    <w:uiPriority w:val="0"/>
    <w:pPr>
      <w:widowControl/>
      <w:spacing w:before="100" w:beforeAutospacing="1" w:after="100" w:afterAutospacing="1"/>
      <w:jc w:val="left"/>
    </w:pPr>
    <w:rPr>
      <w:rFonts w:hint="eastAsia" w:ascii="宋体" w:hAnsi="宋体"/>
      <w:kern w:val="0"/>
      <w:sz w:val="28"/>
      <w:szCs w:val="28"/>
    </w:rPr>
  </w:style>
  <w:style w:type="paragraph" w:customStyle="1" w:styleId="185">
    <w:name w:val="表格2"/>
    <w:basedOn w:val="1"/>
    <w:autoRedefine/>
    <w:qFormat/>
    <w:uiPriority w:val="0"/>
    <w:pPr>
      <w:adjustRightInd w:val="0"/>
      <w:spacing w:before="60" w:after="60"/>
      <w:jc w:val="center"/>
    </w:pPr>
    <w:rPr>
      <w:rFonts w:ascii="宋体"/>
      <w:color w:val="000000"/>
      <w:kern w:val="0"/>
      <w:sz w:val="24"/>
      <w:szCs w:val="20"/>
    </w:rPr>
  </w:style>
  <w:style w:type="paragraph" w:customStyle="1" w:styleId="186">
    <w:name w:val="Char Char Char Char2"/>
    <w:basedOn w:val="1"/>
    <w:autoRedefine/>
    <w:qFormat/>
    <w:uiPriority w:val="0"/>
    <w:pPr>
      <w:snapToGrid w:val="0"/>
      <w:spacing w:line="360" w:lineRule="auto"/>
      <w:ind w:firstLine="200" w:firstLineChars="200"/>
    </w:pPr>
    <w:rPr>
      <w:rFonts w:eastAsia="仿宋_GB2312"/>
      <w:kern w:val="10"/>
      <w:sz w:val="24"/>
      <w:szCs w:val="30"/>
    </w:rPr>
  </w:style>
  <w:style w:type="paragraph" w:customStyle="1" w:styleId="187">
    <w:name w:val="XW悬挂正文"/>
    <w:basedOn w:val="182"/>
    <w:autoRedefine/>
    <w:qFormat/>
    <w:uiPriority w:val="0"/>
    <w:pPr>
      <w:snapToGrid/>
      <w:spacing w:line="360" w:lineRule="auto"/>
      <w:ind w:left="1474" w:hanging="340" w:firstLineChars="0"/>
    </w:pPr>
    <w:rPr>
      <w:rFonts w:hAnsi="宋体"/>
      <w:sz w:val="24"/>
      <w:szCs w:val="20"/>
    </w:rPr>
  </w:style>
  <w:style w:type="paragraph" w:customStyle="1" w:styleId="188">
    <w:name w:val="默认段落字体 Para Char"/>
    <w:basedOn w:val="1"/>
    <w:autoRedefine/>
    <w:qFormat/>
    <w:uiPriority w:val="0"/>
    <w:pPr>
      <w:snapToGrid w:val="0"/>
      <w:spacing w:line="360" w:lineRule="auto"/>
      <w:ind w:firstLine="200" w:firstLineChars="200"/>
    </w:pPr>
    <w:rPr>
      <w:rFonts w:eastAsia="仿宋_GB2312"/>
      <w:sz w:val="24"/>
    </w:rPr>
  </w:style>
  <w:style w:type="paragraph" w:customStyle="1" w:styleId="189">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90">
    <w:name w:val="默认段落字体 Para Char Char Char Char"/>
    <w:basedOn w:val="1"/>
    <w:autoRedefine/>
    <w:qFormat/>
    <w:uiPriority w:val="0"/>
  </w:style>
  <w:style w:type="paragraph" w:customStyle="1" w:styleId="191">
    <w:name w:val="范本-正文"/>
    <w:autoRedefine/>
    <w:qFormat/>
    <w:uiPriority w:val="0"/>
    <w:pPr>
      <w:spacing w:line="360" w:lineRule="auto"/>
      <w:ind w:firstLine="420"/>
    </w:pPr>
    <w:rPr>
      <w:rFonts w:ascii="Times New Roman" w:hAnsi="Times New Roman" w:eastAsia="宋体" w:cs="Times New Roman"/>
      <w:iCs/>
      <w:kern w:val="2"/>
      <w:sz w:val="24"/>
      <w:szCs w:val="21"/>
      <w:lang w:val="en-US" w:eastAsia="zh-CN" w:bidi="ar-SA"/>
    </w:rPr>
  </w:style>
  <w:style w:type="paragraph" w:customStyle="1" w:styleId="192">
    <w:name w:val="XW表内文字"/>
    <w:basedOn w:val="1"/>
    <w:autoRedefine/>
    <w:qFormat/>
    <w:uiPriority w:val="0"/>
    <w:pPr>
      <w:adjustRightInd w:val="0"/>
      <w:spacing w:before="60" w:after="60" w:line="300" w:lineRule="exact"/>
      <w:ind w:firstLine="422" w:firstLineChars="200"/>
      <w:jc w:val="center"/>
    </w:pPr>
    <w:rPr>
      <w:rFonts w:hAnsi="宋体"/>
      <w:kern w:val="0"/>
      <w:szCs w:val="20"/>
    </w:rPr>
  </w:style>
  <w:style w:type="character" w:customStyle="1" w:styleId="193">
    <w:name w:val="b Char Char"/>
    <w:autoRedefine/>
    <w:qFormat/>
    <w:uiPriority w:val="0"/>
    <w:rPr>
      <w:rFonts w:ascii="宋体" w:hAnsi="宋体"/>
      <w:kern w:val="2"/>
      <w:sz w:val="28"/>
      <w:szCs w:val="24"/>
    </w:rPr>
  </w:style>
  <w:style w:type="character" w:customStyle="1" w:styleId="194">
    <w:name w:val="标题 7 Char1"/>
    <w:autoRedefine/>
    <w:qFormat/>
    <w:uiPriority w:val="0"/>
    <w:rPr>
      <w:b/>
      <w:bCs/>
      <w:sz w:val="24"/>
      <w:szCs w:val="24"/>
    </w:rPr>
  </w:style>
  <w:style w:type="character" w:customStyle="1" w:styleId="195">
    <w:name w:val="font5 Char Char Char"/>
    <w:basedOn w:val="49"/>
    <w:autoRedefine/>
    <w:qFormat/>
    <w:uiPriority w:val="0"/>
    <w:rPr>
      <w:rFonts w:ascii="宋体" w:hAnsi="宋体" w:eastAsia="宋体"/>
      <w:sz w:val="24"/>
      <w:szCs w:val="24"/>
      <w:lang w:val="en-US" w:eastAsia="zh-CN" w:bidi="ar-SA"/>
    </w:rPr>
  </w:style>
  <w:style w:type="character" w:customStyle="1" w:styleId="196">
    <w:name w:val="标题 8 Char1"/>
    <w:autoRedefine/>
    <w:qFormat/>
    <w:uiPriority w:val="0"/>
    <w:rPr>
      <w:rFonts w:ascii="Arial" w:hAnsi="Arial" w:eastAsia="黑体"/>
      <w:sz w:val="24"/>
      <w:szCs w:val="24"/>
    </w:rPr>
  </w:style>
  <w:style w:type="character" w:customStyle="1" w:styleId="197">
    <w:name w:val="标题 9 Char1"/>
    <w:autoRedefine/>
    <w:qFormat/>
    <w:uiPriority w:val="0"/>
    <w:rPr>
      <w:rFonts w:ascii="Arial" w:hAnsi="Arial" w:eastAsia="黑体"/>
      <w:sz w:val="21"/>
      <w:szCs w:val="21"/>
    </w:rPr>
  </w:style>
  <w:style w:type="character" w:customStyle="1" w:styleId="198">
    <w:name w:val="标题 1 Char Char"/>
    <w:autoRedefine/>
    <w:qFormat/>
    <w:uiPriority w:val="0"/>
    <w:rPr>
      <w:rFonts w:eastAsia="宋体"/>
      <w:b/>
      <w:bCs/>
      <w:kern w:val="44"/>
      <w:sz w:val="44"/>
      <w:szCs w:val="44"/>
      <w:lang w:val="en-US" w:eastAsia="zh-CN" w:bidi="ar-SA"/>
    </w:rPr>
  </w:style>
  <w:style w:type="character" w:customStyle="1" w:styleId="199">
    <w:name w:val="font5 Char Char"/>
    <w:autoRedefine/>
    <w:qFormat/>
    <w:uiPriority w:val="0"/>
    <w:rPr>
      <w:rFonts w:ascii="宋体" w:hAnsi="宋体"/>
      <w:sz w:val="24"/>
      <w:szCs w:val="24"/>
    </w:rPr>
  </w:style>
  <w:style w:type="character" w:customStyle="1" w:styleId="200">
    <w:name w:val="Char Char Char3"/>
    <w:autoRedefine/>
    <w:qFormat/>
    <w:uiPriority w:val="0"/>
    <w:rPr>
      <w:rFonts w:ascii="Arial" w:hAnsi="Arial" w:eastAsia="黑体"/>
      <w:b/>
      <w:bCs/>
      <w:kern w:val="2"/>
      <w:sz w:val="32"/>
      <w:szCs w:val="32"/>
      <w:lang w:val="en-US" w:eastAsia="zh-CN" w:bidi="ar-SA"/>
    </w:rPr>
  </w:style>
  <w:style w:type="character" w:customStyle="1" w:styleId="201">
    <w:name w:val="标题 1XW Char"/>
    <w:autoRedefine/>
    <w:qFormat/>
    <w:uiPriority w:val="0"/>
    <w:rPr>
      <w:rFonts w:eastAsia="宋体"/>
      <w:b/>
      <w:bCs/>
      <w:kern w:val="44"/>
      <w:sz w:val="32"/>
      <w:szCs w:val="44"/>
      <w:lang w:val="en-US" w:eastAsia="zh-CN" w:bidi="ar-SA"/>
    </w:rPr>
  </w:style>
  <w:style w:type="character" w:customStyle="1" w:styleId="202">
    <w:name w:val="Char Char172"/>
    <w:autoRedefine/>
    <w:qFormat/>
    <w:uiPriority w:val="0"/>
    <w:rPr>
      <w:rFonts w:eastAsia="宋体"/>
      <w:b/>
      <w:bCs/>
      <w:sz w:val="24"/>
      <w:szCs w:val="24"/>
      <w:lang w:val="en-US" w:eastAsia="zh-CN" w:bidi="ar-SA"/>
    </w:rPr>
  </w:style>
  <w:style w:type="character" w:customStyle="1" w:styleId="203">
    <w:name w:val="标题 2XW Char"/>
    <w:autoRedefine/>
    <w:qFormat/>
    <w:uiPriority w:val="0"/>
    <w:rPr>
      <w:rFonts w:ascii="Arial" w:hAnsi="Arial" w:eastAsia="黑体"/>
      <w:b/>
      <w:bCs/>
      <w:kern w:val="2"/>
      <w:sz w:val="32"/>
      <w:szCs w:val="32"/>
      <w:lang w:val="en-US" w:eastAsia="zh-CN" w:bidi="ar-SA"/>
    </w:rPr>
  </w:style>
  <w:style w:type="character" w:customStyle="1" w:styleId="204">
    <w:name w:val="SY-ZW Char Char"/>
    <w:autoRedefine/>
    <w:qFormat/>
    <w:uiPriority w:val="0"/>
    <w:rPr>
      <w:kern w:val="2"/>
      <w:sz w:val="24"/>
      <w:szCs w:val="24"/>
    </w:rPr>
  </w:style>
  <w:style w:type="character" w:customStyle="1" w:styleId="205">
    <w:name w:val="标题 5 Char1"/>
    <w:autoRedefine/>
    <w:qFormat/>
    <w:uiPriority w:val="0"/>
    <w:rPr>
      <w:b/>
      <w:bCs/>
      <w:kern w:val="2"/>
      <w:sz w:val="28"/>
      <w:szCs w:val="28"/>
    </w:rPr>
  </w:style>
  <w:style w:type="character" w:customStyle="1" w:styleId="206">
    <w:name w:val="标题 6 Char1"/>
    <w:autoRedefine/>
    <w:qFormat/>
    <w:uiPriority w:val="0"/>
    <w:rPr>
      <w:rFonts w:ascii="Arial" w:hAnsi="Arial" w:eastAsia="黑体"/>
      <w:b/>
      <w:bCs/>
      <w:sz w:val="24"/>
      <w:szCs w:val="24"/>
    </w:rPr>
  </w:style>
  <w:style w:type="character" w:customStyle="1" w:styleId="207">
    <w:name w:val="标题 1 Char2"/>
    <w:autoRedefine/>
    <w:qFormat/>
    <w:uiPriority w:val="0"/>
    <w:rPr>
      <w:rFonts w:eastAsia="宋体"/>
      <w:b/>
      <w:bCs/>
      <w:kern w:val="44"/>
      <w:sz w:val="44"/>
      <w:szCs w:val="44"/>
      <w:lang w:val="en-US" w:eastAsia="zh-CN" w:bidi="ar-SA"/>
    </w:rPr>
  </w:style>
  <w:style w:type="character" w:customStyle="1" w:styleId="208">
    <w:name w:val="标题 1 Char1"/>
    <w:basedOn w:val="49"/>
    <w:autoRedefine/>
    <w:qFormat/>
    <w:locked/>
    <w:uiPriority w:val="0"/>
    <w:rPr>
      <w:rFonts w:eastAsia="宋体"/>
      <w:b/>
      <w:bCs/>
      <w:kern w:val="44"/>
      <w:sz w:val="44"/>
      <w:szCs w:val="44"/>
      <w:lang w:val="en-US" w:eastAsia="zh-CN" w:bidi="ar-SA"/>
    </w:rPr>
  </w:style>
  <w:style w:type="character" w:customStyle="1" w:styleId="209">
    <w:name w:val="Char Char22"/>
    <w:autoRedefine/>
    <w:qFormat/>
    <w:uiPriority w:val="0"/>
    <w:rPr>
      <w:rFonts w:ascii="Arial" w:hAnsi="Arial" w:eastAsia="宋体" w:cs="Times New Roman"/>
      <w:b/>
      <w:bCs/>
      <w:sz w:val="32"/>
      <w:szCs w:val="32"/>
    </w:rPr>
  </w:style>
  <w:style w:type="character" w:customStyle="1" w:styleId="210">
    <w:name w:val="Char Char19"/>
    <w:autoRedefine/>
    <w:qFormat/>
    <w:uiPriority w:val="0"/>
    <w:rPr>
      <w:rFonts w:eastAsia="宋体"/>
      <w:b/>
      <w:bCs/>
      <w:kern w:val="2"/>
      <w:sz w:val="28"/>
      <w:szCs w:val="28"/>
      <w:lang w:val="en-US" w:eastAsia="zh-CN" w:bidi="ar-SA"/>
    </w:rPr>
  </w:style>
  <w:style w:type="character" w:customStyle="1" w:styleId="211">
    <w:name w:val="Char Char23"/>
    <w:autoRedefine/>
    <w:qFormat/>
    <w:uiPriority w:val="0"/>
    <w:rPr>
      <w:rFonts w:ascii="Times New Roman" w:hAnsi="Times New Roman" w:eastAsia="宋体" w:cs="Times New Roman"/>
      <w:b/>
      <w:bCs/>
      <w:kern w:val="44"/>
      <w:sz w:val="32"/>
      <w:szCs w:val="44"/>
    </w:rPr>
  </w:style>
  <w:style w:type="character" w:customStyle="1" w:styleId="212">
    <w:name w:val="Char Char18"/>
    <w:autoRedefine/>
    <w:qFormat/>
    <w:uiPriority w:val="0"/>
    <w:rPr>
      <w:rFonts w:ascii="Arial" w:hAnsi="Arial" w:eastAsia="黑体"/>
      <w:b/>
      <w:bCs/>
      <w:sz w:val="24"/>
      <w:szCs w:val="24"/>
      <w:lang w:val="en-US" w:eastAsia="zh-CN" w:bidi="ar-SA"/>
    </w:rPr>
  </w:style>
  <w:style w:type="character" w:customStyle="1" w:styleId="213">
    <w:name w:val="SY-ZW Char Char Char"/>
    <w:autoRedefine/>
    <w:qFormat/>
    <w:uiPriority w:val="0"/>
    <w:rPr>
      <w:rFonts w:eastAsia="宋体"/>
      <w:kern w:val="2"/>
      <w:sz w:val="24"/>
      <w:szCs w:val="24"/>
      <w:lang w:val="en-US" w:eastAsia="zh-CN" w:bidi="ar-SA"/>
    </w:rPr>
  </w:style>
  <w:style w:type="character" w:customStyle="1" w:styleId="214">
    <w:name w:val="正文文本缩进 Char2"/>
    <w:basedOn w:val="49"/>
    <w:autoRedefine/>
    <w:qFormat/>
    <w:uiPriority w:val="0"/>
    <w:rPr>
      <w:kern w:val="2"/>
      <w:sz w:val="21"/>
    </w:rPr>
  </w:style>
  <w:style w:type="character" w:customStyle="1" w:styleId="215">
    <w:name w:val="正文文本 Char2"/>
    <w:basedOn w:val="49"/>
    <w:autoRedefine/>
    <w:qFormat/>
    <w:uiPriority w:val="0"/>
    <w:rPr>
      <w:kern w:val="2"/>
      <w:sz w:val="21"/>
    </w:rPr>
  </w:style>
  <w:style w:type="character" w:customStyle="1" w:styleId="216">
    <w:name w:val="正文文本 3 Char2"/>
    <w:basedOn w:val="49"/>
    <w:autoRedefine/>
    <w:qFormat/>
    <w:uiPriority w:val="0"/>
    <w:rPr>
      <w:kern w:val="2"/>
      <w:sz w:val="16"/>
      <w:szCs w:val="16"/>
    </w:rPr>
  </w:style>
  <w:style w:type="character" w:customStyle="1" w:styleId="217">
    <w:name w:val="批注文字 Char1"/>
    <w:basedOn w:val="49"/>
    <w:autoRedefine/>
    <w:qFormat/>
    <w:uiPriority w:val="0"/>
    <w:rPr>
      <w:kern w:val="2"/>
      <w:sz w:val="21"/>
    </w:rPr>
  </w:style>
  <w:style w:type="character" w:customStyle="1" w:styleId="218">
    <w:name w:val="纯文本 Char2"/>
    <w:basedOn w:val="49"/>
    <w:autoRedefine/>
    <w:qFormat/>
    <w:uiPriority w:val="0"/>
    <w:rPr>
      <w:rFonts w:ascii="宋体" w:hAnsi="Courier New" w:cs="Courier New"/>
      <w:kern w:val="2"/>
      <w:sz w:val="21"/>
      <w:szCs w:val="21"/>
    </w:rPr>
  </w:style>
  <w:style w:type="character" w:customStyle="1" w:styleId="219">
    <w:name w:val="正文文本缩进 2 Char2"/>
    <w:basedOn w:val="49"/>
    <w:autoRedefine/>
    <w:qFormat/>
    <w:uiPriority w:val="0"/>
    <w:rPr>
      <w:kern w:val="2"/>
      <w:sz w:val="21"/>
    </w:rPr>
  </w:style>
  <w:style w:type="paragraph" w:customStyle="1" w:styleId="220">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character" w:customStyle="1" w:styleId="221">
    <w:name w:val="正文文本缩进 3 Char2"/>
    <w:basedOn w:val="49"/>
    <w:autoRedefine/>
    <w:qFormat/>
    <w:uiPriority w:val="0"/>
    <w:rPr>
      <w:kern w:val="2"/>
      <w:sz w:val="16"/>
      <w:szCs w:val="16"/>
    </w:rPr>
  </w:style>
  <w:style w:type="paragraph" w:customStyle="1" w:styleId="222">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3">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24">
    <w:name w:val="正文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5">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rPr>
  </w:style>
  <w:style w:type="paragraph" w:customStyle="1" w:styleId="226">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rPr>
  </w:style>
  <w:style w:type="paragraph" w:customStyle="1" w:styleId="227">
    <w:name w:val="xl42"/>
    <w:basedOn w:val="1"/>
    <w:autoRedefine/>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228">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9">
    <w:name w:val="xl37"/>
    <w:basedOn w:val="1"/>
    <w:autoRedefine/>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230">
    <w:name w:val="xl43"/>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31">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232">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33">
    <w:name w:val="font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34">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rPr>
  </w:style>
  <w:style w:type="paragraph" w:customStyle="1" w:styleId="235">
    <w:name w:val="xl25"/>
    <w:basedOn w:val="1"/>
    <w:autoRedefine/>
    <w:qFormat/>
    <w:uiPriority w:val="0"/>
    <w:pPr>
      <w:widowControl/>
      <w:spacing w:before="100" w:beforeAutospacing="1" w:after="100" w:afterAutospacing="1"/>
      <w:jc w:val="center"/>
    </w:pPr>
    <w:rPr>
      <w:rFonts w:ascii="宋体" w:hAnsi="宋体" w:cs="宋体"/>
      <w:kern w:val="0"/>
      <w:sz w:val="32"/>
      <w:szCs w:val="32"/>
    </w:rPr>
  </w:style>
  <w:style w:type="paragraph" w:customStyle="1" w:styleId="236">
    <w:name w:val="xl36"/>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37">
    <w:name w:val="xl32"/>
    <w:basedOn w:val="1"/>
    <w:autoRedefine/>
    <w:qFormat/>
    <w:uiPriority w:val="0"/>
    <w:pPr>
      <w:widowControl/>
      <w:spacing w:before="100" w:beforeAutospacing="1" w:after="100" w:afterAutospacing="1"/>
      <w:jc w:val="center"/>
    </w:pPr>
    <w:rPr>
      <w:rFonts w:ascii="宋体" w:hAnsi="宋体" w:cs="宋体"/>
      <w:kern w:val="0"/>
      <w:sz w:val="24"/>
    </w:rPr>
  </w:style>
  <w:style w:type="paragraph" w:customStyle="1" w:styleId="238">
    <w:name w:val="font6"/>
    <w:basedOn w:val="1"/>
    <w:autoRedefine/>
    <w:qFormat/>
    <w:uiPriority w:val="0"/>
    <w:pPr>
      <w:widowControl/>
      <w:spacing w:before="100" w:beforeAutospacing="1" w:after="100" w:afterAutospacing="1"/>
      <w:jc w:val="left"/>
    </w:pPr>
    <w:rPr>
      <w:kern w:val="0"/>
      <w:sz w:val="24"/>
    </w:rPr>
  </w:style>
  <w:style w:type="paragraph" w:customStyle="1" w:styleId="239">
    <w:name w:val="xl24"/>
    <w:basedOn w:val="1"/>
    <w:autoRedefine/>
    <w:qFormat/>
    <w:uiPriority w:val="0"/>
    <w:pPr>
      <w:widowControl/>
      <w:spacing w:before="100" w:beforeAutospacing="1" w:after="100" w:afterAutospacing="1"/>
      <w:jc w:val="left"/>
    </w:pPr>
    <w:rPr>
      <w:rFonts w:ascii="宋体" w:hAnsi="宋体" w:cs="宋体"/>
      <w:kern w:val="0"/>
      <w:sz w:val="32"/>
      <w:szCs w:val="32"/>
    </w:rPr>
  </w:style>
  <w:style w:type="paragraph" w:customStyle="1" w:styleId="240">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2"/>
      <w:szCs w:val="22"/>
    </w:rPr>
  </w:style>
  <w:style w:type="paragraph" w:customStyle="1" w:styleId="241">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24"/>
    </w:rPr>
  </w:style>
  <w:style w:type="paragraph" w:customStyle="1" w:styleId="242">
    <w:name w:val="样式3"/>
    <w:basedOn w:val="1"/>
    <w:autoRedefine/>
    <w:qFormat/>
    <w:uiPriority w:val="0"/>
    <w:pPr>
      <w:keepNext/>
      <w:keepLines/>
      <w:spacing w:line="400" w:lineRule="exact"/>
      <w:outlineLvl w:val="0"/>
    </w:pPr>
    <w:rPr>
      <w:b/>
      <w:bCs/>
      <w:kern w:val="44"/>
      <w:sz w:val="28"/>
      <w:szCs w:val="44"/>
    </w:rPr>
  </w:style>
  <w:style w:type="paragraph" w:customStyle="1" w:styleId="243">
    <w:name w:val="列出段落1"/>
    <w:basedOn w:val="1"/>
    <w:autoRedefine/>
    <w:qFormat/>
    <w:uiPriority w:val="0"/>
    <w:pPr>
      <w:ind w:firstLine="420" w:firstLineChars="200"/>
    </w:pPr>
    <w:rPr>
      <w:rFonts w:ascii="Calibri" w:hAnsi="Calibri"/>
      <w:szCs w:val="22"/>
    </w:rPr>
  </w:style>
  <w:style w:type="paragraph" w:customStyle="1" w:styleId="244">
    <w:name w:val="Char Char Char Char Char Char Char"/>
    <w:basedOn w:val="1"/>
    <w:next w:val="1"/>
    <w:autoRedefine/>
    <w:qFormat/>
    <w:uiPriority w:val="0"/>
    <w:pPr>
      <w:tabs>
        <w:tab w:val="left" w:pos="425"/>
      </w:tabs>
      <w:spacing w:beforeLines="50" w:afterLines="100" w:line="360" w:lineRule="auto"/>
      <w:ind w:left="1105" w:hanging="748"/>
      <w:jc w:val="center"/>
    </w:pPr>
  </w:style>
  <w:style w:type="character" w:customStyle="1" w:styleId="245">
    <w:name w:val="EmailStyle2461"/>
    <w:basedOn w:val="49"/>
    <w:autoRedefine/>
    <w:qFormat/>
    <w:uiPriority w:val="0"/>
    <w:rPr>
      <w:rFonts w:ascii="Arial" w:hAnsi="Arial" w:eastAsia="宋体" w:cs="Arial"/>
      <w:color w:val="auto"/>
      <w:sz w:val="20"/>
    </w:rPr>
  </w:style>
  <w:style w:type="character" w:customStyle="1" w:styleId="246">
    <w:name w:val="EmailStyle2471"/>
    <w:basedOn w:val="49"/>
    <w:autoRedefine/>
    <w:qFormat/>
    <w:uiPriority w:val="0"/>
    <w:rPr>
      <w:rFonts w:ascii="Arial" w:hAnsi="Arial" w:eastAsia="宋体" w:cs="Arial"/>
      <w:color w:val="auto"/>
      <w:sz w:val="20"/>
    </w:rPr>
  </w:style>
  <w:style w:type="character" w:customStyle="1" w:styleId="247">
    <w:name w:val="EmailStyle2481"/>
    <w:basedOn w:val="49"/>
    <w:autoRedefine/>
    <w:qFormat/>
    <w:uiPriority w:val="0"/>
    <w:rPr>
      <w:rFonts w:ascii="Arial" w:hAnsi="Arial" w:eastAsia="宋体" w:cs="Arial"/>
      <w:color w:val="auto"/>
      <w:sz w:val="20"/>
    </w:rPr>
  </w:style>
  <w:style w:type="character" w:customStyle="1" w:styleId="248">
    <w:name w:val="EmailStyle2491"/>
    <w:basedOn w:val="49"/>
    <w:autoRedefine/>
    <w:qFormat/>
    <w:uiPriority w:val="0"/>
    <w:rPr>
      <w:rFonts w:ascii="Arial" w:hAnsi="Arial" w:eastAsia="宋体" w:cs="Arial"/>
      <w:color w:val="auto"/>
      <w:sz w:val="20"/>
    </w:rPr>
  </w:style>
  <w:style w:type="paragraph" w:customStyle="1" w:styleId="249">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character" w:customStyle="1" w:styleId="250">
    <w:name w:val="fontstyle01"/>
    <w:basedOn w:val="49"/>
    <w:autoRedefine/>
    <w:qFormat/>
    <w:uiPriority w:val="0"/>
    <w:rPr>
      <w:rFonts w:hint="eastAsia" w:ascii="宋体" w:hAnsi="宋体" w:eastAsia="宋体"/>
      <w:color w:val="000000"/>
      <w:sz w:val="22"/>
      <w:szCs w:val="22"/>
    </w:rPr>
  </w:style>
  <w:style w:type="character" w:customStyle="1" w:styleId="251">
    <w:name w:val="fontstyle21"/>
    <w:basedOn w:val="49"/>
    <w:autoRedefine/>
    <w:qFormat/>
    <w:uiPriority w:val="0"/>
    <w:rPr>
      <w:rFonts w:hint="default" w:ascii="Times New Roman" w:hAnsi="Times New Roman" w:cs="Times New Roman"/>
      <w:color w:val="000000"/>
      <w:sz w:val="22"/>
      <w:szCs w:val="22"/>
    </w:rPr>
  </w:style>
  <w:style w:type="character" w:customStyle="1" w:styleId="252">
    <w:name w:val="EmailStyle253"/>
    <w:basedOn w:val="49"/>
    <w:autoRedefine/>
    <w:qFormat/>
    <w:uiPriority w:val="0"/>
    <w:rPr>
      <w:rFonts w:ascii="Arial" w:hAnsi="Arial" w:eastAsia="宋体" w:cs="Arial"/>
      <w:color w:val="auto"/>
      <w:sz w:val="20"/>
    </w:rPr>
  </w:style>
  <w:style w:type="character" w:customStyle="1" w:styleId="253">
    <w:name w:val="EmailStyle254"/>
    <w:basedOn w:val="49"/>
    <w:autoRedefine/>
    <w:qFormat/>
    <w:uiPriority w:val="0"/>
    <w:rPr>
      <w:rFonts w:ascii="Arial" w:hAnsi="Arial" w:eastAsia="宋体" w:cs="Arial"/>
      <w:color w:val="auto"/>
      <w:sz w:val="20"/>
    </w:rPr>
  </w:style>
  <w:style w:type="character" w:customStyle="1" w:styleId="254">
    <w:name w:val="EmailStyle255"/>
    <w:basedOn w:val="49"/>
    <w:autoRedefine/>
    <w:qFormat/>
    <w:uiPriority w:val="0"/>
    <w:rPr>
      <w:rFonts w:ascii="Arial" w:hAnsi="Arial" w:eastAsia="宋体" w:cs="Arial"/>
      <w:color w:val="auto"/>
      <w:sz w:val="20"/>
    </w:rPr>
  </w:style>
  <w:style w:type="character" w:customStyle="1" w:styleId="255">
    <w:name w:val="EmailStyle256"/>
    <w:basedOn w:val="49"/>
    <w:autoRedefine/>
    <w:qFormat/>
    <w:uiPriority w:val="0"/>
    <w:rPr>
      <w:rFonts w:ascii="Arial" w:hAnsi="Arial" w:eastAsia="宋体" w:cs="Arial"/>
      <w:color w:val="auto"/>
      <w:sz w:val="20"/>
    </w:rPr>
  </w:style>
  <w:style w:type="character" w:customStyle="1" w:styleId="256">
    <w:name w:val="EmailStyle257"/>
    <w:basedOn w:val="49"/>
    <w:autoRedefine/>
    <w:qFormat/>
    <w:uiPriority w:val="0"/>
    <w:rPr>
      <w:rFonts w:ascii="Arial" w:hAnsi="Arial" w:eastAsia="宋体" w:cs="Arial"/>
      <w:color w:val="auto"/>
      <w:sz w:val="20"/>
    </w:rPr>
  </w:style>
  <w:style w:type="character" w:customStyle="1" w:styleId="257">
    <w:name w:val="EmailStyle258"/>
    <w:basedOn w:val="49"/>
    <w:autoRedefine/>
    <w:qFormat/>
    <w:uiPriority w:val="0"/>
    <w:rPr>
      <w:rFonts w:ascii="Arial" w:hAnsi="Arial" w:eastAsia="宋体" w:cs="Arial"/>
      <w:color w:val="auto"/>
      <w:sz w:val="20"/>
    </w:rPr>
  </w:style>
  <w:style w:type="character" w:customStyle="1" w:styleId="258">
    <w:name w:val="EmailStyle259"/>
    <w:basedOn w:val="49"/>
    <w:autoRedefine/>
    <w:qFormat/>
    <w:uiPriority w:val="0"/>
    <w:rPr>
      <w:rFonts w:ascii="Arial" w:hAnsi="Arial" w:eastAsia="宋体" w:cs="Arial"/>
      <w:color w:val="auto"/>
      <w:sz w:val="20"/>
    </w:rPr>
  </w:style>
  <w:style w:type="character" w:customStyle="1" w:styleId="259">
    <w:name w:val="EmailStyle260"/>
    <w:basedOn w:val="49"/>
    <w:autoRedefine/>
    <w:qFormat/>
    <w:uiPriority w:val="0"/>
    <w:rPr>
      <w:rFonts w:ascii="Arial" w:hAnsi="Arial" w:eastAsia="宋体" w:cs="Arial"/>
      <w:color w:val="auto"/>
      <w:sz w:val="20"/>
    </w:rPr>
  </w:style>
  <w:style w:type="paragraph" w:customStyle="1" w:styleId="260">
    <w:name w:val="正文（绿盟科技）"/>
    <w:autoRedefine/>
    <w:qFormat/>
    <w:uiPriority w:val="0"/>
    <w:pPr>
      <w:spacing w:line="300" w:lineRule="auto"/>
    </w:pPr>
    <w:rPr>
      <w:rFonts w:ascii="Arial" w:hAnsi="Arial" w:eastAsia="宋体" w:cs="Times New Roman"/>
      <w:sz w:val="21"/>
      <w:szCs w:val="21"/>
      <w:lang w:val="en-US" w:eastAsia="zh-CN" w:bidi="ar-SA"/>
    </w:rPr>
  </w:style>
  <w:style w:type="paragraph" w:customStyle="1" w:styleId="261">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2">
    <w:name w:val="TOC 标题_0"/>
    <w:basedOn w:val="263"/>
    <w:next w:val="261"/>
    <w:autoRedefine/>
    <w:qFormat/>
    <w:uiPriority w:val="0"/>
    <w:pPr>
      <w:outlineLvl w:val="9"/>
    </w:pPr>
  </w:style>
  <w:style w:type="paragraph" w:customStyle="1" w:styleId="263">
    <w:name w:val="标题 1_0"/>
    <w:basedOn w:val="261"/>
    <w:next w:val="261"/>
    <w:autoRedefine/>
    <w:qFormat/>
    <w:uiPriority w:val="0"/>
    <w:pPr>
      <w:keepNext/>
      <w:keepLines/>
      <w:spacing w:before="340" w:after="330" w:line="578" w:lineRule="auto"/>
      <w:outlineLvl w:val="0"/>
    </w:pPr>
    <w:rPr>
      <w:b/>
      <w:bCs/>
      <w:kern w:val="44"/>
      <w:sz w:val="44"/>
      <w:szCs w:val="44"/>
    </w:rPr>
  </w:style>
  <w:style w:type="paragraph" w:customStyle="1" w:styleId="264">
    <w:name w:val="标题 3_0"/>
    <w:basedOn w:val="261"/>
    <w:next w:val="261"/>
    <w:autoRedefine/>
    <w:qFormat/>
    <w:uiPriority w:val="0"/>
    <w:pPr>
      <w:keepNext/>
      <w:keepLines/>
      <w:spacing w:before="260" w:after="260" w:line="416" w:lineRule="auto"/>
      <w:outlineLvl w:val="2"/>
    </w:pPr>
    <w:rPr>
      <w:b/>
      <w:bCs/>
      <w:sz w:val="32"/>
      <w:szCs w:val="32"/>
    </w:rPr>
  </w:style>
  <w:style w:type="paragraph" w:customStyle="1" w:styleId="265">
    <w:name w:val="标题 4_0"/>
    <w:basedOn w:val="261"/>
    <w:next w:val="261"/>
    <w:autoRedefine/>
    <w:qFormat/>
    <w:uiPriority w:val="0"/>
    <w:pPr>
      <w:keepNext/>
      <w:keepLines/>
      <w:spacing w:before="280" w:after="290" w:line="376" w:lineRule="auto"/>
      <w:outlineLvl w:val="3"/>
    </w:pPr>
    <w:rPr>
      <w:rFonts w:ascii="Arial" w:hAnsi="Arial" w:eastAsia="黑体"/>
      <w:b/>
      <w:bCs/>
      <w:sz w:val="28"/>
      <w:szCs w:val="28"/>
    </w:rPr>
  </w:style>
  <w:style w:type="paragraph" w:customStyle="1" w:styleId="266">
    <w:name w:val="标题 5_0"/>
    <w:basedOn w:val="261"/>
    <w:next w:val="261"/>
    <w:autoRedefine/>
    <w:qFormat/>
    <w:uiPriority w:val="0"/>
    <w:pPr>
      <w:keepNext/>
      <w:keepLines/>
      <w:spacing w:before="280" w:after="290" w:line="376" w:lineRule="auto"/>
      <w:outlineLvl w:val="4"/>
    </w:pPr>
    <w:rPr>
      <w:b/>
      <w:bCs/>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1.wmf"/><Relationship Id="rId8" Type="http://schemas.openxmlformats.org/officeDocument/2006/relationships/oleObject" Target="embeddings/oleObject1.bin"/><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5.wmf"/><Relationship Id="rId16" Type="http://schemas.openxmlformats.org/officeDocument/2006/relationships/oleObject" Target="embeddings/oleObject5.bin"/><Relationship Id="rId15" Type="http://schemas.openxmlformats.org/officeDocument/2006/relationships/image" Target="media/image4.wmf"/><Relationship Id="rId14" Type="http://schemas.openxmlformats.org/officeDocument/2006/relationships/oleObject" Target="embeddings/oleObject4.bin"/><Relationship Id="rId13" Type="http://schemas.openxmlformats.org/officeDocument/2006/relationships/image" Target="media/image3.wmf"/><Relationship Id="rId12" Type="http://schemas.openxmlformats.org/officeDocument/2006/relationships/oleObject" Target="embeddings/oleObject3.bin"/><Relationship Id="rId11" Type="http://schemas.openxmlformats.org/officeDocument/2006/relationships/image" Target="media/image2.w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E2F51E0-9938-432A-9B9A-2C6579757683}">
  <ds:schemaRefs/>
</ds:datastoreItem>
</file>

<file path=docProps/app.xml><?xml version="1.0" encoding="utf-8"?>
<Properties xmlns="http://schemas.openxmlformats.org/officeDocument/2006/extended-properties" xmlns:vt="http://schemas.openxmlformats.org/officeDocument/2006/docPropsVTypes">
  <Template>Normal.dotm</Template>
  <Company>WWW.YlmF.CoM</Company>
  <Pages>182</Pages>
  <Words>95702</Words>
  <Characters>100429</Characters>
  <Lines>363</Lines>
  <Paragraphs>102</Paragraphs>
  <TotalTime>120</TotalTime>
  <ScaleCrop>false</ScaleCrop>
  <LinksUpToDate>false</LinksUpToDate>
  <CharactersWithSpaces>116014</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2014-06-04T14:42:00Z</dcterms:created>
  <dc:creator>雨林木风</dc:creator>
  <cp:lastModifiedBy>Administrator</cp:lastModifiedBy>
  <cp:lastPrinted>2024-03-26T08:21:00Z</cp:lastPrinted>
  <dcterms:modified xsi:type="dcterms:W3CDTF">2024-04-03T02:20:58Z</dcterms:modified>
  <dc:title>            （项目名称）             标段施工招标</dc:title>
  <cp:revision>918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99D07274E0C64284A7BCF42275A1580F_13</vt:lpwstr>
  </property>
</Properties>
</file>