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48F0B">
      <w:pPr>
        <w:spacing w:before="0"/>
        <w:ind w:left="22" w:right="22" w:firstLine="1470" w:firstLineChars="700"/>
        <w:jc w:val="right"/>
        <w:rPr>
          <w:rFonts w:hint="eastAsia" w:ascii="宋体" w:hAnsi="宋体" w:cs="宋体"/>
          <w:b/>
          <w:bCs/>
          <w:color w:val="000000" w:themeColor="text1"/>
          <w:lang w:val="en-US" w:eastAsia="zh-CN"/>
          <w14:textFill>
            <w14:solidFill>
              <w14:schemeClr w14:val="tx1"/>
            </w14:solidFill>
          </w14:textFill>
        </w:rPr>
      </w:pPr>
      <w:bookmarkStart w:id="0" w:name="_Toc152042287"/>
      <w:bookmarkStart w:id="1" w:name="_Toc144974479"/>
      <w:bookmarkStart w:id="2" w:name="_Toc152045511"/>
      <w:bookmarkStart w:id="3" w:name="_Toc179632527"/>
      <w:r>
        <w:rPr>
          <w:rFonts w:hint="eastAsia" w:ascii="宋体" w:hAnsi="宋体" w:cs="宋体"/>
          <w:b/>
          <w:bCs/>
          <w:color w:val="000000" w:themeColor="text1"/>
          <w:lang w:val="en-US" w:eastAsia="zh-CN"/>
          <w14:textFill>
            <w14:solidFill>
              <w14:schemeClr w14:val="tx1"/>
            </w14:solidFill>
          </w14:textFill>
        </w:rPr>
        <w:t xml:space="preserve">  </w:t>
      </w:r>
      <w:r>
        <w:rPr>
          <w:rFonts w:hint="eastAsia" w:ascii="宋体" w:hAnsi="宋体" w:eastAsia="宋体" w:cs="宋体"/>
          <w:b/>
          <w:bCs/>
          <w:color w:val="000000" w:themeColor="text1"/>
          <w14:textFill>
            <w14:solidFill>
              <w14:schemeClr w14:val="tx1"/>
            </w14:solidFill>
          </w14:textFill>
        </w:rPr>
        <w:t>招标项目编号</w:t>
      </w:r>
      <w:r>
        <w:rPr>
          <w:rFonts w:hint="eastAsia" w:ascii="宋体" w:hAnsi="宋体" w:cs="宋体"/>
          <w:b/>
          <w:bCs/>
          <w:color w:val="000000" w:themeColor="text1"/>
          <w:lang w:val="en-US" w:eastAsia="zh-CN"/>
          <w14:textFill>
            <w14:solidFill>
              <w14:schemeClr w14:val="tx1"/>
            </w14:solidFill>
          </w14:textFill>
        </w:rPr>
        <w:t>：采购计划-[2025]-08522号</w:t>
      </w:r>
    </w:p>
    <w:p w14:paraId="7C59B85B">
      <w:pPr>
        <w:adjustRightInd w:val="0"/>
        <w:snapToGrid w:val="0"/>
        <w:spacing w:before="312" w:beforeLines="100" w:line="240" w:lineRule="auto"/>
        <w:ind w:firstLine="420" w:firstLineChars="200"/>
        <w:jc w:val="right"/>
        <w:rPr>
          <w:rFonts w:hint="eastAsia" w:ascii="宋体" w:hAnsi="宋体" w:eastAsia="宋体" w:cs="宋体"/>
          <w:b/>
          <w:bCs/>
          <w:lang w:val="en-US" w:eastAsia="zh-CN"/>
        </w:rPr>
      </w:pPr>
      <w:r>
        <w:rPr>
          <w:rFonts w:hint="eastAsia" w:ascii="宋体" w:hAnsi="宋体" w:eastAsia="宋体" w:cs="宋体"/>
          <w:b/>
          <w:bCs/>
          <w:lang w:eastAsia="zh-CN"/>
        </w:rPr>
        <w:t xml:space="preserve">  </w:t>
      </w:r>
    </w:p>
    <w:p w14:paraId="3032A2FC">
      <w:pPr>
        <w:pStyle w:val="80"/>
        <w:jc w:val="center"/>
        <w:rPr>
          <w:rFonts w:hint="eastAsia" w:ascii="宋体" w:hAnsi="宋体" w:eastAsia="宋体" w:cs="宋体"/>
          <w:b/>
          <w:bCs/>
          <w:sz w:val="44"/>
          <w:szCs w:val="44"/>
          <w:lang w:val="en-US" w:eastAsia="zh-CN"/>
        </w:rPr>
      </w:pPr>
    </w:p>
    <w:p w14:paraId="199AC33B">
      <w:pPr>
        <w:jc w:val="center"/>
        <w:rPr>
          <w:rFonts w:hint="eastAsia" w:eastAsia="宋体"/>
          <w:b/>
          <w:sz w:val="52"/>
          <w:szCs w:val="52"/>
          <w:lang w:eastAsia="zh-CN"/>
        </w:rPr>
      </w:pPr>
      <w:r>
        <w:rPr>
          <w:rFonts w:hint="eastAsia"/>
          <w:b/>
          <w:sz w:val="56"/>
          <w:szCs w:val="56"/>
          <w:lang w:eastAsia="zh-CN"/>
        </w:rPr>
        <w:t>桦甸市人民法院物业服务项目</w:t>
      </w:r>
    </w:p>
    <w:p w14:paraId="49E819CF">
      <w:pPr>
        <w:pStyle w:val="30"/>
        <w:rPr>
          <w:rFonts w:hint="eastAsia" w:ascii="宋体" w:hAnsi="宋体" w:eastAsia="宋体" w:cs="宋体"/>
          <w:b/>
          <w:bCs/>
          <w:sz w:val="52"/>
          <w:szCs w:val="52"/>
          <w:lang w:val="en-US" w:eastAsia="zh-CN"/>
        </w:rPr>
      </w:pPr>
    </w:p>
    <w:p w14:paraId="090F5522">
      <w:pPr>
        <w:pStyle w:val="30"/>
        <w:rPr>
          <w:rFonts w:hint="eastAsia" w:ascii="宋体" w:hAnsi="宋体" w:eastAsia="宋体" w:cs="宋体"/>
          <w:b/>
          <w:bCs/>
          <w:sz w:val="52"/>
          <w:szCs w:val="52"/>
          <w:lang w:val="en-US" w:eastAsia="zh-CN"/>
        </w:rPr>
      </w:pPr>
    </w:p>
    <w:p w14:paraId="77884FE3">
      <w:pPr>
        <w:wordWrap w:val="0"/>
        <w:jc w:val="center"/>
        <w:rPr>
          <w:rFonts w:hint="eastAsia" w:ascii="宋体" w:hAnsi="宋体" w:cs="宋体"/>
          <w:b/>
          <w:color w:val="auto"/>
          <w:sz w:val="24"/>
          <w:szCs w:val="24"/>
          <w:highlight w:val="none"/>
        </w:rPr>
      </w:pPr>
      <w:r>
        <w:rPr>
          <w:rFonts w:hint="eastAsia" w:ascii="宋体" w:hAnsi="宋体" w:cs="宋体"/>
          <w:b/>
          <w:color w:val="auto"/>
          <w:sz w:val="56"/>
          <w:szCs w:val="56"/>
          <w:highlight w:val="none"/>
        </w:rPr>
        <w:t>竞争性磋商文件</w:t>
      </w:r>
    </w:p>
    <w:p w14:paraId="3A15CC0D">
      <w:pPr>
        <w:spacing w:before="0"/>
        <w:ind w:left="22" w:right="22" w:firstLine="0"/>
        <w:jc w:val="center"/>
        <w:rPr>
          <w:b/>
          <w:sz w:val="36"/>
        </w:rPr>
      </w:pPr>
    </w:p>
    <w:p w14:paraId="7C81130C">
      <w:pPr>
        <w:pStyle w:val="21"/>
        <w:rPr>
          <w:rFonts w:hint="eastAsia"/>
        </w:rPr>
      </w:pPr>
    </w:p>
    <w:p w14:paraId="4C5D5241">
      <w:pPr>
        <w:spacing w:line="500" w:lineRule="exact"/>
        <w:rPr>
          <w:rFonts w:hint="eastAsia"/>
          <w:b/>
          <w:sz w:val="36"/>
        </w:rPr>
      </w:pPr>
    </w:p>
    <w:p w14:paraId="7CB96B4D">
      <w:pPr>
        <w:pStyle w:val="21"/>
        <w:rPr>
          <w:rFonts w:hint="eastAsia"/>
          <w:b/>
          <w:sz w:val="36"/>
        </w:rPr>
      </w:pPr>
    </w:p>
    <w:p w14:paraId="1D1E871F">
      <w:pPr>
        <w:pStyle w:val="21"/>
        <w:rPr>
          <w:rFonts w:hint="eastAsia"/>
          <w:b/>
          <w:sz w:val="36"/>
        </w:rPr>
      </w:pPr>
    </w:p>
    <w:p w14:paraId="4C1000B7">
      <w:pPr>
        <w:pStyle w:val="21"/>
        <w:ind w:left="0" w:leftChars="0" w:firstLine="0" w:firstLineChars="0"/>
        <w:rPr>
          <w:rFonts w:hint="eastAsia"/>
          <w:b/>
          <w:sz w:val="36"/>
        </w:rPr>
      </w:pPr>
    </w:p>
    <w:p w14:paraId="614FDCAF">
      <w:pPr>
        <w:pStyle w:val="21"/>
        <w:ind w:left="0" w:leftChars="0" w:firstLine="0" w:firstLineChars="0"/>
        <w:rPr>
          <w:rFonts w:hint="eastAsia"/>
          <w:b/>
          <w:sz w:val="36"/>
        </w:rPr>
      </w:pPr>
    </w:p>
    <w:p w14:paraId="06CEE39B">
      <w:pPr>
        <w:pStyle w:val="21"/>
        <w:ind w:left="0" w:leftChars="0" w:firstLine="0" w:firstLineChars="0"/>
        <w:rPr>
          <w:rFonts w:hint="eastAsia"/>
          <w:b/>
          <w:sz w:val="36"/>
        </w:rPr>
      </w:pPr>
    </w:p>
    <w:p w14:paraId="620DACC1">
      <w:pPr>
        <w:spacing w:line="500" w:lineRule="exact"/>
        <w:ind w:firstLine="720" w:firstLineChars="200"/>
        <w:rPr>
          <w:rFonts w:hint="eastAsia"/>
          <w:b/>
          <w:sz w:val="36"/>
        </w:rPr>
      </w:pPr>
    </w:p>
    <w:p w14:paraId="6AB2E0B4">
      <w:pPr>
        <w:ind w:firstLine="720" w:firstLineChars="200"/>
        <w:jc w:val="left"/>
        <w:rPr>
          <w:rFonts w:hint="eastAsia" w:ascii="Times New Roman" w:hAnsi="Times New Roman" w:eastAsia="宋体" w:cs="Times New Roman"/>
          <w:b/>
          <w:sz w:val="36"/>
          <w:lang w:val="en-US" w:eastAsia="zh-CN"/>
        </w:rPr>
      </w:pPr>
      <w:r>
        <w:rPr>
          <w:rFonts w:hint="eastAsia"/>
          <w:b/>
          <w:sz w:val="36"/>
        </w:rPr>
        <w:t>招标人：</w:t>
      </w:r>
      <w:r>
        <w:rPr>
          <w:rFonts w:hint="eastAsia"/>
          <w:b/>
          <w:sz w:val="36"/>
          <w:lang w:eastAsia="zh-CN"/>
        </w:rPr>
        <w:t>桦甸市人民法院</w:t>
      </w:r>
    </w:p>
    <w:p w14:paraId="15D614AB">
      <w:pPr>
        <w:spacing w:line="500" w:lineRule="exact"/>
        <w:ind w:firstLine="720" w:firstLineChars="200"/>
        <w:rPr>
          <w:rFonts w:hint="eastAsia" w:ascii="Times New Roman" w:hAnsi="Times New Roman" w:eastAsia="宋体" w:cs="Times New Roman"/>
          <w:b/>
          <w:sz w:val="36"/>
          <w:lang w:eastAsia="zh-CN"/>
        </w:rPr>
      </w:pPr>
    </w:p>
    <w:p w14:paraId="2E79659A">
      <w:pPr>
        <w:spacing w:line="500" w:lineRule="exact"/>
        <w:ind w:firstLine="720" w:firstLineChars="200"/>
        <w:rPr>
          <w:rFonts w:hint="eastAsia" w:ascii="Times New Roman" w:hAnsi="Times New Roman" w:eastAsia="宋体" w:cs="Times New Roman"/>
          <w:b/>
          <w:sz w:val="36"/>
          <w:lang w:eastAsia="zh-CN"/>
        </w:rPr>
      </w:pPr>
      <w:r>
        <w:rPr>
          <w:rFonts w:hint="eastAsia" w:ascii="Times New Roman" w:hAnsi="Times New Roman" w:eastAsia="宋体" w:cs="Times New Roman"/>
          <w:b/>
          <w:sz w:val="36"/>
          <w:lang w:eastAsia="zh-CN"/>
        </w:rPr>
        <w:t>采购代理机构：</w:t>
      </w:r>
      <w:r>
        <w:rPr>
          <w:rFonts w:hint="eastAsia" w:ascii="Times New Roman" w:hAnsi="Times New Roman" w:eastAsia="宋体" w:cs="Times New Roman"/>
          <w:b/>
          <w:sz w:val="36"/>
          <w:lang w:val="en-US" w:eastAsia="zh-CN"/>
        </w:rPr>
        <w:t>桦甸市人民政府信息中心</w:t>
      </w:r>
    </w:p>
    <w:p w14:paraId="50FC05B7">
      <w:pPr>
        <w:pStyle w:val="129"/>
        <w:rPr>
          <w:rFonts w:hint="eastAsia"/>
          <w:lang w:eastAsia="zh-CN"/>
        </w:rPr>
      </w:pPr>
    </w:p>
    <w:p w14:paraId="1595E0F1">
      <w:pPr>
        <w:pStyle w:val="129"/>
        <w:rPr>
          <w:rFonts w:hint="eastAsia"/>
          <w:lang w:eastAsia="zh-CN"/>
        </w:rPr>
      </w:pPr>
    </w:p>
    <w:p w14:paraId="3A493D07">
      <w:pPr>
        <w:spacing w:before="0"/>
        <w:ind w:left="22" w:right="545" w:firstLine="720" w:firstLineChars="200"/>
        <w:jc w:val="both"/>
        <w:rPr>
          <w:rFonts w:hint="eastAsia" w:ascii="微软雅黑" w:hAnsi="微软雅黑" w:eastAsia="微软雅黑" w:cs="微软雅黑"/>
          <w:b/>
          <w:bCs/>
          <w:iCs/>
          <w:caps/>
          <w:kern w:val="2"/>
          <w:sz w:val="20"/>
          <w:szCs w:val="20"/>
        </w:rPr>
        <w:sectPr>
          <w:headerReference r:id="rId3" w:type="default"/>
          <w:footerReference r:id="rId4" w:type="default"/>
          <w:pgSz w:w="11906" w:h="16838"/>
          <w:pgMar w:top="1440" w:right="1080" w:bottom="1440" w:left="1080" w:header="851" w:footer="992" w:gutter="0"/>
          <w:pgNumType w:fmt="decimal" w:start="1"/>
          <w:cols w:space="720" w:num="1"/>
          <w:docGrid w:type="linesAndChars" w:linePitch="312" w:charSpace="0"/>
        </w:sectPr>
      </w:pPr>
      <w:r>
        <w:rPr>
          <w:rFonts w:hint="eastAsia"/>
          <w:b/>
          <w:sz w:val="36"/>
          <w:lang w:val="en-US" w:eastAsia="zh-CN"/>
        </w:rPr>
        <w:t xml:space="preserve">                  </w:t>
      </w:r>
      <w:r>
        <w:rPr>
          <w:b/>
          <w:sz w:val="36"/>
        </w:rPr>
        <w:t>二〇二</w:t>
      </w:r>
      <w:r>
        <w:rPr>
          <w:rFonts w:hint="eastAsia"/>
          <w:b/>
          <w:sz w:val="36"/>
          <w:lang w:eastAsia="zh-CN"/>
        </w:rPr>
        <w:t>五</w:t>
      </w:r>
      <w:r>
        <w:rPr>
          <w:b/>
          <w:sz w:val="36"/>
        </w:rPr>
        <w:t>年</w:t>
      </w:r>
      <w:r>
        <w:rPr>
          <w:rFonts w:hint="eastAsia"/>
          <w:b/>
          <w:sz w:val="36"/>
          <w:lang w:val="en-US" w:eastAsia="zh-CN"/>
        </w:rPr>
        <w:t>七</w:t>
      </w:r>
      <w:r>
        <w:rPr>
          <w:b/>
          <w:sz w:val="36"/>
        </w:rPr>
        <w:t>月</w:t>
      </w:r>
    </w:p>
    <w:bookmarkEnd w:id="0"/>
    <w:bookmarkEnd w:id="1"/>
    <w:bookmarkEnd w:id="2"/>
    <w:bookmarkEnd w:id="3"/>
    <w:p w14:paraId="36BD45D5">
      <w:pPr>
        <w:wordWrap w:val="0"/>
        <w:spacing w:line="480" w:lineRule="auto"/>
        <w:jc w:val="center"/>
        <w:rPr>
          <w:rFonts w:hint="eastAsia" w:ascii="宋体" w:hAnsi="宋体" w:cs="宋体"/>
          <w:b/>
          <w:bCs/>
          <w:color w:val="auto"/>
          <w:sz w:val="44"/>
          <w:szCs w:val="40"/>
          <w:highlight w:val="none"/>
        </w:rPr>
      </w:pPr>
      <w:bookmarkStart w:id="4" w:name="_Toc31800"/>
      <w:bookmarkStart w:id="5" w:name="_Toc246996917"/>
      <w:bookmarkStart w:id="6" w:name="_Toc144974496"/>
      <w:bookmarkStart w:id="7" w:name="_Toc152042304"/>
      <w:bookmarkStart w:id="8" w:name="_Toc152045528"/>
      <w:bookmarkStart w:id="9" w:name="_Toc247085688"/>
      <w:bookmarkStart w:id="10" w:name="_Toc179632545"/>
      <w:bookmarkStart w:id="11" w:name="_Toc246996174"/>
      <w:bookmarkStart w:id="12" w:name="_Toc14484"/>
      <w:bookmarkStart w:id="13" w:name="_Toc403061794"/>
      <w:r>
        <w:rPr>
          <w:rFonts w:hint="eastAsia" w:ascii="宋体" w:hAnsi="宋体" w:cs="宋体"/>
          <w:b/>
          <w:bCs/>
          <w:color w:val="auto"/>
          <w:sz w:val="32"/>
          <w:szCs w:val="32"/>
          <w:highlight w:val="none"/>
        </w:rPr>
        <w:t>目录</w:t>
      </w:r>
    </w:p>
    <w:p w14:paraId="4DFB4DCC">
      <w:pPr>
        <w:pStyle w:val="32"/>
        <w:tabs>
          <w:tab w:val="right" w:leader="dot" w:pos="8307"/>
        </w:tabs>
        <w:rPr>
          <w:rFonts w:hint="eastAsia" w:ascii="宋体" w:hAnsi="宋体" w:cs="宋体"/>
          <w:color w:val="auto"/>
          <w:sz w:val="28"/>
          <w:highlight w:val="none"/>
        </w:rPr>
      </w:pPr>
      <w:r>
        <w:rPr>
          <w:rFonts w:hint="eastAsia" w:ascii="宋体" w:hAnsi="宋体" w:cs="宋体"/>
          <w:b/>
          <w:bCs/>
          <w:color w:val="auto"/>
          <w:kern w:val="0"/>
          <w:sz w:val="40"/>
          <w:szCs w:val="28"/>
          <w:highlight w:val="none"/>
        </w:rPr>
        <w:fldChar w:fldCharType="begin"/>
      </w:r>
      <w:r>
        <w:rPr>
          <w:rFonts w:hint="eastAsia" w:ascii="宋体" w:hAnsi="宋体" w:cs="宋体"/>
          <w:b/>
          <w:bCs/>
          <w:color w:val="auto"/>
          <w:kern w:val="0"/>
          <w:sz w:val="40"/>
          <w:szCs w:val="28"/>
          <w:highlight w:val="none"/>
        </w:rPr>
        <w:instrText xml:space="preserve">TOC \o "1-1" \f \h \u </w:instrText>
      </w:r>
      <w:r>
        <w:rPr>
          <w:rFonts w:hint="eastAsia" w:ascii="宋体" w:hAnsi="宋体" w:cs="宋体"/>
          <w:b/>
          <w:bCs/>
          <w:color w:val="auto"/>
          <w:kern w:val="0"/>
          <w:sz w:val="40"/>
          <w:szCs w:val="28"/>
          <w:highlight w:val="none"/>
        </w:rPr>
        <w:fldChar w:fldCharType="separate"/>
      </w:r>
      <w:r>
        <w:rPr>
          <w:rFonts w:hint="eastAsia" w:ascii="宋体" w:hAnsi="宋体" w:cs="宋体"/>
          <w:bCs/>
          <w:color w:val="auto"/>
          <w:kern w:val="0"/>
          <w:sz w:val="28"/>
          <w:szCs w:val="28"/>
          <w:highlight w:val="none"/>
        </w:rPr>
        <w:fldChar w:fldCharType="begin"/>
      </w:r>
      <w:r>
        <w:rPr>
          <w:rFonts w:hint="eastAsia" w:ascii="宋体" w:hAnsi="宋体" w:cs="宋体"/>
          <w:bCs/>
          <w:color w:val="auto"/>
          <w:kern w:val="0"/>
          <w:sz w:val="28"/>
          <w:szCs w:val="28"/>
          <w:highlight w:val="none"/>
        </w:rPr>
        <w:instrText xml:space="preserve"> HYPERLINK \l _Toc10750 </w:instrText>
      </w:r>
      <w:r>
        <w:rPr>
          <w:rFonts w:hint="eastAsia" w:ascii="宋体" w:hAnsi="宋体" w:cs="宋体"/>
          <w:bCs/>
          <w:color w:val="auto"/>
          <w:kern w:val="0"/>
          <w:sz w:val="28"/>
          <w:szCs w:val="28"/>
          <w:highlight w:val="none"/>
        </w:rPr>
        <w:fldChar w:fldCharType="separate"/>
      </w:r>
      <w:r>
        <w:rPr>
          <w:rFonts w:hint="eastAsia" w:ascii="宋体" w:hAnsi="宋体" w:cs="宋体"/>
          <w:color w:val="auto"/>
          <w:sz w:val="28"/>
          <w:highlight w:val="none"/>
        </w:rPr>
        <w:t>第一章  竞争性磋商公告</w:t>
      </w:r>
      <w:r>
        <w:rPr>
          <w:rFonts w:hint="eastAsia" w:ascii="宋体" w:hAnsi="宋体" w:cs="宋体"/>
          <w:color w:val="auto"/>
          <w:sz w:val="28"/>
          <w:highlight w:val="none"/>
        </w:rPr>
        <w:tab/>
      </w:r>
      <w:r>
        <w:rPr>
          <w:rFonts w:hint="eastAsia" w:ascii="宋体" w:hAnsi="宋体" w:cs="宋体"/>
          <w:color w:val="auto"/>
          <w:sz w:val="28"/>
          <w:highlight w:val="none"/>
        </w:rPr>
        <w:fldChar w:fldCharType="begin"/>
      </w:r>
      <w:r>
        <w:rPr>
          <w:rFonts w:hint="eastAsia" w:ascii="宋体" w:hAnsi="宋体" w:cs="宋体"/>
          <w:color w:val="auto"/>
          <w:sz w:val="28"/>
          <w:highlight w:val="none"/>
        </w:rPr>
        <w:instrText xml:space="preserve"> PAGEREF _Toc10750 \h </w:instrText>
      </w:r>
      <w:r>
        <w:rPr>
          <w:rFonts w:hint="eastAsia" w:ascii="宋体" w:hAnsi="宋体" w:cs="宋体"/>
          <w:color w:val="auto"/>
          <w:sz w:val="28"/>
          <w:highlight w:val="none"/>
        </w:rPr>
        <w:fldChar w:fldCharType="separate"/>
      </w:r>
      <w:r>
        <w:rPr>
          <w:rFonts w:hint="eastAsia" w:ascii="宋体" w:hAnsi="宋体" w:cs="宋体"/>
          <w:color w:val="auto"/>
          <w:sz w:val="28"/>
          <w:highlight w:val="none"/>
        </w:rPr>
        <w:t>3</w:t>
      </w:r>
      <w:r>
        <w:rPr>
          <w:rFonts w:hint="eastAsia" w:ascii="宋体" w:hAnsi="宋体" w:cs="宋体"/>
          <w:color w:val="auto"/>
          <w:sz w:val="28"/>
          <w:highlight w:val="none"/>
        </w:rPr>
        <w:fldChar w:fldCharType="end"/>
      </w:r>
      <w:r>
        <w:rPr>
          <w:rFonts w:hint="eastAsia" w:ascii="宋体" w:hAnsi="宋体" w:cs="宋体"/>
          <w:bCs/>
          <w:color w:val="auto"/>
          <w:kern w:val="0"/>
          <w:sz w:val="28"/>
          <w:szCs w:val="28"/>
          <w:highlight w:val="none"/>
        </w:rPr>
        <w:fldChar w:fldCharType="end"/>
      </w:r>
    </w:p>
    <w:p w14:paraId="26E227C8">
      <w:pPr>
        <w:pStyle w:val="32"/>
        <w:tabs>
          <w:tab w:val="right" w:leader="dot" w:pos="8307"/>
        </w:tabs>
        <w:rPr>
          <w:rFonts w:hint="eastAsia" w:ascii="宋体" w:hAnsi="宋体" w:cs="宋体"/>
          <w:color w:val="auto"/>
          <w:sz w:val="28"/>
          <w:highlight w:val="none"/>
        </w:rPr>
      </w:pPr>
      <w:r>
        <w:rPr>
          <w:rFonts w:hint="eastAsia" w:ascii="宋体" w:hAnsi="宋体" w:cs="宋体"/>
          <w:bCs/>
          <w:color w:val="auto"/>
          <w:kern w:val="0"/>
          <w:sz w:val="28"/>
          <w:szCs w:val="28"/>
          <w:highlight w:val="none"/>
        </w:rPr>
        <w:fldChar w:fldCharType="begin"/>
      </w:r>
      <w:r>
        <w:rPr>
          <w:rFonts w:hint="eastAsia" w:ascii="宋体" w:hAnsi="宋体" w:cs="宋体"/>
          <w:bCs/>
          <w:color w:val="auto"/>
          <w:kern w:val="0"/>
          <w:sz w:val="28"/>
          <w:szCs w:val="28"/>
          <w:highlight w:val="none"/>
        </w:rPr>
        <w:instrText xml:space="preserve"> HYPERLINK \l _Toc23160 </w:instrText>
      </w:r>
      <w:r>
        <w:rPr>
          <w:rFonts w:hint="eastAsia" w:ascii="宋体" w:hAnsi="宋体" w:cs="宋体"/>
          <w:bCs/>
          <w:color w:val="auto"/>
          <w:kern w:val="0"/>
          <w:sz w:val="28"/>
          <w:szCs w:val="28"/>
          <w:highlight w:val="none"/>
        </w:rPr>
        <w:fldChar w:fldCharType="separate"/>
      </w:r>
      <w:r>
        <w:rPr>
          <w:rFonts w:hint="eastAsia" w:ascii="宋体" w:hAnsi="宋体" w:cs="宋体"/>
          <w:color w:val="auto"/>
          <w:sz w:val="28"/>
          <w:highlight w:val="none"/>
        </w:rPr>
        <w:t>第二章  供应商须知</w:t>
      </w:r>
      <w:r>
        <w:rPr>
          <w:rFonts w:hint="eastAsia" w:ascii="宋体" w:hAnsi="宋体" w:cs="宋体"/>
          <w:color w:val="auto"/>
          <w:sz w:val="28"/>
          <w:highlight w:val="none"/>
        </w:rPr>
        <w:tab/>
      </w:r>
      <w:r>
        <w:rPr>
          <w:rFonts w:hint="eastAsia" w:ascii="宋体" w:hAnsi="宋体" w:cs="宋体"/>
          <w:color w:val="auto"/>
          <w:sz w:val="28"/>
          <w:highlight w:val="none"/>
          <w:lang w:val="en-US" w:eastAsia="zh-CN"/>
        </w:rPr>
        <w:t>7</w:t>
      </w:r>
      <w:r>
        <w:rPr>
          <w:rFonts w:hint="eastAsia" w:ascii="宋体" w:hAnsi="宋体" w:cs="宋体"/>
          <w:bCs/>
          <w:color w:val="auto"/>
          <w:kern w:val="0"/>
          <w:sz w:val="28"/>
          <w:szCs w:val="28"/>
          <w:highlight w:val="none"/>
        </w:rPr>
        <w:fldChar w:fldCharType="end"/>
      </w:r>
    </w:p>
    <w:p w14:paraId="04FC61BD">
      <w:pPr>
        <w:pStyle w:val="32"/>
        <w:tabs>
          <w:tab w:val="right" w:leader="dot" w:pos="8307"/>
        </w:tabs>
        <w:rPr>
          <w:rFonts w:hint="eastAsia" w:ascii="宋体" w:hAnsi="宋体" w:cs="宋体"/>
          <w:color w:val="auto"/>
          <w:sz w:val="28"/>
          <w:highlight w:val="none"/>
        </w:rPr>
      </w:pPr>
      <w:r>
        <w:rPr>
          <w:rFonts w:hint="eastAsia" w:ascii="宋体" w:hAnsi="宋体" w:cs="宋体"/>
          <w:bCs/>
          <w:color w:val="auto"/>
          <w:kern w:val="0"/>
          <w:sz w:val="28"/>
          <w:szCs w:val="28"/>
          <w:highlight w:val="none"/>
        </w:rPr>
        <w:fldChar w:fldCharType="begin"/>
      </w:r>
      <w:r>
        <w:rPr>
          <w:rFonts w:hint="eastAsia" w:ascii="宋体" w:hAnsi="宋体" w:cs="宋体"/>
          <w:bCs/>
          <w:color w:val="auto"/>
          <w:kern w:val="0"/>
          <w:sz w:val="28"/>
          <w:szCs w:val="28"/>
          <w:highlight w:val="none"/>
        </w:rPr>
        <w:instrText xml:space="preserve"> HYPERLINK \l _Toc24605 </w:instrText>
      </w:r>
      <w:r>
        <w:rPr>
          <w:rFonts w:hint="eastAsia" w:ascii="宋体" w:hAnsi="宋体" w:cs="宋体"/>
          <w:bCs/>
          <w:color w:val="auto"/>
          <w:kern w:val="0"/>
          <w:sz w:val="28"/>
          <w:szCs w:val="28"/>
          <w:highlight w:val="none"/>
        </w:rPr>
        <w:fldChar w:fldCharType="separate"/>
      </w:r>
      <w:r>
        <w:rPr>
          <w:rFonts w:hint="eastAsia" w:ascii="宋体" w:hAnsi="宋体" w:cs="宋体"/>
          <w:color w:val="auto"/>
          <w:sz w:val="28"/>
          <w:highlight w:val="none"/>
        </w:rPr>
        <w:t>第三章  评标方法</w:t>
      </w:r>
      <w:r>
        <w:rPr>
          <w:rFonts w:hint="eastAsia" w:ascii="宋体" w:hAnsi="宋体" w:cs="宋体"/>
          <w:color w:val="auto"/>
          <w:sz w:val="28"/>
          <w:highlight w:val="none"/>
        </w:rPr>
        <w:tab/>
      </w:r>
      <w:r>
        <w:rPr>
          <w:rFonts w:hint="eastAsia" w:ascii="宋体" w:hAnsi="宋体" w:cs="宋体"/>
          <w:bCs/>
          <w:color w:val="auto"/>
          <w:kern w:val="0"/>
          <w:sz w:val="28"/>
          <w:szCs w:val="28"/>
          <w:highlight w:val="none"/>
        </w:rPr>
        <w:fldChar w:fldCharType="end"/>
      </w:r>
    </w:p>
    <w:p w14:paraId="4B20C03C">
      <w:pPr>
        <w:pStyle w:val="32"/>
        <w:tabs>
          <w:tab w:val="right" w:leader="dot" w:pos="8307"/>
        </w:tabs>
        <w:rPr>
          <w:rFonts w:hint="eastAsia" w:ascii="宋体" w:hAnsi="宋体" w:eastAsia="宋体" w:cs="宋体"/>
          <w:color w:val="auto"/>
          <w:sz w:val="28"/>
          <w:highlight w:val="none"/>
          <w:lang w:val="en-US" w:eastAsia="zh-CN"/>
        </w:rPr>
      </w:pPr>
      <w:r>
        <w:rPr>
          <w:rFonts w:hint="eastAsia" w:ascii="宋体" w:hAnsi="宋体" w:cs="宋体"/>
          <w:bCs/>
          <w:color w:val="auto"/>
          <w:kern w:val="0"/>
          <w:sz w:val="28"/>
          <w:szCs w:val="28"/>
          <w:highlight w:val="none"/>
        </w:rPr>
        <w:fldChar w:fldCharType="begin"/>
      </w:r>
      <w:r>
        <w:rPr>
          <w:rFonts w:hint="eastAsia" w:ascii="宋体" w:hAnsi="宋体" w:cs="宋体"/>
          <w:bCs/>
          <w:color w:val="auto"/>
          <w:kern w:val="0"/>
          <w:sz w:val="28"/>
          <w:szCs w:val="28"/>
          <w:highlight w:val="none"/>
        </w:rPr>
        <w:instrText xml:space="preserve"> HYPERLINK \l _Toc19682 </w:instrText>
      </w:r>
      <w:r>
        <w:rPr>
          <w:rFonts w:hint="eastAsia" w:ascii="宋体" w:hAnsi="宋体" w:cs="宋体"/>
          <w:bCs/>
          <w:color w:val="auto"/>
          <w:kern w:val="0"/>
          <w:sz w:val="28"/>
          <w:szCs w:val="28"/>
          <w:highlight w:val="none"/>
        </w:rPr>
        <w:fldChar w:fldCharType="separate"/>
      </w:r>
      <w:r>
        <w:rPr>
          <w:rFonts w:hint="eastAsia" w:ascii="宋体" w:hAnsi="宋体" w:cs="宋体"/>
          <w:color w:val="auto"/>
          <w:sz w:val="28"/>
          <w:highlight w:val="none"/>
        </w:rPr>
        <w:t>第四章  服务需求</w:t>
      </w:r>
      <w:r>
        <w:rPr>
          <w:rFonts w:hint="eastAsia" w:ascii="宋体" w:hAnsi="宋体" w:cs="宋体"/>
          <w:color w:val="auto"/>
          <w:sz w:val="28"/>
          <w:highlight w:val="none"/>
        </w:rPr>
        <w:tab/>
      </w:r>
      <w:r>
        <w:rPr>
          <w:rFonts w:hint="eastAsia" w:ascii="宋体" w:hAnsi="宋体" w:cs="宋体"/>
          <w:color w:val="auto"/>
          <w:sz w:val="28"/>
          <w:highlight w:val="none"/>
          <w:lang w:val="en-US" w:eastAsia="zh-CN"/>
        </w:rPr>
        <w:t>3</w:t>
      </w:r>
      <w:r>
        <w:rPr>
          <w:rFonts w:hint="eastAsia" w:ascii="宋体" w:hAnsi="宋体" w:cs="宋体"/>
          <w:bCs/>
          <w:color w:val="auto"/>
          <w:kern w:val="0"/>
          <w:sz w:val="28"/>
          <w:szCs w:val="28"/>
          <w:highlight w:val="none"/>
        </w:rPr>
        <w:fldChar w:fldCharType="end"/>
      </w:r>
      <w:r>
        <w:rPr>
          <w:rFonts w:hint="eastAsia" w:ascii="宋体" w:hAnsi="宋体" w:cs="宋体"/>
          <w:bCs/>
          <w:color w:val="auto"/>
          <w:kern w:val="0"/>
          <w:sz w:val="28"/>
          <w:szCs w:val="28"/>
          <w:highlight w:val="none"/>
          <w:lang w:val="en-US" w:eastAsia="zh-CN"/>
        </w:rPr>
        <w:t>8</w:t>
      </w:r>
    </w:p>
    <w:p w14:paraId="6927E534">
      <w:pPr>
        <w:pStyle w:val="32"/>
        <w:tabs>
          <w:tab w:val="right" w:leader="dot" w:pos="8307"/>
        </w:tabs>
        <w:rPr>
          <w:rFonts w:hint="eastAsia" w:ascii="宋体" w:hAnsi="宋体" w:eastAsia="宋体" w:cs="宋体"/>
          <w:color w:val="auto"/>
          <w:sz w:val="28"/>
          <w:highlight w:val="none"/>
          <w:lang w:val="en-US" w:eastAsia="zh-CN"/>
        </w:rPr>
      </w:pPr>
      <w:r>
        <w:rPr>
          <w:rFonts w:hint="eastAsia" w:ascii="宋体" w:hAnsi="宋体" w:cs="宋体"/>
          <w:bCs/>
          <w:color w:val="auto"/>
          <w:kern w:val="0"/>
          <w:sz w:val="28"/>
          <w:szCs w:val="28"/>
          <w:highlight w:val="none"/>
        </w:rPr>
        <w:fldChar w:fldCharType="begin"/>
      </w:r>
      <w:r>
        <w:rPr>
          <w:rFonts w:hint="eastAsia" w:ascii="宋体" w:hAnsi="宋体" w:cs="宋体"/>
          <w:bCs/>
          <w:color w:val="auto"/>
          <w:kern w:val="0"/>
          <w:sz w:val="28"/>
          <w:szCs w:val="28"/>
          <w:highlight w:val="none"/>
        </w:rPr>
        <w:instrText xml:space="preserve"> HYPERLINK \l _Toc1190 </w:instrText>
      </w:r>
      <w:r>
        <w:rPr>
          <w:rFonts w:hint="eastAsia" w:ascii="宋体" w:hAnsi="宋体" w:cs="宋体"/>
          <w:bCs/>
          <w:color w:val="auto"/>
          <w:kern w:val="0"/>
          <w:sz w:val="28"/>
          <w:szCs w:val="28"/>
          <w:highlight w:val="none"/>
        </w:rPr>
        <w:fldChar w:fldCharType="separate"/>
      </w:r>
      <w:r>
        <w:rPr>
          <w:rFonts w:hint="eastAsia" w:ascii="宋体" w:hAnsi="宋体" w:cs="宋体"/>
          <w:color w:val="auto"/>
          <w:sz w:val="28"/>
          <w:highlight w:val="none"/>
        </w:rPr>
        <w:t>第五章  合同格式</w:t>
      </w:r>
      <w:r>
        <w:rPr>
          <w:rFonts w:hint="eastAsia" w:ascii="宋体" w:hAnsi="宋体" w:cs="宋体"/>
          <w:color w:val="auto"/>
          <w:sz w:val="28"/>
          <w:highlight w:val="none"/>
        </w:rPr>
        <w:tab/>
      </w:r>
      <w:r>
        <w:rPr>
          <w:rFonts w:hint="eastAsia" w:ascii="宋体" w:hAnsi="宋体" w:cs="宋体"/>
          <w:color w:val="auto"/>
          <w:sz w:val="28"/>
          <w:highlight w:val="none"/>
          <w:lang w:val="en-US" w:eastAsia="zh-CN"/>
        </w:rPr>
        <w:t>3</w:t>
      </w:r>
      <w:r>
        <w:rPr>
          <w:rFonts w:hint="eastAsia" w:ascii="宋体" w:hAnsi="宋体" w:cs="宋体"/>
          <w:bCs/>
          <w:color w:val="auto"/>
          <w:kern w:val="0"/>
          <w:sz w:val="28"/>
          <w:szCs w:val="28"/>
          <w:highlight w:val="none"/>
        </w:rPr>
        <w:fldChar w:fldCharType="end"/>
      </w:r>
      <w:r>
        <w:rPr>
          <w:rFonts w:hint="eastAsia" w:ascii="宋体" w:hAnsi="宋体" w:cs="宋体"/>
          <w:bCs/>
          <w:color w:val="auto"/>
          <w:kern w:val="0"/>
          <w:sz w:val="28"/>
          <w:szCs w:val="28"/>
          <w:highlight w:val="none"/>
          <w:lang w:val="en-US" w:eastAsia="zh-CN"/>
        </w:rPr>
        <w:t>9</w:t>
      </w:r>
    </w:p>
    <w:p w14:paraId="2D7B1751">
      <w:pPr>
        <w:pStyle w:val="32"/>
        <w:tabs>
          <w:tab w:val="right" w:leader="dot" w:pos="8307"/>
        </w:tabs>
        <w:rPr>
          <w:rFonts w:hint="eastAsia" w:ascii="宋体" w:hAnsi="宋体" w:eastAsia="宋体" w:cs="宋体"/>
          <w:color w:val="auto"/>
          <w:sz w:val="28"/>
          <w:highlight w:val="none"/>
          <w:lang w:val="en-US" w:eastAsia="zh-CN"/>
        </w:rPr>
      </w:pPr>
      <w:r>
        <w:rPr>
          <w:rFonts w:hint="eastAsia" w:ascii="宋体" w:hAnsi="宋体" w:cs="宋体"/>
          <w:bCs/>
          <w:color w:val="auto"/>
          <w:kern w:val="0"/>
          <w:sz w:val="28"/>
          <w:szCs w:val="28"/>
          <w:highlight w:val="none"/>
        </w:rPr>
        <w:fldChar w:fldCharType="begin"/>
      </w:r>
      <w:r>
        <w:rPr>
          <w:rFonts w:hint="eastAsia" w:ascii="宋体" w:hAnsi="宋体" w:cs="宋体"/>
          <w:bCs/>
          <w:color w:val="auto"/>
          <w:kern w:val="0"/>
          <w:sz w:val="28"/>
          <w:szCs w:val="28"/>
          <w:highlight w:val="none"/>
        </w:rPr>
        <w:instrText xml:space="preserve"> HYPERLINK \l _Toc15759 </w:instrText>
      </w:r>
      <w:r>
        <w:rPr>
          <w:rFonts w:hint="eastAsia" w:ascii="宋体" w:hAnsi="宋体" w:cs="宋体"/>
          <w:bCs/>
          <w:color w:val="auto"/>
          <w:kern w:val="0"/>
          <w:sz w:val="28"/>
          <w:szCs w:val="28"/>
          <w:highlight w:val="none"/>
        </w:rPr>
        <w:fldChar w:fldCharType="separate"/>
      </w:r>
      <w:r>
        <w:rPr>
          <w:rFonts w:hint="eastAsia" w:ascii="宋体" w:hAnsi="宋体" w:cs="宋体"/>
          <w:color w:val="auto"/>
          <w:sz w:val="28"/>
          <w:highlight w:val="none"/>
        </w:rPr>
        <w:t>第六章  响应文件格式</w:t>
      </w:r>
      <w:r>
        <w:rPr>
          <w:rFonts w:hint="eastAsia" w:ascii="宋体" w:hAnsi="宋体" w:cs="宋体"/>
          <w:color w:val="auto"/>
          <w:sz w:val="28"/>
          <w:highlight w:val="none"/>
        </w:rPr>
        <w:tab/>
      </w:r>
      <w:r>
        <w:rPr>
          <w:rFonts w:hint="eastAsia" w:ascii="宋体" w:hAnsi="宋体" w:cs="宋体"/>
          <w:color w:val="auto"/>
          <w:sz w:val="28"/>
          <w:highlight w:val="none"/>
          <w:lang w:val="en-US" w:eastAsia="zh-CN"/>
        </w:rPr>
        <w:t>4</w:t>
      </w:r>
      <w:r>
        <w:rPr>
          <w:rFonts w:hint="eastAsia" w:ascii="宋体" w:hAnsi="宋体" w:cs="宋体"/>
          <w:bCs/>
          <w:color w:val="auto"/>
          <w:kern w:val="0"/>
          <w:sz w:val="28"/>
          <w:szCs w:val="28"/>
          <w:highlight w:val="none"/>
        </w:rPr>
        <w:fldChar w:fldCharType="end"/>
      </w:r>
      <w:r>
        <w:rPr>
          <w:rFonts w:hint="eastAsia" w:ascii="宋体" w:hAnsi="宋体" w:cs="宋体"/>
          <w:bCs/>
          <w:color w:val="auto"/>
          <w:kern w:val="0"/>
          <w:sz w:val="28"/>
          <w:szCs w:val="28"/>
          <w:highlight w:val="none"/>
          <w:lang w:val="en-US" w:eastAsia="zh-CN"/>
        </w:rPr>
        <w:t>7</w:t>
      </w:r>
    </w:p>
    <w:p w14:paraId="496E6961">
      <w:pPr>
        <w:pStyle w:val="32"/>
        <w:tabs>
          <w:tab w:val="right" w:leader="dot" w:pos="8307"/>
        </w:tabs>
        <w:rPr>
          <w:rFonts w:hint="eastAsia" w:ascii="宋体" w:hAnsi="宋体" w:eastAsia="宋体" w:cs="宋体"/>
          <w:color w:val="auto"/>
          <w:sz w:val="28"/>
          <w:highlight w:val="none"/>
          <w:lang w:val="en-US" w:eastAsia="zh-CN"/>
        </w:rPr>
      </w:pPr>
      <w:r>
        <w:rPr>
          <w:rFonts w:hint="eastAsia" w:ascii="宋体" w:hAnsi="宋体" w:cs="宋体"/>
          <w:bCs/>
          <w:color w:val="auto"/>
          <w:kern w:val="0"/>
          <w:sz w:val="28"/>
          <w:szCs w:val="28"/>
          <w:highlight w:val="none"/>
        </w:rPr>
        <w:fldChar w:fldCharType="begin"/>
      </w:r>
      <w:r>
        <w:rPr>
          <w:rFonts w:hint="eastAsia" w:ascii="宋体" w:hAnsi="宋体" w:cs="宋体"/>
          <w:bCs/>
          <w:color w:val="auto"/>
          <w:kern w:val="0"/>
          <w:sz w:val="28"/>
          <w:szCs w:val="28"/>
          <w:highlight w:val="none"/>
        </w:rPr>
        <w:instrText xml:space="preserve"> HYPERLINK \l _Toc8935 </w:instrText>
      </w:r>
      <w:r>
        <w:rPr>
          <w:rFonts w:hint="eastAsia" w:ascii="宋体" w:hAnsi="宋体" w:cs="宋体"/>
          <w:bCs/>
          <w:color w:val="auto"/>
          <w:kern w:val="0"/>
          <w:sz w:val="28"/>
          <w:szCs w:val="28"/>
          <w:highlight w:val="none"/>
        </w:rPr>
        <w:fldChar w:fldCharType="separate"/>
      </w:r>
      <w:r>
        <w:rPr>
          <w:rFonts w:hint="eastAsia" w:ascii="宋体" w:hAnsi="宋体" w:cs="宋体"/>
          <w:color w:val="auto"/>
          <w:sz w:val="28"/>
          <w:highlight w:val="none"/>
        </w:rPr>
        <w:t>第七章  附件</w:t>
      </w:r>
      <w:r>
        <w:rPr>
          <w:rFonts w:hint="eastAsia" w:ascii="宋体" w:hAnsi="宋体" w:cs="宋体"/>
          <w:color w:val="auto"/>
          <w:sz w:val="28"/>
          <w:highlight w:val="none"/>
        </w:rPr>
        <w:tab/>
      </w:r>
      <w:r>
        <w:rPr>
          <w:rFonts w:hint="eastAsia" w:ascii="宋体" w:hAnsi="宋体" w:cs="宋体"/>
          <w:color w:val="auto"/>
          <w:sz w:val="28"/>
          <w:highlight w:val="none"/>
          <w:lang w:val="en-US" w:eastAsia="zh-CN"/>
        </w:rPr>
        <w:t>6</w:t>
      </w:r>
      <w:r>
        <w:rPr>
          <w:rFonts w:hint="eastAsia" w:ascii="宋体" w:hAnsi="宋体" w:cs="宋体"/>
          <w:bCs/>
          <w:color w:val="auto"/>
          <w:kern w:val="0"/>
          <w:sz w:val="28"/>
          <w:szCs w:val="28"/>
          <w:highlight w:val="none"/>
        </w:rPr>
        <w:fldChar w:fldCharType="end"/>
      </w:r>
      <w:r>
        <w:rPr>
          <w:rFonts w:hint="eastAsia" w:ascii="宋体" w:hAnsi="宋体" w:cs="宋体"/>
          <w:bCs/>
          <w:color w:val="auto"/>
          <w:kern w:val="0"/>
          <w:sz w:val="28"/>
          <w:szCs w:val="28"/>
          <w:highlight w:val="none"/>
          <w:lang w:val="en-US" w:eastAsia="zh-CN"/>
        </w:rPr>
        <w:t>9</w:t>
      </w:r>
    </w:p>
    <w:p w14:paraId="16FAF066">
      <w:pPr>
        <w:pStyle w:val="32"/>
        <w:tabs>
          <w:tab w:val="right" w:leader="dot" w:pos="9402"/>
        </w:tabs>
        <w:spacing w:beforeLines="50" w:afterLines="50" w:line="480" w:lineRule="auto"/>
        <w:ind w:right="-115" w:rightChars="-55" w:firstLine="562" w:firstLineChars="200"/>
        <w:rPr>
          <w:rFonts w:ascii="宋体" w:hAnsi="宋体"/>
          <w:b/>
          <w:color w:val="auto"/>
          <w:sz w:val="32"/>
          <w:szCs w:val="22"/>
          <w:u w:val="none"/>
        </w:rPr>
      </w:pPr>
      <w:r>
        <w:rPr>
          <w:rFonts w:hint="eastAsia" w:ascii="宋体" w:hAnsi="宋体" w:cs="宋体"/>
          <w:bCs/>
          <w:color w:val="auto"/>
          <w:kern w:val="0"/>
          <w:sz w:val="28"/>
          <w:szCs w:val="28"/>
          <w:highlight w:val="none"/>
        </w:rPr>
        <w:fldChar w:fldCharType="end"/>
      </w:r>
    </w:p>
    <w:p w14:paraId="39B4A1C9">
      <w:pPr>
        <w:tabs>
          <w:tab w:val="left" w:pos="4024"/>
        </w:tabs>
        <w:wordWrap w:val="0"/>
        <w:spacing w:after="120" w:afterLines="50"/>
        <w:jc w:val="center"/>
        <w:rPr>
          <w:rStyle w:val="65"/>
          <w:rFonts w:hint="eastAsia" w:ascii="宋体" w:hAnsi="宋体" w:cs="宋体"/>
          <w:color w:val="auto"/>
          <w:highlight w:val="none"/>
        </w:rPr>
      </w:pPr>
      <w:r>
        <w:rPr>
          <w:rFonts w:hint="eastAsia" w:ascii="宋体" w:hAnsi="宋体" w:eastAsia="宋体" w:cs="宋体"/>
          <w:sz w:val="36"/>
          <w:szCs w:val="21"/>
        </w:rPr>
        <w:br w:type="page"/>
      </w:r>
      <w:bookmarkEnd w:id="4"/>
      <w:bookmarkEnd w:id="5"/>
      <w:bookmarkEnd w:id="6"/>
      <w:bookmarkEnd w:id="7"/>
      <w:bookmarkEnd w:id="8"/>
      <w:bookmarkEnd w:id="9"/>
      <w:bookmarkEnd w:id="10"/>
      <w:bookmarkEnd w:id="11"/>
      <w:bookmarkEnd w:id="12"/>
      <w:bookmarkEnd w:id="13"/>
      <w:bookmarkStart w:id="14" w:name="_Toc10088"/>
      <w:bookmarkStart w:id="15" w:name="_Toc10750"/>
      <w:r>
        <w:rPr>
          <w:rStyle w:val="65"/>
          <w:rFonts w:hint="eastAsia" w:ascii="宋体" w:hAnsi="宋体" w:cs="宋体"/>
          <w:color w:val="auto"/>
          <w:highlight w:val="none"/>
        </w:rPr>
        <w:t>第一章  竞争性磋商公告</w:t>
      </w:r>
      <w:bookmarkEnd w:id="14"/>
    </w:p>
    <w:bookmarkEnd w:id="15"/>
    <w:p w14:paraId="3F74DF4A">
      <w:pPr>
        <w:spacing w:line="360" w:lineRule="auto"/>
        <w:jc w:val="center"/>
        <w:rPr>
          <w:rFonts w:hint="eastAsia" w:ascii="宋体" w:hAnsi="宋体" w:eastAsia="宋体" w:cs="宋体"/>
          <w:b/>
          <w:color w:val="auto"/>
          <w:kern w:val="0"/>
          <w:sz w:val="32"/>
          <w:szCs w:val="32"/>
          <w:highlight w:val="none"/>
          <w:lang w:eastAsia="zh-CN" w:bidi="ar"/>
        </w:rPr>
      </w:pPr>
      <w:bookmarkStart w:id="16" w:name="_Toc23160"/>
      <w:bookmarkStart w:id="17" w:name="_Toc2852"/>
      <w:bookmarkStart w:id="18" w:name="_Toc9030"/>
      <w:bookmarkStart w:id="19" w:name="_Toc7867"/>
      <w:bookmarkStart w:id="20" w:name="_Toc32427"/>
      <w:r>
        <w:rPr>
          <w:rFonts w:hint="eastAsia" w:ascii="宋体" w:hAnsi="宋体" w:cs="宋体"/>
          <w:b/>
          <w:color w:val="auto"/>
          <w:kern w:val="0"/>
          <w:sz w:val="32"/>
          <w:szCs w:val="32"/>
          <w:highlight w:val="none"/>
          <w:lang w:eastAsia="zh-CN" w:bidi="ar"/>
        </w:rPr>
        <w:t>桦甸市人民法院物业服务项目</w:t>
      </w:r>
    </w:p>
    <w:p w14:paraId="650C05E6">
      <w:pPr>
        <w:spacing w:line="360" w:lineRule="auto"/>
        <w:jc w:val="center"/>
        <w:rPr>
          <w:rFonts w:hint="eastAsia" w:ascii="宋体" w:hAnsi="宋体" w:cs="宋体"/>
          <w:b/>
          <w:color w:val="auto"/>
          <w:kern w:val="0"/>
          <w:sz w:val="32"/>
          <w:szCs w:val="32"/>
          <w:highlight w:val="none"/>
          <w:lang w:bidi="ar"/>
        </w:rPr>
      </w:pPr>
      <w:r>
        <w:rPr>
          <w:rFonts w:hint="eastAsia" w:ascii="宋体" w:hAnsi="宋体" w:eastAsia="宋体" w:cs="宋体"/>
          <w:b/>
          <w:color w:val="auto"/>
          <w:kern w:val="0"/>
          <w:sz w:val="32"/>
          <w:szCs w:val="32"/>
          <w:highlight w:val="none"/>
          <w:lang w:bidi="ar"/>
        </w:rPr>
        <w:t>竞争</w:t>
      </w:r>
      <w:r>
        <w:rPr>
          <w:rFonts w:hint="eastAsia" w:ascii="宋体" w:hAnsi="宋体" w:cs="宋体"/>
          <w:b/>
          <w:color w:val="auto"/>
          <w:kern w:val="0"/>
          <w:sz w:val="32"/>
          <w:szCs w:val="32"/>
          <w:highlight w:val="none"/>
          <w:lang w:bidi="ar"/>
        </w:rPr>
        <w:t>性磋商公告</w:t>
      </w:r>
    </w:p>
    <w:p w14:paraId="3966358C">
      <w:pPr>
        <w:pBdr>
          <w:top w:val="single" w:color="auto" w:sz="4" w:space="1"/>
          <w:left w:val="single" w:color="auto" w:sz="4" w:space="4"/>
          <w:bottom w:val="single" w:color="auto" w:sz="4" w:space="1"/>
          <w:right w:val="single" w:color="auto" w:sz="4" w:space="4"/>
        </w:pBdr>
        <w:autoSpaceDE w:val="0"/>
        <w:spacing w:line="360" w:lineRule="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项目概况</w:t>
      </w:r>
    </w:p>
    <w:p w14:paraId="2866A5A8">
      <w:pPr>
        <w:pBdr>
          <w:top w:val="single" w:color="auto" w:sz="4" w:space="1"/>
          <w:left w:val="single" w:color="auto" w:sz="4" w:space="4"/>
          <w:bottom w:val="single" w:color="auto" w:sz="4" w:space="1"/>
          <w:right w:val="single" w:color="auto" w:sz="4" w:space="4"/>
        </w:pBdr>
        <w:autoSpaceDE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bidi="ar"/>
        </w:rPr>
        <w:t>桦甸市人民法院物业服务项目</w:t>
      </w:r>
      <w:r>
        <w:rPr>
          <w:rFonts w:hint="eastAsia" w:ascii="宋体" w:hAnsi="宋体" w:eastAsia="宋体" w:cs="宋体"/>
          <w:color w:val="auto"/>
          <w:kern w:val="0"/>
          <w:sz w:val="24"/>
          <w:szCs w:val="24"/>
          <w:highlight w:val="none"/>
          <w:lang w:eastAsia="zh-CN" w:bidi="ar"/>
        </w:rPr>
        <w:t>的潜在投标人应在政采云平台（http：//www.zcygov.cn）线上获取磋商文件，并于</w:t>
      </w:r>
      <w:r>
        <w:rPr>
          <w:rFonts w:hint="eastAsia" w:ascii="宋体" w:hAnsi="宋体" w:cs="宋体"/>
          <w:color w:val="auto"/>
          <w:kern w:val="0"/>
          <w:sz w:val="24"/>
          <w:szCs w:val="24"/>
          <w:highlight w:val="none"/>
          <w:lang w:eastAsia="zh-CN" w:bidi="ar"/>
        </w:rPr>
        <w:t>2025年07月17日</w:t>
      </w:r>
      <w:r>
        <w:rPr>
          <w:rFonts w:hint="eastAsia" w:ascii="宋体" w:hAnsi="宋体" w:cs="宋体"/>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val="en-US" w:eastAsia="zh-CN" w:bidi="ar"/>
        </w:rPr>
        <w:t>:30</w:t>
      </w:r>
      <w:r>
        <w:rPr>
          <w:rFonts w:hint="eastAsia" w:ascii="宋体" w:hAnsi="宋体" w:eastAsia="宋体" w:cs="宋体"/>
          <w:color w:val="auto"/>
          <w:kern w:val="0"/>
          <w:sz w:val="24"/>
          <w:szCs w:val="24"/>
          <w:highlight w:val="none"/>
          <w:lang w:eastAsia="zh-CN" w:bidi="ar"/>
        </w:rPr>
        <w:t>（北京时间）前递交投标文件。</w:t>
      </w:r>
    </w:p>
    <w:p w14:paraId="12E5AA27">
      <w:pPr>
        <w:autoSpaceDE w:val="0"/>
        <w:spacing w:line="360" w:lineRule="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一、项目基本情况</w:t>
      </w:r>
    </w:p>
    <w:p w14:paraId="42A73593">
      <w:pPr>
        <w:autoSpaceDE w:val="0"/>
        <w:spacing w:line="360" w:lineRule="auto"/>
        <w:ind w:firstLine="480" w:firstLineChars="200"/>
        <w:jc w:val="left"/>
        <w:rPr>
          <w:rFonts w:ascii="宋体" w:hAnsi="宋体" w:cs="宋体"/>
          <w:color w:val="C00000"/>
          <w:kern w:val="0"/>
          <w:sz w:val="24"/>
          <w:szCs w:val="24"/>
          <w:highlight w:val="none"/>
        </w:rPr>
      </w:pPr>
      <w:r>
        <w:rPr>
          <w:rFonts w:hint="eastAsia" w:ascii="宋体" w:hAnsi="宋体" w:cs="宋体"/>
          <w:color w:val="auto"/>
          <w:kern w:val="0"/>
          <w:sz w:val="24"/>
          <w:szCs w:val="24"/>
          <w:highlight w:val="none"/>
          <w:lang w:bidi="ar"/>
        </w:rPr>
        <w:t>1.项目编号：</w:t>
      </w:r>
      <w:r>
        <w:rPr>
          <w:rFonts w:hint="eastAsia" w:ascii="宋体" w:hAnsi="宋体" w:cs="宋体"/>
          <w:color w:val="auto"/>
          <w:kern w:val="0"/>
          <w:sz w:val="24"/>
          <w:szCs w:val="24"/>
          <w:highlight w:val="none"/>
          <w:lang w:eastAsia="zh-CN" w:bidi="ar"/>
        </w:rPr>
        <w:t>采购计划-[2025]-08522号</w:t>
      </w:r>
      <w:r>
        <w:rPr>
          <w:rFonts w:hint="eastAsia" w:ascii="宋体" w:hAnsi="宋体" w:cs="宋体"/>
          <w:color w:val="auto"/>
          <w:kern w:val="0"/>
          <w:sz w:val="24"/>
          <w:szCs w:val="24"/>
          <w:highlight w:val="none"/>
          <w:lang w:bidi="ar"/>
        </w:rPr>
        <w:t>；</w:t>
      </w:r>
    </w:p>
    <w:p w14:paraId="1085FCE5">
      <w:pPr>
        <w:autoSpaceDE w:val="0"/>
        <w:spacing w:line="360" w:lineRule="auto"/>
        <w:ind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2.项目名称：</w:t>
      </w:r>
      <w:r>
        <w:rPr>
          <w:rFonts w:hint="eastAsia" w:ascii="宋体" w:hAnsi="宋体" w:cs="宋体"/>
          <w:color w:val="auto"/>
          <w:kern w:val="0"/>
          <w:sz w:val="24"/>
          <w:szCs w:val="24"/>
          <w:highlight w:val="none"/>
          <w:lang w:val="zh-CN" w:bidi="ar"/>
        </w:rPr>
        <w:t>桦甸市人民法院物业服务项目</w:t>
      </w:r>
      <w:r>
        <w:rPr>
          <w:rFonts w:hint="eastAsia" w:ascii="宋体" w:hAnsi="宋体" w:cs="宋体"/>
          <w:color w:val="auto"/>
          <w:kern w:val="0"/>
          <w:sz w:val="24"/>
          <w:szCs w:val="24"/>
          <w:highlight w:val="none"/>
          <w:lang w:bidi="ar"/>
        </w:rPr>
        <w:t>；</w:t>
      </w:r>
    </w:p>
    <w:p w14:paraId="2AF85C72">
      <w:pPr>
        <w:autoSpaceDE w:val="0"/>
        <w:spacing w:line="360" w:lineRule="auto"/>
        <w:ind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3.预算金额：</w:t>
      </w:r>
      <w:r>
        <w:rPr>
          <w:rFonts w:hint="eastAsia" w:ascii="宋体" w:hAnsi="宋体" w:cs="宋体"/>
          <w:color w:val="auto"/>
          <w:kern w:val="0"/>
          <w:sz w:val="24"/>
          <w:szCs w:val="24"/>
          <w:highlight w:val="none"/>
          <w:lang w:val="en-US" w:eastAsia="zh-CN" w:bidi="ar"/>
        </w:rPr>
        <w:t>20万元</w:t>
      </w:r>
      <w:r>
        <w:rPr>
          <w:rFonts w:hint="eastAsia" w:ascii="宋体" w:hAnsi="宋体" w:cs="宋体"/>
          <w:color w:val="auto"/>
          <w:kern w:val="0"/>
          <w:sz w:val="24"/>
          <w:szCs w:val="24"/>
          <w:highlight w:val="none"/>
          <w:lang w:bidi="ar"/>
        </w:rPr>
        <w:t>；</w:t>
      </w:r>
    </w:p>
    <w:p w14:paraId="1414FF9A">
      <w:pPr>
        <w:autoSpaceDE w:val="0"/>
        <w:spacing w:line="360" w:lineRule="auto"/>
        <w:ind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4.最高限价：</w:t>
      </w:r>
      <w:r>
        <w:rPr>
          <w:rFonts w:hint="eastAsia" w:ascii="宋体" w:hAnsi="宋体" w:cs="宋体"/>
          <w:color w:val="auto"/>
          <w:kern w:val="0"/>
          <w:sz w:val="24"/>
          <w:szCs w:val="24"/>
          <w:highlight w:val="none"/>
          <w:lang w:val="en-US" w:eastAsia="zh-CN" w:bidi="ar"/>
        </w:rPr>
        <w:t>20万元</w:t>
      </w:r>
      <w:r>
        <w:rPr>
          <w:rFonts w:hint="eastAsia" w:ascii="宋体" w:hAnsi="宋体" w:cs="宋体"/>
          <w:color w:val="auto"/>
          <w:kern w:val="0"/>
          <w:sz w:val="24"/>
          <w:szCs w:val="24"/>
          <w:highlight w:val="none"/>
          <w:lang w:bidi="ar"/>
        </w:rPr>
        <w:t>；</w:t>
      </w:r>
    </w:p>
    <w:p w14:paraId="618B86D3">
      <w:pPr>
        <w:autoSpaceDE w:val="0"/>
        <w:spacing w:line="360" w:lineRule="auto"/>
        <w:ind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5.资金来源：</w:t>
      </w:r>
      <w:r>
        <w:rPr>
          <w:rFonts w:hint="eastAsia" w:ascii="宋体" w:hAnsi="宋体" w:cs="宋体"/>
          <w:color w:val="auto"/>
          <w:kern w:val="0"/>
          <w:sz w:val="24"/>
          <w:szCs w:val="24"/>
          <w:highlight w:val="none"/>
          <w:lang w:val="en-US" w:eastAsia="zh-CN" w:bidi="ar"/>
        </w:rPr>
        <w:t>财政资金</w:t>
      </w:r>
      <w:r>
        <w:rPr>
          <w:rFonts w:hint="eastAsia" w:ascii="宋体" w:hAnsi="宋体" w:cs="宋体"/>
          <w:color w:val="auto"/>
          <w:kern w:val="0"/>
          <w:sz w:val="24"/>
          <w:szCs w:val="24"/>
          <w:highlight w:val="none"/>
          <w:lang w:bidi="ar"/>
        </w:rPr>
        <w:t>；</w:t>
      </w:r>
    </w:p>
    <w:p w14:paraId="6C757997">
      <w:pPr>
        <w:autoSpaceDE w:val="0"/>
        <w:spacing w:line="360" w:lineRule="auto"/>
        <w:ind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6.服务需求</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zh-CN" w:bidi="ar"/>
        </w:rPr>
        <w:t>桦甸市人民法院物业服务项目</w:t>
      </w:r>
      <w:r>
        <w:rPr>
          <w:rFonts w:hint="eastAsia" w:ascii="宋体" w:hAnsi="宋体" w:cs="宋体"/>
          <w:color w:val="auto"/>
          <w:kern w:val="0"/>
          <w:sz w:val="24"/>
          <w:szCs w:val="24"/>
          <w:highlight w:val="none"/>
          <w:lang w:bidi="ar"/>
        </w:rPr>
        <w:t>（具体服务需求详见磋商文件）；</w:t>
      </w:r>
    </w:p>
    <w:p w14:paraId="0E0A69B0">
      <w:pPr>
        <w:autoSpaceDE w:val="0"/>
        <w:spacing w:line="360" w:lineRule="auto"/>
        <w:ind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7.质量标准：符合现行国家、行业、地方或者其他相关标准的合格要求；</w:t>
      </w:r>
    </w:p>
    <w:p w14:paraId="08FA5972">
      <w:pPr>
        <w:autoSpaceDE w:val="0"/>
        <w:spacing w:line="360" w:lineRule="auto"/>
        <w:ind w:firstLine="480" w:firstLineChars="200"/>
        <w:jc w:val="left"/>
        <w:rPr>
          <w:rFonts w:ascii="宋体" w:hAnsi="宋体" w:cs="宋体"/>
          <w:color w:val="C00000"/>
          <w:kern w:val="0"/>
          <w:sz w:val="24"/>
          <w:szCs w:val="24"/>
          <w:highlight w:val="none"/>
          <w:lang w:bidi="ar"/>
        </w:rPr>
      </w:pPr>
      <w:r>
        <w:rPr>
          <w:rFonts w:hint="eastAsia" w:ascii="宋体" w:hAnsi="宋体" w:cs="宋体"/>
          <w:color w:val="auto"/>
          <w:kern w:val="0"/>
          <w:sz w:val="24"/>
          <w:szCs w:val="24"/>
          <w:highlight w:val="none"/>
          <w:lang w:bidi="ar"/>
        </w:rPr>
        <w:t>8.服务期限：</w:t>
      </w:r>
      <w:r>
        <w:rPr>
          <w:rFonts w:hint="eastAsia" w:ascii="宋体" w:hAnsi="宋体" w:cs="宋体"/>
          <w:color w:val="auto"/>
          <w:kern w:val="0"/>
          <w:sz w:val="24"/>
          <w:szCs w:val="24"/>
          <w:highlight w:val="none"/>
          <w:lang w:eastAsia="zh-CN" w:bidi="ar"/>
        </w:rPr>
        <w:t>2025年7月19日至2025年12月31日</w:t>
      </w:r>
      <w:r>
        <w:rPr>
          <w:rFonts w:hint="eastAsia" w:ascii="宋体" w:hAnsi="宋体" w:cs="宋体"/>
          <w:color w:val="C00000"/>
          <w:kern w:val="0"/>
          <w:sz w:val="24"/>
          <w:szCs w:val="24"/>
          <w:highlight w:val="none"/>
          <w:lang w:val="zh-CN" w:bidi="ar"/>
        </w:rPr>
        <w:t xml:space="preserve"> </w:t>
      </w:r>
      <w:r>
        <w:rPr>
          <w:rFonts w:hint="eastAsia" w:ascii="宋体" w:hAnsi="宋体" w:cs="宋体"/>
          <w:color w:val="C00000"/>
          <w:kern w:val="0"/>
          <w:sz w:val="24"/>
          <w:szCs w:val="24"/>
          <w:highlight w:val="none"/>
          <w:lang w:bidi="ar"/>
        </w:rPr>
        <w:t>；</w:t>
      </w:r>
    </w:p>
    <w:p w14:paraId="18E30303">
      <w:pPr>
        <w:autoSpaceDE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9.服务地点：</w:t>
      </w:r>
      <w:r>
        <w:rPr>
          <w:rFonts w:hint="eastAsia" w:ascii="宋体" w:hAnsi="宋体" w:cs="宋体"/>
          <w:color w:val="auto"/>
          <w:kern w:val="0"/>
          <w:sz w:val="24"/>
          <w:szCs w:val="24"/>
          <w:highlight w:val="none"/>
          <w:lang w:val="en-US" w:eastAsia="zh-CN" w:bidi="ar"/>
        </w:rPr>
        <w:t>采购人指定地点</w:t>
      </w:r>
      <w:r>
        <w:rPr>
          <w:rFonts w:hint="eastAsia" w:ascii="宋体" w:hAnsi="宋体" w:cs="宋体"/>
          <w:color w:val="auto"/>
          <w:kern w:val="0"/>
          <w:sz w:val="24"/>
          <w:szCs w:val="24"/>
          <w:highlight w:val="none"/>
          <w:lang w:bidi="ar"/>
        </w:rPr>
        <w:t>；</w:t>
      </w:r>
    </w:p>
    <w:p w14:paraId="6EDC3072">
      <w:pPr>
        <w:autoSpaceDE w:val="0"/>
        <w:spacing w:line="360" w:lineRule="auto"/>
        <w:ind w:firstLine="480" w:firstLineChars="2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10.合同履行期限：</w:t>
      </w:r>
      <w:r>
        <w:rPr>
          <w:rFonts w:hint="eastAsia" w:ascii="宋体" w:hAnsi="宋体" w:cs="宋体"/>
          <w:color w:val="auto"/>
          <w:kern w:val="0"/>
          <w:sz w:val="24"/>
          <w:szCs w:val="24"/>
          <w:highlight w:val="none"/>
          <w:lang w:eastAsia="zh-CN" w:bidi="ar"/>
        </w:rPr>
        <w:t>2025年7月19日至2025年12月31日</w:t>
      </w:r>
      <w:r>
        <w:rPr>
          <w:rFonts w:hint="eastAsia" w:ascii="宋体" w:hAnsi="宋体" w:cs="宋体"/>
          <w:color w:val="auto"/>
          <w:kern w:val="0"/>
          <w:sz w:val="24"/>
          <w:szCs w:val="24"/>
          <w:highlight w:val="none"/>
          <w:lang w:bidi="ar"/>
        </w:rPr>
        <w:t>；</w:t>
      </w:r>
    </w:p>
    <w:p w14:paraId="11221F83">
      <w:pPr>
        <w:autoSpaceDE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11.采购方式：竞争性磋商；</w:t>
      </w:r>
    </w:p>
    <w:p w14:paraId="398C7B45">
      <w:pPr>
        <w:autoSpaceDE w:val="0"/>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12.资格审查方式：资格后审；</w:t>
      </w:r>
    </w:p>
    <w:p w14:paraId="321C81CB">
      <w:pPr>
        <w:autoSpaceDE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13.本项目不接受联合体。</w:t>
      </w:r>
    </w:p>
    <w:p w14:paraId="7F7D1EF9">
      <w:pPr>
        <w:autoSpaceDE w:val="0"/>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lang w:bidi="ar"/>
        </w:rPr>
        <w:t>二、申请人的资格要求</w:t>
      </w:r>
    </w:p>
    <w:p w14:paraId="4FFCAD80">
      <w:pPr>
        <w:autoSpaceDE w:val="0"/>
        <w:spacing w:line="360" w:lineRule="auto"/>
        <w:ind w:firstLine="482" w:firstLineChars="200"/>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1、满足《中华人民共和国政府采购法》第二十二条规定：</w:t>
      </w:r>
    </w:p>
    <w:p w14:paraId="7E940774">
      <w:pPr>
        <w:autoSpaceDE w:val="0"/>
        <w:spacing w:line="360" w:lineRule="auto"/>
        <w:ind w:firstLine="720" w:firstLineChars="3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(1).具有独立承担民事责任的能力；</w:t>
      </w:r>
    </w:p>
    <w:p w14:paraId="64E64ECB">
      <w:pPr>
        <w:autoSpaceDE w:val="0"/>
        <w:spacing w:line="360" w:lineRule="auto"/>
        <w:ind w:firstLine="720" w:firstLineChars="3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(2).具有良好的商业信誉和健全的财务会计制度；</w:t>
      </w:r>
    </w:p>
    <w:p w14:paraId="04738CAD">
      <w:pPr>
        <w:autoSpaceDE w:val="0"/>
        <w:spacing w:line="360" w:lineRule="auto"/>
        <w:ind w:firstLine="720" w:firstLineChars="3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(3).具有履行合同所必需的设备和专业技术能力；</w:t>
      </w:r>
    </w:p>
    <w:p w14:paraId="21DA87FF">
      <w:pPr>
        <w:autoSpaceDE w:val="0"/>
        <w:spacing w:line="360" w:lineRule="auto"/>
        <w:ind w:firstLine="720" w:firstLineChars="3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(4).有依法缴纳税收和社会保障资金的良好记录；</w:t>
      </w:r>
    </w:p>
    <w:p w14:paraId="5042C5D2">
      <w:pPr>
        <w:autoSpaceDE w:val="0"/>
        <w:spacing w:line="360" w:lineRule="auto"/>
        <w:ind w:firstLine="720" w:firstLineChars="3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(5).参加政府采购活动前三年内，在经营活动中没有重大违法记录；</w:t>
      </w:r>
    </w:p>
    <w:p w14:paraId="13442B52">
      <w:pPr>
        <w:autoSpaceDE w:val="0"/>
        <w:spacing w:line="360" w:lineRule="auto"/>
        <w:ind w:firstLine="720" w:firstLineChars="3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(6).法律、行政法规规定的其他条件。</w:t>
      </w:r>
    </w:p>
    <w:p w14:paraId="12D1CCFD">
      <w:pPr>
        <w:spacing w:line="335" w:lineRule="auto"/>
        <w:ind w:left="28" w:right="28" w:firstLine="519"/>
        <w:rPr>
          <w:rFonts w:hint="default" w:ascii="宋体" w:hAnsi="宋体" w:eastAsia="宋体" w:cs="宋体"/>
          <w:color w:val="auto"/>
          <w:kern w:val="0"/>
          <w:sz w:val="24"/>
          <w:highlight w:val="none"/>
          <w:lang w:val="en-US" w:eastAsia="zh-CN" w:bidi="ar"/>
        </w:rPr>
      </w:pPr>
      <w:r>
        <w:rPr>
          <w:rFonts w:hint="eastAsia" w:ascii="宋体" w:hAnsi="宋体" w:cs="宋体"/>
          <w:b/>
          <w:bCs/>
          <w:color w:val="auto"/>
          <w:kern w:val="0"/>
          <w:sz w:val="24"/>
          <w:highlight w:val="none"/>
          <w:lang w:bidi="ar"/>
        </w:rPr>
        <w:t>2、落实政府采购政策需满足的资格要求：</w:t>
      </w:r>
      <w:r>
        <w:rPr>
          <w:rFonts w:hint="eastAsia" w:ascii="宋体" w:hAnsi="宋体" w:eastAsia="宋体" w:cs="宋体"/>
          <w:color w:val="auto"/>
          <w:kern w:val="0"/>
          <w:sz w:val="24"/>
          <w:highlight w:val="none"/>
          <w:lang w:bidi="ar"/>
        </w:rPr>
        <w:t>本项目为专门面向中小企业的项目</w:t>
      </w:r>
      <w:r>
        <w:rPr>
          <w:rFonts w:hint="default" w:ascii="宋体" w:hAnsi="宋体" w:eastAsia="宋体" w:cs="宋体"/>
          <w:color w:val="auto"/>
          <w:kern w:val="0"/>
          <w:sz w:val="24"/>
          <w:highlight w:val="none"/>
          <w:lang w:val="en-US" w:eastAsia="zh-CN" w:bidi="ar"/>
        </w:rPr>
        <w:t>(如属于专门面向中小企业采购的项目，供应商应为中小微企业、监狱企业、残疾人福利性单位)</w:t>
      </w:r>
      <w:r>
        <w:rPr>
          <w:rFonts w:hint="eastAsia" w:ascii="宋体" w:hAnsi="宋体" w:eastAsia="宋体" w:cs="宋体"/>
          <w:color w:val="auto"/>
          <w:kern w:val="0"/>
          <w:sz w:val="24"/>
          <w:highlight w:val="none"/>
          <w:lang w:val="en-US" w:eastAsia="zh-CN" w:bidi="ar"/>
        </w:rPr>
        <w:t>；</w:t>
      </w:r>
    </w:p>
    <w:p w14:paraId="42E438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kern w:val="0"/>
          <w:sz w:val="24"/>
          <w:highlight w:val="none"/>
          <w:lang w:bidi="ar"/>
        </w:rPr>
      </w:pPr>
    </w:p>
    <w:p w14:paraId="2B1B051E">
      <w:pPr>
        <w:autoSpaceDE w:val="0"/>
        <w:spacing w:line="360" w:lineRule="auto"/>
        <w:ind w:firstLine="482" w:firstLineChars="200"/>
        <w:rPr>
          <w:rFonts w:hint="eastAsia" w:ascii="宋体" w:hAnsi="宋体" w:cs="宋体"/>
          <w:color w:val="auto"/>
          <w:kern w:val="0"/>
          <w:sz w:val="24"/>
          <w:highlight w:val="none"/>
          <w:lang w:bidi="ar"/>
        </w:rPr>
      </w:pPr>
      <w:r>
        <w:rPr>
          <w:rFonts w:hint="eastAsia" w:ascii="宋体" w:hAnsi="宋体" w:cs="宋体"/>
          <w:b/>
          <w:bCs/>
          <w:color w:val="auto"/>
          <w:kern w:val="0"/>
          <w:sz w:val="24"/>
          <w:highlight w:val="none"/>
          <w:lang w:bidi="ar"/>
        </w:rPr>
        <w:t>3、本项目的特定资格要求：</w:t>
      </w:r>
      <w:r>
        <w:rPr>
          <w:rFonts w:hint="eastAsia" w:ascii="宋体" w:hAnsi="宋体" w:cs="宋体"/>
          <w:color w:val="auto"/>
          <w:kern w:val="0"/>
          <w:sz w:val="24"/>
          <w:highlight w:val="none"/>
          <w:lang w:bidi="ar"/>
        </w:rPr>
        <w:t>以下资格证明材料的具体要求详见磋商文件</w:t>
      </w:r>
    </w:p>
    <w:p w14:paraId="71879C46">
      <w:pPr>
        <w:autoSpaceDE w:val="0"/>
        <w:spacing w:line="360" w:lineRule="auto"/>
        <w:ind w:firstLine="480" w:firstLineChars="200"/>
        <w:jc w:val="left"/>
        <w:rPr>
          <w:rFonts w:hint="eastAsia" w:ascii="宋体" w:hAnsi="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zh-CN" w:eastAsia="zh-CN" w:bidi="ar"/>
        </w:rPr>
        <w:t>1.满足《中华人民共和国政府采购法》第二十二条规定；</w:t>
      </w:r>
    </w:p>
    <w:p w14:paraId="4855058C">
      <w:pPr>
        <w:autoSpaceDE w:val="0"/>
        <w:spacing w:line="360" w:lineRule="auto"/>
        <w:ind w:firstLine="480" w:firstLineChars="200"/>
        <w:jc w:val="left"/>
        <w:rPr>
          <w:rFonts w:hint="eastAsia" w:ascii="宋体" w:hAnsi="宋体" w:eastAsia="宋体" w:cs="宋体"/>
          <w:color w:val="auto"/>
          <w:kern w:val="0"/>
          <w:sz w:val="24"/>
          <w:szCs w:val="24"/>
          <w:highlight w:val="none"/>
          <w:lang w:val="zh-CN" w:eastAsia="zh-CN" w:bidi="ar"/>
        </w:rPr>
      </w:pPr>
      <w:r>
        <w:rPr>
          <w:rFonts w:hint="eastAsia" w:ascii="宋体" w:hAnsi="宋体" w:cs="宋体"/>
          <w:color w:val="auto"/>
          <w:kern w:val="0"/>
          <w:sz w:val="24"/>
          <w:szCs w:val="24"/>
          <w:highlight w:val="none"/>
          <w:lang w:val="zh-CN" w:eastAsia="zh-CN" w:bidi="ar"/>
        </w:rPr>
        <w:t>2.落实政府采购政策需满足的资格要求：本项目</w:t>
      </w:r>
      <w:r>
        <w:rPr>
          <w:rFonts w:hint="eastAsia" w:ascii="宋体" w:hAnsi="宋体" w:cs="宋体"/>
          <w:color w:val="auto"/>
          <w:kern w:val="0"/>
          <w:sz w:val="24"/>
          <w:szCs w:val="24"/>
          <w:highlight w:val="none"/>
          <w:lang w:val="en-US" w:eastAsia="zh-CN" w:bidi="ar"/>
        </w:rPr>
        <w:t>是非</w:t>
      </w:r>
      <w:r>
        <w:rPr>
          <w:rFonts w:hint="eastAsia" w:ascii="宋体" w:hAnsi="宋体" w:cs="宋体"/>
          <w:color w:val="auto"/>
          <w:kern w:val="0"/>
          <w:sz w:val="24"/>
          <w:szCs w:val="24"/>
          <w:highlight w:val="none"/>
          <w:lang w:val="zh-CN" w:eastAsia="zh-CN" w:bidi="ar"/>
        </w:rPr>
        <w:t>专门面向中小企业采购</w:t>
      </w:r>
      <w:r>
        <w:rPr>
          <w:rFonts w:hint="default" w:ascii="宋体" w:hAnsi="宋体" w:eastAsia="宋体" w:cs="宋体"/>
          <w:color w:val="auto"/>
          <w:kern w:val="0"/>
          <w:sz w:val="24"/>
          <w:szCs w:val="24"/>
          <w:highlight w:val="none"/>
          <w:lang w:val="en-US" w:eastAsia="zh-CN" w:bidi="ar"/>
        </w:rPr>
        <w:t>(如属于专门面向中小企业采购的项目，供应商应为中小微企业、监狱企业、残疾人福利性单位)</w:t>
      </w:r>
      <w:r>
        <w:rPr>
          <w:rFonts w:hint="eastAsia" w:ascii="宋体" w:hAnsi="宋体" w:eastAsia="宋体" w:cs="宋体"/>
          <w:color w:val="auto"/>
          <w:kern w:val="0"/>
          <w:sz w:val="24"/>
          <w:szCs w:val="24"/>
          <w:highlight w:val="none"/>
          <w:lang w:val="zh-CN" w:eastAsia="zh-CN" w:bidi="ar"/>
        </w:rPr>
        <w:t>（</w:t>
      </w:r>
      <w:r>
        <w:rPr>
          <w:rFonts w:hint="eastAsia" w:ascii="宋体" w:hAnsi="宋体" w:eastAsia="宋体" w:cs="宋体"/>
          <w:color w:val="auto"/>
          <w:kern w:val="0"/>
          <w:sz w:val="24"/>
          <w:szCs w:val="24"/>
          <w:highlight w:val="none"/>
          <w:lang w:val="en-US" w:eastAsia="zh-CN" w:bidi="ar"/>
        </w:rPr>
        <w:t>本项目属</w:t>
      </w:r>
      <w:r>
        <w:rPr>
          <w:rFonts w:hint="eastAsia" w:ascii="宋体" w:hAnsi="宋体" w:cs="宋体"/>
          <w:color w:val="auto"/>
          <w:kern w:val="0"/>
          <w:sz w:val="24"/>
          <w:szCs w:val="24"/>
          <w:highlight w:val="none"/>
          <w:lang w:val="en-US" w:eastAsia="zh-CN" w:bidi="ar"/>
        </w:rPr>
        <w:t>于物业管理行业</w:t>
      </w:r>
      <w:r>
        <w:rPr>
          <w:rFonts w:hint="eastAsia" w:ascii="宋体" w:hAnsi="宋体" w:cs="宋体"/>
          <w:color w:val="auto"/>
          <w:kern w:val="0"/>
          <w:sz w:val="24"/>
          <w:szCs w:val="24"/>
          <w:highlight w:val="none"/>
          <w:lang w:val="zh-CN" w:eastAsia="zh-CN" w:bidi="ar"/>
        </w:rPr>
        <w:t>）；《政府采购促进中小企业发展管理办法》（财库[2020]46号）、《关</w:t>
      </w:r>
      <w:r>
        <w:rPr>
          <w:rFonts w:hint="eastAsia" w:ascii="宋体" w:hAnsi="宋体" w:eastAsia="宋体" w:cs="宋体"/>
          <w:color w:val="auto"/>
          <w:kern w:val="0"/>
          <w:sz w:val="24"/>
          <w:szCs w:val="24"/>
          <w:highlight w:val="none"/>
          <w:lang w:val="zh-CN" w:eastAsia="zh-CN" w:bidi="ar"/>
        </w:rPr>
        <w:t>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0932D4DC">
      <w:pPr>
        <w:pStyle w:val="42"/>
        <w:shd w:val="clear" w:color="auto" w:fill="auto"/>
        <w:spacing w:before="0" w:beforeAutospacing="0" w:after="0" w:afterAutospacing="0" w:line="360" w:lineRule="auto"/>
        <w:ind w:firstLine="42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3.具有良好的商业信誉；</w:t>
      </w:r>
    </w:p>
    <w:p w14:paraId="7F2FA611">
      <w:pPr>
        <w:pStyle w:val="42"/>
        <w:shd w:val="clear" w:color="auto" w:fill="auto"/>
        <w:spacing w:before="0" w:beforeAutospacing="0" w:after="0" w:afterAutospacing="0" w:line="360" w:lineRule="auto"/>
        <w:ind w:firstLine="42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4.依法缴纳税收和社会保障资金的良好记录，近半年任意一个月缴纳税收的凭据、缴纳社会保险专用收据或社会保险缴纳清单；</w:t>
      </w:r>
    </w:p>
    <w:p w14:paraId="6A221F18">
      <w:pPr>
        <w:pStyle w:val="42"/>
        <w:shd w:val="clear" w:color="auto" w:fill="auto"/>
        <w:spacing w:before="0" w:beforeAutospacing="0" w:after="0" w:afterAutospacing="0" w:line="360" w:lineRule="auto"/>
        <w:ind w:firstLine="42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5.拒绝列入政府取消投标资格记录期间的企业或个人投标；</w:t>
      </w:r>
    </w:p>
    <w:p w14:paraId="5710CDC4">
      <w:pPr>
        <w:pStyle w:val="42"/>
        <w:shd w:val="clear" w:color="auto" w:fill="auto"/>
        <w:spacing w:before="0" w:beforeAutospacing="0" w:after="0" w:afterAutospacing="0" w:line="360" w:lineRule="auto"/>
        <w:ind w:firstLine="42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6.在中国裁判文书网上，近三年无行贿受贿犯罪记录；</w:t>
      </w:r>
    </w:p>
    <w:p w14:paraId="036EC515">
      <w:pPr>
        <w:pStyle w:val="42"/>
        <w:shd w:val="clear" w:color="auto" w:fill="auto"/>
        <w:spacing w:before="0" w:beforeAutospacing="0" w:after="0" w:afterAutospacing="0" w:line="360" w:lineRule="auto"/>
        <w:ind w:firstLine="420"/>
        <w:jc w:val="both"/>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7.企业信誉良好，近3年无服务违约行为、违纪违法等不良行为记录，</w:t>
      </w:r>
      <w:r>
        <w:rPr>
          <w:rFonts w:hint="eastAsia" w:ascii="宋体" w:hAnsi="宋体" w:eastAsia="宋体" w:cs="宋体"/>
          <w:color w:val="auto"/>
          <w:kern w:val="0"/>
          <w:sz w:val="24"/>
          <w:szCs w:val="24"/>
          <w:highlight w:val="none"/>
          <w:lang w:val="zh-CN" w:eastAsia="zh-CN" w:bidi="ar"/>
        </w:rPr>
        <w:t>不得为“信用中国”网站（www.creditchina.gov.cn）中列入失信被执行人和重大税收违法案件当事人名单供应商，不得为中国政府采购网（www.ccpg.gov.cn）政府采购严重违法失信行为记录名单中被财政部门禁止参加政府采购活动的供应商（在处罚决定规定的时间和地域范围内）；</w:t>
      </w:r>
    </w:p>
    <w:p w14:paraId="2E68F64A">
      <w:pPr>
        <w:pStyle w:val="42"/>
        <w:shd w:val="clear" w:color="auto" w:fill="auto"/>
        <w:spacing w:before="0" w:beforeAutospacing="0" w:after="0" w:afterAutospacing="0" w:line="360" w:lineRule="auto"/>
        <w:ind w:firstLine="420"/>
        <w:jc w:val="both"/>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val="zh-CN" w:eastAsia="zh-CN" w:bidi="ar"/>
        </w:rPr>
        <w:t>与采购人存在利害关系可能影响招标公正性的法人、其他组织或者个人，不得参加本项目投标；</w:t>
      </w:r>
    </w:p>
    <w:p w14:paraId="19918C85">
      <w:pPr>
        <w:pStyle w:val="42"/>
        <w:shd w:val="clear" w:color="auto" w:fill="auto"/>
        <w:spacing w:before="0" w:beforeAutospacing="0" w:after="0" w:afterAutospacing="0" w:line="360" w:lineRule="auto"/>
        <w:ind w:firstLine="420"/>
        <w:jc w:val="both"/>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val="zh-CN" w:eastAsia="zh-CN" w:bidi="ar"/>
        </w:rPr>
        <w:t>单位负责人为同一人或者存在直接控股、管理关系的不同供应商，不得参加同一合同项下的政府采购活动。</w:t>
      </w:r>
    </w:p>
    <w:p w14:paraId="107D7610">
      <w:pPr>
        <w:autoSpaceDE w:val="0"/>
        <w:spacing w:line="360" w:lineRule="auto"/>
        <w:ind w:firstLine="482" w:firstLineChars="200"/>
        <w:rPr>
          <w:rFonts w:hint="eastAsia" w:ascii="宋体" w:hAnsi="宋体" w:cs="宋体"/>
          <w:b/>
          <w:color w:val="auto"/>
          <w:kern w:val="0"/>
          <w:sz w:val="24"/>
          <w:highlight w:val="none"/>
        </w:rPr>
      </w:pPr>
      <w:r>
        <w:rPr>
          <w:rFonts w:hint="eastAsia" w:ascii="宋体" w:hAnsi="宋体" w:cs="宋体"/>
          <w:b/>
          <w:color w:val="auto"/>
          <w:kern w:val="0"/>
          <w:sz w:val="24"/>
          <w:highlight w:val="none"/>
          <w:lang w:bidi="ar"/>
        </w:rPr>
        <w:t>三、获取</w:t>
      </w:r>
      <w:r>
        <w:rPr>
          <w:rFonts w:hint="eastAsia" w:ascii="宋体" w:hAnsi="宋体" w:cs="宋体"/>
          <w:b/>
          <w:color w:val="auto"/>
          <w:kern w:val="0"/>
          <w:sz w:val="24"/>
          <w:highlight w:val="none"/>
          <w:lang w:val="en-US" w:eastAsia="zh-CN" w:bidi="ar"/>
        </w:rPr>
        <w:t>采购</w:t>
      </w:r>
      <w:r>
        <w:rPr>
          <w:rFonts w:hint="eastAsia" w:ascii="宋体" w:hAnsi="宋体" w:cs="宋体"/>
          <w:b/>
          <w:color w:val="auto"/>
          <w:kern w:val="0"/>
          <w:sz w:val="24"/>
          <w:highlight w:val="none"/>
          <w:lang w:bidi="ar"/>
        </w:rPr>
        <w:t>文件</w:t>
      </w:r>
    </w:p>
    <w:p w14:paraId="65ED38DE">
      <w:pPr>
        <w:autoSpaceDE w:val="0"/>
        <w:spacing w:line="360" w:lineRule="auto"/>
        <w:ind w:firstLine="480" w:firstLineChars="200"/>
        <w:jc w:val="left"/>
        <w:rPr>
          <w:rFonts w:hint="eastAsia" w:ascii="宋体" w:hAnsi="宋体" w:cs="宋体"/>
          <w:color w:val="auto"/>
          <w:kern w:val="0"/>
          <w:sz w:val="24"/>
          <w:szCs w:val="24"/>
          <w:highlight w:val="none"/>
          <w:lang w:val="zh-CN" w:eastAsia="zh-CN" w:bidi="ar"/>
        </w:rPr>
      </w:pP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zh-CN" w:eastAsia="zh-CN" w:bidi="ar"/>
        </w:rPr>
        <w:t>时间：</w:t>
      </w:r>
      <w:r>
        <w:rPr>
          <w:rFonts w:hint="eastAsia" w:ascii="宋体" w:hAnsi="宋体" w:cs="宋体"/>
          <w:color w:val="auto"/>
          <w:kern w:val="0"/>
          <w:sz w:val="24"/>
          <w:szCs w:val="24"/>
          <w:highlight w:val="none"/>
          <w:lang w:val="en-US" w:eastAsia="zh-CN" w:bidi="ar"/>
        </w:rPr>
        <w:t>2025年07月07日至2025年07月14日， （北京时间，法定节假日除外）</w:t>
      </w:r>
    </w:p>
    <w:p w14:paraId="4BCA20B1">
      <w:pPr>
        <w:pStyle w:val="42"/>
        <w:wordWrap w:val="0"/>
        <w:adjustRightInd w:val="0"/>
        <w:snapToGrid w:val="0"/>
        <w:spacing w:before="150" w:beforeAutospacing="0" w:after="0" w:afterAutospacing="0" w:line="360" w:lineRule="auto"/>
        <w:ind w:firstLine="480" w:firstLineChars="20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2、获取方式:网上下载，本项目不发放纸质版招标文件。供应商可自行在“政采云”平台（https://www.zcygov.cn/）下载</w:t>
      </w:r>
      <w:r>
        <w:rPr>
          <w:rFonts w:hint="eastAsia" w:ascii="宋体" w:hAnsi="宋体" w:cs="宋体"/>
          <w:color w:val="auto"/>
          <w:kern w:val="0"/>
          <w:sz w:val="24"/>
          <w:szCs w:val="24"/>
          <w:highlight w:val="none"/>
          <w:lang w:bidi="ar"/>
        </w:rPr>
        <w:t>磋商</w:t>
      </w:r>
      <w:r>
        <w:rPr>
          <w:rFonts w:hint="eastAsia" w:ascii="宋体" w:hAnsi="宋体" w:eastAsia="宋体" w:cs="宋体"/>
          <w:color w:val="auto"/>
          <w:kern w:val="0"/>
          <w:sz w:val="24"/>
          <w:szCs w:val="24"/>
          <w:highlight w:val="none"/>
          <w:lang w:val="en-US" w:eastAsia="zh-CN" w:bidi="ar"/>
        </w:rPr>
        <w:t>文件（操作路径：登录“政采云”平台-项目采购-获取采购文件-找到本项目-点击“申请获取采购文件”），电子响应文件制作需要基于“政采云”平台获取的采购文件编制。</w:t>
      </w:r>
    </w:p>
    <w:p w14:paraId="2DA67AF6">
      <w:pPr>
        <w:pStyle w:val="42"/>
        <w:wordWrap w:val="0"/>
        <w:adjustRightInd w:val="0"/>
        <w:snapToGrid w:val="0"/>
        <w:spacing w:before="150" w:beforeAutospacing="0" w:after="0" w:afterAutospacing="0" w:line="360" w:lineRule="auto"/>
        <w:ind w:firstLine="480" w:firstLineChars="20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r>
        <w:rPr>
          <w:rFonts w:hint="default" w:ascii="宋体" w:hAnsi="宋体" w:eastAsia="宋体" w:cs="宋体"/>
          <w:color w:val="auto"/>
          <w:kern w:val="0"/>
          <w:sz w:val="24"/>
          <w:szCs w:val="24"/>
          <w:highlight w:val="none"/>
          <w:lang w:val="en-US" w:eastAsia="zh-CN" w:bidi="ar"/>
        </w:rPr>
        <w:t>供应商在电子化平台参与政府采购项目前，应在电子化平台完成信息注册（如已注册</w:t>
      </w:r>
      <w:r>
        <w:rPr>
          <w:rFonts w:hint="eastAsia" w:ascii="宋体" w:hAnsi="宋体" w:eastAsia="宋体" w:cs="宋体"/>
          <w:color w:val="auto"/>
          <w:kern w:val="0"/>
          <w:sz w:val="24"/>
          <w:szCs w:val="24"/>
          <w:highlight w:val="none"/>
          <w:lang w:val="en-US" w:eastAsia="zh-CN" w:bidi="ar"/>
        </w:rPr>
        <w:t>吉林</w:t>
      </w:r>
      <w:r>
        <w:rPr>
          <w:rFonts w:hint="default" w:ascii="宋体" w:hAnsi="宋体" w:eastAsia="宋体" w:cs="宋体"/>
          <w:color w:val="auto"/>
          <w:kern w:val="0"/>
          <w:sz w:val="24"/>
          <w:szCs w:val="24"/>
          <w:highlight w:val="none"/>
          <w:lang w:val="en-US" w:eastAsia="zh-CN" w:bidi="ar"/>
        </w:rPr>
        <w:t>市政府采购电子商城则无需重复注册），注册链接：https://middle.zcygov.cn/v-settle-front/registry。政采云投标客户端及CA驱动下载地址：https://customer.zcygov.cn/CA-driver-download?utm=web-login-front.52cebfa2.0.0.04df4040034511edaac705fda12edb43。</w:t>
      </w:r>
      <w:r>
        <w:rPr>
          <w:rFonts w:hint="eastAsia" w:ascii="宋体" w:hAnsi="宋体" w:eastAsia="宋体" w:cs="宋体"/>
          <w:color w:val="auto"/>
          <w:kern w:val="0"/>
          <w:sz w:val="24"/>
          <w:szCs w:val="24"/>
          <w:highlight w:val="none"/>
          <w:lang w:val="en-US" w:eastAsia="zh-CN" w:bidi="ar"/>
        </w:rPr>
        <w:t>未进行网上注册的供应商将无法参与本次采购活动。</w:t>
      </w:r>
    </w:p>
    <w:p w14:paraId="22C30C01">
      <w:pPr>
        <w:tabs>
          <w:tab w:val="left" w:pos="0"/>
        </w:tabs>
        <w:ind w:firstLine="480" w:firstLineChars="200"/>
        <w:outlineLvl w:val="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4、本项目不收取投标保证金。</w:t>
      </w:r>
    </w:p>
    <w:p w14:paraId="274EB2E5">
      <w:pPr>
        <w:pStyle w:val="42"/>
        <w:wordWrap w:val="0"/>
        <w:adjustRightInd w:val="0"/>
        <w:snapToGrid w:val="0"/>
        <w:spacing w:before="150" w:beforeAutospacing="0" w:after="0" w:afterAutospacing="0" w:line="360" w:lineRule="auto"/>
        <w:ind w:firstLine="480" w:firstLineChars="20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5.供应商不足三家时，采购人另行组织采购。</w:t>
      </w:r>
    </w:p>
    <w:p w14:paraId="1A864E12">
      <w:pPr>
        <w:autoSpaceDE w:val="0"/>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lang w:bidi="ar"/>
        </w:rPr>
        <w:t>四、响应文件提交</w:t>
      </w:r>
    </w:p>
    <w:p w14:paraId="6F629D6E">
      <w:pPr>
        <w:autoSpaceDE w:val="0"/>
        <w:spacing w:line="360" w:lineRule="auto"/>
        <w:ind w:firstLine="480" w:firstLineChars="200"/>
        <w:rPr>
          <w:rFonts w:ascii="宋体" w:hAnsi="宋体" w:cs="宋体"/>
          <w:color w:val="C00000"/>
          <w:kern w:val="0"/>
          <w:sz w:val="24"/>
          <w:highlight w:val="none"/>
          <w:lang w:bidi="ar"/>
        </w:rPr>
      </w:pPr>
      <w:r>
        <w:rPr>
          <w:rFonts w:hint="eastAsia" w:ascii="宋体" w:hAnsi="宋体" w:eastAsia="宋体" w:cs="宋体"/>
          <w:color w:val="auto"/>
          <w:kern w:val="0"/>
          <w:sz w:val="24"/>
          <w:szCs w:val="24"/>
          <w:highlight w:val="none"/>
          <w:lang w:val="en-US" w:eastAsia="zh-CN" w:bidi="ar"/>
        </w:rPr>
        <w:t>截止时间：</w:t>
      </w:r>
      <w:r>
        <w:rPr>
          <w:rFonts w:hint="eastAsia" w:ascii="宋体" w:hAnsi="宋体" w:cs="宋体"/>
          <w:color w:val="auto"/>
          <w:kern w:val="0"/>
          <w:sz w:val="24"/>
          <w:szCs w:val="24"/>
          <w:highlight w:val="none"/>
          <w:lang w:eastAsia="zh-CN" w:bidi="ar"/>
        </w:rPr>
        <w:t>2025年07月17日</w:t>
      </w:r>
      <w:r>
        <w:rPr>
          <w:rFonts w:hint="eastAsia" w:ascii="宋体" w:hAnsi="宋体" w:cs="宋体"/>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val="en-US" w:eastAsia="zh-CN" w:bidi="ar"/>
        </w:rPr>
        <w:t>:30</w:t>
      </w:r>
      <w:r>
        <w:rPr>
          <w:rFonts w:hint="eastAsia" w:ascii="宋体" w:hAnsi="宋体" w:eastAsia="宋体" w:cs="宋体"/>
          <w:color w:val="auto"/>
          <w:kern w:val="0"/>
          <w:sz w:val="24"/>
          <w:szCs w:val="24"/>
          <w:highlight w:val="none"/>
          <w:lang w:eastAsia="zh-CN" w:bidi="ar"/>
        </w:rPr>
        <w:t>（北京时间）</w:t>
      </w:r>
    </w:p>
    <w:p w14:paraId="3049F163">
      <w:pPr>
        <w:autoSpaceDE w:val="0"/>
        <w:spacing w:line="360" w:lineRule="auto"/>
        <w:ind w:firstLine="480" w:firstLineChars="200"/>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地点：</w:t>
      </w:r>
      <w:r>
        <w:rPr>
          <w:rFonts w:hint="eastAsia" w:ascii="宋体" w:hAnsi="宋体" w:eastAsia="宋体" w:cs="宋体"/>
          <w:color w:val="auto"/>
          <w:kern w:val="0"/>
          <w:sz w:val="24"/>
          <w:highlight w:val="none"/>
          <w:lang w:val="en-US" w:eastAsia="zh-CN" w:bidi="ar"/>
        </w:rPr>
        <w:t>本项目采用全流程电子化采购，需通过政府采购云平台（https://www.zcygov.cn/）递交电子响应文件。</w:t>
      </w:r>
    </w:p>
    <w:p w14:paraId="238CDD0D">
      <w:pPr>
        <w:autoSpaceDE w:val="0"/>
        <w:spacing w:line="360" w:lineRule="auto"/>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投标操作流程：供应商在政府采购云平台注册入库成为正式供应商后，在平台上按《政府采购项目电子交易管理操作指南-供应商》进行投标操作。</w:t>
      </w:r>
    </w:p>
    <w:p w14:paraId="455E1CA2">
      <w:pPr>
        <w:autoSpaceDE w:val="0"/>
        <w:spacing w:line="360" w:lineRule="auto"/>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五、开启</w:t>
      </w:r>
    </w:p>
    <w:p w14:paraId="758BFFE3">
      <w:pPr>
        <w:autoSpaceDE w:val="0"/>
        <w:spacing w:line="360" w:lineRule="auto"/>
        <w:ind w:firstLine="480" w:firstLineChars="200"/>
        <w:rPr>
          <w:rFonts w:hint="eastAsia" w:ascii="宋体" w:hAnsi="宋体" w:cs="宋体"/>
          <w:color w:val="C00000"/>
          <w:kern w:val="0"/>
          <w:sz w:val="24"/>
          <w:szCs w:val="24"/>
          <w:highlight w:val="none"/>
          <w:lang w:bidi="ar"/>
        </w:rPr>
      </w:pPr>
      <w:r>
        <w:rPr>
          <w:rFonts w:hint="eastAsia" w:ascii="宋体" w:hAnsi="宋体" w:eastAsia="宋体" w:cs="宋体"/>
          <w:color w:val="auto"/>
          <w:kern w:val="0"/>
          <w:sz w:val="24"/>
          <w:szCs w:val="24"/>
          <w:highlight w:val="none"/>
          <w:lang w:val="en-US" w:eastAsia="zh-CN" w:bidi="ar"/>
        </w:rPr>
        <w:t>时间：</w:t>
      </w:r>
      <w:r>
        <w:rPr>
          <w:rFonts w:hint="eastAsia" w:ascii="宋体" w:hAnsi="宋体" w:cs="宋体"/>
          <w:color w:val="auto"/>
          <w:kern w:val="0"/>
          <w:sz w:val="24"/>
          <w:szCs w:val="24"/>
          <w:highlight w:val="none"/>
          <w:lang w:eastAsia="zh-CN" w:bidi="ar"/>
        </w:rPr>
        <w:t>2025年07月17日</w:t>
      </w:r>
      <w:r>
        <w:rPr>
          <w:rFonts w:hint="eastAsia" w:ascii="宋体" w:hAnsi="宋体" w:cs="宋体"/>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val="en-US" w:eastAsia="zh-CN" w:bidi="ar"/>
        </w:rPr>
        <w:t>:30</w:t>
      </w:r>
      <w:r>
        <w:rPr>
          <w:rFonts w:hint="eastAsia" w:ascii="宋体" w:hAnsi="宋体" w:eastAsia="宋体" w:cs="宋体"/>
          <w:color w:val="auto"/>
          <w:kern w:val="0"/>
          <w:sz w:val="24"/>
          <w:szCs w:val="24"/>
          <w:highlight w:val="none"/>
          <w:lang w:eastAsia="zh-CN" w:bidi="ar"/>
        </w:rPr>
        <w:t>（北京时间）</w:t>
      </w:r>
    </w:p>
    <w:p w14:paraId="7370F9D4">
      <w:pPr>
        <w:autoSpaceDE w:val="0"/>
        <w:spacing w:line="360" w:lineRule="auto"/>
        <w:ind w:firstLine="480" w:firstLineChars="2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地点：</w:t>
      </w:r>
      <w:r>
        <w:rPr>
          <w:rFonts w:hint="eastAsia" w:ascii="宋体" w:hAnsi="宋体" w:eastAsia="宋体" w:cs="宋体"/>
          <w:color w:val="auto"/>
          <w:kern w:val="0"/>
          <w:sz w:val="24"/>
          <w:highlight w:val="none"/>
          <w:lang w:val="en-US" w:eastAsia="zh-CN" w:bidi="ar"/>
        </w:rPr>
        <w:t>桦甸市政务服务中心五楼开标室一（桦甸大街66号）</w:t>
      </w:r>
    </w:p>
    <w:p w14:paraId="2688C85C">
      <w:pPr>
        <w:autoSpaceDE w:val="0"/>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lang w:bidi="ar"/>
        </w:rPr>
        <w:t>六、公告期限</w:t>
      </w:r>
    </w:p>
    <w:p w14:paraId="2F5C21FB">
      <w:pPr>
        <w:autoSpaceDE w:val="0"/>
        <w:spacing w:line="360" w:lineRule="auto"/>
        <w:ind w:firstLine="480" w:firstLineChars="200"/>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自本公告发布之日起5个工作日。</w:t>
      </w:r>
    </w:p>
    <w:p w14:paraId="0DBE06B9">
      <w:pPr>
        <w:autoSpaceDE w:val="0"/>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lang w:bidi="ar"/>
        </w:rPr>
        <w:t>七、其它补充事宜</w:t>
      </w:r>
    </w:p>
    <w:p w14:paraId="56819856">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bidi="ar"/>
        </w:rPr>
        <w:t>1.公告媒介：</w:t>
      </w:r>
      <w:r>
        <w:rPr>
          <w:rFonts w:hint="eastAsia" w:ascii="宋体" w:hAnsi="宋体" w:eastAsia="宋体" w:cs="宋体"/>
          <w:color w:val="auto"/>
          <w:kern w:val="0"/>
          <w:sz w:val="24"/>
          <w:szCs w:val="24"/>
          <w:highlight w:val="none"/>
          <w:lang w:val="en-US" w:eastAsia="zh-CN" w:bidi="ar"/>
        </w:rPr>
        <w:t>本次竞争性磋商公告在“政采云”平台 (http:// www.zcygov.cn) 上发布，同步推送到吉林省政府采购网。</w:t>
      </w:r>
    </w:p>
    <w:p w14:paraId="25F809EE">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2.采购项目需要落实的政府采购政策：</w:t>
      </w:r>
    </w:p>
    <w:p w14:paraId="7B97CCCE">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bidi="ar"/>
        </w:rPr>
        <w:t>中华人民共和国财政部、中华人民共和国工业和信息化部《政府采购促进中小企业发展暂行办法》（财库[2020]46号）、《关于政府采购支持监狱企业发展有关问题的通知》(财库[2014]68号)、《三部门联合发布关于促进残疾人就业政府采购政策的通知》(财库[2017]141号</w:t>
      </w:r>
      <w:r>
        <w:rPr>
          <w:rFonts w:hint="eastAsia" w:ascii="宋体" w:hAnsi="宋体" w:eastAsia="宋体" w:cs="宋体"/>
          <w:color w:val="auto"/>
          <w:kern w:val="0"/>
          <w:sz w:val="24"/>
          <w:szCs w:val="24"/>
          <w:highlight w:val="none"/>
          <w:lang w:bidi="ar"/>
        </w:rPr>
        <w:t>)等。</w:t>
      </w:r>
    </w:p>
    <w:p w14:paraId="10444E37">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3.若对项目采购电子交易系统操作有疑问，可登录“政采云”平台，点击右侧咨询小采，获取采小蜜智能服务管家帮助，或拨打政采云服务热线 95763获取帮助。</w:t>
      </w:r>
    </w:p>
    <w:p w14:paraId="57532ED3">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bidi="ar"/>
        </w:rPr>
      </w:pPr>
    </w:p>
    <w:p w14:paraId="6F9E25F7">
      <w:pPr>
        <w:autoSpaceDE w:val="0"/>
        <w:spacing w:line="360" w:lineRule="auto"/>
        <w:rPr>
          <w:rFonts w:ascii="宋体" w:hAnsi="宋体" w:cs="宋体"/>
          <w:b/>
          <w:color w:val="auto"/>
          <w:kern w:val="0"/>
          <w:sz w:val="24"/>
          <w:highlight w:val="none"/>
        </w:rPr>
      </w:pPr>
      <w:r>
        <w:rPr>
          <w:rFonts w:hint="eastAsia" w:ascii="宋体" w:hAnsi="宋体" w:cs="宋体"/>
          <w:b/>
          <w:color w:val="auto"/>
          <w:kern w:val="0"/>
          <w:sz w:val="24"/>
          <w:szCs w:val="24"/>
          <w:highlight w:val="none"/>
          <w:lang w:bidi="ar"/>
        </w:rPr>
        <w:t>八、凡对本次采购提出询问，请按以下方式联系</w:t>
      </w:r>
    </w:p>
    <w:p w14:paraId="3A00608B">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1、采购人信息</w:t>
      </w:r>
    </w:p>
    <w:p w14:paraId="4676FC7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名称：</w:t>
      </w:r>
      <w:r>
        <w:rPr>
          <w:rFonts w:hint="eastAsia" w:ascii="宋体" w:hAnsi="宋体" w:cs="宋体"/>
          <w:color w:val="auto"/>
          <w:kern w:val="0"/>
          <w:sz w:val="24"/>
          <w:szCs w:val="24"/>
          <w:highlight w:val="none"/>
          <w:lang w:val="en-US" w:eastAsia="zh-CN" w:bidi="ar"/>
        </w:rPr>
        <w:t>桦甸市人民法院</w:t>
      </w:r>
    </w:p>
    <w:p w14:paraId="48B759C1">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地址：</w:t>
      </w:r>
      <w:r>
        <w:rPr>
          <w:rFonts w:hint="eastAsia" w:ascii="宋体" w:hAnsi="宋体" w:cs="宋体"/>
          <w:color w:val="auto"/>
          <w:kern w:val="0"/>
          <w:sz w:val="24"/>
          <w:szCs w:val="24"/>
          <w:highlight w:val="none"/>
          <w:lang w:val="en-US" w:eastAsia="zh-CN" w:bidi="ar"/>
        </w:rPr>
        <w:t>桦甸市渤海大街3号</w:t>
      </w:r>
    </w:p>
    <w:p w14:paraId="4D9509F0">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联系人：</w:t>
      </w:r>
      <w:r>
        <w:rPr>
          <w:rFonts w:hint="eastAsia" w:ascii="宋体" w:hAnsi="宋体" w:cs="宋体"/>
          <w:color w:val="auto"/>
          <w:kern w:val="0"/>
          <w:sz w:val="24"/>
          <w:szCs w:val="24"/>
          <w:highlight w:val="none"/>
          <w:lang w:val="en-US" w:eastAsia="zh-CN" w:bidi="ar"/>
        </w:rPr>
        <w:t>李刚</w:t>
      </w:r>
    </w:p>
    <w:p w14:paraId="13AAA4E8">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联系方式</w:t>
      </w:r>
      <w:r>
        <w:rPr>
          <w:rFonts w:hint="eastAsia" w:ascii="宋体" w:hAnsi="宋体" w:cs="宋体"/>
          <w:color w:val="auto"/>
          <w:kern w:val="0"/>
          <w:sz w:val="24"/>
          <w:szCs w:val="24"/>
          <w:highlight w:val="none"/>
          <w:lang w:val="en-US" w:eastAsia="zh-CN" w:bidi="ar"/>
        </w:rPr>
        <w:t>：0432-66248177</w:t>
      </w:r>
    </w:p>
    <w:p w14:paraId="3EA2C1CC">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2、采购代理机构信息</w:t>
      </w:r>
    </w:p>
    <w:p w14:paraId="17892AE1">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名 称：桦甸市人民政府信息中心</w:t>
      </w:r>
    </w:p>
    <w:p w14:paraId="56B86E33">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地 址：</w:t>
      </w:r>
      <w:r>
        <w:rPr>
          <w:rFonts w:hint="eastAsia" w:ascii="宋体" w:hAnsi="宋体" w:cs="宋体"/>
          <w:color w:val="auto"/>
          <w:kern w:val="0"/>
          <w:sz w:val="24"/>
          <w:szCs w:val="24"/>
          <w:highlight w:val="none"/>
          <w:lang w:val="en-US" w:eastAsia="zh-CN" w:bidi="ar"/>
        </w:rPr>
        <w:t>桦甸市桦甸大街66号</w:t>
      </w:r>
    </w:p>
    <w:p w14:paraId="3D18391B">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联系人：</w:t>
      </w:r>
      <w:r>
        <w:rPr>
          <w:rFonts w:hint="eastAsia" w:ascii="宋体" w:hAnsi="宋体" w:cs="宋体"/>
          <w:color w:val="auto"/>
          <w:kern w:val="0"/>
          <w:sz w:val="24"/>
          <w:szCs w:val="24"/>
          <w:highlight w:val="none"/>
          <w:lang w:val="en-US" w:eastAsia="zh-CN" w:bidi="ar"/>
        </w:rPr>
        <w:t>王广馨</w:t>
      </w:r>
    </w:p>
    <w:p w14:paraId="13B11B0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联系方式：0432-66221685</w:t>
      </w:r>
    </w:p>
    <w:p w14:paraId="30B4B5B4">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3、项目联系方式</w:t>
      </w:r>
    </w:p>
    <w:p w14:paraId="5B92FA46">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联系人：</w:t>
      </w:r>
      <w:r>
        <w:rPr>
          <w:rFonts w:hint="eastAsia" w:ascii="宋体" w:hAnsi="宋体" w:cs="宋体"/>
          <w:color w:val="auto"/>
          <w:kern w:val="0"/>
          <w:sz w:val="24"/>
          <w:szCs w:val="24"/>
          <w:highlight w:val="none"/>
          <w:lang w:val="en-US" w:eastAsia="zh-CN" w:bidi="ar"/>
        </w:rPr>
        <w:t>王广馨</w:t>
      </w:r>
    </w:p>
    <w:p w14:paraId="6D7F15AD">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联系方式：0432-66221685</w:t>
      </w:r>
    </w:p>
    <w:p w14:paraId="79795C52">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bidi="ar"/>
        </w:rPr>
      </w:pPr>
    </w:p>
    <w:p w14:paraId="4540661F">
      <w:pPr>
        <w:autoSpaceDE w:val="0"/>
        <w:spacing w:line="360" w:lineRule="auto"/>
        <w:jc w:val="center"/>
        <w:rPr>
          <w:rFonts w:hint="eastAsia" w:ascii="宋体" w:hAnsi="宋体" w:cs="宋体"/>
          <w:color w:val="auto"/>
          <w:highlight w:val="none"/>
        </w:rPr>
      </w:pPr>
      <w:bookmarkStart w:id="187" w:name="_GoBack"/>
      <w:bookmarkEnd w:id="187"/>
      <w:r>
        <w:rPr>
          <w:rFonts w:hint="eastAsia" w:ascii="宋体" w:hAnsi="宋体" w:eastAsia="宋体" w:cs="宋体"/>
          <w:b/>
          <w:color w:val="auto"/>
          <w:kern w:val="0"/>
          <w:sz w:val="24"/>
          <w:highlight w:val="none"/>
        </w:rPr>
        <w:br w:type="page"/>
      </w:r>
      <w:r>
        <w:rPr>
          <w:rStyle w:val="65"/>
          <w:rFonts w:hint="eastAsia" w:ascii="宋体" w:hAnsi="宋体" w:cs="宋体"/>
          <w:color w:val="auto"/>
          <w:highlight w:val="none"/>
        </w:rPr>
        <w:t>第二章  供应商须知</w:t>
      </w:r>
      <w:bookmarkEnd w:id="16"/>
      <w:bookmarkEnd w:id="17"/>
      <w:bookmarkEnd w:id="18"/>
      <w:bookmarkEnd w:id="19"/>
      <w:bookmarkEnd w:id="20"/>
    </w:p>
    <w:p w14:paraId="7374B56F">
      <w:pPr>
        <w:wordWrap w:val="0"/>
        <w:adjustRightInd w:val="0"/>
        <w:spacing w:line="440" w:lineRule="exact"/>
        <w:jc w:val="left"/>
        <w:rPr>
          <w:rFonts w:hint="eastAsia" w:ascii="宋体" w:hAnsi="宋体" w:cs="宋体"/>
          <w:b/>
          <w:color w:val="auto"/>
          <w:sz w:val="24"/>
          <w:szCs w:val="24"/>
          <w:highlight w:val="none"/>
        </w:rPr>
      </w:pPr>
      <w:bookmarkStart w:id="21" w:name="_Toc14720971"/>
      <w:r>
        <w:rPr>
          <w:rFonts w:hint="eastAsia" w:ascii="宋体" w:hAnsi="宋体" w:cs="宋体"/>
          <w:b/>
          <w:bCs/>
          <w:color w:val="auto"/>
          <w:sz w:val="24"/>
          <w:szCs w:val="24"/>
          <w:highlight w:val="none"/>
        </w:rPr>
        <w:t>供应商须知前附表</w:t>
      </w:r>
      <w:bookmarkEnd w:id="21"/>
    </w:p>
    <w:tbl>
      <w:tblPr>
        <w:tblStyle w:val="47"/>
        <w:tblW w:w="10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730"/>
        <w:gridCol w:w="7324"/>
      </w:tblGrid>
      <w:tr w14:paraId="72F1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2" w:type="dxa"/>
            <w:noWrap w:val="0"/>
            <w:vAlign w:val="center"/>
          </w:tcPr>
          <w:p w14:paraId="02D67A3B">
            <w:pPr>
              <w:wordWrap w:val="0"/>
              <w:adjustRightInd w:val="0"/>
              <w:spacing w:line="440" w:lineRule="exact"/>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序号</w:t>
            </w:r>
          </w:p>
        </w:tc>
        <w:tc>
          <w:tcPr>
            <w:tcW w:w="1730" w:type="dxa"/>
            <w:noWrap w:val="0"/>
            <w:vAlign w:val="center"/>
          </w:tcPr>
          <w:p w14:paraId="64D86C3C">
            <w:pPr>
              <w:pStyle w:val="31"/>
              <w:pBdr>
                <w:bottom w:val="none" w:color="auto" w:sz="0" w:space="0"/>
              </w:pBdr>
              <w:tabs>
                <w:tab w:val="clear" w:pos="4153"/>
                <w:tab w:val="clear" w:pos="8306"/>
              </w:tabs>
              <w:wordWrap w:val="0"/>
              <w:adjustRightInd w:val="0"/>
              <w:snapToGrid/>
              <w:spacing w:line="440" w:lineRule="exact"/>
              <w:rPr>
                <w:rFonts w:hint="eastAsia" w:ascii="宋体" w:hAnsi="宋体" w:cs="宋体"/>
                <w:b/>
                <w:color w:val="auto"/>
                <w:kern w:val="2"/>
                <w:sz w:val="24"/>
                <w:szCs w:val="24"/>
                <w:highlight w:val="none"/>
                <w:lang w:val="zh-CN" w:eastAsia="zh-CN"/>
              </w:rPr>
            </w:pPr>
            <w:r>
              <w:rPr>
                <w:rFonts w:hint="eastAsia" w:ascii="宋体" w:hAnsi="宋体" w:cs="宋体"/>
                <w:b/>
                <w:color w:val="auto"/>
                <w:kern w:val="2"/>
                <w:sz w:val="24"/>
                <w:szCs w:val="24"/>
                <w:highlight w:val="none"/>
                <w:lang w:val="zh-CN" w:eastAsia="zh-CN"/>
              </w:rPr>
              <w:t>条款名称</w:t>
            </w:r>
          </w:p>
        </w:tc>
        <w:tc>
          <w:tcPr>
            <w:tcW w:w="7324" w:type="dxa"/>
            <w:noWrap w:val="0"/>
            <w:vAlign w:val="center"/>
          </w:tcPr>
          <w:p w14:paraId="6CEA1F75">
            <w:pPr>
              <w:pStyle w:val="31"/>
              <w:pBdr>
                <w:bottom w:val="none" w:color="auto" w:sz="0" w:space="0"/>
              </w:pBdr>
              <w:tabs>
                <w:tab w:val="clear" w:pos="4153"/>
                <w:tab w:val="clear" w:pos="8306"/>
              </w:tabs>
              <w:wordWrap w:val="0"/>
              <w:adjustRightInd w:val="0"/>
              <w:snapToGrid/>
              <w:spacing w:line="440" w:lineRule="exact"/>
              <w:rPr>
                <w:rFonts w:hint="eastAsia" w:ascii="宋体" w:hAnsi="宋体" w:cs="宋体"/>
                <w:b/>
                <w:color w:val="auto"/>
                <w:kern w:val="2"/>
                <w:sz w:val="24"/>
                <w:szCs w:val="24"/>
                <w:highlight w:val="none"/>
                <w:lang w:val="zh-CN" w:eastAsia="zh-CN"/>
              </w:rPr>
            </w:pPr>
            <w:r>
              <w:rPr>
                <w:rFonts w:hint="eastAsia" w:ascii="宋体" w:hAnsi="宋体" w:cs="宋体"/>
                <w:b/>
                <w:color w:val="auto"/>
                <w:kern w:val="2"/>
                <w:sz w:val="24"/>
                <w:szCs w:val="24"/>
                <w:highlight w:val="none"/>
                <w:lang w:val="zh-CN" w:eastAsia="zh-CN"/>
              </w:rPr>
              <w:t>编列内容</w:t>
            </w:r>
          </w:p>
        </w:tc>
      </w:tr>
      <w:tr w14:paraId="490A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1182" w:type="dxa"/>
            <w:noWrap w:val="0"/>
            <w:vAlign w:val="center"/>
          </w:tcPr>
          <w:p w14:paraId="1A6C1F99">
            <w:pPr>
              <w:wordWrap w:val="0"/>
              <w:adjustRightInd w:val="0"/>
              <w:spacing w:line="440" w:lineRule="exact"/>
              <w:jc w:val="center"/>
              <w:rPr>
                <w:rFonts w:hint="eastAsia" w:ascii="宋体" w:hAnsi="宋体" w:eastAsia="宋体" w:cs="宋体"/>
                <w:bCs/>
                <w:color w:val="auto"/>
                <w:sz w:val="24"/>
                <w:szCs w:val="24"/>
                <w:highlight w:val="none"/>
                <w:lang w:val="zh-CN" w:eastAsia="zh-CN"/>
              </w:rPr>
            </w:pPr>
            <w:r>
              <w:rPr>
                <w:rFonts w:hint="eastAsia" w:ascii="宋体" w:hAnsi="宋体" w:cs="宋体"/>
                <w:bCs/>
                <w:color w:val="auto"/>
                <w:sz w:val="24"/>
                <w:szCs w:val="24"/>
                <w:highlight w:val="none"/>
                <w:lang w:val="zh-CN"/>
              </w:rPr>
              <w:t>1.1.</w:t>
            </w:r>
            <w:r>
              <w:rPr>
                <w:rFonts w:hint="eastAsia" w:ascii="宋体" w:hAnsi="宋体" w:cs="宋体"/>
                <w:bCs/>
                <w:color w:val="auto"/>
                <w:sz w:val="24"/>
                <w:szCs w:val="24"/>
                <w:highlight w:val="none"/>
                <w:lang w:val="en-US" w:eastAsia="zh-CN"/>
              </w:rPr>
              <w:t>1</w:t>
            </w:r>
          </w:p>
        </w:tc>
        <w:tc>
          <w:tcPr>
            <w:tcW w:w="1730" w:type="dxa"/>
            <w:noWrap w:val="0"/>
            <w:vAlign w:val="center"/>
          </w:tcPr>
          <w:p w14:paraId="78C399BA">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采购人</w:t>
            </w:r>
          </w:p>
        </w:tc>
        <w:tc>
          <w:tcPr>
            <w:tcW w:w="7324" w:type="dxa"/>
            <w:noWrap w:val="0"/>
            <w:vAlign w:val="top"/>
          </w:tcPr>
          <w:p w14:paraId="461755BA">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名称：</w:t>
            </w:r>
            <w:r>
              <w:rPr>
                <w:rFonts w:hint="eastAsia" w:ascii="宋体" w:hAnsi="宋体" w:cs="宋体"/>
                <w:color w:val="auto"/>
                <w:kern w:val="0"/>
                <w:sz w:val="24"/>
                <w:szCs w:val="24"/>
                <w:highlight w:val="none"/>
                <w:lang w:val="en-US" w:eastAsia="zh-CN" w:bidi="ar"/>
              </w:rPr>
              <w:t>桦甸市人民法院</w:t>
            </w:r>
          </w:p>
          <w:p w14:paraId="13CC223C">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地址：</w:t>
            </w:r>
            <w:r>
              <w:rPr>
                <w:rFonts w:hint="eastAsia" w:ascii="宋体" w:hAnsi="宋体" w:cs="宋体"/>
                <w:color w:val="auto"/>
                <w:kern w:val="0"/>
                <w:sz w:val="24"/>
                <w:szCs w:val="24"/>
                <w:highlight w:val="none"/>
                <w:lang w:val="en-US" w:eastAsia="zh-CN" w:bidi="ar"/>
              </w:rPr>
              <w:t>桦甸市渤海大街3号</w:t>
            </w:r>
          </w:p>
          <w:p w14:paraId="03620F61">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联系人：</w:t>
            </w:r>
            <w:r>
              <w:rPr>
                <w:rFonts w:hint="eastAsia" w:ascii="宋体" w:hAnsi="宋体" w:cs="宋体"/>
                <w:color w:val="auto"/>
                <w:kern w:val="0"/>
                <w:sz w:val="24"/>
                <w:szCs w:val="24"/>
                <w:highlight w:val="none"/>
                <w:lang w:val="en-US" w:eastAsia="zh-CN" w:bidi="ar"/>
              </w:rPr>
              <w:t>李刚</w:t>
            </w:r>
          </w:p>
          <w:p w14:paraId="429B57B2">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cs="宋体"/>
                <w:bCs/>
                <w:color w:val="auto"/>
                <w:sz w:val="24"/>
                <w:szCs w:val="24"/>
                <w:highlight w:val="none"/>
              </w:rPr>
            </w:pPr>
            <w:r>
              <w:rPr>
                <w:rFonts w:hint="eastAsia" w:ascii="宋体" w:hAnsi="宋体" w:eastAsia="宋体" w:cs="宋体"/>
                <w:color w:val="auto"/>
                <w:kern w:val="0"/>
                <w:sz w:val="24"/>
                <w:szCs w:val="24"/>
                <w:highlight w:val="none"/>
                <w:lang w:val="en-US" w:eastAsia="zh-CN" w:bidi="ar"/>
              </w:rPr>
              <w:t>联系方式：</w:t>
            </w:r>
            <w:r>
              <w:rPr>
                <w:rFonts w:hint="eastAsia" w:ascii="宋体" w:hAnsi="宋体" w:cs="宋体"/>
                <w:color w:val="auto"/>
                <w:kern w:val="0"/>
                <w:sz w:val="24"/>
                <w:szCs w:val="24"/>
                <w:highlight w:val="none"/>
                <w:lang w:val="en-US" w:eastAsia="zh-CN" w:bidi="ar"/>
              </w:rPr>
              <w:t>0432-66248177</w:t>
            </w:r>
          </w:p>
        </w:tc>
      </w:tr>
      <w:tr w14:paraId="214A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618972B5">
            <w:pPr>
              <w:wordWrap w:val="0"/>
              <w:adjustRightInd w:val="0"/>
              <w:spacing w:line="440" w:lineRule="exact"/>
              <w:jc w:val="center"/>
              <w:rPr>
                <w:rFonts w:hint="eastAsia" w:ascii="宋体" w:hAnsi="宋体" w:eastAsia="宋体" w:cs="宋体"/>
                <w:bCs/>
                <w:color w:val="auto"/>
                <w:sz w:val="24"/>
                <w:szCs w:val="24"/>
                <w:highlight w:val="none"/>
                <w:lang w:val="zh-CN" w:eastAsia="zh-CN"/>
              </w:rPr>
            </w:pPr>
            <w:r>
              <w:rPr>
                <w:rFonts w:hint="eastAsia" w:ascii="宋体" w:hAnsi="宋体" w:cs="宋体"/>
                <w:bCs/>
                <w:color w:val="auto"/>
                <w:sz w:val="24"/>
                <w:szCs w:val="24"/>
                <w:highlight w:val="none"/>
                <w:lang w:val="zh-CN"/>
              </w:rPr>
              <w:t>1.1.</w:t>
            </w:r>
            <w:r>
              <w:rPr>
                <w:rFonts w:hint="eastAsia" w:ascii="宋体" w:hAnsi="宋体" w:cs="宋体"/>
                <w:bCs/>
                <w:color w:val="auto"/>
                <w:sz w:val="24"/>
                <w:szCs w:val="24"/>
                <w:highlight w:val="none"/>
                <w:lang w:val="en-US" w:eastAsia="zh-CN"/>
              </w:rPr>
              <w:t>2</w:t>
            </w:r>
          </w:p>
        </w:tc>
        <w:tc>
          <w:tcPr>
            <w:tcW w:w="1730" w:type="dxa"/>
            <w:noWrap w:val="0"/>
            <w:vAlign w:val="center"/>
          </w:tcPr>
          <w:p w14:paraId="43D4B61A">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采购代理机构</w:t>
            </w:r>
          </w:p>
        </w:tc>
        <w:tc>
          <w:tcPr>
            <w:tcW w:w="7324" w:type="dxa"/>
            <w:noWrap w:val="0"/>
            <w:vAlign w:val="center"/>
          </w:tcPr>
          <w:p w14:paraId="506ED2D3">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名 称：桦甸市人民政府信息中心</w:t>
            </w:r>
          </w:p>
          <w:p w14:paraId="7DF6E5EC">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地 址：</w:t>
            </w:r>
            <w:r>
              <w:rPr>
                <w:rFonts w:hint="eastAsia" w:ascii="宋体" w:hAnsi="宋体" w:cs="宋体"/>
                <w:color w:val="auto"/>
                <w:kern w:val="0"/>
                <w:sz w:val="24"/>
                <w:szCs w:val="24"/>
                <w:highlight w:val="none"/>
                <w:lang w:val="en-US" w:eastAsia="zh-CN" w:bidi="ar"/>
              </w:rPr>
              <w:t>桦甸市桦甸大街66号</w:t>
            </w:r>
          </w:p>
          <w:p w14:paraId="39180BAA">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联系人：</w:t>
            </w:r>
            <w:r>
              <w:rPr>
                <w:rFonts w:hint="eastAsia" w:ascii="宋体" w:hAnsi="宋体" w:cs="宋体"/>
                <w:color w:val="auto"/>
                <w:kern w:val="0"/>
                <w:sz w:val="24"/>
                <w:szCs w:val="24"/>
                <w:highlight w:val="none"/>
                <w:lang w:val="en-US" w:eastAsia="zh-CN" w:bidi="ar"/>
              </w:rPr>
              <w:t>王广馨</w:t>
            </w:r>
          </w:p>
          <w:p w14:paraId="6A0EBD23">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cs="宋体"/>
                <w:bCs/>
                <w:color w:val="auto"/>
                <w:sz w:val="24"/>
                <w:szCs w:val="24"/>
                <w:highlight w:val="none"/>
              </w:rPr>
            </w:pPr>
            <w:r>
              <w:rPr>
                <w:rFonts w:hint="eastAsia" w:ascii="宋体" w:hAnsi="宋体" w:eastAsia="宋体" w:cs="宋体"/>
                <w:color w:val="auto"/>
                <w:kern w:val="0"/>
                <w:sz w:val="24"/>
                <w:szCs w:val="24"/>
                <w:highlight w:val="none"/>
                <w:lang w:val="en-US" w:eastAsia="zh-CN" w:bidi="ar"/>
              </w:rPr>
              <w:t>联系方式：0432-66221685</w:t>
            </w:r>
          </w:p>
        </w:tc>
      </w:tr>
      <w:tr w14:paraId="07F6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49C6951D">
            <w:pPr>
              <w:wordWrap w:val="0"/>
              <w:adjustRightInd w:val="0"/>
              <w:spacing w:line="440" w:lineRule="exact"/>
              <w:jc w:val="center"/>
              <w:rPr>
                <w:rFonts w:hint="eastAsia" w:ascii="宋体" w:hAnsi="宋体" w:eastAsia="宋体" w:cs="宋体"/>
                <w:bCs/>
                <w:color w:val="auto"/>
                <w:sz w:val="24"/>
                <w:szCs w:val="24"/>
                <w:highlight w:val="none"/>
                <w:lang w:val="zh-CN" w:eastAsia="zh-CN"/>
              </w:rPr>
            </w:pPr>
            <w:r>
              <w:rPr>
                <w:rFonts w:hint="eastAsia" w:ascii="宋体" w:hAnsi="宋体" w:cs="宋体"/>
                <w:bCs/>
                <w:color w:val="auto"/>
                <w:sz w:val="24"/>
                <w:szCs w:val="24"/>
                <w:highlight w:val="none"/>
                <w:lang w:val="zh-CN"/>
              </w:rPr>
              <w:t>1.1.</w:t>
            </w:r>
            <w:r>
              <w:rPr>
                <w:rFonts w:hint="eastAsia" w:ascii="宋体" w:hAnsi="宋体" w:cs="宋体"/>
                <w:bCs/>
                <w:color w:val="auto"/>
                <w:sz w:val="24"/>
                <w:szCs w:val="24"/>
                <w:highlight w:val="none"/>
                <w:lang w:val="en-US" w:eastAsia="zh-CN"/>
              </w:rPr>
              <w:t>3</w:t>
            </w:r>
          </w:p>
        </w:tc>
        <w:tc>
          <w:tcPr>
            <w:tcW w:w="1730" w:type="dxa"/>
            <w:noWrap w:val="0"/>
            <w:vAlign w:val="center"/>
          </w:tcPr>
          <w:p w14:paraId="20061394">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项目名称</w:t>
            </w:r>
          </w:p>
        </w:tc>
        <w:tc>
          <w:tcPr>
            <w:tcW w:w="7324" w:type="dxa"/>
            <w:noWrap w:val="0"/>
            <w:vAlign w:val="center"/>
          </w:tcPr>
          <w:p w14:paraId="778A75AC">
            <w:pPr>
              <w:wordWrap w:val="0"/>
              <w:spacing w:line="440" w:lineRule="exact"/>
              <w:rPr>
                <w:rFonts w:hint="eastAsia" w:ascii="宋体" w:hAnsi="宋体" w:eastAsia="宋体" w:cs="宋体"/>
                <w:bCs/>
                <w:color w:val="auto"/>
                <w:kern w:val="0"/>
                <w:sz w:val="24"/>
                <w:szCs w:val="24"/>
                <w:highlight w:val="none"/>
                <w:lang w:eastAsia="zh-CN"/>
              </w:rPr>
            </w:pPr>
            <w:r>
              <w:rPr>
                <w:rFonts w:hint="eastAsia" w:ascii="宋体" w:hAnsi="宋体" w:cs="宋体"/>
                <w:color w:val="auto"/>
                <w:kern w:val="0"/>
                <w:sz w:val="24"/>
                <w:szCs w:val="24"/>
                <w:highlight w:val="none"/>
                <w:lang w:val="zh-CN" w:bidi="ar"/>
              </w:rPr>
              <w:t>桦甸市人民法院物业服务项目</w:t>
            </w:r>
          </w:p>
        </w:tc>
      </w:tr>
      <w:tr w14:paraId="1CAD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320C82EF">
            <w:pPr>
              <w:wordWrap w:val="0"/>
              <w:adjustRightInd w:val="0"/>
              <w:spacing w:line="440" w:lineRule="exact"/>
              <w:jc w:val="center"/>
              <w:rPr>
                <w:rFonts w:hint="eastAsia" w:ascii="宋体" w:hAnsi="宋体" w:eastAsia="宋体" w:cs="宋体"/>
                <w:bCs/>
                <w:color w:val="auto"/>
                <w:sz w:val="24"/>
                <w:szCs w:val="24"/>
                <w:highlight w:val="none"/>
                <w:lang w:val="zh-CN" w:eastAsia="zh-CN"/>
              </w:rPr>
            </w:pPr>
            <w:r>
              <w:rPr>
                <w:rFonts w:hint="eastAsia" w:ascii="宋体" w:hAnsi="宋体" w:cs="宋体"/>
                <w:bCs/>
                <w:color w:val="auto"/>
                <w:sz w:val="24"/>
                <w:szCs w:val="24"/>
                <w:highlight w:val="none"/>
                <w:lang w:val="zh-CN"/>
              </w:rPr>
              <w:t>1.1.</w:t>
            </w:r>
            <w:r>
              <w:rPr>
                <w:rFonts w:hint="eastAsia" w:ascii="宋体" w:hAnsi="宋体" w:cs="宋体"/>
                <w:bCs/>
                <w:color w:val="auto"/>
                <w:sz w:val="24"/>
                <w:szCs w:val="24"/>
                <w:highlight w:val="none"/>
                <w:lang w:val="en-US" w:eastAsia="zh-CN"/>
              </w:rPr>
              <w:t>4</w:t>
            </w:r>
          </w:p>
        </w:tc>
        <w:tc>
          <w:tcPr>
            <w:tcW w:w="1730" w:type="dxa"/>
            <w:noWrap w:val="0"/>
            <w:vAlign w:val="center"/>
          </w:tcPr>
          <w:p w14:paraId="7346D17D">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服务地点</w:t>
            </w:r>
          </w:p>
        </w:tc>
        <w:tc>
          <w:tcPr>
            <w:tcW w:w="7324" w:type="dxa"/>
            <w:noWrap w:val="0"/>
            <w:vAlign w:val="center"/>
          </w:tcPr>
          <w:p w14:paraId="4A298377">
            <w:pPr>
              <w:wordWrap w:val="0"/>
              <w:spacing w:line="440" w:lineRule="exact"/>
              <w:rPr>
                <w:rFonts w:hint="eastAsia" w:ascii="宋体" w:hAnsi="宋体" w:eastAsia="宋体" w:cs="宋体"/>
                <w:bCs/>
                <w:color w:val="auto"/>
                <w:kern w:val="0"/>
                <w:sz w:val="24"/>
                <w:szCs w:val="24"/>
                <w:highlight w:val="none"/>
                <w:lang w:eastAsia="zh-CN"/>
              </w:rPr>
            </w:pPr>
            <w:r>
              <w:rPr>
                <w:rFonts w:hint="eastAsia" w:ascii="宋体" w:hAnsi="宋体" w:cs="宋体"/>
                <w:color w:val="auto"/>
                <w:kern w:val="0"/>
                <w:sz w:val="24"/>
                <w:szCs w:val="24"/>
                <w:highlight w:val="none"/>
                <w:lang w:val="en-US" w:eastAsia="zh-CN" w:bidi="ar"/>
              </w:rPr>
              <w:t>采购人指定地点</w:t>
            </w:r>
          </w:p>
        </w:tc>
      </w:tr>
      <w:tr w14:paraId="7F48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21675583">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l.2.1</w:t>
            </w:r>
          </w:p>
        </w:tc>
        <w:tc>
          <w:tcPr>
            <w:tcW w:w="1730" w:type="dxa"/>
            <w:noWrap w:val="0"/>
            <w:vAlign w:val="center"/>
          </w:tcPr>
          <w:p w14:paraId="20BCBF64">
            <w:pPr>
              <w:wordWrap w:val="0"/>
              <w:adjustRightInd w:val="0"/>
              <w:spacing w:line="440" w:lineRule="exact"/>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资金来源</w:t>
            </w:r>
          </w:p>
        </w:tc>
        <w:tc>
          <w:tcPr>
            <w:tcW w:w="7324" w:type="dxa"/>
            <w:noWrap w:val="0"/>
            <w:vAlign w:val="center"/>
          </w:tcPr>
          <w:p w14:paraId="7AEF6BB7">
            <w:pPr>
              <w:wordWrap w:val="0"/>
              <w:spacing w:line="440" w:lineRule="exact"/>
              <w:rPr>
                <w:rFonts w:hint="eastAsia" w:ascii="宋体" w:hAnsi="宋体" w:cs="宋体"/>
                <w:bCs/>
                <w:color w:val="auto"/>
                <w:kern w:val="0"/>
                <w:sz w:val="24"/>
                <w:szCs w:val="24"/>
                <w:highlight w:val="none"/>
              </w:rPr>
            </w:pPr>
            <w:r>
              <w:rPr>
                <w:rFonts w:hint="eastAsia" w:ascii="宋体" w:hAnsi="宋体" w:cs="宋体"/>
                <w:color w:val="auto"/>
                <w:sz w:val="24"/>
                <w:szCs w:val="24"/>
                <w:highlight w:val="none"/>
                <w:lang w:val="en-US" w:eastAsia="zh-CN"/>
              </w:rPr>
              <w:t>财政资金</w:t>
            </w:r>
          </w:p>
        </w:tc>
      </w:tr>
      <w:tr w14:paraId="3EE7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4F4C835F">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1.2.2</w:t>
            </w:r>
          </w:p>
        </w:tc>
        <w:tc>
          <w:tcPr>
            <w:tcW w:w="1730" w:type="dxa"/>
            <w:noWrap w:val="0"/>
            <w:vAlign w:val="center"/>
          </w:tcPr>
          <w:p w14:paraId="60C08126">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资金落实情况</w:t>
            </w:r>
          </w:p>
        </w:tc>
        <w:tc>
          <w:tcPr>
            <w:tcW w:w="7324" w:type="dxa"/>
            <w:noWrap w:val="0"/>
            <w:vAlign w:val="center"/>
          </w:tcPr>
          <w:p w14:paraId="7C6D8FE3">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已落实</w:t>
            </w:r>
          </w:p>
        </w:tc>
      </w:tr>
      <w:tr w14:paraId="3806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182" w:type="dxa"/>
            <w:noWrap w:val="0"/>
            <w:vAlign w:val="center"/>
          </w:tcPr>
          <w:p w14:paraId="3A66DBAF">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1.3.1</w:t>
            </w:r>
          </w:p>
        </w:tc>
        <w:tc>
          <w:tcPr>
            <w:tcW w:w="1730" w:type="dxa"/>
            <w:noWrap w:val="0"/>
            <w:vAlign w:val="center"/>
          </w:tcPr>
          <w:p w14:paraId="239DB1C5">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招标内容</w:t>
            </w:r>
          </w:p>
        </w:tc>
        <w:tc>
          <w:tcPr>
            <w:tcW w:w="7324" w:type="dxa"/>
            <w:noWrap w:val="0"/>
            <w:vAlign w:val="center"/>
          </w:tcPr>
          <w:p w14:paraId="0DF95B7A">
            <w:pPr>
              <w:wordWrap w:val="0"/>
              <w:spacing w:line="440" w:lineRule="exact"/>
              <w:rPr>
                <w:rFonts w:hint="eastAsia" w:ascii="宋体" w:hAnsi="宋体" w:cs="宋体"/>
                <w:bCs/>
                <w:color w:val="auto"/>
                <w:kern w:val="0"/>
                <w:sz w:val="24"/>
                <w:szCs w:val="24"/>
                <w:highlight w:val="none"/>
              </w:rPr>
            </w:pPr>
            <w:r>
              <w:rPr>
                <w:rFonts w:hint="eastAsia" w:ascii="宋体" w:hAnsi="宋体" w:cs="宋体"/>
                <w:color w:val="auto"/>
                <w:kern w:val="0"/>
                <w:sz w:val="24"/>
                <w:szCs w:val="24"/>
                <w:highlight w:val="none"/>
                <w:lang w:val="zh-CN" w:bidi="ar"/>
              </w:rPr>
              <w:t>桦甸市人民法院物业服务项目</w:t>
            </w:r>
            <w:r>
              <w:rPr>
                <w:rFonts w:hint="eastAsia" w:ascii="宋体" w:hAnsi="宋体" w:cs="宋体"/>
                <w:color w:val="auto"/>
                <w:kern w:val="0"/>
                <w:sz w:val="24"/>
                <w:lang w:bidi="ar"/>
              </w:rPr>
              <w:t>（具体服务需求详见磋商文件）</w:t>
            </w:r>
          </w:p>
        </w:tc>
      </w:tr>
      <w:tr w14:paraId="33ED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2E9FC04F">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1.3.2</w:t>
            </w:r>
          </w:p>
        </w:tc>
        <w:tc>
          <w:tcPr>
            <w:tcW w:w="1730" w:type="dxa"/>
            <w:noWrap w:val="0"/>
            <w:vAlign w:val="center"/>
          </w:tcPr>
          <w:p w14:paraId="44C172EA">
            <w:pPr>
              <w:wordWrap w:val="0"/>
              <w:adjustRightInd w:val="0"/>
              <w:spacing w:line="440" w:lineRule="exact"/>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服务期限</w:t>
            </w:r>
          </w:p>
        </w:tc>
        <w:tc>
          <w:tcPr>
            <w:tcW w:w="7324" w:type="dxa"/>
            <w:noWrap w:val="0"/>
            <w:vAlign w:val="center"/>
          </w:tcPr>
          <w:p w14:paraId="5F5C4E0E">
            <w:pPr>
              <w:wordWrap w:val="0"/>
              <w:spacing w:line="440" w:lineRule="exact"/>
              <w:rPr>
                <w:rFonts w:hint="eastAsia" w:ascii="宋体" w:hAnsi="宋体" w:eastAsia="宋体" w:cs="宋体"/>
                <w:bCs/>
                <w:color w:val="auto"/>
                <w:sz w:val="24"/>
                <w:szCs w:val="24"/>
                <w:highlight w:val="none"/>
                <w:lang w:val="en-US" w:eastAsia="zh-CN"/>
              </w:rPr>
            </w:pPr>
            <w:r>
              <w:rPr>
                <w:rFonts w:hint="eastAsia" w:ascii="宋体" w:hAnsi="宋体" w:cs="宋体"/>
                <w:color w:val="auto"/>
                <w:kern w:val="0"/>
                <w:sz w:val="24"/>
                <w:szCs w:val="24"/>
                <w:highlight w:val="none"/>
                <w:lang w:eastAsia="zh-CN" w:bidi="ar"/>
              </w:rPr>
              <w:t>2025年7月19日至2025年12月31日</w:t>
            </w:r>
          </w:p>
        </w:tc>
      </w:tr>
      <w:tr w14:paraId="48EC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534574A2">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1.3.3</w:t>
            </w:r>
          </w:p>
        </w:tc>
        <w:tc>
          <w:tcPr>
            <w:tcW w:w="1730" w:type="dxa"/>
            <w:noWrap w:val="0"/>
            <w:vAlign w:val="center"/>
          </w:tcPr>
          <w:p w14:paraId="27B7B097">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质量标准</w:t>
            </w:r>
          </w:p>
        </w:tc>
        <w:tc>
          <w:tcPr>
            <w:tcW w:w="7324" w:type="dxa"/>
            <w:noWrap w:val="0"/>
            <w:vAlign w:val="center"/>
          </w:tcPr>
          <w:p w14:paraId="1AFBF8C2">
            <w:pPr>
              <w:wordWrap w:val="0"/>
              <w:adjustRightInd w:val="0"/>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符合现行国家、行业、地方或者其他相关标准的合格要求</w:t>
            </w:r>
          </w:p>
        </w:tc>
      </w:tr>
      <w:tr w14:paraId="4070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337B7B77">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1.4.1</w:t>
            </w:r>
          </w:p>
        </w:tc>
        <w:tc>
          <w:tcPr>
            <w:tcW w:w="1730" w:type="dxa"/>
            <w:noWrap w:val="0"/>
            <w:vAlign w:val="center"/>
          </w:tcPr>
          <w:p w14:paraId="6E0FA408">
            <w:pPr>
              <w:wordWrap w:val="0"/>
              <w:adjustRightInd w:val="0"/>
              <w:spacing w:line="440" w:lineRule="exact"/>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供应商资格条件、能力和信誉</w:t>
            </w:r>
          </w:p>
        </w:tc>
        <w:tc>
          <w:tcPr>
            <w:tcW w:w="7324" w:type="dxa"/>
            <w:noWrap w:val="0"/>
            <w:vAlign w:val="center"/>
          </w:tcPr>
          <w:p w14:paraId="787ADDBE">
            <w:pPr>
              <w:wordWrap w:val="0"/>
              <w:adjustRightInd w:val="0"/>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1、满足《中华人民共和国政府采购法》第二十二条规定：</w:t>
            </w:r>
          </w:p>
          <w:p w14:paraId="5C1980CA">
            <w:pPr>
              <w:wordWrap w:val="0"/>
              <w:adjustRightInd w:val="0"/>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(1)具有独立承担民事责任的能力；</w:t>
            </w:r>
          </w:p>
          <w:p w14:paraId="3EEF6E50">
            <w:pPr>
              <w:wordWrap w:val="0"/>
              <w:adjustRightInd w:val="0"/>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(2)具有良好的商业信誉和健全的财务会计制度；</w:t>
            </w:r>
          </w:p>
          <w:p w14:paraId="28BED041">
            <w:pPr>
              <w:wordWrap w:val="0"/>
              <w:adjustRightInd w:val="0"/>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(3)具有履行合同所必需的设备和专业技术能力；</w:t>
            </w:r>
          </w:p>
          <w:p w14:paraId="56C934E1">
            <w:pPr>
              <w:wordWrap w:val="0"/>
              <w:adjustRightInd w:val="0"/>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(4)有依法缴纳税收和社会保障资金的良好记录；</w:t>
            </w:r>
          </w:p>
          <w:p w14:paraId="1D770C26">
            <w:pPr>
              <w:wordWrap w:val="0"/>
              <w:adjustRightInd w:val="0"/>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(5)参加政府采购活动前三年内，在经营活动中没有重大违法记录；</w:t>
            </w:r>
          </w:p>
          <w:p w14:paraId="3B9025F7">
            <w:pPr>
              <w:wordWrap w:val="0"/>
              <w:adjustRightInd w:val="0"/>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(6)法律、行政法规规定的其他条件。</w:t>
            </w:r>
          </w:p>
          <w:p w14:paraId="54158DBF">
            <w:pPr>
              <w:wordWrap w:val="0"/>
              <w:adjustRightInd w:val="0"/>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2、落实政府采购政策需满足的资格要求：本次招标活动对于满足国家采购政策要求的供应商按照相关规定的扶持政策执行，具体详见磋商文件。</w:t>
            </w:r>
          </w:p>
          <w:p w14:paraId="624FEBD1">
            <w:pPr>
              <w:wordWrap w:val="0"/>
              <w:adjustRightInd w:val="0"/>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3、本项目的特定资格要求：以下资格证明材料的具体要求详见磋商文件</w:t>
            </w:r>
          </w:p>
          <w:p w14:paraId="4424C66D">
            <w:pPr>
              <w:pStyle w:val="42"/>
              <w:shd w:val="clear" w:color="auto" w:fill="auto"/>
              <w:spacing w:before="0" w:beforeAutospacing="0" w:after="0" w:afterAutospacing="0" w:line="360" w:lineRule="auto"/>
              <w:ind w:firstLine="420"/>
              <w:jc w:val="both"/>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zh-CN" w:eastAsia="zh-CN" w:bidi="ar"/>
              </w:rPr>
              <w:t>1.满足《中华人民共和国政府采购法》第二十二条规定；</w:t>
            </w:r>
          </w:p>
          <w:p w14:paraId="56924083">
            <w:pPr>
              <w:pStyle w:val="42"/>
              <w:shd w:val="clear" w:color="auto" w:fill="auto"/>
              <w:spacing w:before="0" w:beforeAutospacing="0" w:after="0" w:afterAutospacing="0" w:line="360" w:lineRule="auto"/>
              <w:ind w:firstLine="420"/>
              <w:jc w:val="both"/>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zh-CN" w:eastAsia="zh-CN" w:bidi="ar"/>
              </w:rPr>
              <w:t>2.落实政府采购政策需满足的资格要求：本项目</w:t>
            </w:r>
            <w:r>
              <w:rPr>
                <w:rFonts w:hint="eastAsia" w:ascii="宋体" w:hAnsi="宋体" w:eastAsia="宋体" w:cs="宋体"/>
                <w:color w:val="auto"/>
                <w:kern w:val="0"/>
                <w:sz w:val="24"/>
                <w:szCs w:val="24"/>
                <w:highlight w:val="none"/>
                <w:lang w:val="en-US" w:eastAsia="zh-CN" w:bidi="ar"/>
              </w:rPr>
              <w:t>是</w:t>
            </w:r>
            <w:r>
              <w:rPr>
                <w:rFonts w:hint="eastAsia" w:ascii="宋体" w:hAnsi="宋体" w:eastAsia="宋体" w:cs="宋体"/>
                <w:color w:val="auto"/>
                <w:kern w:val="0"/>
                <w:sz w:val="24"/>
                <w:szCs w:val="24"/>
                <w:highlight w:val="none"/>
                <w:lang w:val="zh-CN" w:eastAsia="zh-CN" w:bidi="ar"/>
              </w:rPr>
              <w:t>专门面向中小企业采购（</w:t>
            </w:r>
            <w:r>
              <w:rPr>
                <w:rFonts w:hint="eastAsia" w:ascii="宋体" w:hAnsi="宋体" w:eastAsia="宋体" w:cs="宋体"/>
                <w:color w:val="auto"/>
                <w:kern w:val="0"/>
                <w:sz w:val="24"/>
                <w:szCs w:val="24"/>
                <w:highlight w:val="none"/>
                <w:lang w:val="en-US" w:eastAsia="zh-CN" w:bidi="ar"/>
              </w:rPr>
              <w:t>本项目属于其他未列明行业</w:t>
            </w:r>
            <w:r>
              <w:rPr>
                <w:rFonts w:hint="eastAsia" w:ascii="宋体" w:hAnsi="宋体" w:eastAsia="宋体" w:cs="宋体"/>
                <w:color w:val="auto"/>
                <w:kern w:val="0"/>
                <w:sz w:val="24"/>
                <w:szCs w:val="24"/>
                <w:highlight w:val="none"/>
                <w:lang w:val="zh-CN" w:eastAsia="zh-CN" w:bidi="ar"/>
              </w:rPr>
              <w:t>）；《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2A35BADE">
            <w:pPr>
              <w:pStyle w:val="42"/>
              <w:shd w:val="clear" w:color="auto" w:fill="auto"/>
              <w:spacing w:before="0" w:beforeAutospacing="0" w:after="0" w:afterAutospacing="0" w:line="360" w:lineRule="auto"/>
              <w:ind w:firstLine="42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3.具有良好的商业信誉；</w:t>
            </w:r>
          </w:p>
          <w:p w14:paraId="2D536BB7">
            <w:pPr>
              <w:pStyle w:val="42"/>
              <w:shd w:val="clear" w:color="auto" w:fill="auto"/>
              <w:spacing w:before="0" w:beforeAutospacing="0" w:after="0" w:afterAutospacing="0" w:line="360" w:lineRule="auto"/>
              <w:ind w:firstLine="42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4.依法缴纳税收和社会保障资金的良好记录，近半年任意一个月缴纳税收的凭据、缴纳社会保险专用收据或社会保险缴纳清单；</w:t>
            </w:r>
          </w:p>
          <w:p w14:paraId="241A3D00">
            <w:pPr>
              <w:pStyle w:val="42"/>
              <w:shd w:val="clear" w:color="auto" w:fill="auto"/>
              <w:spacing w:before="0" w:beforeAutospacing="0" w:after="0" w:afterAutospacing="0" w:line="360" w:lineRule="auto"/>
              <w:ind w:firstLine="42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5.拒绝列入政府取消投标资格记录期间的企业或个人投标；</w:t>
            </w:r>
          </w:p>
          <w:p w14:paraId="696C7F77">
            <w:pPr>
              <w:pStyle w:val="42"/>
              <w:shd w:val="clear" w:color="auto" w:fill="auto"/>
              <w:spacing w:before="0" w:beforeAutospacing="0" w:after="0" w:afterAutospacing="0" w:line="360" w:lineRule="auto"/>
              <w:ind w:firstLine="42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6.在中国裁判文书网上，近三年无行贿受贿犯罪记录；</w:t>
            </w:r>
          </w:p>
          <w:p w14:paraId="6A64158D">
            <w:pPr>
              <w:pStyle w:val="42"/>
              <w:shd w:val="clear" w:color="auto" w:fill="auto"/>
              <w:spacing w:before="0" w:beforeAutospacing="0" w:after="0" w:afterAutospacing="0" w:line="360" w:lineRule="auto"/>
              <w:ind w:firstLine="420"/>
              <w:jc w:val="both"/>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7.企业信誉良好，近3年无服务违约行为、违纪违法等不良行为记录，</w:t>
            </w:r>
            <w:r>
              <w:rPr>
                <w:rFonts w:hint="eastAsia" w:ascii="宋体" w:hAnsi="宋体" w:eastAsia="宋体" w:cs="宋体"/>
                <w:color w:val="auto"/>
                <w:kern w:val="0"/>
                <w:sz w:val="24"/>
                <w:szCs w:val="24"/>
                <w:highlight w:val="none"/>
                <w:lang w:val="zh-CN" w:eastAsia="zh-CN" w:bidi="ar"/>
              </w:rPr>
              <w:t>不得为“信用中国”网站（www.creditchina.gov.cn）中列入失信被执行人和重大税收违法案件当事人名单供应商，不得为中国政府采购网（www.ccpg.gov.cn）政府采购严重违法失信行为记录名单中被财政部门禁止参加政府采购活动的供应商（在处罚决定规定的时间和地域范围内）；</w:t>
            </w:r>
          </w:p>
          <w:p w14:paraId="3709D33B">
            <w:pPr>
              <w:pStyle w:val="42"/>
              <w:shd w:val="clear" w:color="auto" w:fill="auto"/>
              <w:spacing w:before="0" w:beforeAutospacing="0" w:after="0" w:afterAutospacing="0" w:line="360" w:lineRule="auto"/>
              <w:ind w:firstLine="420"/>
              <w:jc w:val="both"/>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val="zh-CN" w:eastAsia="zh-CN" w:bidi="ar"/>
              </w:rPr>
              <w:t>与采购人存在利害关系可能影响招标公正性的法人、其他组织或者个人，不得参加本项目投标；</w:t>
            </w:r>
          </w:p>
          <w:p w14:paraId="08FFC3A3">
            <w:pPr>
              <w:pStyle w:val="42"/>
              <w:shd w:val="clear" w:color="auto" w:fill="auto"/>
              <w:spacing w:before="0" w:beforeAutospacing="0" w:after="0" w:afterAutospacing="0" w:line="360" w:lineRule="auto"/>
              <w:ind w:firstLine="420"/>
              <w:jc w:val="both"/>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val="zh-CN" w:eastAsia="zh-CN" w:bidi="ar"/>
              </w:rPr>
              <w:t>单位负责人为同一人或者存在直接控股、管理关系的不同供应商，不得参加同一合同项下的政府采购活动。</w:t>
            </w:r>
          </w:p>
          <w:p w14:paraId="452D69A8">
            <w:pPr>
              <w:pStyle w:val="42"/>
              <w:wordWrap w:val="0"/>
              <w:adjustRightInd w:val="0"/>
              <w:snapToGrid w:val="0"/>
              <w:spacing w:before="150" w:beforeAutospacing="0" w:after="0" w:afterAutospacing="0" w:line="360" w:lineRule="auto"/>
              <w:ind w:firstLine="480" w:firstLineChars="200"/>
              <w:jc w:val="both"/>
              <w:rPr>
                <w:rFonts w:hint="eastAsia" w:ascii="宋体" w:hAnsi="宋体" w:cs="宋体"/>
                <w:bCs/>
                <w:color w:val="auto"/>
                <w:sz w:val="24"/>
                <w:szCs w:val="24"/>
                <w:highlight w:val="none"/>
              </w:rPr>
            </w:pPr>
          </w:p>
        </w:tc>
      </w:tr>
      <w:tr w14:paraId="1BFA8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2FD7F94D">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1.4.2</w:t>
            </w:r>
          </w:p>
        </w:tc>
        <w:tc>
          <w:tcPr>
            <w:tcW w:w="1730" w:type="dxa"/>
            <w:noWrap w:val="0"/>
            <w:vAlign w:val="center"/>
          </w:tcPr>
          <w:p w14:paraId="2B4BD642">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是否接受联合体投标</w:t>
            </w:r>
          </w:p>
        </w:tc>
        <w:tc>
          <w:tcPr>
            <w:tcW w:w="7324" w:type="dxa"/>
            <w:noWrap w:val="0"/>
            <w:vAlign w:val="center"/>
          </w:tcPr>
          <w:p w14:paraId="7B5FED08">
            <w:pPr>
              <w:wordWrap w:val="0"/>
              <w:adjustRightInd w:val="0"/>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zh-CN"/>
              </w:rPr>
              <w:fldChar w:fldCharType="begin"/>
            </w:r>
            <w:r>
              <w:rPr>
                <w:rFonts w:hint="eastAsia" w:ascii="宋体" w:hAnsi="宋体" w:cs="宋体"/>
                <w:bCs/>
                <w:color w:val="auto"/>
                <w:sz w:val="24"/>
                <w:szCs w:val="24"/>
                <w:highlight w:val="none"/>
                <w:lang w:val="zh-CN"/>
              </w:rPr>
              <w:instrText xml:space="preserve">eq \o\ac(□,√)</w:instrText>
            </w:r>
            <w:r>
              <w:rPr>
                <w:rFonts w:hint="eastAsia" w:ascii="宋体" w:hAnsi="宋体" w:cs="宋体"/>
                <w:bCs/>
                <w:color w:val="auto"/>
                <w:sz w:val="24"/>
                <w:szCs w:val="24"/>
                <w:highlight w:val="none"/>
                <w:lang w:val="zh-CN"/>
              </w:rPr>
              <w:fldChar w:fldCharType="end"/>
            </w:r>
            <w:r>
              <w:rPr>
                <w:rFonts w:hint="eastAsia" w:ascii="宋体" w:hAnsi="宋体" w:cs="宋体"/>
                <w:bCs/>
                <w:color w:val="auto"/>
                <w:sz w:val="24"/>
                <w:szCs w:val="24"/>
                <w:highlight w:val="none"/>
              </w:rPr>
              <w:t>不接受</w:t>
            </w:r>
          </w:p>
          <w:p w14:paraId="098AAD60">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□接受，应满足下列要求：/</w:t>
            </w:r>
          </w:p>
        </w:tc>
      </w:tr>
      <w:tr w14:paraId="2CEF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1AD04B3C">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rPr>
              <w:t>.1</w:t>
            </w:r>
          </w:p>
        </w:tc>
        <w:tc>
          <w:tcPr>
            <w:tcW w:w="1730" w:type="dxa"/>
            <w:noWrap w:val="0"/>
            <w:vAlign w:val="center"/>
          </w:tcPr>
          <w:p w14:paraId="5B25703B">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踏勘现场</w:t>
            </w:r>
          </w:p>
        </w:tc>
        <w:tc>
          <w:tcPr>
            <w:tcW w:w="7324" w:type="dxa"/>
            <w:tcBorders>
              <w:top w:val="single" w:color="auto" w:sz="4" w:space="0"/>
            </w:tcBorders>
            <w:noWrap w:val="0"/>
            <w:vAlign w:val="center"/>
          </w:tcPr>
          <w:p w14:paraId="6F1F9638">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fldChar w:fldCharType="begin"/>
            </w:r>
            <w:r>
              <w:rPr>
                <w:rFonts w:hint="eastAsia" w:ascii="宋体" w:hAnsi="宋体" w:cs="宋体"/>
                <w:bCs/>
                <w:color w:val="auto"/>
                <w:sz w:val="24"/>
                <w:szCs w:val="24"/>
                <w:highlight w:val="none"/>
                <w:lang w:val="zh-CN"/>
              </w:rPr>
              <w:instrText xml:space="preserve">eq \o\ac(□,√)</w:instrText>
            </w:r>
            <w:r>
              <w:rPr>
                <w:rFonts w:hint="eastAsia" w:ascii="宋体" w:hAnsi="宋体" w:cs="宋体"/>
                <w:bCs/>
                <w:color w:val="auto"/>
                <w:sz w:val="24"/>
                <w:szCs w:val="24"/>
                <w:highlight w:val="none"/>
                <w:lang w:val="zh-CN"/>
              </w:rPr>
              <w:fldChar w:fldCharType="end"/>
            </w:r>
            <w:r>
              <w:rPr>
                <w:rFonts w:hint="eastAsia" w:ascii="宋体" w:hAnsi="宋体" w:cs="宋体"/>
                <w:bCs/>
                <w:color w:val="auto"/>
                <w:sz w:val="24"/>
                <w:szCs w:val="24"/>
                <w:highlight w:val="none"/>
                <w:lang w:val="zh-CN"/>
              </w:rPr>
              <w:t>不组织</w:t>
            </w:r>
          </w:p>
          <w:p w14:paraId="340A1873">
            <w:pPr>
              <w:wordWrap w:val="0"/>
              <w:adjustRightInd w:val="0"/>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□组织，踏勘时间：/</w:t>
            </w:r>
          </w:p>
          <w:p w14:paraId="3B4C5A4A">
            <w:pPr>
              <w:wordWrap w:val="0"/>
              <w:adjustRightInd w:val="0"/>
              <w:spacing w:line="440" w:lineRule="exact"/>
              <w:ind w:firstLine="960" w:firstLineChars="4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踏勘集中地点：/</w:t>
            </w:r>
          </w:p>
        </w:tc>
      </w:tr>
      <w:tr w14:paraId="66CD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3CE600FD">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w:t>
            </w: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lang w:val="zh-CN"/>
              </w:rPr>
              <w:t>.1</w:t>
            </w:r>
          </w:p>
        </w:tc>
        <w:tc>
          <w:tcPr>
            <w:tcW w:w="1730" w:type="dxa"/>
            <w:noWrap w:val="0"/>
            <w:vAlign w:val="center"/>
          </w:tcPr>
          <w:p w14:paraId="0A5B8B67">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投标预备会</w:t>
            </w:r>
          </w:p>
        </w:tc>
        <w:tc>
          <w:tcPr>
            <w:tcW w:w="7324" w:type="dxa"/>
            <w:noWrap w:val="0"/>
            <w:vAlign w:val="center"/>
          </w:tcPr>
          <w:p w14:paraId="20D0B27E">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fldChar w:fldCharType="begin"/>
            </w:r>
            <w:r>
              <w:rPr>
                <w:rFonts w:hint="eastAsia" w:ascii="宋体" w:hAnsi="宋体" w:cs="宋体"/>
                <w:bCs/>
                <w:color w:val="auto"/>
                <w:sz w:val="24"/>
                <w:szCs w:val="24"/>
                <w:highlight w:val="none"/>
                <w:lang w:val="zh-CN"/>
              </w:rPr>
              <w:instrText xml:space="preserve">eq \o\ac(□,√)</w:instrText>
            </w:r>
            <w:r>
              <w:rPr>
                <w:rFonts w:hint="eastAsia" w:ascii="宋体" w:hAnsi="宋体" w:cs="宋体"/>
                <w:bCs/>
                <w:color w:val="auto"/>
                <w:sz w:val="24"/>
                <w:szCs w:val="24"/>
                <w:highlight w:val="none"/>
                <w:lang w:val="zh-CN"/>
              </w:rPr>
              <w:fldChar w:fldCharType="end"/>
            </w:r>
            <w:r>
              <w:rPr>
                <w:rFonts w:hint="eastAsia" w:ascii="宋体" w:hAnsi="宋体" w:cs="宋体"/>
                <w:bCs/>
                <w:color w:val="auto"/>
                <w:sz w:val="24"/>
                <w:szCs w:val="24"/>
                <w:highlight w:val="none"/>
                <w:lang w:val="zh-CN"/>
              </w:rPr>
              <w:t>不召开</w:t>
            </w:r>
          </w:p>
          <w:p w14:paraId="79CA2DCD">
            <w:pPr>
              <w:wordWrap w:val="0"/>
              <w:adjustRightInd w:val="0"/>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□召开,召开时间：/</w:t>
            </w:r>
          </w:p>
          <w:p w14:paraId="6E4560FD">
            <w:pPr>
              <w:wordWrap w:val="0"/>
              <w:adjustRightInd w:val="0"/>
              <w:spacing w:line="440" w:lineRule="exact"/>
              <w:ind w:firstLine="840" w:firstLineChars="35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召开地点：/</w:t>
            </w:r>
          </w:p>
        </w:tc>
      </w:tr>
      <w:tr w14:paraId="5721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vMerge w:val="restart"/>
            <w:noWrap w:val="0"/>
            <w:vAlign w:val="center"/>
          </w:tcPr>
          <w:p w14:paraId="7A1AFCA1">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w:t>
            </w: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lang w:val="zh-CN"/>
              </w:rPr>
              <w:t>.2</w:t>
            </w:r>
          </w:p>
        </w:tc>
        <w:tc>
          <w:tcPr>
            <w:tcW w:w="1730" w:type="dxa"/>
            <w:vMerge w:val="restart"/>
            <w:noWrap w:val="0"/>
            <w:vAlign w:val="center"/>
          </w:tcPr>
          <w:p w14:paraId="023BF991">
            <w:pPr>
              <w:wordWrap w:val="0"/>
              <w:spacing w:line="440" w:lineRule="exact"/>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供应商在投标预备会前提出问题</w:t>
            </w:r>
          </w:p>
        </w:tc>
        <w:tc>
          <w:tcPr>
            <w:tcW w:w="7324" w:type="dxa"/>
            <w:noWrap w:val="0"/>
            <w:vAlign w:val="center"/>
          </w:tcPr>
          <w:p w14:paraId="50D6A6C5">
            <w:pPr>
              <w:wordWrap w:val="0"/>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时间：</w:t>
            </w:r>
            <w:r>
              <w:rPr>
                <w:rFonts w:hint="eastAsia" w:ascii="宋体" w:hAnsi="宋体" w:cs="宋体"/>
                <w:bCs/>
                <w:color w:val="auto"/>
                <w:sz w:val="24"/>
                <w:szCs w:val="24"/>
                <w:highlight w:val="none"/>
                <w:lang w:val="zh-CN"/>
              </w:rPr>
              <w:t>/</w:t>
            </w:r>
          </w:p>
        </w:tc>
      </w:tr>
      <w:tr w14:paraId="63EA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vMerge w:val="continue"/>
            <w:noWrap w:val="0"/>
            <w:vAlign w:val="center"/>
          </w:tcPr>
          <w:p w14:paraId="2DD2C488">
            <w:pPr>
              <w:wordWrap w:val="0"/>
              <w:adjustRightInd w:val="0"/>
              <w:spacing w:line="440" w:lineRule="exact"/>
              <w:jc w:val="center"/>
              <w:rPr>
                <w:rFonts w:hint="eastAsia" w:ascii="宋体" w:hAnsi="宋体" w:cs="宋体"/>
                <w:bCs/>
                <w:color w:val="auto"/>
                <w:sz w:val="24"/>
                <w:szCs w:val="24"/>
                <w:highlight w:val="none"/>
                <w:lang w:val="zh-CN"/>
              </w:rPr>
            </w:pPr>
          </w:p>
        </w:tc>
        <w:tc>
          <w:tcPr>
            <w:tcW w:w="1730" w:type="dxa"/>
            <w:vMerge w:val="continue"/>
            <w:noWrap w:val="0"/>
            <w:vAlign w:val="center"/>
          </w:tcPr>
          <w:p w14:paraId="1041F044">
            <w:pPr>
              <w:wordWrap w:val="0"/>
              <w:adjustRightInd w:val="0"/>
              <w:spacing w:line="440" w:lineRule="exact"/>
              <w:jc w:val="center"/>
              <w:rPr>
                <w:rFonts w:hint="eastAsia" w:ascii="宋体" w:hAnsi="宋体" w:cs="宋体"/>
                <w:bCs/>
                <w:color w:val="auto"/>
                <w:sz w:val="24"/>
                <w:szCs w:val="24"/>
                <w:highlight w:val="none"/>
                <w:lang w:val="zh-CN"/>
              </w:rPr>
            </w:pPr>
          </w:p>
        </w:tc>
        <w:tc>
          <w:tcPr>
            <w:tcW w:w="7324" w:type="dxa"/>
            <w:noWrap w:val="0"/>
            <w:vAlign w:val="center"/>
          </w:tcPr>
          <w:p w14:paraId="760AFF6B">
            <w:pPr>
              <w:wordWrap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形式：</w:t>
            </w:r>
            <w:r>
              <w:rPr>
                <w:rFonts w:hint="eastAsia" w:ascii="宋体" w:hAnsi="宋体" w:cs="宋体"/>
                <w:bCs/>
                <w:color w:val="auto"/>
                <w:sz w:val="24"/>
                <w:szCs w:val="24"/>
                <w:highlight w:val="none"/>
                <w:lang w:val="zh-CN"/>
              </w:rPr>
              <w:t>/</w:t>
            </w:r>
          </w:p>
        </w:tc>
      </w:tr>
      <w:tr w14:paraId="2ACFF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60E700FE">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w:t>
            </w: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lang w:val="zh-CN"/>
              </w:rPr>
              <w:t>.1</w:t>
            </w:r>
          </w:p>
        </w:tc>
        <w:tc>
          <w:tcPr>
            <w:tcW w:w="1730" w:type="dxa"/>
            <w:noWrap w:val="0"/>
            <w:vAlign w:val="center"/>
          </w:tcPr>
          <w:p w14:paraId="1973E569">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分包</w:t>
            </w:r>
          </w:p>
        </w:tc>
        <w:tc>
          <w:tcPr>
            <w:tcW w:w="7324" w:type="dxa"/>
            <w:noWrap w:val="0"/>
            <w:vAlign w:val="center"/>
          </w:tcPr>
          <w:p w14:paraId="3CF5F8B7">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highlight w:val="none"/>
                <w:lang w:val="zh-CN"/>
              </w:rPr>
              <w:fldChar w:fldCharType="begin"/>
            </w:r>
            <w:r>
              <w:rPr>
                <w:rFonts w:hint="eastAsia" w:ascii="宋体" w:hAnsi="宋体" w:cs="宋体"/>
                <w:bCs/>
                <w:color w:val="auto"/>
                <w:sz w:val="24"/>
                <w:highlight w:val="none"/>
                <w:lang w:val="zh-CN"/>
              </w:rPr>
              <w:instrText xml:space="preserve">eq \o\ac(□,√)</w:instrText>
            </w:r>
            <w:r>
              <w:rPr>
                <w:rFonts w:hint="eastAsia" w:ascii="宋体" w:hAnsi="宋体" w:cs="宋体"/>
                <w:bCs/>
                <w:color w:val="auto"/>
                <w:sz w:val="24"/>
                <w:highlight w:val="none"/>
                <w:lang w:val="zh-CN"/>
              </w:rPr>
              <w:fldChar w:fldCharType="end"/>
            </w:r>
            <w:r>
              <w:rPr>
                <w:rFonts w:hint="eastAsia" w:ascii="宋体" w:hAnsi="宋体" w:cs="宋体"/>
                <w:bCs/>
                <w:color w:val="auto"/>
                <w:sz w:val="24"/>
                <w:szCs w:val="24"/>
                <w:highlight w:val="none"/>
                <w:lang w:val="zh-CN"/>
              </w:rPr>
              <w:t>不允许</w:t>
            </w:r>
          </w:p>
          <w:p w14:paraId="2C48A04A">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□允许，分包内容：/</w:t>
            </w:r>
          </w:p>
        </w:tc>
      </w:tr>
      <w:tr w14:paraId="30B7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2176E104">
            <w:pPr>
              <w:wordWrap w:val="0"/>
              <w:adjustRightInd w:val="0"/>
              <w:spacing w:line="440" w:lineRule="exac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zh-CN"/>
              </w:rPr>
              <w:t>2.1</w:t>
            </w:r>
            <w:r>
              <w:rPr>
                <w:rFonts w:hint="eastAsia" w:ascii="宋体" w:hAnsi="宋体" w:cs="宋体"/>
                <w:bCs/>
                <w:color w:val="auto"/>
                <w:sz w:val="24"/>
                <w:szCs w:val="24"/>
                <w:highlight w:val="none"/>
                <w:lang w:val="en-US" w:eastAsia="zh-CN"/>
              </w:rPr>
              <w:t>.1</w:t>
            </w:r>
          </w:p>
        </w:tc>
        <w:tc>
          <w:tcPr>
            <w:tcW w:w="1730" w:type="dxa"/>
            <w:noWrap w:val="0"/>
            <w:vAlign w:val="center"/>
          </w:tcPr>
          <w:p w14:paraId="4C6BBA9B">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构成磋商文件的其他材料</w:t>
            </w:r>
          </w:p>
        </w:tc>
        <w:tc>
          <w:tcPr>
            <w:tcW w:w="7324" w:type="dxa"/>
            <w:noWrap w:val="0"/>
            <w:vAlign w:val="center"/>
          </w:tcPr>
          <w:p w14:paraId="43F7B12E">
            <w:pPr>
              <w:wordWrap w:val="0"/>
              <w:adjustRightInd w:val="0"/>
              <w:spacing w:line="440" w:lineRule="exact"/>
              <w:rPr>
                <w:rFonts w:hint="eastAsia" w:ascii="宋体" w:hAnsi="宋体" w:cs="宋体"/>
                <w:bCs/>
                <w:color w:val="0000FF"/>
                <w:sz w:val="24"/>
                <w:szCs w:val="24"/>
                <w:highlight w:val="none"/>
                <w:lang w:val="zh-CN"/>
              </w:rPr>
            </w:pPr>
            <w:r>
              <w:rPr>
                <w:rFonts w:hint="eastAsia" w:ascii="宋体" w:hAnsi="宋体" w:cs="宋体"/>
                <w:bCs/>
                <w:color w:val="auto"/>
                <w:sz w:val="24"/>
                <w:szCs w:val="24"/>
                <w:highlight w:val="none"/>
                <w:lang w:val="zh-CN"/>
              </w:rPr>
              <w:t>磋商文件的澄清、修改书及有关补充通知为磋商文件的有效组成部分</w:t>
            </w:r>
          </w:p>
        </w:tc>
      </w:tr>
      <w:tr w14:paraId="0B0A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182" w:type="dxa"/>
            <w:noWrap w:val="0"/>
            <w:vAlign w:val="center"/>
          </w:tcPr>
          <w:p w14:paraId="7D0145C2">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2.2.1</w:t>
            </w:r>
          </w:p>
        </w:tc>
        <w:tc>
          <w:tcPr>
            <w:tcW w:w="1730" w:type="dxa"/>
            <w:noWrap w:val="0"/>
            <w:vAlign w:val="center"/>
          </w:tcPr>
          <w:p w14:paraId="057776A5">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供应商要求澄清磋商文件</w:t>
            </w:r>
          </w:p>
        </w:tc>
        <w:tc>
          <w:tcPr>
            <w:tcW w:w="7324" w:type="dxa"/>
            <w:noWrap w:val="0"/>
            <w:vAlign w:val="center"/>
          </w:tcPr>
          <w:p w14:paraId="4B3DD753">
            <w:pPr>
              <w:wordWrap w:val="0"/>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时间：递交响应文件截止之日</w:t>
            </w:r>
            <w:r>
              <w:rPr>
                <w:rFonts w:hint="eastAsia" w:ascii="宋体" w:hAnsi="宋体" w:cs="宋体"/>
                <w:bCs/>
                <w:color w:val="auto"/>
                <w:sz w:val="24"/>
                <w:szCs w:val="24"/>
                <w:highlight w:val="none"/>
                <w:u w:val="single"/>
                <w:lang w:val="en-US" w:eastAsia="zh-CN"/>
              </w:rPr>
              <w:t>5</w:t>
            </w:r>
            <w:r>
              <w:rPr>
                <w:rFonts w:hint="eastAsia" w:ascii="宋体" w:hAnsi="宋体" w:cs="宋体"/>
                <w:bCs/>
                <w:color w:val="auto"/>
                <w:sz w:val="24"/>
                <w:szCs w:val="24"/>
                <w:highlight w:val="none"/>
              </w:rPr>
              <w:t>天前</w:t>
            </w:r>
          </w:p>
        </w:tc>
      </w:tr>
      <w:tr w14:paraId="0149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12BD7E94">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2.2.2</w:t>
            </w:r>
          </w:p>
        </w:tc>
        <w:tc>
          <w:tcPr>
            <w:tcW w:w="1730" w:type="dxa"/>
            <w:noWrap w:val="0"/>
            <w:vAlign w:val="center"/>
          </w:tcPr>
          <w:p w14:paraId="2DF2D532">
            <w:pPr>
              <w:wordWrap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投标人提出问题及质疑的方式和截止时间</w:t>
            </w:r>
          </w:p>
        </w:tc>
        <w:tc>
          <w:tcPr>
            <w:tcW w:w="7324" w:type="dxa"/>
            <w:noWrap w:val="0"/>
            <w:vAlign w:val="center"/>
          </w:tcPr>
          <w:p w14:paraId="46BFFC93">
            <w:pPr>
              <w:wordWrap w:val="0"/>
              <w:adjustRightInd w:val="0"/>
              <w:spacing w:line="44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截止时间：投标人可以在知道或者应知其权益受到损害之日起7个工作日内。</w:t>
            </w:r>
          </w:p>
          <w:p w14:paraId="73408153">
            <w:pPr>
              <w:wordWrap w:val="0"/>
              <w:adjustRightInd w:val="0"/>
              <w:spacing w:line="44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提问方式：在</w:t>
            </w:r>
            <w:r>
              <w:rPr>
                <w:rFonts w:hint="eastAsia" w:ascii="宋体" w:hAnsi="宋体" w:eastAsia="宋体" w:cs="宋体"/>
                <w:bCs/>
                <w:color w:val="auto"/>
                <w:sz w:val="24"/>
                <w:szCs w:val="24"/>
                <w:highlight w:val="none"/>
                <w:lang w:val="en-US" w:eastAsia="zh-CN"/>
              </w:rPr>
              <w:t>政采云平台</w:t>
            </w:r>
            <w:r>
              <w:rPr>
                <w:rFonts w:hint="eastAsia" w:ascii="宋体" w:hAnsi="宋体" w:eastAsia="宋体" w:cs="宋体"/>
                <w:bCs/>
                <w:color w:val="auto"/>
                <w:sz w:val="24"/>
                <w:szCs w:val="24"/>
                <w:highlight w:val="none"/>
                <w:lang w:val="zh-CN"/>
              </w:rPr>
              <w:t>投标人提问栏，并以书面形式递交采购代理机构。</w:t>
            </w:r>
          </w:p>
          <w:p w14:paraId="5BA1306B">
            <w:pPr>
              <w:wordWrap w:val="0"/>
              <w:adjustRightInd w:val="0"/>
              <w:spacing w:line="44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提出质疑方式：1、投标人认为招标文件、招标过程和中标结果使自己的权益受到损害的，可以在知道或者应知其权益受到损害之日起七个工作日内，一次性提出针对同一采购程序环节的质疑，同时将书面质疑送至采购人或采购代理机构。否则采购人或采购代理机构视其质疑为无效。</w:t>
            </w:r>
          </w:p>
          <w:p w14:paraId="30DCD301">
            <w:pPr>
              <w:wordWrap w:val="0"/>
              <w:adjustRightInd w:val="0"/>
              <w:spacing w:line="44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2、对采购代理机构提出质疑的，若质疑内容超出招标代理范围的，应明确告知质疑投标人向采购人提出质疑或协调采购人答复质疑投标人。</w:t>
            </w:r>
          </w:p>
          <w:p w14:paraId="60413B49">
            <w:pPr>
              <w:wordWrap w:val="0"/>
              <w:adjustRightInd w:val="0"/>
              <w:spacing w:line="44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3、质疑应当有明确的请求和必要的证明材料。否则采购人或采购代理机构有权拒绝。</w:t>
            </w:r>
          </w:p>
        </w:tc>
      </w:tr>
      <w:tr w14:paraId="57FE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4DC21703">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2.3.1</w:t>
            </w:r>
          </w:p>
        </w:tc>
        <w:tc>
          <w:tcPr>
            <w:tcW w:w="1730" w:type="dxa"/>
            <w:noWrap w:val="0"/>
            <w:vAlign w:val="center"/>
          </w:tcPr>
          <w:p w14:paraId="109B512F">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磋商文件修改发出的形式</w:t>
            </w:r>
          </w:p>
        </w:tc>
        <w:tc>
          <w:tcPr>
            <w:tcW w:w="7324" w:type="dxa"/>
            <w:noWrap w:val="0"/>
            <w:vAlign w:val="center"/>
          </w:tcPr>
          <w:p w14:paraId="603FCD94">
            <w:pPr>
              <w:wordWrap w:val="0"/>
              <w:adjustRightInd w:val="0"/>
              <w:spacing w:line="440" w:lineRule="exact"/>
              <w:jc w:val="left"/>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磋商</w:t>
            </w:r>
            <w:r>
              <w:rPr>
                <w:rFonts w:hint="eastAsia" w:ascii="宋体" w:hAnsi="宋体" w:eastAsia="宋体" w:cs="宋体"/>
                <w:bCs/>
                <w:color w:val="auto"/>
                <w:sz w:val="24"/>
                <w:szCs w:val="24"/>
                <w:highlight w:val="none"/>
                <w:lang w:val="zh-CN"/>
              </w:rPr>
              <w:t>文件的修改将以补遗文件形式发送到</w:t>
            </w:r>
            <w:r>
              <w:rPr>
                <w:rFonts w:hint="eastAsia" w:ascii="宋体" w:hAnsi="宋体" w:eastAsia="宋体" w:cs="宋体"/>
                <w:bCs/>
                <w:color w:val="auto"/>
                <w:sz w:val="24"/>
                <w:szCs w:val="24"/>
                <w:highlight w:val="none"/>
                <w:lang w:val="en-US" w:eastAsia="zh-CN"/>
              </w:rPr>
              <w:t>政采云平台</w:t>
            </w:r>
            <w:r>
              <w:rPr>
                <w:rFonts w:hint="eastAsia" w:ascii="宋体" w:hAnsi="宋体" w:eastAsia="宋体" w:cs="宋体"/>
                <w:bCs/>
                <w:color w:val="auto"/>
                <w:sz w:val="24"/>
                <w:szCs w:val="24"/>
                <w:highlight w:val="none"/>
                <w:lang w:val="zh-CN"/>
              </w:rPr>
              <w:t>答疑文件中，投标人须在供应商系统中自行下载答疑文件。</w:t>
            </w:r>
          </w:p>
          <w:p w14:paraId="577124C5">
            <w:pPr>
              <w:wordWrap w:val="0"/>
              <w:adjustRightInd w:val="0"/>
              <w:spacing w:line="440" w:lineRule="exact"/>
              <w:jc w:val="left"/>
              <w:rPr>
                <w:rFonts w:hint="eastAsia" w:ascii="宋体" w:hAnsi="宋体" w:cs="宋体"/>
                <w:bCs/>
                <w:color w:val="auto"/>
                <w:kern w:val="2"/>
                <w:sz w:val="24"/>
                <w:szCs w:val="24"/>
                <w:highlight w:val="none"/>
                <w:lang w:val="zh-CN" w:eastAsia="zh-CN"/>
              </w:rPr>
            </w:pPr>
            <w:r>
              <w:rPr>
                <w:rFonts w:hint="eastAsia" w:ascii="宋体" w:hAnsi="宋体" w:eastAsia="宋体" w:cs="宋体"/>
                <w:bCs/>
                <w:color w:val="auto"/>
                <w:sz w:val="24"/>
                <w:szCs w:val="24"/>
                <w:highlight w:val="none"/>
                <w:lang w:val="zh-CN"/>
              </w:rPr>
              <w:t>如果投标人未收到相应文件，请及时与采购代理机构联系，否则采购人和采购代理机构不承担任何责任。</w:t>
            </w:r>
          </w:p>
        </w:tc>
      </w:tr>
      <w:tr w14:paraId="23EEA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1CF85E64">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3.1.1</w:t>
            </w:r>
          </w:p>
        </w:tc>
        <w:tc>
          <w:tcPr>
            <w:tcW w:w="1730" w:type="dxa"/>
            <w:noWrap w:val="0"/>
            <w:vAlign w:val="center"/>
          </w:tcPr>
          <w:p w14:paraId="701159B7">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构成响应文件的其他材料</w:t>
            </w:r>
          </w:p>
        </w:tc>
        <w:tc>
          <w:tcPr>
            <w:tcW w:w="7324" w:type="dxa"/>
            <w:noWrap w:val="0"/>
            <w:vAlign w:val="center"/>
          </w:tcPr>
          <w:p w14:paraId="2199ACDC">
            <w:pPr>
              <w:autoSpaceDE w:val="0"/>
              <w:autoSpaceDN w:val="0"/>
              <w:adjustRightInd w:val="0"/>
              <w:spacing w:line="400" w:lineRule="exact"/>
              <w:rPr>
                <w:rFonts w:hint="eastAsia" w:ascii="华文细黑" w:hAnsi="华文细黑" w:eastAsia="华文细黑" w:cs="华文细黑"/>
                <w:bCs/>
                <w:color w:val="auto"/>
                <w:sz w:val="24"/>
                <w:szCs w:val="24"/>
                <w:highlight w:val="none"/>
                <w:lang w:val="zh-CN"/>
              </w:rPr>
            </w:pPr>
            <w:r>
              <w:rPr>
                <w:rFonts w:hint="eastAsia" w:ascii="华文细黑" w:hAnsi="华文细黑" w:eastAsia="华文细黑" w:cs="华文细黑"/>
                <w:b/>
                <w:bCs/>
                <w:color w:val="auto"/>
                <w:sz w:val="24"/>
                <w:szCs w:val="24"/>
                <w:highlight w:val="none"/>
                <w:lang w:val="zh-CN"/>
              </w:rPr>
              <w:t>投标人所提供的下列资质证明文件应体现在</w:t>
            </w:r>
            <w:r>
              <w:rPr>
                <w:rFonts w:hint="eastAsia" w:ascii="华文细黑" w:hAnsi="华文细黑" w:eastAsia="华文细黑" w:cs="华文细黑"/>
                <w:b/>
                <w:color w:val="auto"/>
                <w:sz w:val="24"/>
                <w:szCs w:val="24"/>
                <w:highlight w:val="none"/>
              </w:rPr>
              <w:t>电子版投标文件中</w:t>
            </w:r>
            <w:r>
              <w:rPr>
                <w:rFonts w:hint="eastAsia" w:ascii="华文细黑" w:hAnsi="华文细黑" w:eastAsia="华文细黑" w:cs="华文细黑"/>
                <w:b/>
                <w:bCs/>
                <w:color w:val="auto"/>
                <w:sz w:val="24"/>
                <w:szCs w:val="24"/>
                <w:highlight w:val="none"/>
                <w:lang w:val="zh-CN"/>
              </w:rPr>
              <w:t>：</w:t>
            </w:r>
          </w:p>
          <w:p w14:paraId="768C91C8">
            <w:pPr>
              <w:wordWrap w:val="0"/>
              <w:adjustRightInd w:val="0"/>
              <w:spacing w:line="44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1、投标单位具有独立法人资格，营业执照具备本项目营业范围（上传扫描件需要加盖公章）；</w:t>
            </w:r>
          </w:p>
          <w:p w14:paraId="6D90C1A9">
            <w:pPr>
              <w:wordWrap w:val="0"/>
              <w:adjustRightInd w:val="0"/>
              <w:spacing w:line="44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w:t>
            </w:r>
            <w:r>
              <w:rPr>
                <w:rFonts w:hint="eastAsia" w:ascii="宋体" w:hAnsi="宋体" w:cs="宋体"/>
                <w:bCs/>
                <w:color w:val="auto"/>
                <w:sz w:val="24"/>
                <w:szCs w:val="24"/>
                <w:highlight w:val="none"/>
                <w:lang w:val="en-US" w:eastAsia="zh-CN"/>
              </w:rPr>
              <w:t>2022年至今</w:t>
            </w:r>
            <w:r>
              <w:rPr>
                <w:rFonts w:hint="eastAsia" w:ascii="宋体" w:hAnsi="宋体" w:eastAsia="宋体" w:cs="宋体"/>
                <w:bCs/>
                <w:color w:val="auto"/>
                <w:sz w:val="24"/>
                <w:szCs w:val="24"/>
                <w:highlight w:val="none"/>
                <w:lang w:val="zh-CN"/>
              </w:rPr>
              <w:t>类似项目经验业绩证明文件（如有须提供中标通知书或合同）（上传扫描件需要加盖公章）；</w:t>
            </w:r>
          </w:p>
          <w:p w14:paraId="7C29FFCA">
            <w:pPr>
              <w:wordWrap w:val="0"/>
              <w:adjustRightInd w:val="0"/>
              <w:spacing w:line="44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rPr>
              <w:t>、提供</w:t>
            </w:r>
            <w:r>
              <w:rPr>
                <w:rFonts w:hint="eastAsia" w:ascii="宋体" w:hAnsi="宋体" w:cs="宋体"/>
                <w:bCs/>
                <w:color w:val="auto"/>
                <w:sz w:val="24"/>
                <w:szCs w:val="24"/>
                <w:highlight w:val="none"/>
                <w:lang w:val="zh-CN"/>
              </w:rPr>
              <w:t>磋商</w:t>
            </w:r>
            <w:r>
              <w:rPr>
                <w:rFonts w:hint="eastAsia" w:ascii="宋体" w:hAnsi="宋体" w:eastAsia="宋体" w:cs="宋体"/>
                <w:bCs/>
                <w:color w:val="auto"/>
                <w:sz w:val="24"/>
                <w:szCs w:val="24"/>
                <w:highlight w:val="none"/>
                <w:lang w:val="zh-CN"/>
              </w:rPr>
              <w:t>公告发布之日至开标之日期间的任意一天的“信用中国”网站未列入①失信被执行人②重大税收违法案件当事人名单③企业经营异常名录的官网截图；提供</w:t>
            </w:r>
            <w:r>
              <w:rPr>
                <w:rFonts w:hint="eastAsia" w:ascii="宋体" w:hAnsi="宋体" w:cs="宋体"/>
                <w:bCs/>
                <w:color w:val="auto"/>
                <w:sz w:val="24"/>
                <w:szCs w:val="24"/>
                <w:highlight w:val="none"/>
                <w:lang w:val="zh-CN"/>
              </w:rPr>
              <w:t>磋商</w:t>
            </w:r>
            <w:r>
              <w:rPr>
                <w:rFonts w:hint="eastAsia" w:ascii="宋体" w:hAnsi="宋体" w:eastAsia="宋体" w:cs="宋体"/>
                <w:bCs/>
                <w:color w:val="auto"/>
                <w:sz w:val="24"/>
                <w:szCs w:val="24"/>
                <w:highlight w:val="none"/>
                <w:lang w:val="zh-CN"/>
              </w:rPr>
              <w:t>公告发布之日至开标之日期间的任意一天的“中国政府采购网”未列入“政府采购严重违法失信行为记录名单”的官网截图；</w:t>
            </w:r>
          </w:p>
          <w:p w14:paraId="5AB65C42">
            <w:pPr>
              <w:wordWrap w:val="0"/>
              <w:adjustRightInd w:val="0"/>
              <w:spacing w:line="44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rPr>
              <w:t>、投标人须在“中国裁判文书网”自行查询近三年本公司和个人（指法定代表人）的行贿犯罪记录（案由：行贿），且提供查询页面无行贿记录的彩色截图并加盖公章作为无行贿犯罪记录证明（以上截图须包括单位名称、查询内容及查询时间）（截图并加盖公章，上传扫描件需要加盖公章）；</w:t>
            </w:r>
          </w:p>
          <w:p w14:paraId="69839E84">
            <w:pPr>
              <w:wordWrap w:val="0"/>
              <w:adjustRightInd w:val="0"/>
              <w:spacing w:line="440" w:lineRule="exact"/>
              <w:jc w:val="left"/>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zh-CN"/>
              </w:rPr>
              <w:t>、</w:t>
            </w:r>
            <w:r>
              <w:rPr>
                <w:rFonts w:hint="eastAsia" w:ascii="宋体" w:hAnsi="宋体" w:cs="宋体"/>
                <w:bCs/>
                <w:color w:val="auto"/>
                <w:sz w:val="24"/>
                <w:szCs w:val="24"/>
                <w:highlight w:val="none"/>
                <w:lang w:val="zh-CN"/>
              </w:rPr>
              <w:t>磋商</w:t>
            </w:r>
            <w:r>
              <w:rPr>
                <w:rFonts w:hint="eastAsia" w:ascii="宋体" w:hAnsi="宋体" w:eastAsia="宋体" w:cs="宋体"/>
                <w:bCs/>
                <w:color w:val="auto"/>
                <w:sz w:val="24"/>
                <w:szCs w:val="24"/>
                <w:highlight w:val="none"/>
                <w:lang w:val="zh-CN"/>
              </w:rPr>
              <w:t>文件要求的其他材料。</w:t>
            </w:r>
          </w:p>
          <w:p w14:paraId="5DC486D6">
            <w:pPr>
              <w:adjustRightInd w:val="0"/>
              <w:snapToGrid w:val="0"/>
              <w:spacing w:line="360" w:lineRule="exact"/>
              <w:ind w:firstLine="480" w:firstLineChars="200"/>
              <w:rPr>
                <w:rFonts w:hint="eastAsia" w:ascii="华文细黑" w:hAnsi="华文细黑" w:eastAsia="华文细黑" w:cs="华文细黑"/>
                <w:b/>
                <w:bCs/>
                <w:color w:val="auto"/>
                <w:sz w:val="24"/>
                <w:szCs w:val="24"/>
              </w:rPr>
            </w:pPr>
            <w:r>
              <w:rPr>
                <w:rFonts w:hint="eastAsia" w:ascii="华文细黑" w:hAnsi="华文细黑" w:eastAsia="华文细黑" w:cs="华文细黑"/>
                <w:b/>
                <w:bCs/>
                <w:color w:val="auto"/>
                <w:sz w:val="24"/>
                <w:szCs w:val="24"/>
              </w:rPr>
              <w:t>注：</w:t>
            </w:r>
          </w:p>
          <w:p w14:paraId="2709F68F">
            <w:pPr>
              <w:adjustRightInd w:val="0"/>
              <w:snapToGrid w:val="0"/>
              <w:spacing w:line="360" w:lineRule="exact"/>
              <w:ind w:firstLine="480" w:firstLineChars="200"/>
              <w:rPr>
                <w:rFonts w:hint="eastAsia" w:ascii="华文细黑" w:hAnsi="华文细黑" w:eastAsia="华文细黑" w:cs="华文细黑"/>
                <w:b/>
                <w:bCs/>
                <w:color w:val="auto"/>
                <w:sz w:val="24"/>
                <w:szCs w:val="24"/>
              </w:rPr>
            </w:pPr>
            <w:r>
              <w:rPr>
                <w:rFonts w:hint="eastAsia" w:ascii="华文细黑" w:hAnsi="华文细黑" w:eastAsia="华文细黑" w:cs="华文细黑"/>
                <w:b/>
                <w:bCs/>
                <w:color w:val="auto"/>
                <w:sz w:val="24"/>
                <w:szCs w:val="24"/>
              </w:rPr>
              <w:t>1、上述证件应在投标文件其他材料中上传彩色扫描件并加盖投标人公章；</w:t>
            </w:r>
          </w:p>
          <w:p w14:paraId="6A4F4536">
            <w:pPr>
              <w:wordWrap w:val="0"/>
              <w:adjustRightInd w:val="0"/>
              <w:snapToGrid w:val="0"/>
              <w:spacing w:line="440" w:lineRule="exact"/>
              <w:rPr>
                <w:rFonts w:hint="eastAsia" w:ascii="宋体" w:hAnsi="宋体" w:cs="宋体"/>
                <w:bCs/>
                <w:color w:val="auto"/>
                <w:sz w:val="24"/>
                <w:szCs w:val="24"/>
                <w:highlight w:val="none"/>
              </w:rPr>
            </w:pPr>
            <w:r>
              <w:rPr>
                <w:rFonts w:hint="eastAsia" w:ascii="华文细黑" w:hAnsi="华文细黑" w:eastAsia="华文细黑" w:cs="华文细黑"/>
                <w:b/>
                <w:bCs/>
                <w:color w:val="auto"/>
                <w:sz w:val="24"/>
                <w:szCs w:val="24"/>
              </w:rPr>
              <w:t>2.未按照投标文件要求上传的按无效投标处理，由此引发的后果和责任由投标人自行承担。</w:t>
            </w:r>
          </w:p>
        </w:tc>
      </w:tr>
      <w:tr w14:paraId="687D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3E76E9E1">
            <w:pPr>
              <w:wordWrap w:val="0"/>
              <w:adjustRightInd w:val="0"/>
              <w:spacing w:line="440" w:lineRule="exact"/>
              <w:jc w:val="center"/>
              <w:rPr>
                <w:rFonts w:hint="eastAsia" w:ascii="宋体" w:hAnsi="宋体" w:eastAsia="宋体" w:cs="宋体"/>
                <w:bCs/>
                <w:color w:val="auto"/>
                <w:sz w:val="24"/>
                <w:szCs w:val="24"/>
                <w:highlight w:val="none"/>
                <w:lang w:val="zh-CN" w:eastAsia="zh-CN"/>
              </w:rPr>
            </w:pPr>
            <w:r>
              <w:rPr>
                <w:rFonts w:hint="eastAsia" w:ascii="宋体" w:hAnsi="宋体" w:cs="宋体"/>
                <w:bCs/>
                <w:color w:val="auto"/>
                <w:sz w:val="24"/>
                <w:szCs w:val="24"/>
                <w:highlight w:val="none"/>
                <w:lang w:val="zh-CN"/>
              </w:rPr>
              <w:t>3.2.</w:t>
            </w:r>
            <w:r>
              <w:rPr>
                <w:rFonts w:hint="eastAsia" w:ascii="宋体" w:hAnsi="宋体" w:cs="宋体"/>
                <w:bCs/>
                <w:color w:val="auto"/>
                <w:sz w:val="24"/>
                <w:szCs w:val="24"/>
                <w:highlight w:val="none"/>
                <w:lang w:val="en-US" w:eastAsia="zh-CN"/>
              </w:rPr>
              <w:t>1</w:t>
            </w:r>
          </w:p>
        </w:tc>
        <w:tc>
          <w:tcPr>
            <w:tcW w:w="1730" w:type="dxa"/>
            <w:noWrap w:val="0"/>
            <w:vAlign w:val="center"/>
          </w:tcPr>
          <w:p w14:paraId="598D29B1">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kern w:val="15"/>
                <w:sz w:val="24"/>
                <w:szCs w:val="24"/>
                <w:highlight w:val="none"/>
              </w:rPr>
              <w:t>最高投标限价</w:t>
            </w:r>
          </w:p>
        </w:tc>
        <w:tc>
          <w:tcPr>
            <w:tcW w:w="7324" w:type="dxa"/>
            <w:noWrap w:val="0"/>
            <w:vAlign w:val="center"/>
          </w:tcPr>
          <w:p w14:paraId="3D40622E">
            <w:pPr>
              <w:wordWrap w:val="0"/>
              <w:adjustRightInd w:val="0"/>
              <w:spacing w:line="440" w:lineRule="exact"/>
              <w:rPr>
                <w:rFonts w:hint="eastAsia" w:ascii="宋体" w:hAnsi="宋体" w:cs="宋体"/>
                <w:bCs/>
                <w:color w:val="C00000"/>
                <w:kern w:val="15"/>
                <w:sz w:val="24"/>
                <w:szCs w:val="24"/>
                <w:highlight w:val="none"/>
              </w:rPr>
            </w:pPr>
            <w:r>
              <w:rPr>
                <w:rFonts w:hint="eastAsia" w:ascii="宋体" w:hAnsi="宋体" w:cs="宋体"/>
                <w:bCs/>
                <w:color w:val="C00000"/>
                <w:kern w:val="15"/>
                <w:sz w:val="24"/>
                <w:szCs w:val="24"/>
                <w:highlight w:val="none"/>
              </w:rPr>
              <w:t>预算金额总价：</w:t>
            </w:r>
            <w:r>
              <w:rPr>
                <w:rFonts w:hint="eastAsia" w:ascii="宋体" w:hAnsi="宋体" w:cs="宋体"/>
                <w:color w:val="C00000"/>
                <w:kern w:val="0"/>
                <w:sz w:val="24"/>
                <w:szCs w:val="24"/>
                <w:highlight w:val="none"/>
                <w:lang w:val="en-US" w:eastAsia="zh-CN" w:bidi="ar"/>
              </w:rPr>
              <w:t>20万元</w:t>
            </w:r>
            <w:r>
              <w:rPr>
                <w:rFonts w:hint="eastAsia" w:ascii="宋体" w:hAnsi="宋体" w:cs="宋体"/>
                <w:bCs/>
                <w:color w:val="C00000"/>
                <w:kern w:val="15"/>
                <w:sz w:val="24"/>
                <w:szCs w:val="24"/>
                <w:highlight w:val="none"/>
              </w:rPr>
              <w:t>。</w:t>
            </w:r>
          </w:p>
          <w:p w14:paraId="54EC3189">
            <w:pPr>
              <w:wordWrap w:val="0"/>
              <w:adjustRightInd w:val="0"/>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*（供应商总报价不能超过项目预算金额，否则在评审中应当认定其投标无效，视为废标）。</w:t>
            </w:r>
          </w:p>
        </w:tc>
      </w:tr>
      <w:tr w14:paraId="42EB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0006AA81">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3.3.1</w:t>
            </w:r>
          </w:p>
        </w:tc>
        <w:tc>
          <w:tcPr>
            <w:tcW w:w="1730" w:type="dxa"/>
            <w:noWrap w:val="0"/>
            <w:vAlign w:val="center"/>
          </w:tcPr>
          <w:p w14:paraId="7E9D1658">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投标有效期</w:t>
            </w:r>
          </w:p>
        </w:tc>
        <w:tc>
          <w:tcPr>
            <w:tcW w:w="7324" w:type="dxa"/>
            <w:noWrap w:val="0"/>
            <w:vAlign w:val="center"/>
          </w:tcPr>
          <w:p w14:paraId="68610A50">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投标截止之日后90天（日历天），从开标截止之日算起。</w:t>
            </w:r>
          </w:p>
        </w:tc>
      </w:tr>
      <w:tr w14:paraId="0842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182" w:type="dxa"/>
            <w:noWrap w:val="0"/>
            <w:vAlign w:val="center"/>
          </w:tcPr>
          <w:p w14:paraId="7CB9B011">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3.4.1</w:t>
            </w:r>
          </w:p>
        </w:tc>
        <w:tc>
          <w:tcPr>
            <w:tcW w:w="1730" w:type="dxa"/>
            <w:noWrap w:val="0"/>
            <w:vAlign w:val="center"/>
          </w:tcPr>
          <w:p w14:paraId="3E91FC53">
            <w:pPr>
              <w:wordWrap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磋商保证金</w:t>
            </w:r>
          </w:p>
        </w:tc>
        <w:tc>
          <w:tcPr>
            <w:tcW w:w="7324" w:type="dxa"/>
            <w:noWrap w:val="0"/>
            <w:vAlign w:val="center"/>
          </w:tcPr>
          <w:p w14:paraId="6BC8AC88">
            <w:pPr>
              <w:wordWrap w:val="0"/>
              <w:spacing w:line="440" w:lineRule="exact"/>
              <w:rPr>
                <w:rFonts w:hint="eastAsia" w:ascii="宋体" w:hAnsi="宋体" w:eastAsia="宋体" w:cs="宋体"/>
                <w:bCs/>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本项目不收取投标保证金。</w:t>
            </w:r>
          </w:p>
        </w:tc>
      </w:tr>
      <w:tr w14:paraId="79FA6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4376C403">
            <w:pPr>
              <w:wordWrap w:val="0"/>
              <w:adjustRightInd w:val="0"/>
              <w:snapToGrid w:val="0"/>
              <w:spacing w:line="440" w:lineRule="exact"/>
              <w:jc w:val="center"/>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rPr>
              <w:t>3.5.</w:t>
            </w:r>
            <w:r>
              <w:rPr>
                <w:rFonts w:hint="eastAsia" w:ascii="宋体" w:hAnsi="宋体" w:cs="宋体"/>
                <w:color w:val="auto"/>
                <w:sz w:val="24"/>
                <w:szCs w:val="24"/>
                <w:highlight w:val="none"/>
                <w:lang w:val="en-US" w:eastAsia="zh-CN"/>
              </w:rPr>
              <w:t>1</w:t>
            </w:r>
          </w:p>
        </w:tc>
        <w:tc>
          <w:tcPr>
            <w:tcW w:w="1730" w:type="dxa"/>
            <w:noWrap w:val="0"/>
            <w:vAlign w:val="center"/>
          </w:tcPr>
          <w:p w14:paraId="1BBAC866">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近年完成的类似项目的年份要求</w:t>
            </w:r>
          </w:p>
        </w:tc>
        <w:tc>
          <w:tcPr>
            <w:tcW w:w="7324" w:type="dxa"/>
            <w:noWrap w:val="0"/>
            <w:vAlign w:val="center"/>
          </w:tcPr>
          <w:p w14:paraId="6BECBB24">
            <w:pPr>
              <w:wordWrap w:val="0"/>
              <w:spacing w:line="440" w:lineRule="exact"/>
              <w:jc w:val="left"/>
              <w:rPr>
                <w:rFonts w:hint="eastAsia" w:ascii="宋体" w:hAnsi="宋体" w:cs="宋体"/>
                <w:bCs/>
                <w:color w:val="auto"/>
                <w:sz w:val="24"/>
                <w:szCs w:val="24"/>
                <w:highlight w:val="none"/>
                <w:u w:val="single"/>
              </w:rPr>
            </w:pPr>
            <w:r>
              <w:rPr>
                <w:rFonts w:hint="eastAsia" w:ascii="宋体" w:hAnsi="宋体" w:cs="宋体"/>
                <w:color w:val="auto"/>
                <w:sz w:val="24"/>
                <w:szCs w:val="24"/>
                <w:highlight w:val="none"/>
              </w:rPr>
              <w:t>20</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年 1 月 1 日起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至今。</w:t>
            </w:r>
          </w:p>
        </w:tc>
      </w:tr>
      <w:tr w14:paraId="1492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6B60AD67">
            <w:pPr>
              <w:wordWrap w:val="0"/>
              <w:adjustRightInd w:val="0"/>
              <w:snapToGrid w:val="0"/>
              <w:spacing w:line="440" w:lineRule="exact"/>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3.5.</w:t>
            </w:r>
            <w:r>
              <w:rPr>
                <w:rFonts w:hint="eastAsia" w:ascii="宋体" w:hAnsi="宋体" w:cs="宋体"/>
                <w:bCs/>
                <w:color w:val="auto"/>
                <w:sz w:val="24"/>
                <w:szCs w:val="24"/>
                <w:highlight w:val="none"/>
                <w:lang w:val="en-US" w:eastAsia="zh-CN"/>
              </w:rPr>
              <w:t>2</w:t>
            </w:r>
          </w:p>
        </w:tc>
        <w:tc>
          <w:tcPr>
            <w:tcW w:w="1730" w:type="dxa"/>
            <w:noWrap w:val="0"/>
            <w:vAlign w:val="center"/>
          </w:tcPr>
          <w:p w14:paraId="047EFF07">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近年发生的诉讼及仲裁情况的年份要求</w:t>
            </w:r>
          </w:p>
        </w:tc>
        <w:tc>
          <w:tcPr>
            <w:tcW w:w="7324" w:type="dxa"/>
            <w:noWrap w:val="0"/>
            <w:vAlign w:val="center"/>
          </w:tcPr>
          <w:p w14:paraId="1F3CBD85">
            <w:pPr>
              <w:wordWrap w:val="0"/>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20</w:t>
            </w:r>
            <w:r>
              <w:rPr>
                <w:rFonts w:hint="eastAsia" w:ascii="宋体" w:hAnsi="宋体" w:cs="宋体"/>
                <w:bCs/>
                <w:color w:val="auto"/>
                <w:sz w:val="24"/>
                <w:szCs w:val="24"/>
                <w:highlight w:val="none"/>
                <w:lang w:val="en-US" w:eastAsia="zh-CN"/>
              </w:rPr>
              <w:t>22</w:t>
            </w:r>
            <w:r>
              <w:rPr>
                <w:rFonts w:hint="eastAsia" w:ascii="宋体" w:hAnsi="宋体" w:cs="宋体"/>
                <w:bCs/>
                <w:color w:val="auto"/>
                <w:sz w:val="24"/>
                <w:szCs w:val="24"/>
                <w:highlight w:val="none"/>
              </w:rPr>
              <w:t>年1月1日至竞争性磋商公告发布之日止。</w:t>
            </w:r>
          </w:p>
        </w:tc>
      </w:tr>
      <w:tr w14:paraId="327D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19BBCAF2">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3.6</w:t>
            </w:r>
          </w:p>
        </w:tc>
        <w:tc>
          <w:tcPr>
            <w:tcW w:w="1730" w:type="dxa"/>
            <w:noWrap w:val="0"/>
            <w:vAlign w:val="center"/>
          </w:tcPr>
          <w:p w14:paraId="1ECE92AD">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是否允许递交备选投标方案</w:t>
            </w:r>
          </w:p>
        </w:tc>
        <w:tc>
          <w:tcPr>
            <w:tcW w:w="7324" w:type="dxa"/>
            <w:noWrap w:val="0"/>
            <w:vAlign w:val="center"/>
          </w:tcPr>
          <w:p w14:paraId="5D8DEF84">
            <w:pPr>
              <w:wordWrap w:val="0"/>
              <w:adjustRightInd w:val="0"/>
              <w:spacing w:line="400" w:lineRule="exac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fldChar w:fldCharType="begin"/>
            </w:r>
            <w:r>
              <w:rPr>
                <w:rFonts w:hint="eastAsia" w:ascii="宋体" w:hAnsi="宋体" w:cs="宋体"/>
                <w:bCs/>
                <w:color w:val="auto"/>
                <w:sz w:val="24"/>
                <w:highlight w:val="none"/>
                <w:lang w:val="zh-CN"/>
              </w:rPr>
              <w:instrText xml:space="preserve">eq \o\ac(□,√)</w:instrText>
            </w:r>
            <w:r>
              <w:rPr>
                <w:rFonts w:hint="eastAsia" w:ascii="宋体" w:hAnsi="宋体" w:cs="宋体"/>
                <w:bCs/>
                <w:color w:val="auto"/>
                <w:sz w:val="24"/>
                <w:highlight w:val="none"/>
                <w:lang w:val="zh-CN"/>
              </w:rPr>
              <w:fldChar w:fldCharType="end"/>
            </w:r>
            <w:r>
              <w:rPr>
                <w:rFonts w:hint="eastAsia" w:ascii="宋体" w:hAnsi="宋体" w:cs="宋体"/>
                <w:bCs/>
                <w:color w:val="auto"/>
                <w:sz w:val="24"/>
                <w:highlight w:val="none"/>
                <w:lang w:val="zh-CN"/>
              </w:rPr>
              <w:t>不允许</w:t>
            </w:r>
          </w:p>
          <w:p w14:paraId="606FDFE5">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highlight w:val="none"/>
              </w:rPr>
              <w:t>□</w:t>
            </w:r>
            <w:r>
              <w:rPr>
                <w:rFonts w:hint="eastAsia" w:ascii="宋体" w:hAnsi="宋体" w:cs="宋体"/>
                <w:bCs/>
                <w:color w:val="auto"/>
                <w:sz w:val="24"/>
                <w:highlight w:val="none"/>
                <w:lang w:val="zh-CN"/>
              </w:rPr>
              <w:t>允许</w:t>
            </w:r>
          </w:p>
        </w:tc>
      </w:tr>
      <w:tr w14:paraId="2A0D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0E6E8211">
            <w:pPr>
              <w:wordWrap w:val="0"/>
              <w:adjustRightInd w:val="0"/>
              <w:spacing w:line="360" w:lineRule="exact"/>
              <w:jc w:val="center"/>
              <w:rPr>
                <w:rFonts w:hint="eastAsia" w:ascii="宋体" w:hAnsi="宋体" w:eastAsia="宋体" w:cs="宋体"/>
                <w:bCs/>
                <w:color w:val="auto"/>
                <w:sz w:val="24"/>
                <w:szCs w:val="24"/>
                <w:highlight w:val="none"/>
                <w:lang w:val="zh-CN" w:eastAsia="zh-CN"/>
              </w:rPr>
            </w:pPr>
            <w:r>
              <w:rPr>
                <w:rFonts w:hint="eastAsia" w:ascii="宋体" w:hAnsi="宋体" w:cs="宋体"/>
                <w:bCs/>
                <w:color w:val="auto"/>
                <w:sz w:val="24"/>
                <w:highlight w:val="none"/>
                <w:lang w:val="zh-CN"/>
              </w:rPr>
              <w:t>3.7.</w:t>
            </w:r>
            <w:r>
              <w:rPr>
                <w:rFonts w:hint="eastAsia" w:ascii="宋体" w:hAnsi="宋体" w:cs="宋体"/>
                <w:bCs/>
                <w:color w:val="auto"/>
                <w:sz w:val="24"/>
                <w:highlight w:val="none"/>
                <w:lang w:val="en-US" w:eastAsia="zh-CN"/>
              </w:rPr>
              <w:t>1</w:t>
            </w:r>
          </w:p>
        </w:tc>
        <w:tc>
          <w:tcPr>
            <w:tcW w:w="1730" w:type="dxa"/>
            <w:noWrap w:val="0"/>
            <w:vAlign w:val="center"/>
          </w:tcPr>
          <w:p w14:paraId="2FDDCA0A">
            <w:pPr>
              <w:wordWrap w:val="0"/>
              <w:adjustRightInd w:val="0"/>
              <w:spacing w:line="440" w:lineRule="exact"/>
              <w:jc w:val="center"/>
              <w:rPr>
                <w:rFonts w:hint="eastAsia" w:ascii="宋体" w:hAnsi="宋体" w:cs="宋体"/>
                <w:color w:val="auto"/>
                <w:sz w:val="24"/>
                <w:szCs w:val="21"/>
                <w:highlight w:val="none"/>
                <w:lang w:val="zh-CN"/>
              </w:rPr>
            </w:pPr>
            <w:r>
              <w:rPr>
                <w:rFonts w:hint="eastAsia" w:ascii="宋体" w:hAnsi="宋体" w:cs="宋体"/>
                <w:bCs/>
                <w:color w:val="auto"/>
                <w:sz w:val="24"/>
                <w:szCs w:val="24"/>
                <w:highlight w:val="none"/>
                <w:lang w:val="zh-CN"/>
              </w:rPr>
              <w:t>响应文件签字或盖章要求</w:t>
            </w:r>
          </w:p>
        </w:tc>
        <w:tc>
          <w:tcPr>
            <w:tcW w:w="7324" w:type="dxa"/>
            <w:noWrap w:val="0"/>
            <w:vAlign w:val="center"/>
          </w:tcPr>
          <w:p w14:paraId="19C298E6">
            <w:pPr>
              <w:wordWrap w:val="0"/>
              <w:adjustRightInd w:val="0"/>
              <w:spacing w:line="440" w:lineRule="exact"/>
              <w:rPr>
                <w:rFonts w:hint="eastAsia" w:ascii="宋体" w:hAnsi="宋体" w:cs="宋体"/>
                <w:color w:val="auto"/>
                <w:sz w:val="24"/>
                <w:szCs w:val="21"/>
                <w:highlight w:val="none"/>
              </w:rPr>
            </w:pPr>
            <w:r>
              <w:rPr>
                <w:rFonts w:hint="eastAsia" w:ascii="宋体" w:hAnsi="宋体" w:eastAsia="宋体" w:cs="宋体"/>
                <w:bCs/>
                <w:color w:val="auto"/>
                <w:sz w:val="24"/>
                <w:szCs w:val="24"/>
                <w:highlight w:val="none"/>
                <w:lang w:val="zh-CN"/>
              </w:rPr>
              <w:t>投标文件电子签字盖章要求应严格按照</w:t>
            </w:r>
            <w:r>
              <w:rPr>
                <w:rFonts w:hint="eastAsia" w:ascii="宋体" w:hAnsi="宋体" w:eastAsia="宋体" w:cs="宋体"/>
                <w:bCs/>
                <w:color w:val="auto"/>
                <w:sz w:val="24"/>
                <w:szCs w:val="24"/>
                <w:highlight w:val="none"/>
                <w:lang w:val="en-US" w:eastAsia="zh-CN"/>
              </w:rPr>
              <w:t>磋商</w:t>
            </w:r>
            <w:r>
              <w:rPr>
                <w:rFonts w:hint="eastAsia" w:ascii="宋体" w:hAnsi="宋体" w:eastAsia="宋体" w:cs="宋体"/>
                <w:bCs/>
                <w:color w:val="auto"/>
                <w:sz w:val="24"/>
                <w:szCs w:val="24"/>
                <w:highlight w:val="none"/>
                <w:lang w:val="zh-CN"/>
              </w:rPr>
              <w:t>文件给定的格式要求执行；投标文件商务部分应加盖投标人电子印章并经法定代表人或其委托代理人电子签字，资格审查资料应加盖投标人电子印章。</w:t>
            </w:r>
          </w:p>
        </w:tc>
      </w:tr>
      <w:tr w14:paraId="72A3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541741CD">
            <w:pPr>
              <w:wordWrap w:val="0"/>
              <w:adjustRightInd w:val="0"/>
              <w:spacing w:line="440" w:lineRule="exac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3.7.2</w:t>
            </w:r>
          </w:p>
        </w:tc>
        <w:tc>
          <w:tcPr>
            <w:tcW w:w="1730" w:type="dxa"/>
            <w:noWrap w:val="0"/>
            <w:vAlign w:val="center"/>
          </w:tcPr>
          <w:p w14:paraId="40AFFFEA">
            <w:pPr>
              <w:wordWrap w:val="0"/>
              <w:adjustRightInd w:val="0"/>
              <w:spacing w:line="440" w:lineRule="exact"/>
              <w:jc w:val="center"/>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rPr>
              <w:t>投标文件份数</w:t>
            </w:r>
          </w:p>
        </w:tc>
        <w:tc>
          <w:tcPr>
            <w:tcW w:w="7324" w:type="dxa"/>
            <w:noWrap w:val="0"/>
            <w:vAlign w:val="center"/>
          </w:tcPr>
          <w:p w14:paraId="3206C9A4">
            <w:pPr>
              <w:wordWrap w:val="0"/>
              <w:adjustRightInd w:val="0"/>
              <w:spacing w:line="440" w:lineRule="exact"/>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rPr>
              <w:t>投标单位需在开标前将投标文件制作工具生成的加密文件上传到</w:t>
            </w:r>
            <w:r>
              <w:rPr>
                <w:rFonts w:hint="eastAsia" w:ascii="宋体" w:hAnsi="宋体" w:eastAsia="宋体" w:cs="宋体"/>
                <w:bCs/>
                <w:color w:val="auto"/>
                <w:sz w:val="24"/>
                <w:szCs w:val="24"/>
                <w:highlight w:val="none"/>
                <w:lang w:val="en-US" w:eastAsia="zh-CN"/>
              </w:rPr>
              <w:t>政采云平台</w:t>
            </w:r>
            <w:r>
              <w:rPr>
                <w:rFonts w:hint="eastAsia" w:ascii="宋体" w:hAnsi="宋体" w:eastAsia="宋体" w:cs="宋体"/>
                <w:bCs/>
                <w:color w:val="auto"/>
                <w:sz w:val="24"/>
                <w:szCs w:val="24"/>
                <w:highlight w:val="none"/>
                <w:lang w:val="zh-CN"/>
              </w:rPr>
              <w:t>。</w:t>
            </w:r>
          </w:p>
        </w:tc>
      </w:tr>
      <w:tr w14:paraId="70F3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15CCADD9">
            <w:pPr>
              <w:wordWrap w:val="0"/>
              <w:adjustRightInd w:val="0"/>
              <w:spacing w:line="440" w:lineRule="exact"/>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3.7.3</w:t>
            </w:r>
          </w:p>
        </w:tc>
        <w:tc>
          <w:tcPr>
            <w:tcW w:w="1730" w:type="dxa"/>
            <w:noWrap w:val="0"/>
            <w:vAlign w:val="center"/>
          </w:tcPr>
          <w:p w14:paraId="703F5D6F">
            <w:pPr>
              <w:wordWrap w:val="0"/>
              <w:adjustRightInd w:val="0"/>
              <w:spacing w:line="440" w:lineRule="exact"/>
              <w:jc w:val="center"/>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rPr>
              <w:t>装订要求</w:t>
            </w:r>
          </w:p>
        </w:tc>
        <w:tc>
          <w:tcPr>
            <w:tcW w:w="7324" w:type="dxa"/>
            <w:noWrap w:val="0"/>
            <w:vAlign w:val="center"/>
          </w:tcPr>
          <w:p w14:paraId="024032B3">
            <w:pPr>
              <w:wordWrap w:val="0"/>
              <w:adjustRightInd w:val="0"/>
              <w:spacing w:line="440" w:lineRule="exact"/>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rPr>
              <w:t>本项目不需要提供纸质投标文件</w:t>
            </w:r>
          </w:p>
        </w:tc>
      </w:tr>
      <w:tr w14:paraId="6640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58B657AD">
            <w:pPr>
              <w:wordWrap w:val="0"/>
              <w:adjustRightInd w:val="0"/>
              <w:spacing w:line="440" w:lineRule="exact"/>
              <w:jc w:val="center"/>
              <w:rPr>
                <w:rFonts w:hint="default" w:ascii="宋体" w:hAnsi="宋体" w:cs="宋体"/>
                <w:bCs/>
                <w:color w:val="auto"/>
                <w:sz w:val="24"/>
                <w:szCs w:val="24"/>
                <w:highlight w:val="none"/>
                <w:lang w:val="en-US"/>
              </w:rPr>
            </w:pPr>
            <w:r>
              <w:rPr>
                <w:rFonts w:hint="eastAsia" w:ascii="宋体" w:hAnsi="宋体" w:cs="宋体"/>
                <w:bCs/>
                <w:color w:val="auto"/>
                <w:sz w:val="24"/>
                <w:szCs w:val="24"/>
                <w:highlight w:val="none"/>
                <w:lang w:val="zh-CN"/>
              </w:rPr>
              <w:t>4.</w:t>
            </w:r>
            <w:r>
              <w:rPr>
                <w:rFonts w:hint="eastAsia" w:ascii="宋体" w:hAnsi="宋体" w:cs="宋体"/>
                <w:bCs/>
                <w:color w:val="auto"/>
                <w:sz w:val="24"/>
                <w:szCs w:val="24"/>
                <w:highlight w:val="none"/>
                <w:lang w:val="en-US" w:eastAsia="zh-CN"/>
              </w:rPr>
              <w:t>1.1</w:t>
            </w:r>
          </w:p>
        </w:tc>
        <w:tc>
          <w:tcPr>
            <w:tcW w:w="1730" w:type="dxa"/>
            <w:noWrap w:val="0"/>
            <w:vAlign w:val="center"/>
          </w:tcPr>
          <w:p w14:paraId="5441882D">
            <w:pPr>
              <w:wordWrap w:val="0"/>
              <w:adjustRightInd w:val="0"/>
              <w:snapToGri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递交响应文件的地点</w:t>
            </w:r>
          </w:p>
        </w:tc>
        <w:tc>
          <w:tcPr>
            <w:tcW w:w="7324" w:type="dxa"/>
            <w:noWrap w:val="0"/>
            <w:vAlign w:val="center"/>
          </w:tcPr>
          <w:p w14:paraId="30798179">
            <w:pPr>
              <w:wordWrap w:val="0"/>
              <w:adjustRightInd w:val="0"/>
              <w:snapToGrid w:val="0"/>
              <w:spacing w:line="440" w:lineRule="exact"/>
              <w:rPr>
                <w:rFonts w:hint="eastAsia" w:ascii="宋体" w:hAnsi="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投标单位需在开标前将投标文件制作工具生成的加密文件上传到</w:t>
            </w:r>
            <w:r>
              <w:rPr>
                <w:rFonts w:hint="eastAsia" w:ascii="宋体" w:hAnsi="宋体" w:eastAsia="宋体" w:cs="宋体"/>
                <w:bCs/>
                <w:color w:val="auto"/>
                <w:sz w:val="24"/>
                <w:szCs w:val="24"/>
                <w:highlight w:val="none"/>
                <w:lang w:val="en-US" w:eastAsia="zh-CN"/>
              </w:rPr>
              <w:t>政采云平台</w:t>
            </w:r>
            <w:r>
              <w:rPr>
                <w:rFonts w:hint="eastAsia" w:ascii="宋体" w:hAnsi="宋体" w:eastAsia="宋体" w:cs="宋体"/>
                <w:bCs/>
                <w:color w:val="auto"/>
                <w:sz w:val="24"/>
                <w:szCs w:val="24"/>
                <w:highlight w:val="none"/>
                <w:lang w:val="zh-CN"/>
              </w:rPr>
              <w:t>。</w:t>
            </w:r>
          </w:p>
        </w:tc>
      </w:tr>
      <w:tr w14:paraId="3A477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7D88F24A">
            <w:pPr>
              <w:wordWrap w:val="0"/>
              <w:adjustRightInd w:val="0"/>
              <w:spacing w:line="360" w:lineRule="exact"/>
              <w:jc w:val="center"/>
              <w:rPr>
                <w:rFonts w:hint="eastAsia" w:ascii="宋体" w:hAnsi="宋体" w:eastAsia="宋体" w:cs="宋体"/>
                <w:bCs/>
                <w:color w:val="auto"/>
                <w:sz w:val="24"/>
                <w:szCs w:val="24"/>
                <w:highlight w:val="none"/>
                <w:lang w:val="zh-CN" w:eastAsia="zh-CN"/>
              </w:rPr>
            </w:pPr>
            <w:r>
              <w:rPr>
                <w:rFonts w:hint="eastAsia" w:ascii="宋体" w:hAnsi="宋体" w:cs="宋体"/>
                <w:bCs/>
                <w:color w:val="auto"/>
                <w:sz w:val="24"/>
                <w:highlight w:val="none"/>
                <w:lang w:val="zh-CN"/>
              </w:rPr>
              <w:t>4.2.</w:t>
            </w:r>
            <w:r>
              <w:rPr>
                <w:rFonts w:hint="eastAsia" w:ascii="宋体" w:hAnsi="宋体" w:cs="宋体"/>
                <w:bCs/>
                <w:color w:val="auto"/>
                <w:sz w:val="24"/>
                <w:highlight w:val="none"/>
                <w:lang w:val="en-US" w:eastAsia="zh-CN"/>
              </w:rPr>
              <w:t>1</w:t>
            </w:r>
          </w:p>
        </w:tc>
        <w:tc>
          <w:tcPr>
            <w:tcW w:w="1730" w:type="dxa"/>
            <w:noWrap w:val="0"/>
            <w:vAlign w:val="center"/>
          </w:tcPr>
          <w:p w14:paraId="710D2A56">
            <w:pPr>
              <w:wordWrap w:val="0"/>
              <w:adjustRightInd w:val="0"/>
              <w:spacing w:line="36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highlight w:val="none"/>
              </w:rPr>
              <w:t>响应文件是否退还</w:t>
            </w:r>
          </w:p>
        </w:tc>
        <w:tc>
          <w:tcPr>
            <w:tcW w:w="7324" w:type="dxa"/>
            <w:noWrap w:val="0"/>
            <w:vAlign w:val="center"/>
          </w:tcPr>
          <w:p w14:paraId="7002EE57">
            <w:pPr>
              <w:wordWrap w:val="0"/>
              <w:adjustRightInd w:val="0"/>
              <w:spacing w:line="360" w:lineRule="exact"/>
              <w:rPr>
                <w:rFonts w:hint="eastAsia" w:ascii="宋体" w:hAnsi="宋体" w:cs="宋体"/>
                <w:bCs/>
                <w:color w:val="auto"/>
                <w:kern w:val="0"/>
                <w:sz w:val="24"/>
                <w:highlight w:val="none"/>
                <w:lang w:val="zh-CN"/>
              </w:rPr>
            </w:pPr>
            <w:r>
              <w:rPr>
                <w:rFonts w:hint="eastAsia" w:ascii="宋体" w:hAnsi="宋体" w:cs="宋体"/>
                <w:bCs/>
                <w:color w:val="auto"/>
                <w:sz w:val="24"/>
                <w:highlight w:val="none"/>
              </w:rPr>
              <w:t>□</w:t>
            </w:r>
            <w:r>
              <w:rPr>
                <w:rFonts w:hint="eastAsia" w:ascii="宋体" w:hAnsi="宋体" w:cs="宋体"/>
                <w:bCs/>
                <w:color w:val="auto"/>
                <w:kern w:val="0"/>
                <w:sz w:val="24"/>
                <w:highlight w:val="none"/>
                <w:lang w:val="zh-CN"/>
              </w:rPr>
              <w:t>是</w:t>
            </w:r>
          </w:p>
          <w:p w14:paraId="38F2BB8D">
            <w:pPr>
              <w:wordWrap w:val="0"/>
              <w:adjustRightInd w:val="0"/>
              <w:spacing w:line="360" w:lineRule="exact"/>
              <w:rPr>
                <w:rFonts w:hint="eastAsia" w:ascii="宋体" w:hAnsi="宋体" w:cs="宋体"/>
                <w:bCs/>
                <w:color w:val="auto"/>
                <w:sz w:val="24"/>
                <w:szCs w:val="24"/>
                <w:highlight w:val="none"/>
              </w:rPr>
            </w:pPr>
            <w:r>
              <w:rPr>
                <w:rFonts w:hint="eastAsia" w:ascii="宋体" w:hAnsi="宋体" w:cs="宋体"/>
                <w:bCs/>
                <w:color w:val="auto"/>
                <w:kern w:val="0"/>
                <w:sz w:val="24"/>
                <w:highlight w:val="none"/>
                <w:lang w:val="zh-CN"/>
              </w:rPr>
              <w:fldChar w:fldCharType="begin"/>
            </w:r>
            <w:r>
              <w:rPr>
                <w:rFonts w:hint="eastAsia" w:ascii="宋体" w:hAnsi="宋体" w:cs="宋体"/>
                <w:bCs/>
                <w:color w:val="auto"/>
                <w:kern w:val="0"/>
                <w:sz w:val="24"/>
                <w:highlight w:val="none"/>
                <w:lang w:val="zh-CN"/>
              </w:rPr>
              <w:instrText xml:space="preserve">eq \o\ac(□,√)</w:instrText>
            </w:r>
            <w:r>
              <w:rPr>
                <w:rFonts w:hint="eastAsia" w:ascii="宋体" w:hAnsi="宋体" w:cs="宋体"/>
                <w:bCs/>
                <w:color w:val="auto"/>
                <w:kern w:val="0"/>
                <w:sz w:val="24"/>
                <w:highlight w:val="none"/>
                <w:lang w:val="zh-CN"/>
              </w:rPr>
              <w:fldChar w:fldCharType="end"/>
            </w:r>
            <w:r>
              <w:rPr>
                <w:rFonts w:hint="eastAsia" w:ascii="宋体" w:hAnsi="宋体" w:cs="宋体"/>
                <w:bCs/>
                <w:color w:val="auto"/>
                <w:kern w:val="0"/>
                <w:sz w:val="24"/>
                <w:highlight w:val="none"/>
                <w:lang w:val="zh-CN"/>
              </w:rPr>
              <w:t>否</w:t>
            </w:r>
            <w:r>
              <w:rPr>
                <w:rFonts w:hint="eastAsia" w:ascii="宋体" w:hAnsi="宋体" w:cs="宋体"/>
                <w:bCs/>
                <w:color w:val="auto"/>
                <w:sz w:val="24"/>
                <w:highlight w:val="none"/>
                <w:lang w:val="zh-CN"/>
              </w:rPr>
              <w:t>，已递交的响应文件不予返还，请供应商自行做好备份工作。</w:t>
            </w:r>
          </w:p>
        </w:tc>
      </w:tr>
      <w:tr w14:paraId="554C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4D63AD80">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6.1.1</w:t>
            </w:r>
          </w:p>
        </w:tc>
        <w:tc>
          <w:tcPr>
            <w:tcW w:w="1730" w:type="dxa"/>
            <w:noWrap w:val="0"/>
            <w:vAlign w:val="center"/>
          </w:tcPr>
          <w:p w14:paraId="04935701">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磋商小组的组建</w:t>
            </w:r>
          </w:p>
        </w:tc>
        <w:tc>
          <w:tcPr>
            <w:tcW w:w="7324" w:type="dxa"/>
            <w:noWrap w:val="0"/>
            <w:vAlign w:val="top"/>
          </w:tcPr>
          <w:p w14:paraId="619B72FD">
            <w:pPr>
              <w:tabs>
                <w:tab w:val="center" w:pos="3086"/>
              </w:tabs>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磋商小组构成：</w:t>
            </w:r>
            <w:r>
              <w:rPr>
                <w:rFonts w:hint="eastAsia" w:ascii="宋体" w:hAnsi="宋体" w:cs="宋体"/>
                <w:bCs/>
                <w:color w:val="auto"/>
                <w:sz w:val="24"/>
                <w:szCs w:val="24"/>
                <w:highlight w:val="none"/>
                <w:u w:val="single"/>
              </w:rPr>
              <w:t>3</w:t>
            </w:r>
            <w:r>
              <w:rPr>
                <w:rFonts w:hint="eastAsia" w:ascii="宋体" w:hAnsi="宋体" w:cs="宋体"/>
                <w:bCs/>
                <w:color w:val="auto"/>
                <w:sz w:val="24"/>
                <w:szCs w:val="24"/>
                <w:highlight w:val="none"/>
                <w:lang w:val="zh-CN"/>
              </w:rPr>
              <w:t>人</w:t>
            </w:r>
          </w:p>
          <w:p w14:paraId="2F81C512">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其中采购人代表</w:t>
            </w:r>
            <w:r>
              <w:rPr>
                <w:rFonts w:hint="eastAsia" w:ascii="宋体" w:hAnsi="宋体" w:cs="宋体"/>
                <w:bCs/>
                <w:color w:val="auto"/>
                <w:sz w:val="24"/>
                <w:szCs w:val="24"/>
                <w:highlight w:val="none"/>
                <w:u w:val="single"/>
                <w:lang w:val="en-US" w:eastAsia="zh-CN"/>
              </w:rPr>
              <w:t>0-1</w:t>
            </w:r>
            <w:r>
              <w:rPr>
                <w:rFonts w:hint="eastAsia" w:ascii="宋体" w:hAnsi="宋体" w:cs="宋体"/>
                <w:bCs/>
                <w:color w:val="auto"/>
                <w:sz w:val="24"/>
                <w:szCs w:val="24"/>
                <w:highlight w:val="none"/>
                <w:lang w:val="zh-CN"/>
              </w:rPr>
              <w:t>人，专家</w:t>
            </w:r>
            <w:r>
              <w:rPr>
                <w:rFonts w:hint="eastAsia" w:ascii="宋体" w:hAnsi="宋体" w:cs="宋体"/>
                <w:bCs/>
                <w:color w:val="auto"/>
                <w:sz w:val="24"/>
                <w:szCs w:val="24"/>
                <w:highlight w:val="none"/>
                <w:u w:val="single"/>
                <w:lang w:val="en-US" w:eastAsia="zh-CN"/>
              </w:rPr>
              <w:t>2-3</w:t>
            </w:r>
            <w:r>
              <w:rPr>
                <w:rFonts w:hint="eastAsia" w:ascii="宋体" w:hAnsi="宋体" w:cs="宋体"/>
                <w:bCs/>
                <w:color w:val="auto"/>
                <w:sz w:val="24"/>
                <w:szCs w:val="24"/>
                <w:highlight w:val="none"/>
                <w:lang w:val="zh-CN"/>
              </w:rPr>
              <w:t>人。</w:t>
            </w:r>
          </w:p>
          <w:p w14:paraId="35517A13">
            <w:pPr>
              <w:wordWrap w:val="0"/>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zh-CN"/>
              </w:rPr>
              <w:t>评标专家确定方式由采购人在行政监督部门的监督下从政采云专家库中随机抽取。</w:t>
            </w:r>
          </w:p>
        </w:tc>
      </w:tr>
      <w:tr w14:paraId="2090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4AF12E09">
            <w:pPr>
              <w:wordWrap w:val="0"/>
              <w:adjustRightInd w:val="0"/>
              <w:spacing w:line="440" w:lineRule="exact"/>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zh-CN"/>
              </w:rPr>
              <w:t>6.</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lang w:val="en-US" w:eastAsia="zh-CN"/>
              </w:rPr>
              <w:t>1</w:t>
            </w:r>
          </w:p>
        </w:tc>
        <w:tc>
          <w:tcPr>
            <w:tcW w:w="1730" w:type="dxa"/>
            <w:noWrap w:val="0"/>
            <w:vAlign w:val="center"/>
          </w:tcPr>
          <w:p w14:paraId="149EA510">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磋商小组推荐成交候选供应商的人数</w:t>
            </w:r>
          </w:p>
        </w:tc>
        <w:tc>
          <w:tcPr>
            <w:tcW w:w="7324" w:type="dxa"/>
            <w:noWrap w:val="0"/>
            <w:vAlign w:val="center"/>
          </w:tcPr>
          <w:p w14:paraId="1F332E1C">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推荐的成交候选供应商数：3人。磋商小组推荐初步评审合格，综合评审得分由高到低排名第一、第二、第三的供应商为成交候选供应商。</w:t>
            </w:r>
          </w:p>
        </w:tc>
      </w:tr>
      <w:tr w14:paraId="5D87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5E30F4DE">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7.1</w:t>
            </w:r>
          </w:p>
        </w:tc>
        <w:tc>
          <w:tcPr>
            <w:tcW w:w="1730" w:type="dxa"/>
            <w:noWrap w:val="0"/>
            <w:vAlign w:val="center"/>
          </w:tcPr>
          <w:p w14:paraId="305131D7">
            <w:pPr>
              <w:wordWrap w:val="0"/>
              <w:spacing w:line="440" w:lineRule="exact"/>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成交结果公告媒介及期限</w:t>
            </w:r>
          </w:p>
        </w:tc>
        <w:tc>
          <w:tcPr>
            <w:tcW w:w="7324" w:type="dxa"/>
            <w:noWrap w:val="0"/>
            <w:vAlign w:val="center"/>
          </w:tcPr>
          <w:p w14:paraId="79EA0F96">
            <w:pPr>
              <w:wordWrap w:val="0"/>
              <w:adjustRightInd w:val="0"/>
              <w:snapToGrid w:val="0"/>
              <w:spacing w:line="440" w:lineRule="exact"/>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公告媒介：</w:t>
            </w:r>
            <w:r>
              <w:rPr>
                <w:rFonts w:hint="eastAsia" w:ascii="宋体" w:hAnsi="宋体" w:eastAsia="宋体" w:cs="宋体"/>
                <w:bCs/>
                <w:color w:val="auto"/>
                <w:sz w:val="24"/>
                <w:szCs w:val="24"/>
                <w:highlight w:val="none"/>
                <w:lang w:val="en-US" w:eastAsia="zh-CN"/>
              </w:rPr>
              <w:t>本次竞争性磋商公告在“政采云”平台 (http:// www.zcygov.cn) 上发布，同步推送到吉林省政府采购网。</w:t>
            </w:r>
          </w:p>
          <w:p w14:paraId="360ED082">
            <w:pPr>
              <w:wordWrap w:val="0"/>
              <w:adjustRightInd w:val="0"/>
              <w:snapToGrid w:val="0"/>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公告期限：1个工作日。</w:t>
            </w:r>
          </w:p>
        </w:tc>
      </w:tr>
      <w:tr w14:paraId="1797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18445FBF">
            <w:pPr>
              <w:wordWrap w:val="0"/>
              <w:adjustRightInd w:val="0"/>
              <w:spacing w:line="400" w:lineRule="exact"/>
              <w:jc w:val="center"/>
              <w:rPr>
                <w:rFonts w:hint="eastAsia" w:ascii="宋体" w:hAnsi="宋体" w:eastAsia="宋体" w:cs="宋体"/>
                <w:bCs/>
                <w:color w:val="auto"/>
                <w:sz w:val="24"/>
                <w:highlight w:val="none"/>
                <w:lang w:val="zh-CN" w:eastAsia="zh-CN"/>
              </w:rPr>
            </w:pPr>
            <w:r>
              <w:rPr>
                <w:rFonts w:hint="eastAsia" w:ascii="宋体" w:hAnsi="宋体" w:cs="宋体"/>
                <w:bCs/>
                <w:color w:val="auto"/>
                <w:sz w:val="24"/>
                <w:highlight w:val="none"/>
                <w:lang w:val="zh-CN"/>
              </w:rPr>
              <w:t>7.</w:t>
            </w:r>
            <w:r>
              <w:rPr>
                <w:rFonts w:hint="eastAsia" w:ascii="宋体" w:hAnsi="宋体" w:cs="宋体"/>
                <w:bCs/>
                <w:color w:val="auto"/>
                <w:sz w:val="24"/>
                <w:highlight w:val="none"/>
                <w:lang w:val="en-US" w:eastAsia="zh-CN"/>
              </w:rPr>
              <w:t>2</w:t>
            </w:r>
          </w:p>
        </w:tc>
        <w:tc>
          <w:tcPr>
            <w:tcW w:w="1730" w:type="dxa"/>
            <w:noWrap w:val="0"/>
            <w:vAlign w:val="center"/>
          </w:tcPr>
          <w:p w14:paraId="43FFED1B">
            <w:pPr>
              <w:wordWrap w:val="0"/>
              <w:adjustRightInd w:val="0"/>
              <w:spacing w:line="400" w:lineRule="exact"/>
              <w:jc w:val="center"/>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是否授权磋商小组确定成交供应商</w:t>
            </w:r>
          </w:p>
        </w:tc>
        <w:tc>
          <w:tcPr>
            <w:tcW w:w="7324" w:type="dxa"/>
            <w:noWrap w:val="0"/>
            <w:vAlign w:val="center"/>
          </w:tcPr>
          <w:p w14:paraId="766145DF">
            <w:pPr>
              <w:wordWrap w:val="0"/>
              <w:adjustRightInd w:val="0"/>
              <w:spacing w:line="400" w:lineRule="exact"/>
              <w:rPr>
                <w:rFonts w:hint="eastAsia" w:ascii="宋体" w:hAnsi="宋体" w:cs="宋体"/>
                <w:bCs/>
                <w:color w:val="auto"/>
                <w:sz w:val="24"/>
                <w:highlight w:val="none"/>
              </w:rPr>
            </w:pPr>
            <w:r>
              <w:rPr>
                <w:rFonts w:hint="eastAsia" w:ascii="宋体" w:hAnsi="宋体" w:cs="宋体"/>
                <w:bCs/>
                <w:color w:val="auto"/>
                <w:sz w:val="24"/>
                <w:highlight w:val="none"/>
              </w:rPr>
              <w:t>□是</w:t>
            </w:r>
          </w:p>
          <w:p w14:paraId="6F504DEB">
            <w:pPr>
              <w:wordWrap w:val="0"/>
              <w:spacing w:line="400" w:lineRule="exact"/>
              <w:rPr>
                <w:rFonts w:hint="eastAsia" w:ascii="宋体" w:hAnsi="宋体" w:cs="宋体"/>
                <w:bCs/>
                <w:color w:val="auto"/>
                <w:kern w:val="15"/>
                <w:sz w:val="24"/>
                <w:highlight w:val="none"/>
              </w:rPr>
            </w:pPr>
            <w:r>
              <w:rPr>
                <w:rFonts w:hint="eastAsia" w:ascii="宋体" w:hAnsi="宋体" w:cs="宋体"/>
                <w:bCs/>
                <w:color w:val="auto"/>
                <w:sz w:val="24"/>
                <w:highlight w:val="none"/>
              </w:rPr>
              <w:fldChar w:fldCharType="begin"/>
            </w:r>
            <w:r>
              <w:rPr>
                <w:rFonts w:hint="eastAsia" w:ascii="宋体" w:hAnsi="宋体" w:cs="宋体"/>
                <w:bCs/>
                <w:color w:val="auto"/>
                <w:sz w:val="24"/>
                <w:highlight w:val="none"/>
              </w:rPr>
              <w:instrText xml:space="preserve">eq \o\ac(□,√)</w:instrText>
            </w:r>
            <w:r>
              <w:rPr>
                <w:rFonts w:hint="eastAsia" w:ascii="宋体" w:hAnsi="宋体" w:cs="宋体"/>
                <w:bCs/>
                <w:color w:val="auto"/>
                <w:sz w:val="24"/>
                <w:highlight w:val="none"/>
              </w:rPr>
              <w:fldChar w:fldCharType="end"/>
            </w:r>
            <w:r>
              <w:rPr>
                <w:rFonts w:hint="eastAsia" w:ascii="宋体" w:hAnsi="宋体" w:cs="宋体"/>
                <w:bCs/>
                <w:color w:val="auto"/>
                <w:sz w:val="24"/>
                <w:highlight w:val="none"/>
              </w:rPr>
              <w:t>否，</w:t>
            </w:r>
            <w:r>
              <w:rPr>
                <w:rFonts w:hint="eastAsia" w:ascii="宋体" w:hAnsi="宋体" w:cs="宋体"/>
                <w:bCs/>
                <w:color w:val="auto"/>
                <w:sz w:val="24"/>
                <w:szCs w:val="24"/>
                <w:highlight w:val="none"/>
                <w:lang w:val="zh-CN"/>
              </w:rPr>
              <w:t>推荐的成交候选供应商数：</w:t>
            </w:r>
            <w:r>
              <w:rPr>
                <w:rFonts w:hint="eastAsia" w:ascii="宋体" w:hAnsi="宋体" w:cs="宋体"/>
                <w:bCs/>
                <w:color w:val="auto"/>
                <w:sz w:val="24"/>
                <w:szCs w:val="24"/>
                <w:highlight w:val="none"/>
                <w:u w:val="single"/>
                <w:lang w:val="zh-CN"/>
              </w:rPr>
              <w:t>3</w:t>
            </w:r>
            <w:r>
              <w:rPr>
                <w:rFonts w:hint="eastAsia" w:ascii="宋体" w:hAnsi="宋体" w:cs="宋体"/>
                <w:bCs/>
                <w:color w:val="auto"/>
                <w:sz w:val="24"/>
                <w:szCs w:val="24"/>
                <w:highlight w:val="none"/>
                <w:lang w:val="zh-CN"/>
              </w:rPr>
              <w:t>人。</w:t>
            </w:r>
          </w:p>
        </w:tc>
      </w:tr>
      <w:tr w14:paraId="09482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0045D11E">
            <w:pPr>
              <w:wordWrap w:val="0"/>
              <w:adjustRightInd w:val="0"/>
              <w:spacing w:line="440" w:lineRule="exact"/>
              <w:jc w:val="center"/>
              <w:rPr>
                <w:rFonts w:hint="eastAsia" w:ascii="宋体" w:hAnsi="宋体" w:eastAsia="宋体" w:cs="宋体"/>
                <w:bCs/>
                <w:color w:val="auto"/>
                <w:sz w:val="24"/>
                <w:szCs w:val="24"/>
                <w:highlight w:val="none"/>
                <w:lang w:val="zh-CN" w:eastAsia="zh-CN"/>
              </w:rPr>
            </w:pPr>
            <w:r>
              <w:rPr>
                <w:rFonts w:hint="eastAsia" w:ascii="宋体" w:hAnsi="宋体" w:cs="宋体"/>
                <w:bCs/>
                <w:color w:val="auto"/>
                <w:sz w:val="24"/>
                <w:szCs w:val="24"/>
                <w:highlight w:val="none"/>
                <w:lang w:val="zh-CN"/>
              </w:rPr>
              <w:t>7.</w:t>
            </w:r>
            <w:r>
              <w:rPr>
                <w:rFonts w:hint="eastAsia" w:ascii="宋体" w:hAnsi="宋体" w:cs="宋体"/>
                <w:bCs/>
                <w:color w:val="auto"/>
                <w:sz w:val="24"/>
                <w:szCs w:val="24"/>
                <w:highlight w:val="none"/>
                <w:lang w:val="en-US" w:eastAsia="zh-CN"/>
              </w:rPr>
              <w:t>3</w:t>
            </w:r>
          </w:p>
        </w:tc>
        <w:tc>
          <w:tcPr>
            <w:tcW w:w="1730" w:type="dxa"/>
            <w:noWrap w:val="0"/>
            <w:vAlign w:val="center"/>
          </w:tcPr>
          <w:p w14:paraId="2BD59077">
            <w:pPr>
              <w:wordWrap w:val="0"/>
              <w:adjustRightInd w:val="0"/>
              <w:spacing w:line="40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highlight w:val="none"/>
                <w:lang w:val="zh-CN"/>
              </w:rPr>
              <w:t>履约保证金</w:t>
            </w:r>
          </w:p>
        </w:tc>
        <w:tc>
          <w:tcPr>
            <w:tcW w:w="7324" w:type="dxa"/>
            <w:noWrap w:val="0"/>
            <w:vAlign w:val="center"/>
          </w:tcPr>
          <w:p w14:paraId="61F746EC">
            <w:pPr>
              <w:wordWrap w:val="0"/>
              <w:adjustRightInd w:val="0"/>
              <w:spacing w:line="400" w:lineRule="exact"/>
              <w:rPr>
                <w:rFonts w:hint="eastAsia" w:ascii="宋体" w:hAnsi="宋体" w:cs="宋体"/>
                <w:bCs/>
                <w:color w:val="auto"/>
                <w:sz w:val="24"/>
                <w:highlight w:val="none"/>
              </w:rPr>
            </w:pPr>
            <w:r>
              <w:rPr>
                <w:rFonts w:hint="eastAsia" w:ascii="宋体" w:hAnsi="宋体" w:cs="宋体"/>
                <w:bCs/>
                <w:color w:val="auto"/>
                <w:sz w:val="24"/>
                <w:highlight w:val="none"/>
              </w:rPr>
              <w:t>是否要求成交供应商提交履约保证金：</w:t>
            </w:r>
          </w:p>
          <w:p w14:paraId="3EF105A8">
            <w:pPr>
              <w:wordWrap w:val="0"/>
              <w:adjustRightInd w:val="0"/>
              <w:spacing w:line="400" w:lineRule="exact"/>
              <w:rPr>
                <w:rFonts w:hint="eastAsia" w:ascii="宋体" w:hAnsi="宋体" w:cs="宋体"/>
                <w:bCs/>
                <w:color w:val="auto"/>
                <w:sz w:val="24"/>
                <w:highlight w:val="none"/>
              </w:rPr>
            </w:pPr>
            <w:r>
              <w:rPr>
                <w:rFonts w:hint="eastAsia" w:ascii="宋体" w:hAnsi="宋体" w:cs="宋体"/>
                <w:bCs/>
                <w:color w:val="auto"/>
                <w:sz w:val="24"/>
                <w:highlight w:val="none"/>
              </w:rPr>
              <w:t>□要求，履约担保形式：/</w:t>
            </w:r>
          </w:p>
          <w:p w14:paraId="1578268F">
            <w:pPr>
              <w:wordWrap w:val="0"/>
              <w:adjustRightInd w:val="0"/>
              <w:spacing w:line="400" w:lineRule="exact"/>
              <w:ind w:firstLine="960" w:firstLineChars="400"/>
              <w:rPr>
                <w:rFonts w:hint="eastAsia" w:ascii="宋体" w:hAnsi="宋体" w:cs="宋体"/>
                <w:bCs/>
                <w:color w:val="auto"/>
                <w:sz w:val="24"/>
                <w:highlight w:val="none"/>
              </w:rPr>
            </w:pPr>
            <w:r>
              <w:rPr>
                <w:rFonts w:hint="eastAsia" w:ascii="宋体" w:hAnsi="宋体" w:cs="宋体"/>
                <w:bCs/>
                <w:color w:val="auto"/>
                <w:sz w:val="24"/>
                <w:highlight w:val="none"/>
              </w:rPr>
              <w:t>履约保证金的金额：/</w:t>
            </w:r>
          </w:p>
          <w:p w14:paraId="09F2E3AF">
            <w:pPr>
              <w:wordWrap w:val="0"/>
              <w:adjustRightInd w:val="0"/>
              <w:spacing w:line="400" w:lineRule="exact"/>
              <w:rPr>
                <w:rFonts w:hint="eastAsia" w:ascii="宋体" w:hAnsi="宋体" w:cs="宋体"/>
                <w:bCs/>
                <w:color w:val="auto"/>
                <w:sz w:val="24"/>
                <w:szCs w:val="24"/>
                <w:highlight w:val="none"/>
              </w:rPr>
            </w:pPr>
            <w:r>
              <w:rPr>
                <w:rFonts w:hint="eastAsia" w:ascii="宋体" w:hAnsi="宋体" w:cs="宋体"/>
                <w:bCs/>
                <w:color w:val="auto"/>
                <w:sz w:val="24"/>
                <w:highlight w:val="none"/>
              </w:rPr>
              <w:fldChar w:fldCharType="begin"/>
            </w:r>
            <w:r>
              <w:rPr>
                <w:rFonts w:hint="eastAsia" w:ascii="宋体" w:hAnsi="宋体" w:cs="宋体"/>
                <w:bCs/>
                <w:color w:val="auto"/>
                <w:sz w:val="24"/>
                <w:highlight w:val="none"/>
              </w:rPr>
              <w:instrText xml:space="preserve">eq \o\ac(□,√)</w:instrText>
            </w:r>
            <w:r>
              <w:rPr>
                <w:rFonts w:hint="eastAsia" w:ascii="宋体" w:hAnsi="宋体" w:cs="宋体"/>
                <w:bCs/>
                <w:color w:val="auto"/>
                <w:sz w:val="24"/>
                <w:highlight w:val="none"/>
              </w:rPr>
              <w:fldChar w:fldCharType="end"/>
            </w:r>
            <w:r>
              <w:rPr>
                <w:rFonts w:hint="eastAsia" w:ascii="宋体" w:hAnsi="宋体" w:cs="宋体"/>
                <w:bCs/>
                <w:color w:val="auto"/>
                <w:sz w:val="24"/>
                <w:highlight w:val="none"/>
              </w:rPr>
              <w:t>不要求</w:t>
            </w:r>
          </w:p>
        </w:tc>
      </w:tr>
      <w:tr w14:paraId="77E4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54D0AE2E">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1</w:t>
            </w:r>
          </w:p>
        </w:tc>
        <w:tc>
          <w:tcPr>
            <w:tcW w:w="1730" w:type="dxa"/>
            <w:noWrap w:val="0"/>
            <w:vAlign w:val="center"/>
          </w:tcPr>
          <w:p w14:paraId="7C7465AB">
            <w:pPr>
              <w:wordWrap w:val="0"/>
              <w:spacing w:line="440" w:lineRule="exact"/>
              <w:jc w:val="center"/>
              <w:rPr>
                <w:rFonts w:hint="eastAsia" w:ascii="宋体" w:hAnsi="宋体" w:cs="宋体"/>
                <w:bCs/>
                <w:color w:val="auto"/>
                <w:kern w:val="15"/>
                <w:sz w:val="24"/>
                <w:szCs w:val="24"/>
                <w:highlight w:val="none"/>
              </w:rPr>
            </w:pPr>
            <w:r>
              <w:rPr>
                <w:rFonts w:hint="eastAsia" w:ascii="宋体" w:hAnsi="宋体" w:cs="宋体"/>
                <w:bCs/>
                <w:color w:val="auto"/>
                <w:kern w:val="15"/>
                <w:sz w:val="24"/>
                <w:szCs w:val="24"/>
                <w:highlight w:val="none"/>
                <w:lang w:val="zh-CN"/>
              </w:rPr>
              <w:t>评审办法</w:t>
            </w:r>
          </w:p>
        </w:tc>
        <w:tc>
          <w:tcPr>
            <w:tcW w:w="7324" w:type="dxa"/>
            <w:noWrap w:val="0"/>
            <w:vAlign w:val="center"/>
          </w:tcPr>
          <w:p w14:paraId="322CC716">
            <w:pPr>
              <w:wordWrap w:val="0"/>
              <w:spacing w:line="440" w:lineRule="exact"/>
              <w:rPr>
                <w:rFonts w:hint="eastAsia" w:ascii="宋体" w:hAnsi="宋体" w:cs="宋体"/>
                <w:bCs/>
                <w:color w:val="auto"/>
                <w:sz w:val="24"/>
                <w:szCs w:val="24"/>
                <w:highlight w:val="none"/>
                <w:lang w:val="zh-CN"/>
              </w:rPr>
            </w:pPr>
            <w:r>
              <w:rPr>
                <w:rFonts w:hint="eastAsia" w:ascii="宋体" w:hAnsi="宋体" w:cs="宋体"/>
                <w:color w:val="auto"/>
                <w:kern w:val="0"/>
                <w:sz w:val="24"/>
                <w:highlight w:val="none"/>
              </w:rPr>
              <w:t>经磋商确定最终服务需求和提交最终报价的供应商后，由磋商小组采用综合评分法对提交最终报价的供应商的响应文件和最终报价进行综合评分。</w:t>
            </w:r>
          </w:p>
        </w:tc>
      </w:tr>
      <w:tr w14:paraId="728F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1BBAEBC3">
            <w:pPr>
              <w:wordWrap w:val="0"/>
              <w:adjustRightInd w:val="0"/>
              <w:spacing w:line="440" w:lineRule="exact"/>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.2</w:t>
            </w:r>
          </w:p>
        </w:tc>
        <w:tc>
          <w:tcPr>
            <w:tcW w:w="1730" w:type="dxa"/>
            <w:noWrap w:val="0"/>
            <w:vAlign w:val="center"/>
          </w:tcPr>
          <w:p w14:paraId="075F46D0">
            <w:pPr>
              <w:wordWrap w:val="0"/>
              <w:spacing w:line="440" w:lineRule="exact"/>
              <w:jc w:val="center"/>
              <w:rPr>
                <w:rFonts w:hint="eastAsia" w:ascii="宋体" w:hAnsi="宋体" w:cs="宋体"/>
                <w:bCs/>
                <w:color w:val="auto"/>
                <w:kern w:val="15"/>
                <w:sz w:val="24"/>
                <w:szCs w:val="24"/>
                <w:highlight w:val="none"/>
                <w:lang w:val="zh-CN"/>
              </w:rPr>
            </w:pPr>
            <w:r>
              <w:rPr>
                <w:rFonts w:hint="eastAsia" w:ascii="宋体" w:hAnsi="宋体" w:cs="宋体"/>
                <w:bCs/>
                <w:color w:val="auto"/>
                <w:kern w:val="15"/>
                <w:sz w:val="24"/>
                <w:szCs w:val="24"/>
                <w:highlight w:val="none"/>
                <w:lang w:val="zh-CN"/>
              </w:rPr>
              <w:t>低于成本报价</w:t>
            </w:r>
          </w:p>
        </w:tc>
        <w:tc>
          <w:tcPr>
            <w:tcW w:w="7324" w:type="dxa"/>
            <w:noWrap w:val="0"/>
            <w:vAlign w:val="center"/>
          </w:tcPr>
          <w:p w14:paraId="7F801B25">
            <w:pPr>
              <w:wordWrap w:val="0"/>
              <w:spacing w:line="440" w:lineRule="exact"/>
              <w:rPr>
                <w:rFonts w:hint="eastAsia" w:ascii="宋体" w:hAnsi="宋体" w:cs="宋体"/>
                <w:bCs/>
                <w:color w:val="auto"/>
                <w:kern w:val="15"/>
                <w:sz w:val="24"/>
                <w:szCs w:val="24"/>
                <w:highlight w:val="none"/>
                <w:lang w:val="zh-CN"/>
              </w:rPr>
            </w:pPr>
            <w:r>
              <w:rPr>
                <w:rFonts w:hint="eastAsia" w:ascii="宋体" w:hAnsi="宋体" w:cs="宋体"/>
                <w:bCs/>
                <w:color w:val="auto"/>
                <w:kern w:val="15"/>
                <w:sz w:val="24"/>
                <w:szCs w:val="24"/>
                <w:highlight w:val="none"/>
                <w:lang w:val="zh-CN"/>
              </w:rPr>
              <w:t>依据财政部第</w:t>
            </w:r>
            <w:r>
              <w:rPr>
                <w:rFonts w:hint="eastAsia" w:ascii="宋体" w:hAnsi="宋体" w:cs="宋体"/>
                <w:bCs/>
                <w:color w:val="auto"/>
                <w:kern w:val="15"/>
                <w:sz w:val="24"/>
                <w:szCs w:val="24"/>
                <w:highlight w:val="none"/>
              </w:rPr>
              <w:t>87号令第60条：</w:t>
            </w:r>
            <w:r>
              <w:rPr>
                <w:rFonts w:hint="eastAsia" w:ascii="宋体" w:hAnsi="宋体" w:cs="宋体"/>
                <w:bCs/>
                <w:color w:val="auto"/>
                <w:kern w:val="15"/>
                <w:sz w:val="24"/>
                <w:szCs w:val="24"/>
                <w:highlight w:val="none"/>
                <w:lang w:val="zh-CN"/>
              </w:rPr>
              <w:t>磋商小组发现供应商的报价明显低于其他通过符合性审查供应商的报价，有可能影响产品质量或者不能诚信履约的，应当要求该供应商在评标现场</w:t>
            </w:r>
            <w:r>
              <w:rPr>
                <w:rFonts w:hint="eastAsia" w:ascii="宋体" w:hAnsi="宋体" w:cs="宋体"/>
                <w:bCs/>
                <w:color w:val="auto"/>
                <w:kern w:val="15"/>
                <w:sz w:val="24"/>
                <w:szCs w:val="24"/>
                <w:highlight w:val="none"/>
              </w:rPr>
              <w:t>四十分钟</w:t>
            </w:r>
            <w:r>
              <w:rPr>
                <w:rFonts w:hint="eastAsia" w:ascii="宋体" w:hAnsi="宋体" w:cs="宋体"/>
                <w:bCs/>
                <w:color w:val="auto"/>
                <w:kern w:val="15"/>
                <w:sz w:val="24"/>
                <w:szCs w:val="24"/>
                <w:highlight w:val="none"/>
                <w:lang w:val="zh-CN"/>
              </w:rPr>
              <w:t>内作出书面说明并提供相应的证明材料。供应商不能合理说明或者不能提供相应证明材料的，由磋商小组认定该供应商以低于成本报价竞标，其投标将被否决。</w:t>
            </w:r>
          </w:p>
        </w:tc>
      </w:tr>
      <w:tr w14:paraId="29FF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39F4EAAF">
            <w:pPr>
              <w:wordWrap w:val="0"/>
              <w:adjustRightInd w:val="0"/>
              <w:spacing w:line="440" w:lineRule="exact"/>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rPr>
              <w:t>3</w:t>
            </w:r>
          </w:p>
        </w:tc>
        <w:tc>
          <w:tcPr>
            <w:tcW w:w="1730" w:type="dxa"/>
            <w:noWrap w:val="0"/>
            <w:vAlign w:val="center"/>
          </w:tcPr>
          <w:p w14:paraId="02A9AD18">
            <w:pPr>
              <w:wordWrap w:val="0"/>
              <w:spacing w:line="440" w:lineRule="exact"/>
              <w:jc w:val="center"/>
              <w:rPr>
                <w:rFonts w:hint="eastAsia" w:ascii="宋体" w:hAnsi="宋体" w:cs="宋体"/>
                <w:bCs/>
                <w:color w:val="auto"/>
                <w:kern w:val="15"/>
                <w:sz w:val="24"/>
                <w:szCs w:val="24"/>
                <w:highlight w:val="none"/>
              </w:rPr>
            </w:pPr>
            <w:r>
              <w:rPr>
                <w:rFonts w:hint="eastAsia" w:ascii="宋体" w:hAnsi="宋体" w:cs="宋体"/>
                <w:bCs/>
                <w:color w:val="auto"/>
                <w:kern w:val="15"/>
                <w:sz w:val="24"/>
                <w:szCs w:val="24"/>
                <w:highlight w:val="none"/>
              </w:rPr>
              <w:t>招标代理服务费</w:t>
            </w:r>
          </w:p>
        </w:tc>
        <w:tc>
          <w:tcPr>
            <w:tcW w:w="7324" w:type="dxa"/>
            <w:noWrap w:val="0"/>
            <w:vAlign w:val="top"/>
          </w:tcPr>
          <w:p w14:paraId="225FD0CC">
            <w:pPr>
              <w:wordWrap w:val="0"/>
              <w:adjustRightInd w:val="0"/>
              <w:snapToGrid w:val="0"/>
              <w:spacing w:line="440" w:lineRule="exact"/>
              <w:rPr>
                <w:rFonts w:hint="eastAsia" w:ascii="宋体" w:hAnsi="宋体" w:cs="宋体"/>
                <w:bCs/>
                <w:color w:val="auto"/>
                <w:kern w:val="0"/>
                <w:sz w:val="24"/>
                <w:szCs w:val="24"/>
                <w:highlight w:val="none"/>
              </w:rPr>
            </w:pPr>
            <w:r>
              <w:rPr>
                <w:rFonts w:hint="eastAsia" w:ascii="宋体" w:hAnsi="宋体" w:eastAsia="宋体" w:cs="宋体"/>
                <w:bCs/>
                <w:color w:val="auto"/>
                <w:kern w:val="15"/>
                <w:sz w:val="24"/>
                <w:szCs w:val="24"/>
                <w:highlight w:val="none"/>
                <w:lang w:val="en-US" w:eastAsia="zh-CN"/>
              </w:rPr>
              <w:t>本项目不收取代理费用。</w:t>
            </w:r>
          </w:p>
        </w:tc>
      </w:tr>
      <w:tr w14:paraId="7E8A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noWrap w:val="0"/>
            <w:vAlign w:val="center"/>
          </w:tcPr>
          <w:p w14:paraId="7D8671FD">
            <w:pPr>
              <w:wordWrap w:val="0"/>
              <w:adjustRightInd w:val="0"/>
              <w:spacing w:line="440" w:lineRule="exact"/>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lang w:val="en-US" w:eastAsia="zh-CN"/>
              </w:rPr>
              <w:t>4</w:t>
            </w:r>
          </w:p>
        </w:tc>
        <w:tc>
          <w:tcPr>
            <w:tcW w:w="1730" w:type="dxa"/>
            <w:noWrap w:val="0"/>
            <w:vAlign w:val="center"/>
          </w:tcPr>
          <w:p w14:paraId="7531FBD6">
            <w:pPr>
              <w:wordWrap w:val="0"/>
              <w:adjustRightInd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付款方式</w:t>
            </w:r>
          </w:p>
        </w:tc>
        <w:tc>
          <w:tcPr>
            <w:tcW w:w="7324" w:type="dxa"/>
            <w:noWrap w:val="0"/>
            <w:vAlign w:val="center"/>
          </w:tcPr>
          <w:p w14:paraId="1D5A7FBD">
            <w:pPr>
              <w:wordWrap w:val="0"/>
              <w:adjustRightInd w:val="0"/>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zh-CN"/>
              </w:rPr>
              <w:t>按双方合同约定。</w:t>
            </w:r>
          </w:p>
        </w:tc>
      </w:tr>
      <w:tr w14:paraId="3AD5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14:paraId="065F818D">
            <w:pPr>
              <w:wordWrap w:val="0"/>
              <w:adjustRightInd w:val="0"/>
              <w:spacing w:line="440" w:lineRule="exac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8.5</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6AB2D336">
            <w:pPr>
              <w:wordWrap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供应商废标说明</w:t>
            </w:r>
          </w:p>
        </w:tc>
        <w:tc>
          <w:tcPr>
            <w:tcW w:w="7324" w:type="dxa"/>
            <w:tcBorders>
              <w:top w:val="single" w:color="auto" w:sz="4" w:space="0"/>
              <w:left w:val="single" w:color="auto" w:sz="4" w:space="0"/>
              <w:bottom w:val="single" w:color="auto" w:sz="4" w:space="0"/>
              <w:right w:val="single" w:color="auto" w:sz="4" w:space="0"/>
            </w:tcBorders>
            <w:noWrap w:val="0"/>
            <w:vAlign w:val="center"/>
          </w:tcPr>
          <w:p w14:paraId="14D6F1E1">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1、供应商需在开标前将响应文件制作工具生成的加密文件上传到政府采购云平台（网址：http://www.zcygov.cn）。</w:t>
            </w:r>
          </w:p>
          <w:p w14:paraId="7DA77131">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2、开标时，供应商需用生成最终响应文件所使用的ca锁，以防签到、解密失败。</w:t>
            </w:r>
          </w:p>
          <w:p w14:paraId="0C9548CE">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3、清标系统中，如电子响应文件的制作机器码、文件创建标识码一致均视为废标，清单五要素如有与招标清单不一致并投标报价产生实质性影响视为废标。</w:t>
            </w:r>
          </w:p>
          <w:p w14:paraId="1D852971">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4、供应商在编制电子响应文件前，请严格按照评分办法中所要求的证明证件进行诚信库的完善，比如企业信息，业绩信息，人员信息等诚信库信息。</w:t>
            </w:r>
          </w:p>
          <w:p w14:paraId="78BBF835">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开评标过程中如因上述原因导致废标，供应商自行承担后果。</w:t>
            </w:r>
          </w:p>
        </w:tc>
      </w:tr>
      <w:tr w14:paraId="537F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0236" w:type="dxa"/>
            <w:gridSpan w:val="3"/>
            <w:noWrap w:val="0"/>
            <w:vAlign w:val="center"/>
          </w:tcPr>
          <w:p w14:paraId="47E97ABA">
            <w:pPr>
              <w:wordWrap w:val="0"/>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注：供应商须知前附表”用于修改、补充和完善正文中的相关事宜，前附表与正文如有冲突以正文为准。</w:t>
            </w:r>
          </w:p>
        </w:tc>
      </w:tr>
    </w:tbl>
    <w:p w14:paraId="5FDA2AB5">
      <w:pPr>
        <w:wordWrap w:val="0"/>
        <w:adjustRightInd w:val="0"/>
        <w:spacing w:after="120" w:afterLines="50"/>
        <w:jc w:val="center"/>
        <w:rPr>
          <w:rFonts w:hint="eastAsia" w:ascii="宋体" w:hAnsi="宋体" w:cs="宋体"/>
          <w:b/>
          <w:color w:val="auto"/>
          <w:sz w:val="36"/>
          <w:szCs w:val="30"/>
          <w:highlight w:val="none"/>
          <w:lang w:val="zh-CN"/>
        </w:rPr>
      </w:pPr>
      <w:r>
        <w:rPr>
          <w:rFonts w:hint="eastAsia" w:ascii="宋体" w:hAnsi="宋体" w:cs="宋体"/>
          <w:b/>
          <w:color w:val="auto"/>
          <w:sz w:val="36"/>
          <w:szCs w:val="30"/>
          <w:highlight w:val="none"/>
        </w:rPr>
        <w:br w:type="page"/>
      </w:r>
      <w:r>
        <w:rPr>
          <w:rFonts w:hint="eastAsia" w:ascii="宋体" w:hAnsi="宋体" w:cs="宋体"/>
          <w:b/>
          <w:color w:val="auto"/>
          <w:sz w:val="44"/>
          <w:szCs w:val="36"/>
          <w:highlight w:val="none"/>
        </w:rPr>
        <w:t>供应商须知正文</w:t>
      </w:r>
    </w:p>
    <w:p w14:paraId="6FF026BE">
      <w:pPr>
        <w:wordWrap w:val="0"/>
        <w:adjustRightInd w:val="0"/>
        <w:spacing w:line="440" w:lineRule="exact"/>
        <w:rPr>
          <w:rFonts w:hint="eastAsia" w:ascii="宋体" w:hAnsi="宋体" w:cs="宋体"/>
          <w:b/>
          <w:color w:val="auto"/>
          <w:sz w:val="28"/>
          <w:szCs w:val="28"/>
          <w:highlight w:val="none"/>
          <w:lang w:val="zh-CN"/>
        </w:rPr>
      </w:pPr>
      <w:r>
        <w:rPr>
          <w:rFonts w:hint="eastAsia" w:ascii="宋体" w:hAnsi="宋体" w:cs="宋体"/>
          <w:b/>
          <w:color w:val="auto"/>
          <w:sz w:val="28"/>
          <w:szCs w:val="28"/>
          <w:highlight w:val="none"/>
          <w:lang w:val="zh-CN"/>
        </w:rPr>
        <w:t>1.总则</w:t>
      </w:r>
    </w:p>
    <w:p w14:paraId="72D470C8">
      <w:pPr>
        <w:wordWrap w:val="0"/>
        <w:adjustRightInd w:val="0"/>
        <w:spacing w:line="440" w:lineRule="exact"/>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1.1 招标项目概况</w:t>
      </w:r>
    </w:p>
    <w:p w14:paraId="6293904B">
      <w:pPr>
        <w:wordWrap w:val="0"/>
        <w:adjustRightInd w:val="0"/>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zh-CN"/>
        </w:rPr>
        <w:t xml:space="preserve">1.1.1 </w:t>
      </w:r>
      <w:r>
        <w:rPr>
          <w:rFonts w:hint="eastAsia" w:ascii="宋体" w:hAnsi="宋体" w:cs="宋体"/>
          <w:bCs/>
          <w:color w:val="auto"/>
          <w:sz w:val="24"/>
          <w:szCs w:val="24"/>
          <w:highlight w:val="none"/>
        </w:rPr>
        <w:t>本次招标适用法律法规为《中华人民共和国政府采购法》、《中华人民共和国政府采购法实施条例》、《政府采购竞争性磋商采购方式管理暂行办法》及政府采购其它相关法规。</w:t>
      </w:r>
    </w:p>
    <w:p w14:paraId="33FF88DA">
      <w:pPr>
        <w:wordWrap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 采购人：见供应商须知前附表。</w:t>
      </w:r>
    </w:p>
    <w:p w14:paraId="18275E88">
      <w:pPr>
        <w:wordWrap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1.1.3 采购代理机构：见供应商须知前附表。</w:t>
      </w:r>
    </w:p>
    <w:p w14:paraId="582CF204">
      <w:pPr>
        <w:wordWrap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1.1.4 项目名称：见供应商须知前附表。</w:t>
      </w:r>
    </w:p>
    <w:p w14:paraId="744C1556">
      <w:pPr>
        <w:wordWrap w:val="0"/>
        <w:adjustRightInd w:val="0"/>
        <w:spacing w:line="44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1.1.5 服务地点：见供应商须知前附表。</w:t>
      </w:r>
    </w:p>
    <w:p w14:paraId="0EF27F59">
      <w:pPr>
        <w:wordWrap w:val="0"/>
        <w:adjustRightInd w:val="0"/>
        <w:spacing w:line="440" w:lineRule="exact"/>
        <w:ind w:firstLine="482"/>
        <w:rPr>
          <w:rFonts w:hint="eastAsia" w:ascii="宋体" w:hAnsi="宋体" w:cs="宋体"/>
          <w:b/>
          <w:color w:val="auto"/>
          <w:sz w:val="24"/>
          <w:szCs w:val="24"/>
          <w:highlight w:val="none"/>
          <w:lang w:val="zh-CN"/>
        </w:rPr>
      </w:pPr>
      <w:r>
        <w:rPr>
          <w:rFonts w:hint="eastAsia" w:ascii="宋体" w:hAnsi="宋体" w:cs="宋体"/>
          <w:color w:val="auto"/>
          <w:sz w:val="24"/>
          <w:szCs w:val="24"/>
          <w:highlight w:val="none"/>
        </w:rPr>
        <w:t>1.1.6 投标人</w:t>
      </w:r>
      <w:r>
        <w:rPr>
          <w:rFonts w:hint="eastAsia" w:ascii="宋体" w:hAnsi="宋体" w:cs="宋体"/>
          <w:color w:val="auto"/>
          <w:sz w:val="24"/>
          <w:highlight w:val="none"/>
        </w:rPr>
        <w:t>（供应商）</w:t>
      </w:r>
      <w:r>
        <w:rPr>
          <w:rFonts w:hint="eastAsia" w:ascii="宋体" w:hAnsi="宋体" w:cs="宋体"/>
          <w:color w:val="auto"/>
          <w:sz w:val="24"/>
          <w:szCs w:val="24"/>
          <w:highlight w:val="none"/>
        </w:rPr>
        <w:t>：是指向采购人提供货物、工程或者服务的法人、其他组织或者自然人。</w:t>
      </w:r>
    </w:p>
    <w:p w14:paraId="49AE5B1C">
      <w:pPr>
        <w:wordWrap w:val="0"/>
        <w:adjustRightInd w:val="0"/>
        <w:spacing w:line="440" w:lineRule="exact"/>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1.2 资金来源和落实情况</w:t>
      </w:r>
    </w:p>
    <w:p w14:paraId="26F176F7">
      <w:pPr>
        <w:wordWrap w:val="0"/>
        <w:adjustRightInd w:val="0"/>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1.2.1 资金来源及比例：见供应商须知前附表。</w:t>
      </w:r>
    </w:p>
    <w:p w14:paraId="09BF685D">
      <w:pPr>
        <w:wordWrap w:val="0"/>
        <w:adjustRightInd w:val="0"/>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1.2.2 资金落实情况：见供应商须知前附表。</w:t>
      </w:r>
    </w:p>
    <w:p w14:paraId="7635FB06">
      <w:pPr>
        <w:tabs>
          <w:tab w:val="center" w:pos="4737"/>
        </w:tabs>
        <w:wordWrap w:val="0"/>
        <w:adjustRightInd w:val="0"/>
        <w:spacing w:line="440" w:lineRule="exact"/>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1.3 招标范围、服务期限和质量标准</w:t>
      </w:r>
    </w:p>
    <w:p w14:paraId="3E79ED47">
      <w:pPr>
        <w:wordWrap w:val="0"/>
        <w:adjustRightInd w:val="0"/>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1.3.1 招标范围：见供应商须知前附表。</w:t>
      </w:r>
    </w:p>
    <w:p w14:paraId="63216B7B">
      <w:pPr>
        <w:wordWrap w:val="0"/>
        <w:adjustRightInd w:val="0"/>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1.3.2 服务期限：见供应商须知前附表。</w:t>
      </w:r>
    </w:p>
    <w:p w14:paraId="2F450A6A">
      <w:pPr>
        <w:wordWrap w:val="0"/>
        <w:adjustRightInd w:val="0"/>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1.3.3 质量标准：见供应商须知前附表。</w:t>
      </w:r>
    </w:p>
    <w:p w14:paraId="2646BAE6">
      <w:pPr>
        <w:wordWrap w:val="0"/>
        <w:adjustRightInd w:val="0"/>
        <w:spacing w:line="440" w:lineRule="exact"/>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1.4 供应商资格要求</w:t>
      </w:r>
    </w:p>
    <w:p w14:paraId="01DDE2A5">
      <w:pPr>
        <w:wordWrap w:val="0"/>
        <w:adjustRightInd w:val="0"/>
        <w:spacing w:line="440" w:lineRule="exact"/>
        <w:ind w:firstLine="482"/>
        <w:rPr>
          <w:rFonts w:hint="eastAsia" w:ascii="宋体" w:hAnsi="宋体" w:cs="宋体"/>
          <w:color w:val="auto"/>
          <w:sz w:val="24"/>
          <w:szCs w:val="24"/>
          <w:highlight w:val="none"/>
        </w:rPr>
      </w:pPr>
      <w:r>
        <w:rPr>
          <w:rFonts w:hint="eastAsia" w:ascii="宋体" w:hAnsi="宋体" w:cs="宋体"/>
          <w:bCs/>
          <w:color w:val="auto"/>
          <w:sz w:val="24"/>
          <w:szCs w:val="24"/>
          <w:highlight w:val="none"/>
        </w:rPr>
        <w:t>1.4.1 供应商应具备承担本采购项目的资格条件、能力和信誉：</w:t>
      </w:r>
      <w:r>
        <w:rPr>
          <w:rFonts w:hint="eastAsia" w:ascii="宋体" w:hAnsi="宋体" w:cs="宋体"/>
          <w:color w:val="auto"/>
          <w:sz w:val="24"/>
          <w:szCs w:val="24"/>
          <w:highlight w:val="none"/>
        </w:rPr>
        <w:t>参加本项目政府采购活动的供应商必须完全具备《中华人民共和国政府采购法》第二十二条规定的资格要求，同时对磋商文件作出实质性响应，在上传提交响应文件的同时按磋商文件要求提供</w:t>
      </w:r>
      <w:r>
        <w:rPr>
          <w:rFonts w:hint="eastAsia" w:ascii="宋体" w:hAnsi="宋体" w:cs="宋体"/>
          <w:bCs/>
          <w:color w:val="auto"/>
          <w:sz w:val="24"/>
          <w:szCs w:val="24"/>
          <w:highlight w:val="none"/>
        </w:rPr>
        <w:t>有关资格证明文件原件，具体要求见供应商须知前附表</w:t>
      </w:r>
      <w:r>
        <w:rPr>
          <w:rFonts w:hint="eastAsia" w:ascii="宋体" w:hAnsi="宋体" w:cs="宋体"/>
          <w:color w:val="auto"/>
          <w:sz w:val="24"/>
          <w:szCs w:val="24"/>
          <w:highlight w:val="none"/>
        </w:rPr>
        <w:t>。</w:t>
      </w:r>
    </w:p>
    <w:p w14:paraId="5CBDF755">
      <w:pPr>
        <w:wordWrap w:val="0"/>
        <w:adjustRightInd w:val="0"/>
        <w:spacing w:line="440" w:lineRule="exact"/>
        <w:ind w:firstLine="482"/>
        <w:rPr>
          <w:rFonts w:hint="eastAsia" w:ascii="宋体" w:hAnsi="宋体" w:cs="宋体"/>
          <w:bCs/>
          <w:color w:val="auto"/>
          <w:sz w:val="24"/>
          <w:szCs w:val="24"/>
          <w:highlight w:val="none"/>
        </w:rPr>
      </w:pPr>
      <w:r>
        <w:rPr>
          <w:rFonts w:hint="eastAsia" w:ascii="宋体" w:hAnsi="宋体" w:cs="宋体"/>
          <w:bCs/>
          <w:color w:val="auto"/>
          <w:sz w:val="24"/>
          <w:szCs w:val="24"/>
          <w:highlight w:val="none"/>
        </w:rPr>
        <w:t>以上各款关于合格供应商资格条件的要求均须提供中文文本，否则无效，供应商应按《响应文件格式》的相关规定提交。</w:t>
      </w:r>
    </w:p>
    <w:p w14:paraId="02441B93">
      <w:pPr>
        <w:wordWrap w:val="0"/>
        <w:adjustRightInd w:val="0"/>
        <w:spacing w:line="440" w:lineRule="exact"/>
        <w:ind w:firstLine="482"/>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zh-CN"/>
        </w:rPr>
        <w:t xml:space="preserve">1.4.2 </w:t>
      </w:r>
      <w:r>
        <w:rPr>
          <w:rFonts w:hint="eastAsia" w:ascii="宋体" w:hAnsi="宋体" w:cs="宋体"/>
          <w:bCs/>
          <w:color w:val="auto"/>
          <w:sz w:val="24"/>
          <w:szCs w:val="24"/>
          <w:highlight w:val="none"/>
        </w:rPr>
        <w:t>供应商须知前附表规定接受联合体投标的，联合体除应符合本章第 1.4.1 款和供应商须知前附表的要求外，还应遵守以下规定：</w:t>
      </w:r>
    </w:p>
    <w:p w14:paraId="3C1E4553">
      <w:pPr>
        <w:wordWrap w:val="0"/>
        <w:adjustRightInd w:val="0"/>
        <w:spacing w:line="440" w:lineRule="exact"/>
        <w:ind w:firstLine="482"/>
        <w:rPr>
          <w:rFonts w:hint="eastAsia" w:ascii="宋体" w:hAnsi="宋体" w:cs="宋体"/>
          <w:bCs/>
          <w:color w:val="auto"/>
          <w:sz w:val="24"/>
          <w:szCs w:val="24"/>
          <w:highlight w:val="none"/>
        </w:rPr>
      </w:pPr>
      <w:r>
        <w:rPr>
          <w:rFonts w:hint="eastAsia" w:ascii="宋体" w:hAnsi="宋体" w:cs="宋体"/>
          <w:bCs/>
          <w:color w:val="auto"/>
          <w:sz w:val="24"/>
          <w:szCs w:val="24"/>
          <w:highlight w:val="none"/>
        </w:rPr>
        <w:t>（1）联合体各方应按磋商文件提供的格式签订联合体协议书，明确联合体牵头人和各方权利义务，并承诺就中标项目向采购人承担连带责任；</w:t>
      </w:r>
    </w:p>
    <w:p w14:paraId="1B313352">
      <w:pPr>
        <w:wordWrap w:val="0"/>
        <w:adjustRightInd w:val="0"/>
        <w:spacing w:line="440" w:lineRule="exact"/>
        <w:ind w:firstLine="482"/>
        <w:rPr>
          <w:rFonts w:hint="eastAsia" w:ascii="宋体" w:hAnsi="宋体" w:cs="宋体"/>
          <w:bCs/>
          <w:color w:val="auto"/>
          <w:sz w:val="24"/>
          <w:szCs w:val="24"/>
          <w:highlight w:val="none"/>
        </w:rPr>
      </w:pPr>
      <w:r>
        <w:rPr>
          <w:rFonts w:hint="eastAsia" w:ascii="宋体" w:hAnsi="宋体" w:cs="宋体"/>
          <w:bCs/>
          <w:color w:val="auto"/>
          <w:sz w:val="24"/>
          <w:szCs w:val="24"/>
          <w:highlight w:val="none"/>
        </w:rPr>
        <w:t>（2）联合体各方不得再以自己名义单独或参加其他联合体在本招标项目中投标，否则各相关投标均无效。</w:t>
      </w:r>
    </w:p>
    <w:p w14:paraId="4BA7A330">
      <w:pPr>
        <w:wordWrap w:val="0"/>
        <w:adjustRightInd w:val="0"/>
        <w:spacing w:line="440" w:lineRule="exact"/>
        <w:ind w:firstLine="482"/>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1.4.3 供应商不得存在下列情形之一：</w:t>
      </w:r>
    </w:p>
    <w:p w14:paraId="59C0CB9D">
      <w:pPr>
        <w:wordWrap w:val="0"/>
        <w:adjustRightInd w:val="0"/>
        <w:spacing w:line="440" w:lineRule="exact"/>
        <w:ind w:firstLine="482"/>
        <w:rPr>
          <w:rFonts w:hint="eastAsia" w:ascii="宋体" w:hAnsi="宋体" w:cs="宋体"/>
          <w:bCs/>
          <w:color w:val="auto"/>
          <w:sz w:val="24"/>
          <w:szCs w:val="24"/>
          <w:highlight w:val="none"/>
        </w:rPr>
      </w:pPr>
      <w:r>
        <w:rPr>
          <w:rFonts w:hint="eastAsia" w:ascii="宋体" w:hAnsi="宋体" w:cs="宋体"/>
          <w:bCs/>
          <w:color w:val="auto"/>
          <w:sz w:val="24"/>
          <w:szCs w:val="24"/>
          <w:highlight w:val="none"/>
        </w:rPr>
        <w:t>（1）为采购人不具有独立法人资格的附属机构（单位）；</w:t>
      </w:r>
    </w:p>
    <w:p w14:paraId="2F1E4F78">
      <w:pPr>
        <w:wordWrap w:val="0"/>
        <w:adjustRightInd w:val="0"/>
        <w:spacing w:line="440" w:lineRule="exact"/>
        <w:ind w:firstLine="482"/>
        <w:rPr>
          <w:rFonts w:hint="eastAsia" w:ascii="宋体" w:hAnsi="宋体" w:cs="宋体"/>
          <w:bCs/>
          <w:color w:val="auto"/>
          <w:sz w:val="24"/>
          <w:szCs w:val="24"/>
          <w:highlight w:val="none"/>
        </w:rPr>
      </w:pPr>
      <w:r>
        <w:rPr>
          <w:rFonts w:hint="eastAsia" w:ascii="宋体" w:hAnsi="宋体" w:cs="宋体"/>
          <w:bCs/>
          <w:color w:val="auto"/>
          <w:sz w:val="24"/>
          <w:szCs w:val="24"/>
          <w:highlight w:val="none"/>
        </w:rPr>
        <w:t>（2）与采购人存在利害关系且可能影响招标公正性；</w:t>
      </w:r>
    </w:p>
    <w:p w14:paraId="6478D833">
      <w:pPr>
        <w:wordWrap w:val="0"/>
        <w:adjustRightInd w:val="0"/>
        <w:spacing w:line="440" w:lineRule="exact"/>
        <w:ind w:firstLine="482"/>
        <w:rPr>
          <w:rFonts w:hint="eastAsia" w:ascii="宋体" w:hAnsi="宋体" w:cs="宋体"/>
          <w:bCs/>
          <w:color w:val="auto"/>
          <w:sz w:val="24"/>
          <w:szCs w:val="24"/>
          <w:highlight w:val="none"/>
        </w:rPr>
      </w:pPr>
      <w:r>
        <w:rPr>
          <w:rFonts w:hint="eastAsia" w:ascii="宋体" w:hAnsi="宋体" w:cs="宋体"/>
          <w:bCs/>
          <w:color w:val="auto"/>
          <w:sz w:val="24"/>
          <w:szCs w:val="24"/>
          <w:highlight w:val="none"/>
        </w:rPr>
        <w:t>（3）与本采购项目的其他供应商为同一个单位负责人；</w:t>
      </w:r>
    </w:p>
    <w:p w14:paraId="453A1E32">
      <w:pPr>
        <w:wordWrap w:val="0"/>
        <w:adjustRightInd w:val="0"/>
        <w:spacing w:line="440" w:lineRule="exact"/>
        <w:ind w:firstLine="482"/>
        <w:rPr>
          <w:rFonts w:hint="eastAsia" w:ascii="宋体" w:hAnsi="宋体" w:cs="宋体"/>
          <w:bCs/>
          <w:color w:val="auto"/>
          <w:sz w:val="24"/>
          <w:szCs w:val="24"/>
          <w:highlight w:val="none"/>
        </w:rPr>
      </w:pPr>
      <w:r>
        <w:rPr>
          <w:rFonts w:hint="eastAsia" w:ascii="宋体" w:hAnsi="宋体" w:cs="宋体"/>
          <w:bCs/>
          <w:color w:val="auto"/>
          <w:sz w:val="24"/>
          <w:szCs w:val="24"/>
          <w:highlight w:val="none"/>
        </w:rPr>
        <w:t>（4）与本采购项目的其他供应商存在控股、管理关系；</w:t>
      </w:r>
    </w:p>
    <w:p w14:paraId="2FB8FB03">
      <w:pPr>
        <w:wordWrap w:val="0"/>
        <w:adjustRightInd w:val="0"/>
        <w:spacing w:line="440" w:lineRule="exact"/>
        <w:ind w:firstLine="482"/>
        <w:rPr>
          <w:rFonts w:hint="eastAsia" w:ascii="宋体" w:hAnsi="宋体" w:cs="宋体"/>
          <w:bCs/>
          <w:color w:val="auto"/>
          <w:sz w:val="24"/>
          <w:szCs w:val="24"/>
          <w:highlight w:val="none"/>
        </w:rPr>
      </w:pPr>
      <w:r>
        <w:rPr>
          <w:rFonts w:hint="eastAsia" w:ascii="宋体" w:hAnsi="宋体" w:cs="宋体"/>
          <w:bCs/>
          <w:color w:val="auto"/>
          <w:sz w:val="24"/>
          <w:szCs w:val="24"/>
          <w:highlight w:val="none"/>
        </w:rPr>
        <w:t>（5）为本采购标项目的采购代理机构；</w:t>
      </w:r>
    </w:p>
    <w:p w14:paraId="0F38EDEB">
      <w:pPr>
        <w:wordWrap w:val="0"/>
        <w:adjustRightInd w:val="0"/>
        <w:spacing w:line="440" w:lineRule="exact"/>
        <w:ind w:firstLine="482"/>
        <w:rPr>
          <w:rFonts w:hint="eastAsia" w:ascii="宋体" w:hAnsi="宋体" w:cs="宋体"/>
          <w:bCs/>
          <w:color w:val="auto"/>
          <w:sz w:val="24"/>
          <w:szCs w:val="24"/>
          <w:highlight w:val="none"/>
        </w:rPr>
      </w:pPr>
      <w:r>
        <w:rPr>
          <w:rFonts w:hint="eastAsia" w:ascii="宋体" w:hAnsi="宋体" w:cs="宋体"/>
          <w:bCs/>
          <w:color w:val="auto"/>
          <w:sz w:val="24"/>
          <w:szCs w:val="24"/>
          <w:highlight w:val="none"/>
        </w:rPr>
        <w:t>（6）与本采购项目的采购代理机构同为一个法定代表人；</w:t>
      </w:r>
    </w:p>
    <w:p w14:paraId="53E30C58">
      <w:pPr>
        <w:wordWrap w:val="0"/>
        <w:adjustRightInd w:val="0"/>
        <w:spacing w:line="440" w:lineRule="exact"/>
        <w:ind w:firstLine="482"/>
        <w:rPr>
          <w:rFonts w:hint="eastAsia" w:ascii="宋体" w:hAnsi="宋体" w:cs="宋体"/>
          <w:bCs/>
          <w:color w:val="auto"/>
          <w:sz w:val="24"/>
          <w:szCs w:val="24"/>
          <w:highlight w:val="none"/>
        </w:rPr>
      </w:pPr>
      <w:r>
        <w:rPr>
          <w:rFonts w:hint="eastAsia" w:ascii="宋体" w:hAnsi="宋体" w:cs="宋体"/>
          <w:bCs/>
          <w:color w:val="auto"/>
          <w:sz w:val="24"/>
          <w:szCs w:val="24"/>
          <w:highlight w:val="none"/>
        </w:rPr>
        <w:t>（7）与本采购项目的采购代理机构存在控股或参股关系；</w:t>
      </w:r>
    </w:p>
    <w:p w14:paraId="65C5B612">
      <w:pPr>
        <w:wordWrap w:val="0"/>
        <w:adjustRightInd w:val="0"/>
        <w:spacing w:line="440" w:lineRule="exact"/>
        <w:ind w:firstLine="482"/>
        <w:rPr>
          <w:rFonts w:hint="eastAsia" w:ascii="宋体" w:hAnsi="宋体" w:cs="宋体"/>
          <w:bCs/>
          <w:color w:val="auto"/>
          <w:sz w:val="24"/>
          <w:szCs w:val="24"/>
          <w:highlight w:val="none"/>
        </w:rPr>
      </w:pPr>
      <w:r>
        <w:rPr>
          <w:rFonts w:hint="eastAsia" w:ascii="宋体" w:hAnsi="宋体" w:cs="宋体"/>
          <w:bCs/>
          <w:color w:val="auto"/>
          <w:sz w:val="24"/>
          <w:szCs w:val="24"/>
          <w:highlight w:val="none"/>
        </w:rPr>
        <w:t>（8）被依法暂停或者取消投标资格；</w:t>
      </w:r>
    </w:p>
    <w:p w14:paraId="6B9FFAB3">
      <w:pPr>
        <w:wordWrap w:val="0"/>
        <w:adjustRightInd w:val="0"/>
        <w:spacing w:line="440" w:lineRule="exact"/>
        <w:ind w:firstLine="482"/>
        <w:rPr>
          <w:rFonts w:hint="eastAsia" w:ascii="宋体" w:hAnsi="宋体" w:cs="宋体"/>
          <w:bCs/>
          <w:color w:val="auto"/>
          <w:sz w:val="24"/>
          <w:szCs w:val="24"/>
          <w:highlight w:val="none"/>
        </w:rPr>
      </w:pPr>
      <w:r>
        <w:rPr>
          <w:rFonts w:hint="eastAsia" w:ascii="宋体" w:hAnsi="宋体" w:cs="宋体"/>
          <w:bCs/>
          <w:color w:val="auto"/>
          <w:sz w:val="24"/>
          <w:szCs w:val="24"/>
          <w:highlight w:val="none"/>
        </w:rPr>
        <w:t>（9）被责令停产停业、暂扣或者吊销许可证、暂扣或者吊销执照；</w:t>
      </w:r>
    </w:p>
    <w:p w14:paraId="6F85EB4A">
      <w:pPr>
        <w:wordWrap w:val="0"/>
        <w:adjustRightInd w:val="0"/>
        <w:spacing w:line="440" w:lineRule="exact"/>
        <w:ind w:firstLine="482"/>
        <w:rPr>
          <w:rFonts w:hint="eastAsia" w:ascii="宋体" w:hAnsi="宋体" w:cs="宋体"/>
          <w:bCs/>
          <w:color w:val="auto"/>
          <w:sz w:val="24"/>
          <w:szCs w:val="24"/>
          <w:highlight w:val="none"/>
        </w:rPr>
      </w:pPr>
      <w:r>
        <w:rPr>
          <w:rFonts w:hint="eastAsia" w:ascii="宋体" w:hAnsi="宋体" w:cs="宋体"/>
          <w:bCs/>
          <w:color w:val="auto"/>
          <w:sz w:val="24"/>
          <w:szCs w:val="24"/>
          <w:highlight w:val="none"/>
        </w:rPr>
        <w:t>（10）进入清算程序，或被宣告破产，或其他丧失履约能力的情形；</w:t>
      </w:r>
    </w:p>
    <w:p w14:paraId="17F3F416">
      <w:pPr>
        <w:wordWrap w:val="0"/>
        <w:adjustRightInd w:val="0"/>
        <w:spacing w:line="440" w:lineRule="exact"/>
        <w:ind w:firstLine="482"/>
        <w:rPr>
          <w:rFonts w:hint="eastAsia" w:ascii="宋体" w:hAnsi="宋体" w:cs="宋体"/>
          <w:bCs/>
          <w:color w:val="auto"/>
          <w:sz w:val="24"/>
          <w:szCs w:val="24"/>
          <w:highlight w:val="none"/>
        </w:rPr>
      </w:pPr>
      <w:r>
        <w:rPr>
          <w:rFonts w:hint="eastAsia" w:ascii="宋体" w:hAnsi="宋体" w:cs="宋体"/>
          <w:bCs/>
          <w:color w:val="auto"/>
          <w:sz w:val="24"/>
          <w:szCs w:val="24"/>
          <w:highlight w:val="none"/>
        </w:rPr>
        <w:t>（11）在最近三年内发生重大供货质量问题（以相关行业主管部门的行政处罚决定或司法机关出具的有关法律文书为准）；</w:t>
      </w:r>
    </w:p>
    <w:p w14:paraId="26E30D4A">
      <w:pPr>
        <w:wordWrap w:val="0"/>
        <w:adjustRightInd w:val="0"/>
        <w:spacing w:line="440" w:lineRule="exact"/>
        <w:ind w:firstLine="482"/>
        <w:rPr>
          <w:rFonts w:hint="eastAsia" w:ascii="宋体" w:hAnsi="宋体" w:cs="宋体"/>
          <w:bCs/>
          <w:color w:val="auto"/>
          <w:sz w:val="24"/>
          <w:szCs w:val="24"/>
          <w:highlight w:val="none"/>
        </w:rPr>
      </w:pPr>
      <w:r>
        <w:rPr>
          <w:rFonts w:hint="eastAsia" w:ascii="宋体" w:hAnsi="宋体" w:cs="宋体"/>
          <w:bCs/>
          <w:color w:val="auto"/>
          <w:sz w:val="24"/>
          <w:szCs w:val="24"/>
          <w:highlight w:val="none"/>
        </w:rPr>
        <w:t>（12）被工商行政管理机关在“信用中国”网站中</w:t>
      </w:r>
      <w:r>
        <w:rPr>
          <w:rFonts w:hint="eastAsia" w:ascii="宋体" w:hAnsi="宋体" w:cs="宋体"/>
          <w:color w:val="auto"/>
          <w:sz w:val="24"/>
          <w:szCs w:val="24"/>
          <w:highlight w:val="none"/>
        </w:rPr>
        <w:t>列入失信被执行人名单、重大税收违法案件当事人名单、企业经营异常名录</w:t>
      </w:r>
      <w:r>
        <w:rPr>
          <w:rFonts w:hint="eastAsia" w:ascii="宋体" w:hAnsi="宋体" w:cs="宋体"/>
          <w:bCs/>
          <w:color w:val="auto"/>
          <w:sz w:val="24"/>
          <w:szCs w:val="24"/>
          <w:highlight w:val="none"/>
        </w:rPr>
        <w:t>；“</w:t>
      </w:r>
      <w:r>
        <w:rPr>
          <w:rFonts w:hint="eastAsia" w:ascii="宋体" w:hAnsi="宋体" w:cs="宋体"/>
          <w:color w:val="auto"/>
          <w:sz w:val="24"/>
          <w:szCs w:val="24"/>
          <w:highlight w:val="none"/>
        </w:rPr>
        <w:t>中国政府采购网</w:t>
      </w:r>
      <w:r>
        <w:rPr>
          <w:rFonts w:hint="eastAsia" w:ascii="宋体" w:hAnsi="宋体" w:cs="宋体"/>
          <w:bCs/>
          <w:color w:val="auto"/>
          <w:sz w:val="24"/>
          <w:szCs w:val="24"/>
          <w:highlight w:val="none"/>
        </w:rPr>
        <w:t>”</w:t>
      </w:r>
      <w:r>
        <w:rPr>
          <w:rFonts w:hint="eastAsia" w:ascii="宋体" w:hAnsi="宋体" w:cs="宋体"/>
          <w:color w:val="auto"/>
          <w:sz w:val="24"/>
          <w:szCs w:val="24"/>
          <w:highlight w:val="none"/>
        </w:rPr>
        <w:t>列入政府采购严重违法失信行为记录名单；</w:t>
      </w:r>
    </w:p>
    <w:p w14:paraId="27753F46">
      <w:pPr>
        <w:wordWrap w:val="0"/>
        <w:adjustRightInd w:val="0"/>
        <w:spacing w:line="440" w:lineRule="exact"/>
        <w:ind w:firstLine="482"/>
        <w:rPr>
          <w:rFonts w:hint="eastAsia" w:ascii="宋体" w:hAnsi="宋体" w:cs="宋体"/>
          <w:bCs/>
          <w:color w:val="auto"/>
          <w:sz w:val="24"/>
          <w:szCs w:val="24"/>
          <w:highlight w:val="none"/>
        </w:rPr>
      </w:pPr>
      <w:r>
        <w:rPr>
          <w:rFonts w:hint="eastAsia" w:ascii="宋体" w:hAnsi="宋体" w:cs="宋体"/>
          <w:bCs/>
          <w:color w:val="auto"/>
          <w:sz w:val="24"/>
          <w:szCs w:val="24"/>
          <w:highlight w:val="none"/>
        </w:rPr>
        <w:t>（13）被最高人民法院在各级信用信息共享平台中列入失信被执行人名单；</w:t>
      </w:r>
    </w:p>
    <w:p w14:paraId="414C3012">
      <w:pPr>
        <w:wordWrap w:val="0"/>
        <w:adjustRightInd w:val="0"/>
        <w:spacing w:line="440" w:lineRule="exact"/>
        <w:ind w:firstLine="482"/>
        <w:rPr>
          <w:rFonts w:hint="eastAsia" w:ascii="宋体" w:hAnsi="宋体" w:cs="宋体"/>
          <w:bCs/>
          <w:color w:val="auto"/>
          <w:sz w:val="24"/>
          <w:szCs w:val="24"/>
          <w:highlight w:val="none"/>
        </w:rPr>
      </w:pPr>
      <w:r>
        <w:rPr>
          <w:rFonts w:hint="eastAsia" w:ascii="宋体" w:hAnsi="宋体" w:cs="宋体"/>
          <w:bCs/>
          <w:color w:val="auto"/>
          <w:sz w:val="24"/>
          <w:szCs w:val="24"/>
          <w:highlight w:val="none"/>
        </w:rPr>
        <w:t>（14）在近三年内供应商或其法定代表人有行贿犯罪行为的（以中国裁判文书网的查询结果为准）；</w:t>
      </w:r>
    </w:p>
    <w:p w14:paraId="0A9D668E">
      <w:pPr>
        <w:wordWrap w:val="0"/>
        <w:adjustRightInd w:val="0"/>
        <w:spacing w:line="440" w:lineRule="exact"/>
        <w:ind w:firstLine="482"/>
        <w:rPr>
          <w:rFonts w:hint="eastAsia" w:ascii="宋体" w:hAnsi="宋体" w:cs="宋体"/>
          <w:bCs/>
          <w:color w:val="auto"/>
          <w:sz w:val="24"/>
          <w:szCs w:val="24"/>
          <w:highlight w:val="none"/>
        </w:rPr>
      </w:pPr>
      <w:r>
        <w:rPr>
          <w:rFonts w:hint="eastAsia" w:ascii="宋体" w:hAnsi="宋体" w:cs="宋体"/>
          <w:bCs/>
          <w:color w:val="auto"/>
          <w:sz w:val="24"/>
          <w:szCs w:val="24"/>
          <w:highlight w:val="none"/>
        </w:rPr>
        <w:t>（15）法律法规或供应商须知前附表规定的其他情形。</w:t>
      </w:r>
    </w:p>
    <w:p w14:paraId="0CC553B7">
      <w:pPr>
        <w:wordWrap w:val="0"/>
        <w:adjustRightInd w:val="0"/>
        <w:spacing w:line="440" w:lineRule="exact"/>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1.5 费用承担</w:t>
      </w:r>
    </w:p>
    <w:p w14:paraId="4AECA798">
      <w:pPr>
        <w:wordWrap w:val="0"/>
        <w:adjustRightInd w:val="0"/>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zh-CN"/>
        </w:rPr>
        <w:t>供应商准备和参加投标活动发生的费用自理，</w:t>
      </w:r>
      <w:r>
        <w:rPr>
          <w:rFonts w:hint="eastAsia" w:ascii="宋体" w:hAnsi="宋体" w:cs="宋体"/>
          <w:color w:val="auto"/>
          <w:sz w:val="24"/>
          <w:szCs w:val="24"/>
          <w:highlight w:val="none"/>
          <w:lang w:val="zh-CN"/>
        </w:rPr>
        <w:t>无论投标的结果如何，</w:t>
      </w:r>
      <w:r>
        <w:rPr>
          <w:rFonts w:hint="eastAsia" w:ascii="宋体" w:hAnsi="宋体" w:cs="宋体"/>
          <w:bCs/>
          <w:color w:val="auto"/>
          <w:sz w:val="24"/>
          <w:szCs w:val="24"/>
          <w:highlight w:val="none"/>
          <w:lang w:val="zh-CN"/>
        </w:rPr>
        <w:t>采购人和采购代理机构在任何情况下均无义务和责任承担这些费用。</w:t>
      </w:r>
    </w:p>
    <w:p w14:paraId="604802E2">
      <w:pPr>
        <w:wordWrap w:val="0"/>
        <w:adjustRightInd w:val="0"/>
        <w:spacing w:line="440" w:lineRule="exact"/>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1.6 保密和披露</w:t>
      </w:r>
    </w:p>
    <w:p w14:paraId="1E14E19C">
      <w:pPr>
        <w:wordWrap w:val="0"/>
        <w:adjustRightInd w:val="0"/>
        <w:spacing w:line="440" w:lineRule="exact"/>
        <w:ind w:firstLine="48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zh-CN"/>
        </w:rPr>
        <w:t>1.6.1 参与招标投标活动的各方应对磋商文件和响应文件中的商业和技术等秘密保密</w:t>
      </w:r>
      <w:r>
        <w:rPr>
          <w:rFonts w:hint="eastAsia" w:ascii="宋体" w:hAnsi="宋体" w:cs="宋体"/>
          <w:bCs/>
          <w:color w:val="auto"/>
          <w:sz w:val="24"/>
          <w:szCs w:val="24"/>
          <w:highlight w:val="none"/>
        </w:rPr>
        <w:t>，否则应承担相应的法律责任。</w:t>
      </w:r>
    </w:p>
    <w:p w14:paraId="63C6ED04">
      <w:pPr>
        <w:tabs>
          <w:tab w:val="left" w:pos="709"/>
        </w:tabs>
        <w:wordWrap w:val="0"/>
        <w:adjustRightInd w:val="0"/>
        <w:spacing w:line="440" w:lineRule="exact"/>
        <w:ind w:firstLine="482"/>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1.6.2 </w:t>
      </w:r>
      <w:r>
        <w:rPr>
          <w:rFonts w:hint="eastAsia" w:ascii="宋体" w:hAnsi="宋体" w:cs="宋体"/>
          <w:color w:val="auto"/>
          <w:sz w:val="24"/>
          <w:szCs w:val="24"/>
          <w:highlight w:val="none"/>
          <w:lang w:val="zh-CN"/>
        </w:rPr>
        <w:t>采购人有权将供应商提供的所有资料向其他政府部门或有关的非政府机构负责评审标书的人员或与评标有关的人员披露。</w:t>
      </w:r>
    </w:p>
    <w:p w14:paraId="63AB316F">
      <w:pPr>
        <w:wordWrap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1.6.3 在下列情形下：当发布成交结果公告和其它公告时，当国家机关调查、审查、审计时，以及在其他符合法律规定的情形下，采购人无须事先征求供应商/成交供应商同意而可以披露关于采购过程、响应文件、合同文本、合同签署情况的资料、供应商/成交供应商的名称及地址、采购内容的有关信息以及补充条款等，并且对任何已经公布过的内容或与之内容相同的资料无须再承担保密责任。</w:t>
      </w:r>
    </w:p>
    <w:p w14:paraId="14E6FC6A">
      <w:pPr>
        <w:wordWrap w:val="0"/>
        <w:adjustRightInd w:val="0"/>
        <w:spacing w:line="440" w:lineRule="exact"/>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1.7 语言文字</w:t>
      </w:r>
    </w:p>
    <w:p w14:paraId="0E4728B1">
      <w:pPr>
        <w:wordWrap w:val="0"/>
        <w:adjustRightInd w:val="0"/>
        <w:spacing w:line="440" w:lineRule="exact"/>
        <w:ind w:firstLine="482"/>
        <w:rPr>
          <w:rFonts w:hint="eastAsia" w:ascii="宋体" w:hAnsi="宋体" w:cs="宋体"/>
          <w:color w:val="auto"/>
          <w:sz w:val="24"/>
          <w:szCs w:val="24"/>
          <w:highlight w:val="none"/>
          <w:lang w:val="zh-CN"/>
        </w:rPr>
      </w:pPr>
      <w:r>
        <w:rPr>
          <w:rFonts w:hint="eastAsia" w:ascii="宋体" w:hAnsi="宋体" w:cs="宋体"/>
          <w:bCs/>
          <w:color w:val="auto"/>
          <w:sz w:val="24"/>
          <w:szCs w:val="24"/>
          <w:highlight w:val="none"/>
        </w:rPr>
        <w:t>与招标投标有关的语言均使用中文，专用术语使用外文的，应附有中文注释。</w:t>
      </w:r>
    </w:p>
    <w:p w14:paraId="1332DE38">
      <w:pPr>
        <w:wordWrap w:val="0"/>
        <w:adjustRightInd w:val="0"/>
        <w:spacing w:line="440" w:lineRule="exact"/>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1.8 计量单位</w:t>
      </w:r>
    </w:p>
    <w:p w14:paraId="5CD6D29A">
      <w:pPr>
        <w:wordWrap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所有计量均采用中华人民共和国法定计量单位。</w:t>
      </w:r>
    </w:p>
    <w:p w14:paraId="17EEF8A4">
      <w:pPr>
        <w:wordWrap w:val="0"/>
        <w:adjustRightInd w:val="0"/>
        <w:spacing w:line="440" w:lineRule="exact"/>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1.9 踏勘现场</w:t>
      </w:r>
    </w:p>
    <w:p w14:paraId="43D8BC17">
      <w:pPr>
        <w:wordWrap w:val="0"/>
        <w:adjustRightInd w:val="0"/>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1.9.1 供应商须知前附表规定组织踏勘现场的，采购人按供应商须知前附表规定的时间、地点组织供应商踏勘项目现场。部分供应商未按时参加踏勘现场的，不影响踏勘现场的正常进行。</w:t>
      </w:r>
    </w:p>
    <w:p w14:paraId="17DDE2C4">
      <w:pPr>
        <w:wordWrap w:val="0"/>
        <w:adjustRightInd w:val="0"/>
        <w:spacing w:line="440" w:lineRule="exact"/>
        <w:ind w:firstLine="360" w:firstLineChars="15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1.9.2 供应商踏勘现场发生的费用自理。</w:t>
      </w:r>
    </w:p>
    <w:p w14:paraId="597EDF3B">
      <w:pPr>
        <w:wordWrap w:val="0"/>
        <w:adjustRightInd w:val="0"/>
        <w:spacing w:line="440" w:lineRule="exact"/>
        <w:ind w:firstLine="360" w:firstLineChars="15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1.9.3 除采购人的原因外，供应商自行负责在踏勘现场中所发生的人员伤亡和财产损失。</w:t>
      </w:r>
    </w:p>
    <w:p w14:paraId="1179F3C2">
      <w:pPr>
        <w:wordWrap w:val="0"/>
        <w:adjustRightInd w:val="0"/>
        <w:spacing w:line="440" w:lineRule="exact"/>
        <w:ind w:firstLine="360" w:firstLineChars="15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1.9.4 采购人在踏勘现场中获取的相关情况，供供应商在编制响应文件时参考，采购人不对供应商据此作出的判断和决策负责。</w:t>
      </w:r>
    </w:p>
    <w:p w14:paraId="7D050E8C">
      <w:pPr>
        <w:wordWrap w:val="0"/>
        <w:adjustRightInd w:val="0"/>
        <w:spacing w:line="440" w:lineRule="exact"/>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1.10 投标预备会</w:t>
      </w:r>
    </w:p>
    <w:p w14:paraId="1B0FEDD3">
      <w:pPr>
        <w:wordWrap w:val="0"/>
        <w:adjustRightInd w:val="0"/>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zh-CN"/>
        </w:rPr>
        <w:t>1.10.1</w:t>
      </w:r>
      <w:r>
        <w:rPr>
          <w:rFonts w:hint="eastAsia" w:ascii="宋体" w:hAnsi="宋体" w:cs="宋体"/>
          <w:bCs/>
          <w:color w:val="auto"/>
          <w:sz w:val="24"/>
          <w:szCs w:val="24"/>
          <w:highlight w:val="none"/>
        </w:rPr>
        <w:t>供应商须知前附表规定召开投标预备会的，采购人按供应商须知前附表规定的时间和地点召开投标预备会，澄清供应商提出的问题。</w:t>
      </w:r>
    </w:p>
    <w:p w14:paraId="26A3450B">
      <w:pPr>
        <w:wordWrap w:val="0"/>
        <w:adjustRightInd w:val="0"/>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zh-CN"/>
        </w:rPr>
        <w:t>1.10.2</w:t>
      </w:r>
      <w:r>
        <w:rPr>
          <w:rFonts w:hint="eastAsia" w:ascii="宋体" w:hAnsi="宋体" w:cs="宋体"/>
          <w:bCs/>
          <w:color w:val="auto"/>
          <w:sz w:val="24"/>
          <w:szCs w:val="24"/>
          <w:highlight w:val="none"/>
        </w:rPr>
        <w:t>供应商应按供应商须知前附表规定的时间和形式将提出的问题送达采购人，以便采购人在会议期间澄清。</w:t>
      </w:r>
    </w:p>
    <w:p w14:paraId="74391FC1">
      <w:pPr>
        <w:wordWrap w:val="0"/>
        <w:adjustRightInd w:val="0"/>
        <w:spacing w:line="440" w:lineRule="exact"/>
        <w:ind w:firstLine="482"/>
        <w:rPr>
          <w:rFonts w:hint="eastAsia" w:ascii="宋体" w:hAnsi="宋体" w:cs="宋体"/>
          <w:b/>
          <w:color w:val="auto"/>
          <w:sz w:val="24"/>
          <w:szCs w:val="24"/>
          <w:highlight w:val="none"/>
          <w:lang w:val="zh-CN"/>
        </w:rPr>
      </w:pPr>
      <w:r>
        <w:rPr>
          <w:rFonts w:hint="eastAsia" w:ascii="宋体" w:hAnsi="宋体" w:cs="宋体"/>
          <w:bCs/>
          <w:color w:val="auto"/>
          <w:sz w:val="24"/>
          <w:szCs w:val="24"/>
          <w:highlight w:val="none"/>
          <w:lang w:val="zh-CN"/>
        </w:rPr>
        <w:t>1.10.3</w:t>
      </w:r>
      <w:r>
        <w:rPr>
          <w:rFonts w:hint="eastAsia" w:ascii="宋体" w:hAnsi="宋体" w:cs="宋体"/>
          <w:bCs/>
          <w:color w:val="auto"/>
          <w:sz w:val="24"/>
          <w:szCs w:val="24"/>
          <w:highlight w:val="none"/>
        </w:rPr>
        <w:t>投标预备会后，采购人将对供应商所提问题的澄清，以供应商须知前附表规定的形式通知所有获取磋商文件的供应商。该澄清内容为磋商文件的组成部分。</w:t>
      </w:r>
    </w:p>
    <w:p w14:paraId="7980508F">
      <w:pPr>
        <w:wordWrap w:val="0"/>
        <w:adjustRightInd w:val="0"/>
        <w:spacing w:line="440" w:lineRule="exact"/>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1.11 分包</w:t>
      </w:r>
    </w:p>
    <w:p w14:paraId="6EF01BE8">
      <w:pPr>
        <w:wordWrap w:val="0"/>
        <w:adjustRightInd w:val="0"/>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1.11.1 供应商拟在成交后将中标项目的非主体、非关键性工作进行分包的，应符合供应商须知前附表规定的分包内容、分包金额和资格要求等限制性条件，除供应商须知前附表规定的非主体、非关键性工作外，其他工作不得分包。</w:t>
      </w:r>
    </w:p>
    <w:p w14:paraId="0E90AB88">
      <w:pPr>
        <w:wordWrap w:val="0"/>
        <w:adjustRightInd w:val="0"/>
        <w:spacing w:line="440" w:lineRule="exact"/>
        <w:ind w:firstLine="360" w:firstLineChars="15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1.11.2 成交供应商不得向他人转让中标项目，接受分包的人不得再次分包。成交供应商应当就分包项目向采购人负责，接受分包的人就分包项目承担连带责任。</w:t>
      </w:r>
    </w:p>
    <w:p w14:paraId="70E93EA9">
      <w:pPr>
        <w:wordWrap w:val="0"/>
        <w:adjustRightInd w:val="0"/>
        <w:spacing w:line="440" w:lineRule="exact"/>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zh-CN"/>
        </w:rPr>
        <w:t xml:space="preserve">1.12 </w:t>
      </w:r>
      <w:r>
        <w:rPr>
          <w:rFonts w:hint="eastAsia" w:ascii="宋体" w:hAnsi="宋体" w:cs="宋体"/>
          <w:b/>
          <w:color w:val="auto"/>
          <w:sz w:val="24"/>
          <w:szCs w:val="24"/>
          <w:highlight w:val="none"/>
        </w:rPr>
        <w:t>响应和偏差</w:t>
      </w:r>
    </w:p>
    <w:p w14:paraId="59E5CC51">
      <w:pPr>
        <w:wordWrap w:val="0"/>
        <w:adjustRightIn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1.12.1 响应文件应当对磋商文件的所有条款的实质性要求和条件作出满足性或更有利于采购人的响应，否则，供应商的投标将被否决。实质性要求和条件见供应商须知前附表。</w:t>
      </w:r>
    </w:p>
    <w:p w14:paraId="0E119875">
      <w:pPr>
        <w:wordWrap w:val="0"/>
        <w:adjustRightIn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1.12.2 供应商应根据磋商文件的要求提供投标技术文件等内容以对磋商文件作出响应。</w:t>
      </w:r>
    </w:p>
    <w:p w14:paraId="5E220AD5">
      <w:pPr>
        <w:wordWrap w:val="0"/>
        <w:adjustRightIn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1.12.3 供应商须知前附表允许响应文件偏离磋商文件某些要求的，偏差应当符合磋商文件规定的偏差范围和幅度。</w:t>
      </w:r>
    </w:p>
    <w:p w14:paraId="0DF000AC">
      <w:pPr>
        <w:wordWrap w:val="0"/>
        <w:adjustRightInd w:val="0"/>
        <w:spacing w:line="440" w:lineRule="exact"/>
        <w:jc w:val="left"/>
        <w:rPr>
          <w:rFonts w:hint="eastAsia" w:ascii="宋体" w:hAnsi="宋体" w:cs="宋体"/>
          <w:b/>
          <w:color w:val="auto"/>
          <w:sz w:val="28"/>
          <w:szCs w:val="28"/>
          <w:highlight w:val="none"/>
          <w:lang w:val="zh-CN"/>
        </w:rPr>
      </w:pPr>
      <w:r>
        <w:rPr>
          <w:rFonts w:hint="eastAsia" w:ascii="宋体" w:hAnsi="宋体" w:cs="宋体"/>
          <w:b/>
          <w:color w:val="auto"/>
          <w:sz w:val="28"/>
          <w:szCs w:val="28"/>
          <w:highlight w:val="none"/>
          <w:lang w:val="zh-CN"/>
        </w:rPr>
        <w:t>2.磋商文件</w:t>
      </w:r>
    </w:p>
    <w:p w14:paraId="2AAA93CD">
      <w:pPr>
        <w:wordWrap w:val="0"/>
        <w:adjustRightInd w:val="0"/>
        <w:spacing w:line="440" w:lineRule="exact"/>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2.1 磋商文件的组成</w:t>
      </w:r>
    </w:p>
    <w:p w14:paraId="146AE799">
      <w:pPr>
        <w:wordWrap w:val="0"/>
        <w:adjustRightInd w:val="0"/>
        <w:spacing w:line="440" w:lineRule="exact"/>
        <w:ind w:firstLine="600" w:firstLineChars="2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本磋商文件包括：</w:t>
      </w:r>
    </w:p>
    <w:p w14:paraId="0E156927">
      <w:pPr>
        <w:wordWrap w:val="0"/>
        <w:adjustRightInd w:val="0"/>
        <w:spacing w:line="440" w:lineRule="exact"/>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（1）竞争性磋商公告；</w:t>
      </w:r>
    </w:p>
    <w:p w14:paraId="0F134E62">
      <w:pPr>
        <w:wordWrap w:val="0"/>
        <w:adjustRightInd w:val="0"/>
        <w:spacing w:line="440" w:lineRule="exact"/>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（2）供应商须知；</w:t>
      </w:r>
    </w:p>
    <w:p w14:paraId="6B77647F">
      <w:pPr>
        <w:wordWrap w:val="0"/>
        <w:adjustRightInd w:val="0"/>
        <w:spacing w:line="440" w:lineRule="exact"/>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（3）评标办法；</w:t>
      </w:r>
    </w:p>
    <w:p w14:paraId="6B467BE1">
      <w:pPr>
        <w:wordWrap w:val="0"/>
        <w:adjustRightInd w:val="0"/>
        <w:spacing w:line="440" w:lineRule="exact"/>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服务需求</w:t>
      </w:r>
      <w:r>
        <w:rPr>
          <w:rFonts w:hint="eastAsia" w:ascii="宋体" w:hAnsi="宋体" w:cs="宋体"/>
          <w:color w:val="auto"/>
          <w:sz w:val="24"/>
          <w:szCs w:val="24"/>
          <w:highlight w:val="none"/>
        </w:rPr>
        <w:t>；</w:t>
      </w:r>
    </w:p>
    <w:p w14:paraId="153A9C3F">
      <w:pPr>
        <w:wordWrap w:val="0"/>
        <w:adjustRightInd w:val="0"/>
        <w:spacing w:line="440" w:lineRule="exact"/>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合同格式</w:t>
      </w:r>
      <w:r>
        <w:rPr>
          <w:rFonts w:hint="eastAsia" w:ascii="宋体" w:hAnsi="宋体" w:cs="宋体"/>
          <w:color w:val="auto"/>
          <w:sz w:val="24"/>
          <w:szCs w:val="24"/>
          <w:highlight w:val="none"/>
        </w:rPr>
        <w:t>；</w:t>
      </w:r>
    </w:p>
    <w:p w14:paraId="6895E753">
      <w:pPr>
        <w:wordWrap w:val="0"/>
        <w:adjustRightInd w:val="0"/>
        <w:spacing w:line="440" w:lineRule="exact"/>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（6）响应文件格式；</w:t>
      </w:r>
    </w:p>
    <w:p w14:paraId="414FFE12">
      <w:pPr>
        <w:wordWrap w:val="0"/>
        <w:adjustRightInd w:val="0"/>
        <w:spacing w:line="440" w:lineRule="exact"/>
        <w:ind w:firstLine="360" w:firstLineChars="150"/>
        <w:jc w:val="left"/>
        <w:rPr>
          <w:rFonts w:hint="eastAsia"/>
          <w:color w:val="auto"/>
          <w:highlight w:val="none"/>
        </w:rPr>
      </w:pPr>
      <w:r>
        <w:rPr>
          <w:rFonts w:hint="eastAsia" w:ascii="宋体" w:hAnsi="宋体" w:cs="宋体"/>
          <w:color w:val="auto"/>
          <w:sz w:val="24"/>
          <w:szCs w:val="24"/>
          <w:highlight w:val="none"/>
        </w:rPr>
        <w:t>（7）附件。</w:t>
      </w:r>
    </w:p>
    <w:p w14:paraId="23B90A73">
      <w:pPr>
        <w:wordWrap w:val="0"/>
        <w:adjustRightIn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根据本章第 1.10 款、第 2.2 款和第 2.3 款对磋商文件所作的澄清、修改，构成磋商文件的组成部分，</w:t>
      </w:r>
      <w:r>
        <w:rPr>
          <w:rFonts w:hint="eastAsia" w:ascii="宋体" w:hAnsi="宋体" w:cs="宋体"/>
          <w:color w:val="auto"/>
          <w:sz w:val="24"/>
          <w:szCs w:val="24"/>
          <w:highlight w:val="none"/>
          <w:lang w:val="zh-CN"/>
        </w:rPr>
        <w:t>供应商应认真阅读磋商文件中所有事项、格式、条款和规范等要求。如果供应商没有按照磋商文件要求提交全部文件资料或响应文件没有对磋商文件在各方面都做出实质性响应，是供应商的风险。</w:t>
      </w:r>
    </w:p>
    <w:p w14:paraId="5FC53CD4">
      <w:pPr>
        <w:wordWrap w:val="0"/>
        <w:adjustRightInd w:val="0"/>
        <w:spacing w:line="440" w:lineRule="exact"/>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2.2 磋商文件的澄清</w:t>
      </w:r>
    </w:p>
    <w:p w14:paraId="0A61773A">
      <w:pPr>
        <w:wordWrap w:val="0"/>
        <w:adjustRightInd w:val="0"/>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2.2.1 供应商应仔细阅读和检查磋商文件的全部内容。如发现缺页或附件不全，应及时向采购人提出，以便补齐。如有疑问，应按供应商须知前附表规定的时间和形式将提出的问题送达采购人，要求采购人对磋商文件予以澄清。</w:t>
      </w:r>
    </w:p>
    <w:p w14:paraId="562E05A4">
      <w:pPr>
        <w:wordWrap w:val="0"/>
        <w:adjustRightInd w:val="0"/>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2.2.2 磋商文件的澄清以供应商须知前附表规定的形式发给所有获取磋商文件的供应商，但不指明澄清问题的来源。澄清发出的时间距本章第 4.2.1 款规定的响应文件提交截止时间不足 5 日的，并且澄清内容可能影响响应文件编制的，将相应延长响应文件提交截止时间。</w:t>
      </w:r>
    </w:p>
    <w:p w14:paraId="6F3C7979">
      <w:pPr>
        <w:wordWrap w:val="0"/>
        <w:adjustRightInd w:val="0"/>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2.2.3 供应商在收到澄清后，应按供应商须知前附表规定的时间和形式通知采购人，确认已收到该澄清。</w:t>
      </w:r>
    </w:p>
    <w:p w14:paraId="3C51AE49">
      <w:pPr>
        <w:wordWrap w:val="0"/>
        <w:adjustRightInd w:val="0"/>
        <w:spacing w:line="440" w:lineRule="exact"/>
        <w:ind w:firstLine="482"/>
        <w:rPr>
          <w:rFonts w:hint="eastAsia" w:ascii="宋体" w:hAnsi="宋体" w:cs="宋体"/>
          <w:b/>
          <w:color w:val="auto"/>
          <w:sz w:val="24"/>
          <w:szCs w:val="24"/>
          <w:highlight w:val="none"/>
        </w:rPr>
      </w:pPr>
      <w:r>
        <w:rPr>
          <w:rFonts w:hint="eastAsia" w:ascii="宋体" w:hAnsi="宋体" w:cs="宋体"/>
          <w:bCs/>
          <w:color w:val="auto"/>
          <w:sz w:val="24"/>
          <w:szCs w:val="24"/>
          <w:highlight w:val="none"/>
        </w:rPr>
        <w:t>2.2.4 除非采购人认为确有必要答复，否则，采购人有权拒绝回复供应商在本章第 2.2.1 款规定的时间后的任何澄清要求。</w:t>
      </w:r>
    </w:p>
    <w:p w14:paraId="23588C69">
      <w:pPr>
        <w:wordWrap w:val="0"/>
        <w:adjustRightInd w:val="0"/>
        <w:spacing w:line="440" w:lineRule="exact"/>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2.3 磋商文件的修改</w:t>
      </w:r>
    </w:p>
    <w:p w14:paraId="455E1EDF">
      <w:pPr>
        <w:wordWrap w:val="0"/>
        <w:adjustRightInd w:val="0"/>
        <w:spacing w:line="44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2.3.1 提交首次响应文件截止之日前，采购人、采购代理机构或者磋商小组可以对已发出的磋商文件进行必要的修改，修改的内容作为磋商文件的组成部分。修改的内容可能影响响应文件编制的，采购人、采购代理机构或者磋商小组应当在提交首次响应文件截止时间至少5日前，以书面形式通知所有获取磋商文件的供应商，不足5日的，将顺延提交首次响应文件截止时间。</w:t>
      </w:r>
    </w:p>
    <w:p w14:paraId="5562D054">
      <w:pPr>
        <w:wordWrap w:val="0"/>
        <w:adjustRightInd w:val="0"/>
        <w:spacing w:line="44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2.3.2 修改通知发出的同时,会在竞争性磋商公告发布媒体上发布变更公告（更正公告）供应商应注意及时浏览网上发出的变更公告（更正公告），因供应商自身原因未及时获知修改内容而导致的任何后果将由供应商自行承担。</w:t>
      </w:r>
    </w:p>
    <w:p w14:paraId="67AEDFA6">
      <w:pPr>
        <w:wordWrap w:val="0"/>
        <w:adjustRightInd w:val="0"/>
        <w:spacing w:line="440" w:lineRule="exact"/>
        <w:jc w:val="left"/>
        <w:rPr>
          <w:rFonts w:hint="eastAsia" w:ascii="宋体" w:hAnsi="宋体" w:cs="宋体"/>
          <w:b/>
          <w:color w:val="auto"/>
          <w:sz w:val="28"/>
          <w:szCs w:val="28"/>
          <w:highlight w:val="none"/>
          <w:lang w:val="zh-CN"/>
        </w:rPr>
      </w:pPr>
      <w:r>
        <w:rPr>
          <w:rFonts w:hint="eastAsia" w:ascii="宋体" w:hAnsi="宋体" w:cs="宋体"/>
          <w:b/>
          <w:color w:val="auto"/>
          <w:sz w:val="28"/>
          <w:szCs w:val="28"/>
          <w:highlight w:val="none"/>
          <w:lang w:val="zh-CN"/>
        </w:rPr>
        <w:t>3.响应文件</w:t>
      </w:r>
    </w:p>
    <w:p w14:paraId="1196C17F">
      <w:pPr>
        <w:wordWrap w:val="0"/>
        <w:adjustRightInd w:val="0"/>
        <w:spacing w:line="440" w:lineRule="exact"/>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3.1 响应文件的组成</w:t>
      </w:r>
    </w:p>
    <w:p w14:paraId="25440DBE">
      <w:pPr>
        <w:wordWrap w:val="0"/>
        <w:adjustRightInd w:val="0"/>
        <w:spacing w:line="44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 xml:space="preserve">3.1.1 </w:t>
      </w:r>
      <w:r>
        <w:rPr>
          <w:rFonts w:hint="eastAsia" w:ascii="宋体" w:hAnsi="宋体" w:cs="宋体"/>
          <w:color w:val="auto"/>
          <w:sz w:val="24"/>
          <w:szCs w:val="24"/>
          <w:highlight w:val="none"/>
        </w:rPr>
        <w:t>响应文件分为商务部分和技术部分。商务部分是供应商提交的证明其具有合格的投标资格和成交后有能力履行合同的文件。技术部分是能够证明供应商所提供货物和服务的合格性和符合磋商文件规定的文件，所有复印件为加盖公章鲜章的彩色复印件原件，标书内附其扫描件，构成响应文件的其他材料具体见供应商须知前附表。</w:t>
      </w:r>
    </w:p>
    <w:p w14:paraId="294BFC2F">
      <w:pPr>
        <w:wordWrap w:val="0"/>
        <w:adjustRightInd w:val="0"/>
        <w:spacing w:line="44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3.1.2 供应商应提交本磋商文件第六章《响应文件格式》规定的全部商务文件和技术文件以及磋商文件规定的构成响应文件的其他证明材料，若有缺失、无效或者不符合磋商文件要求，将导致其投标被拒绝。</w:t>
      </w:r>
    </w:p>
    <w:p w14:paraId="4B9487A4">
      <w:pPr>
        <w:wordWrap w:val="0"/>
        <w:adjustRightInd w:val="0"/>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3.1.3 供应商在评标过程中作出的符合法律法规和磋商文件规定的澄清确认，构成响应文件的组成部分。</w:t>
      </w:r>
    </w:p>
    <w:p w14:paraId="6418236E">
      <w:pPr>
        <w:wordWrap w:val="0"/>
        <w:adjustRightInd w:val="0"/>
        <w:spacing w:line="440" w:lineRule="exact"/>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3.2 投标报价</w:t>
      </w:r>
    </w:p>
    <w:p w14:paraId="7415C765">
      <w:pPr>
        <w:wordWrap w:val="0"/>
        <w:adjustRightIn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3.2.1 投标报价应包括国家规定的增值税税金，除供应商须知前附表另有规定外，增值税税金按一般计税方法计算。供应商应按第六章“响应文件格式”的要求在投标函中进行报价并填写</w:t>
      </w:r>
      <w:r>
        <w:rPr>
          <w:rFonts w:hint="eastAsia" w:ascii="宋体" w:hAnsi="宋体" w:cs="宋体"/>
          <w:bCs/>
          <w:color w:val="auto"/>
          <w:sz w:val="24"/>
          <w:szCs w:val="24"/>
          <w:highlight w:val="none"/>
        </w:rPr>
        <w:t>投标报价明细表</w:t>
      </w:r>
      <w:r>
        <w:rPr>
          <w:rFonts w:hint="eastAsia" w:ascii="宋体" w:hAnsi="宋体" w:cs="宋体"/>
          <w:color w:val="auto"/>
          <w:sz w:val="24"/>
          <w:szCs w:val="24"/>
          <w:highlight w:val="none"/>
        </w:rPr>
        <w:t>。</w:t>
      </w:r>
    </w:p>
    <w:p w14:paraId="3696F956">
      <w:pPr>
        <w:wordWrap w:val="0"/>
        <w:adjustRightIn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3.2.2 供应商应充分了解该项目的总体情况以及影响投标报价的其他要素。</w:t>
      </w:r>
    </w:p>
    <w:p w14:paraId="4FBB6BF8">
      <w:pPr>
        <w:wordWrap w:val="0"/>
        <w:adjustRightIn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3.2.3 供应商在响应文件提交截止时间前修改投标函中的投标报价总额，应同时修改响应文件“</w:t>
      </w:r>
      <w:r>
        <w:rPr>
          <w:rFonts w:hint="eastAsia" w:ascii="宋体" w:hAnsi="宋体" w:cs="宋体"/>
          <w:bCs/>
          <w:color w:val="auto"/>
          <w:sz w:val="24"/>
          <w:szCs w:val="24"/>
          <w:highlight w:val="none"/>
        </w:rPr>
        <w:t>投标报价明细表</w:t>
      </w:r>
      <w:r>
        <w:rPr>
          <w:rFonts w:hint="eastAsia" w:ascii="宋体" w:hAnsi="宋体" w:cs="宋体"/>
          <w:color w:val="auto"/>
          <w:sz w:val="24"/>
          <w:szCs w:val="24"/>
          <w:highlight w:val="none"/>
        </w:rPr>
        <w:t>”中的相应报价。此修改须符合本章第 4.3 款的有关要求。</w:t>
      </w:r>
    </w:p>
    <w:p w14:paraId="67C9B0DA">
      <w:pPr>
        <w:wordWrap w:val="0"/>
        <w:adjustRightIn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3.2.4 采购人设有最高投标限价的，供应商的投标报价不得超过最高投标限价，最高投标限价在供应商须知前附表中载明。</w:t>
      </w:r>
    </w:p>
    <w:p w14:paraId="4215E926">
      <w:pPr>
        <w:tabs>
          <w:tab w:val="left" w:pos="760"/>
        </w:tabs>
        <w:wordWrap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rPr>
        <w:t>3.2.5</w:t>
      </w:r>
      <w:r>
        <w:rPr>
          <w:rFonts w:hint="eastAsia" w:ascii="宋体" w:hAnsi="宋体" w:cs="宋体"/>
          <w:bCs/>
          <w:color w:val="auto"/>
          <w:sz w:val="24"/>
          <w:szCs w:val="24"/>
          <w:highlight w:val="none"/>
          <w:lang w:val="zh-CN"/>
        </w:rPr>
        <w:t>投标货币：所有投标报价均以人民币元为计算单位。</w:t>
      </w:r>
    </w:p>
    <w:p w14:paraId="47B3CD36">
      <w:pPr>
        <w:tabs>
          <w:tab w:val="left" w:pos="760"/>
        </w:tabs>
        <w:wordWrap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3.2.6供应商应一次性报出投标服务项目的单价和总价，每种服务内容只允许有一个报价，任何有选择的报价将不予接受。供应商所报价格应为在本磋商文件指定服务地点、由采购人验收合格并交付的全部价格。</w:t>
      </w:r>
    </w:p>
    <w:p w14:paraId="0BE2DE6B">
      <w:pPr>
        <w:tabs>
          <w:tab w:val="left" w:pos="760"/>
        </w:tabs>
        <w:wordWrap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3.2.7供应商所报的价格在合同执行过程中是固定不变的，不得以任何理由予以变更。以可调整的价格提交的投标将作为非响应性投标予以拒绝。</w:t>
      </w:r>
    </w:p>
    <w:p w14:paraId="21FF3222">
      <w:pPr>
        <w:wordWrap w:val="0"/>
        <w:adjustRightInd w:val="0"/>
        <w:spacing w:line="440" w:lineRule="exact"/>
        <w:ind w:firstLine="480"/>
        <w:rPr>
          <w:rFonts w:hint="eastAsia" w:ascii="宋体" w:hAnsi="宋体" w:cs="宋体"/>
          <w:color w:val="auto"/>
          <w:sz w:val="24"/>
          <w:szCs w:val="24"/>
          <w:highlight w:val="none"/>
          <w:lang w:val="zh-CN"/>
        </w:rPr>
      </w:pPr>
      <w:r>
        <w:rPr>
          <w:rFonts w:hint="eastAsia" w:ascii="宋体" w:hAnsi="宋体" w:cs="宋体"/>
          <w:bCs/>
          <w:color w:val="auto"/>
          <w:sz w:val="24"/>
          <w:szCs w:val="24"/>
          <w:highlight w:val="none"/>
          <w:lang w:val="zh-CN"/>
        </w:rPr>
        <w:t>3.2.8 最低报价不能作为中标的保证。</w:t>
      </w:r>
    </w:p>
    <w:p w14:paraId="69983E5B">
      <w:pPr>
        <w:wordWrap w:val="0"/>
        <w:adjustRightInd w:val="0"/>
        <w:spacing w:line="440" w:lineRule="exact"/>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3.3 投标有效期</w:t>
      </w:r>
    </w:p>
    <w:p w14:paraId="3A9C14BF">
      <w:pPr>
        <w:wordWrap w:val="0"/>
        <w:adjustRightInd w:val="0"/>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3.3.1 除供应商须知前附表另有规定外，投标有效期为 90 天。</w:t>
      </w:r>
    </w:p>
    <w:p w14:paraId="746790F7">
      <w:pPr>
        <w:tabs>
          <w:tab w:val="left" w:pos="760"/>
        </w:tabs>
        <w:wordWrap w:val="0"/>
        <w:spacing w:line="440" w:lineRule="exact"/>
        <w:ind w:firstLine="480" w:firstLineChars="200"/>
        <w:jc w:val="left"/>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rPr>
        <w:t xml:space="preserve">3.3.2 </w:t>
      </w:r>
      <w:r>
        <w:rPr>
          <w:rFonts w:hint="eastAsia" w:ascii="宋体" w:hAnsi="宋体" w:eastAsia="宋体" w:cs="宋体"/>
          <w:bCs/>
          <w:color w:val="auto"/>
          <w:sz w:val="24"/>
          <w:szCs w:val="24"/>
          <w:highlight w:val="none"/>
          <w:lang w:val="zh-CN"/>
        </w:rPr>
        <w:t>在投标有效期内，供应商撤销响应文件的，应承担磋商文件和法律规定的责任。</w:t>
      </w:r>
    </w:p>
    <w:p w14:paraId="24E4D478">
      <w:pPr>
        <w:tabs>
          <w:tab w:val="left" w:pos="760"/>
        </w:tabs>
        <w:wordWrap w:val="0"/>
        <w:spacing w:line="440" w:lineRule="exact"/>
        <w:ind w:firstLine="480"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3.3.3出现特殊情况需要延长响应文件有效期的，采购人以书面形式通知所有供应商延长响应文件有效期。供应商同意延长的，不得要求或被允许修改或撤销其响应文件；供应商拒绝延长的，其磋商响应无效。 </w:t>
      </w:r>
    </w:p>
    <w:p w14:paraId="4ADAD486">
      <w:pPr>
        <w:wordWrap w:val="0"/>
        <w:adjustRightInd w:val="0"/>
        <w:spacing w:line="440" w:lineRule="exact"/>
        <w:ind w:firstLine="480"/>
        <w:rPr>
          <w:rFonts w:hint="eastAsia" w:ascii="宋体" w:hAnsi="宋体" w:cs="宋体"/>
          <w:bCs/>
          <w:color w:val="auto"/>
          <w:sz w:val="24"/>
          <w:szCs w:val="24"/>
          <w:highlight w:val="none"/>
        </w:rPr>
      </w:pPr>
    </w:p>
    <w:p w14:paraId="3A672725">
      <w:pPr>
        <w:tabs>
          <w:tab w:val="left" w:pos="1365"/>
        </w:tabs>
        <w:wordWrap w:val="0"/>
        <w:spacing w:line="440" w:lineRule="exac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3.4 磋商保证金</w:t>
      </w:r>
    </w:p>
    <w:p w14:paraId="5EF453BD">
      <w:pPr>
        <w:tabs>
          <w:tab w:val="left" w:pos="1365"/>
        </w:tabs>
        <w:wordWrap w:val="0"/>
        <w:spacing w:line="440" w:lineRule="exact"/>
        <w:ind w:firstLine="480" w:firstLineChars="200"/>
        <w:rPr>
          <w:rFonts w:hint="eastAsia" w:ascii="宋体" w:hAnsi="宋体" w:cs="宋体"/>
          <w:b/>
          <w:color w:val="auto"/>
          <w:sz w:val="24"/>
          <w:szCs w:val="24"/>
          <w:highlight w:val="none"/>
          <w:lang w:val="zh-CN"/>
        </w:rPr>
      </w:pPr>
      <w:r>
        <w:rPr>
          <w:rFonts w:hint="eastAsia" w:ascii="宋体" w:hAnsi="宋体" w:eastAsia="宋体" w:cs="宋体"/>
          <w:color w:val="auto"/>
          <w:kern w:val="0"/>
          <w:sz w:val="24"/>
          <w:szCs w:val="24"/>
          <w:highlight w:val="none"/>
          <w:lang w:val="en-US" w:eastAsia="zh-CN" w:bidi="ar"/>
        </w:rPr>
        <w:t>本项目不收取投标保证金。</w:t>
      </w:r>
    </w:p>
    <w:p w14:paraId="29051BA7">
      <w:pPr>
        <w:wordWrap w:val="0"/>
        <w:adjustRightInd w:val="0"/>
        <w:spacing w:line="440" w:lineRule="exact"/>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3.5 资格审查资料</w:t>
      </w:r>
    </w:p>
    <w:p w14:paraId="73889238">
      <w:pPr>
        <w:wordWrap w:val="0"/>
        <w:adjustRightInd w:val="0"/>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除供应商须知前附表另有规定外，供应商应按《响应文件格式》及下列规定提供资格审查资料，以证明其满足本章第 1.4 款规定的资质、财务、业绩、信誉等要求。</w:t>
      </w:r>
    </w:p>
    <w:p w14:paraId="3BD92690">
      <w:pPr>
        <w:wordWrap w:val="0"/>
        <w:adjustRightInd w:val="0"/>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3.5.1 “供应商基本情况”应附供应商营业执照和组织机构代码证的复印件（按照“三证合一”或“五证合一”登记制度进行登记的，可仅提供营业执照副本复印件）、开户许可证等材料的复印件。</w:t>
      </w:r>
    </w:p>
    <w:p w14:paraId="35156A02">
      <w:pPr>
        <w:wordWrap w:val="0"/>
        <w:adjustRightInd w:val="0"/>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3.5.2 “公司财务状况”应附财务报表或财务审计报告，包括资产负债表、现金流量表、利润表和财务情况说明书的复印件，具体年份要求见供应商须知前附表。</w:t>
      </w:r>
    </w:p>
    <w:p w14:paraId="6A7CFF1E">
      <w:pPr>
        <w:wordWrap w:val="0"/>
        <w:adjustRightInd w:val="0"/>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3.5.3 “供应商的信誉情况”应附①参加政府采购活动前3年内在经营活动中没有重大违法记录的书面声明，格式自拟；②“信用中国”及“中国政府采购网”官网截图，具体要求见本章“供应商须知前附表”第3.1.1款；③“中国裁判文书网”行贿犯罪记录官网截图，具体要求见本章“供应商须知前附表”第3.1.1款；④</w:t>
      </w:r>
      <w:r>
        <w:rPr>
          <w:rFonts w:hint="eastAsia" w:ascii="宋体" w:hAnsi="宋体" w:cs="宋体"/>
          <w:bCs/>
          <w:color w:val="auto"/>
          <w:sz w:val="24"/>
          <w:szCs w:val="24"/>
          <w:highlight w:val="none"/>
          <w:lang w:val="zh-CN"/>
        </w:rPr>
        <w:t>发生的诉讼及仲裁情况，如有须提供</w:t>
      </w:r>
      <w:r>
        <w:rPr>
          <w:rFonts w:hint="eastAsia" w:ascii="宋体" w:hAnsi="宋体" w:cs="宋体"/>
          <w:bCs/>
          <w:color w:val="auto"/>
          <w:sz w:val="24"/>
          <w:szCs w:val="24"/>
          <w:highlight w:val="none"/>
        </w:rPr>
        <w:t>法院或仲裁机构作出的判决、裁决等有关法律文书复印件；具体时间要求见供应商须知前附表。</w:t>
      </w:r>
    </w:p>
    <w:p w14:paraId="0C85FF3F">
      <w:pPr>
        <w:wordWrap w:val="0"/>
        <w:adjustRightInd w:val="0"/>
        <w:spacing w:line="440" w:lineRule="exact"/>
        <w:ind w:firstLine="480"/>
        <w:rPr>
          <w:rFonts w:hint="eastAsia" w:ascii="宋体" w:hAnsi="宋体" w:cs="宋体"/>
          <w:bCs/>
          <w:color w:val="auto"/>
          <w:sz w:val="24"/>
          <w:szCs w:val="24"/>
          <w:highlight w:val="none"/>
        </w:rPr>
      </w:pPr>
      <w:r>
        <w:rPr>
          <w:rFonts w:hint="eastAsia" w:ascii="宋体" w:hAnsi="宋体" w:cs="宋体"/>
          <w:bCs/>
          <w:color w:val="auto"/>
          <w:sz w:val="24"/>
          <w:szCs w:val="24"/>
          <w:highlight w:val="none"/>
        </w:rPr>
        <w:t>3.5.4 供应商须知前附表规定接受联合体投标的，本章第 3.5.1 款至第 3.5.3 款规定的表格和资料应包括联合体各方相关情况。</w:t>
      </w:r>
    </w:p>
    <w:p w14:paraId="0D48BB88">
      <w:pPr>
        <w:wordWrap w:val="0"/>
        <w:adjustRightInd w:val="0"/>
        <w:spacing w:line="440" w:lineRule="exact"/>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3.6 备选投标方案</w:t>
      </w:r>
    </w:p>
    <w:p w14:paraId="456B7190">
      <w:pPr>
        <w:wordWrap w:val="0"/>
        <w:adjustRightInd w:val="0"/>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3.6.1 除供应商须知前附表规定允许外，供应商不得递交备选投标方案，否则其投标将被否决。</w:t>
      </w:r>
    </w:p>
    <w:p w14:paraId="27EC0E8A">
      <w:pPr>
        <w:wordWrap w:val="0"/>
        <w:adjustRightInd w:val="0"/>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3.6.2 允许供应商递交备选投标响应方案的，只有成交供应商所递交的备选投标响应方案方可予以考虑。磋商小组认为成交供应商的备选投标响应方案优于其按照磋商文件要求编制的投标响应方案的，采购人可以接受该备选投标响应方案。</w:t>
      </w:r>
    </w:p>
    <w:p w14:paraId="17B514C4">
      <w:pPr>
        <w:wordWrap w:val="0"/>
        <w:adjustRightInd w:val="0"/>
        <w:spacing w:line="440" w:lineRule="exact"/>
        <w:ind w:firstLine="480"/>
        <w:rPr>
          <w:rFonts w:hint="eastAsia" w:ascii="宋体" w:hAnsi="宋体" w:cs="宋体"/>
          <w:bCs/>
          <w:color w:val="auto"/>
          <w:sz w:val="24"/>
          <w:szCs w:val="24"/>
          <w:highlight w:val="none"/>
        </w:rPr>
      </w:pPr>
      <w:r>
        <w:rPr>
          <w:rFonts w:hint="eastAsia" w:ascii="宋体" w:hAnsi="宋体" w:cs="宋体"/>
          <w:bCs/>
          <w:color w:val="auto"/>
          <w:sz w:val="24"/>
          <w:szCs w:val="24"/>
          <w:highlight w:val="none"/>
        </w:rPr>
        <w:t>3.6.3 供应商提供两个或两个以上投标报价，或者在响应文件中提供一个报价，但同时提供两个或两个以上技术方案的，视为提供备选方案。</w:t>
      </w:r>
    </w:p>
    <w:p w14:paraId="1AD4ADCA">
      <w:pPr>
        <w:wordWrap w:val="0"/>
        <w:adjustRightInd w:val="0"/>
        <w:spacing w:line="440" w:lineRule="exact"/>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3.7 响应文件的编制</w:t>
      </w:r>
    </w:p>
    <w:p w14:paraId="6A35F7A8">
      <w:pPr>
        <w:wordWrap w:val="0"/>
        <w:adjustRightInd w:val="0"/>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3.7.1 响应文件应按第六章“响应文件格式”及本章条款要求进行编写，否则均视为无效投标情形，由此引发的后果由投标供应商自行负责。如有必要，可以增加附页，作为响应文件的组成部分。其中，商务条款在满足询价文件实质性要求的基础上，可以提出比询价文件要求更有利于采购人的承诺。</w:t>
      </w:r>
    </w:p>
    <w:p w14:paraId="17FAA800">
      <w:pPr>
        <w:wordWrap w:val="0"/>
        <w:adjustRightInd w:val="0"/>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3.7.2 响应文件应当对询价文件有关供货期、投标有效期、招标范围、质保期、质保金等实质性条款内容作出响应。</w:t>
      </w:r>
    </w:p>
    <w:p w14:paraId="1DF2ABF7">
      <w:pPr>
        <w:wordWrap w:val="0"/>
        <w:adjustRightInd w:val="0"/>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3.7.3（1）响应文件应按询价文件所提供的响应文件格式标准制作，签字或盖章应清晰，易于识别，要求签字盖章处必须签字盖章，严禁代签和仿造行为。电子版响应文件加盖的公章盖电子印章、法定代表人签字处加盖电子个人签名、委托代理人手写签字；纸质版响应文件必须使用从响应文件制作工具中生成的响应文件（打印版）进行单面打印并加盖公章鲜章、签字必须由供应商的法定代表人或委托代理人亲笔手写签字（包括姓和名），签字处不得使用印章（如签名章、签字章等）代替，也不得由他人代签，由委托代理人签字的，响应文件应附法定代表人签署的授权委托书。响应文件应尽量避免涂改、行间插字或删除。如果出现上述情况，改动之处应加盖公章并由供应商的法定代表人或委托代理人签字确认。</w:t>
      </w:r>
    </w:p>
    <w:p w14:paraId="2B299D87">
      <w:pPr>
        <w:wordWrap w:val="0"/>
        <w:adjustRightInd w:val="0"/>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2）纸质版响应文件应用不褪色的材料书写或打印，正本是必须彩色打印并加盖供应商公章鲜章并手书签字，副本可以是正本的复印件，但应加盖骑页公章，并在封面标明“正本”、“副本”字样，当正本与副本内容不一致时，以正本为准。响应文件因内容不全或关键字迹模糊、无法辨认、字迹潦草或表达不清引起的后果，由供应商自行负责。</w:t>
      </w:r>
    </w:p>
    <w:p w14:paraId="0D793A85">
      <w:pPr>
        <w:wordWrap w:val="0"/>
        <w:adjustRightInd w:val="0"/>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（3）纸质版响应文件的装订要整齐、牢固、采用左侧纵向无线胶订机胶订，自行编制目录（对应页码），使用标准的宋体字、A4纸打印胶装装订成册，响应文件需分册装订的，具体要求见供应商须知前附表规定。</w:t>
      </w:r>
    </w:p>
    <w:p w14:paraId="7B28EE1E">
      <w:pPr>
        <w:wordWrap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（4）</w:t>
      </w:r>
      <w:r>
        <w:rPr>
          <w:rFonts w:hint="eastAsia" w:ascii="宋体" w:hAnsi="宋体" w:cs="宋体"/>
          <w:bCs/>
          <w:color w:val="auto"/>
          <w:sz w:val="24"/>
          <w:szCs w:val="24"/>
          <w:highlight w:val="none"/>
          <w:lang w:val="zh-CN"/>
        </w:rPr>
        <w:t>响应文件的补充递交，具体要求见供应商须知前附表规定。</w:t>
      </w:r>
    </w:p>
    <w:p w14:paraId="7F604194">
      <w:pPr>
        <w:wordWrap w:val="0"/>
        <w:adjustRightInd w:val="0"/>
        <w:spacing w:line="440" w:lineRule="exact"/>
        <w:jc w:val="left"/>
        <w:rPr>
          <w:rFonts w:hint="eastAsia" w:ascii="宋体" w:hAnsi="宋体" w:cs="宋体"/>
          <w:b/>
          <w:color w:val="auto"/>
          <w:sz w:val="28"/>
          <w:szCs w:val="28"/>
          <w:highlight w:val="none"/>
          <w:lang w:val="zh-CN"/>
        </w:rPr>
      </w:pPr>
      <w:r>
        <w:rPr>
          <w:rFonts w:hint="eastAsia" w:ascii="宋体" w:hAnsi="宋体" w:cs="宋体"/>
          <w:b/>
          <w:color w:val="auto"/>
          <w:sz w:val="28"/>
          <w:szCs w:val="28"/>
          <w:highlight w:val="none"/>
          <w:lang w:val="zh-CN"/>
        </w:rPr>
        <w:t>4.投标</w:t>
      </w:r>
    </w:p>
    <w:p w14:paraId="037EF04E">
      <w:pPr>
        <w:wordWrap w:val="0"/>
        <w:spacing w:line="440" w:lineRule="exact"/>
        <w:rPr>
          <w:rFonts w:hint="eastAsia" w:ascii="宋体" w:hAnsi="宋体" w:cs="宋体"/>
          <w:b/>
          <w:bCs/>
          <w:color w:val="auto"/>
          <w:sz w:val="24"/>
          <w:szCs w:val="24"/>
          <w:highlight w:val="none"/>
          <w:lang w:val="zh-CN"/>
        </w:rPr>
      </w:pPr>
      <w:bookmarkStart w:id="22" w:name="_Toc30156082"/>
      <w:bookmarkStart w:id="23" w:name="_Toc201719090"/>
      <w:bookmarkStart w:id="24" w:name="_Toc10534"/>
      <w:bookmarkStart w:id="25" w:name="_Toc28681"/>
      <w:r>
        <w:rPr>
          <w:rFonts w:hint="eastAsia" w:ascii="宋体" w:hAnsi="宋体" w:cs="宋体"/>
          <w:b/>
          <w:bCs/>
          <w:color w:val="auto"/>
          <w:sz w:val="24"/>
          <w:szCs w:val="24"/>
          <w:highlight w:val="none"/>
          <w:lang w:val="zh-CN"/>
        </w:rPr>
        <w:t xml:space="preserve">4.1 </w:t>
      </w:r>
      <w:bookmarkEnd w:id="22"/>
      <w:bookmarkEnd w:id="23"/>
      <w:r>
        <w:rPr>
          <w:rFonts w:hint="eastAsia" w:ascii="宋体" w:hAnsi="宋体" w:cs="宋体"/>
          <w:b/>
          <w:bCs/>
          <w:color w:val="auto"/>
          <w:sz w:val="24"/>
          <w:szCs w:val="24"/>
          <w:highlight w:val="none"/>
          <w:lang w:val="zh-CN"/>
        </w:rPr>
        <w:t>响应文件的保密</w:t>
      </w:r>
      <w:bookmarkEnd w:id="24"/>
      <w:bookmarkEnd w:id="25"/>
    </w:p>
    <w:p w14:paraId="36740C3F">
      <w:pPr>
        <w:wordWrap w:val="0"/>
        <w:adjustRightInd w:val="0"/>
        <w:spacing w:line="440" w:lineRule="exact"/>
        <w:ind w:firstLine="480" w:firstLineChars="200"/>
        <w:jc w:val="left"/>
        <w:rPr>
          <w:rFonts w:hint="eastAsia" w:ascii="宋体" w:hAnsi="宋体" w:cs="宋体"/>
          <w:bCs/>
          <w:color w:val="auto"/>
          <w:kern w:val="0"/>
          <w:sz w:val="24"/>
          <w:szCs w:val="24"/>
          <w:highlight w:val="none"/>
        </w:rPr>
      </w:pPr>
      <w:bookmarkStart w:id="26" w:name="_Toc10334"/>
      <w:bookmarkStart w:id="27" w:name="_Toc31814"/>
      <w:r>
        <w:rPr>
          <w:rFonts w:hint="eastAsia" w:ascii="宋体" w:hAnsi="宋体" w:cs="宋体"/>
          <w:bCs/>
          <w:color w:val="auto"/>
          <w:kern w:val="0"/>
          <w:sz w:val="24"/>
          <w:szCs w:val="24"/>
          <w:highlight w:val="none"/>
        </w:rPr>
        <w:t>4.1.1 供应商应当按照磋商文件和电子招标投标交易平台的要求加密响应文件，具体要求见供应商须知前附表。</w:t>
      </w:r>
    </w:p>
    <w:p w14:paraId="1D2CE899">
      <w:pPr>
        <w:wordWrap w:val="0"/>
        <w:adjustRightInd w:val="0"/>
        <w:spacing w:line="440" w:lineRule="exact"/>
        <w:ind w:firstLine="480" w:firstLineChars="20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4.1.2 未按本章第 4.1.1 项要求加密的响应文件，采购人将予以拒收。</w:t>
      </w:r>
    </w:p>
    <w:p w14:paraId="6451FD63">
      <w:pPr>
        <w:wordWrap w:val="0"/>
        <w:spacing w:line="440" w:lineRule="exac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4.2 响应文件的递交</w:t>
      </w:r>
      <w:bookmarkEnd w:id="26"/>
      <w:bookmarkEnd w:id="27"/>
    </w:p>
    <w:p w14:paraId="46990EE3">
      <w:pPr>
        <w:wordWrap w:val="0"/>
        <w:adjustRightInd w:val="0"/>
        <w:spacing w:line="440" w:lineRule="exact"/>
        <w:ind w:firstLine="480" w:firstLineChars="200"/>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4.2.1 供应商应在供应商须知前附表规定的供应商上传提交响应文件的截止时间(开标时间）前递交响应文件。</w:t>
      </w:r>
    </w:p>
    <w:p w14:paraId="065B367C">
      <w:pPr>
        <w:wordWrap w:val="0"/>
        <w:adjustRightInd w:val="0"/>
        <w:spacing w:line="440" w:lineRule="exact"/>
        <w:ind w:firstLine="480"/>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4.2.2 供应商上传提交响应文件的平台：见供应商须知前附表。</w:t>
      </w:r>
    </w:p>
    <w:p w14:paraId="73D383B1">
      <w:pPr>
        <w:wordWrap w:val="0"/>
        <w:adjustRightInd w:val="0"/>
        <w:spacing w:line="440" w:lineRule="exact"/>
        <w:ind w:firstLine="480"/>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4.2.3 除供应商须知前附表另有规定外，供应商所递交的响应文件不予退还。</w:t>
      </w:r>
    </w:p>
    <w:p w14:paraId="741F286A">
      <w:pPr>
        <w:wordWrap w:val="0"/>
        <w:adjustRightInd w:val="0"/>
        <w:spacing w:line="440" w:lineRule="exact"/>
        <w:ind w:firstLine="480"/>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4.2.</w:t>
      </w:r>
      <w:r>
        <w:rPr>
          <w:rFonts w:hint="eastAsia" w:ascii="宋体" w:hAnsi="宋体" w:cs="宋体"/>
          <w:bCs/>
          <w:color w:val="auto"/>
          <w:sz w:val="24"/>
          <w:highlight w:val="none"/>
        </w:rPr>
        <w:t>4</w:t>
      </w:r>
      <w:r>
        <w:rPr>
          <w:rFonts w:hint="eastAsia" w:ascii="宋体" w:hAnsi="宋体" w:cs="宋体"/>
          <w:bCs/>
          <w:color w:val="auto"/>
          <w:sz w:val="24"/>
          <w:highlight w:val="none"/>
          <w:lang w:val="zh-CN"/>
        </w:rPr>
        <w:t xml:space="preserve"> 首次招标响应文件提交截止时间结束后供应商不足三家的，将重新招标；重新招标仍出现本款前述情形的，可按本须知正文第11款的规定办理。</w:t>
      </w:r>
    </w:p>
    <w:p w14:paraId="69411D2D">
      <w:pPr>
        <w:wordWrap w:val="0"/>
        <w:adjustRightInd w:val="0"/>
        <w:spacing w:line="440" w:lineRule="exact"/>
        <w:ind w:firstLine="480"/>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4.2.</w:t>
      </w:r>
      <w:r>
        <w:rPr>
          <w:rFonts w:hint="eastAsia" w:ascii="宋体" w:hAnsi="宋体" w:cs="宋体"/>
          <w:bCs/>
          <w:color w:val="auto"/>
          <w:sz w:val="24"/>
          <w:highlight w:val="none"/>
        </w:rPr>
        <w:t>5</w:t>
      </w:r>
      <w:r>
        <w:rPr>
          <w:rFonts w:hint="eastAsia" w:ascii="宋体" w:hAnsi="宋体" w:cs="宋体"/>
          <w:bCs/>
          <w:color w:val="auto"/>
          <w:sz w:val="24"/>
          <w:highlight w:val="none"/>
          <w:lang w:val="zh-CN"/>
        </w:rPr>
        <w:t xml:space="preserve"> 采购人在任何时候发现供应商提交的响应文件内容有下列情形之一时，将给予废标、解除合同及赔偿损失，同时有权依法追究供应商的责任：</w:t>
      </w:r>
    </w:p>
    <w:p w14:paraId="41D3CDC1">
      <w:pPr>
        <w:wordWrap w:val="0"/>
        <w:adjustRightInd w:val="0"/>
        <w:spacing w:line="440" w:lineRule="exact"/>
        <w:ind w:firstLine="480"/>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（1）虚假的资料。</w:t>
      </w:r>
    </w:p>
    <w:p w14:paraId="72217AE4">
      <w:pPr>
        <w:wordWrap w:val="0"/>
        <w:adjustRightInd w:val="0"/>
        <w:spacing w:line="440" w:lineRule="exact"/>
        <w:ind w:firstLine="480"/>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（2）在实质性方面失实。</w:t>
      </w:r>
    </w:p>
    <w:p w14:paraId="636D9F11">
      <w:pPr>
        <w:wordWrap w:val="0"/>
        <w:adjustRightInd w:val="0"/>
        <w:spacing w:line="440" w:lineRule="exact"/>
        <w:jc w:val="left"/>
        <w:rPr>
          <w:rFonts w:hint="eastAsia" w:ascii="宋体" w:hAnsi="宋体" w:cs="宋体"/>
          <w:b/>
          <w:color w:val="auto"/>
          <w:sz w:val="28"/>
          <w:szCs w:val="28"/>
          <w:highlight w:val="none"/>
          <w:lang w:val="zh-CN"/>
        </w:rPr>
      </w:pPr>
      <w:r>
        <w:rPr>
          <w:rFonts w:hint="eastAsia" w:ascii="宋体" w:hAnsi="宋体" w:cs="宋体"/>
          <w:b/>
          <w:color w:val="auto"/>
          <w:sz w:val="28"/>
          <w:szCs w:val="28"/>
          <w:highlight w:val="none"/>
          <w:lang w:val="zh-CN"/>
        </w:rPr>
        <w:t>5.开标</w:t>
      </w:r>
    </w:p>
    <w:p w14:paraId="67E53BF0">
      <w:pPr>
        <w:wordWrap w:val="0"/>
        <w:adjustRightInd w:val="0"/>
        <w:spacing w:line="440" w:lineRule="exact"/>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5.1</w:t>
      </w:r>
      <w:r>
        <w:rPr>
          <w:rFonts w:hint="eastAsia" w:ascii="宋体" w:hAnsi="宋体" w:cs="宋体"/>
          <w:b/>
          <w:bCs/>
          <w:color w:val="auto"/>
          <w:sz w:val="24"/>
          <w:szCs w:val="24"/>
          <w:highlight w:val="none"/>
        </w:rPr>
        <w:t>开标时间</w:t>
      </w:r>
      <w:r>
        <w:rPr>
          <w:rFonts w:hint="eastAsia" w:ascii="宋体" w:hAnsi="宋体" w:cs="宋体"/>
          <w:b/>
          <w:bCs/>
          <w:color w:val="auto"/>
          <w:sz w:val="24"/>
          <w:szCs w:val="24"/>
          <w:highlight w:val="none"/>
          <w:lang w:val="zh-CN"/>
        </w:rPr>
        <w:t>和地点</w:t>
      </w:r>
    </w:p>
    <w:p w14:paraId="3945E94B">
      <w:pPr>
        <w:wordWrap w:val="0"/>
        <w:adjustRightInd w:val="0"/>
        <w:spacing w:line="440" w:lineRule="exact"/>
        <w:ind w:firstLine="480" w:firstLineChars="200"/>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采购人在本章第4.</w:t>
      </w:r>
      <w:r>
        <w:rPr>
          <w:rFonts w:hint="eastAsia" w:ascii="宋体" w:hAnsi="宋体" w:cs="宋体"/>
          <w:bCs/>
          <w:color w:val="auto"/>
          <w:sz w:val="24"/>
          <w:highlight w:val="none"/>
        </w:rPr>
        <w:t>2.1</w:t>
      </w:r>
      <w:r>
        <w:rPr>
          <w:rFonts w:hint="eastAsia" w:ascii="宋体" w:hAnsi="宋体" w:cs="宋体"/>
          <w:bCs/>
          <w:color w:val="auto"/>
          <w:sz w:val="24"/>
          <w:highlight w:val="none"/>
          <w:lang w:val="zh-CN"/>
        </w:rPr>
        <w:t>项规定的供应商上传提交响应文件的截止时间(开标时间）和供应商须知前附表规定的地点开标。</w:t>
      </w:r>
    </w:p>
    <w:p w14:paraId="626D6544">
      <w:pPr>
        <w:wordWrap w:val="0"/>
        <w:adjustRightInd w:val="0"/>
        <w:spacing w:line="440" w:lineRule="exact"/>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5.2 开标程序</w:t>
      </w:r>
    </w:p>
    <w:p w14:paraId="31AFC2D0">
      <w:pPr>
        <w:tabs>
          <w:tab w:val="left" w:pos="760"/>
        </w:tabs>
        <w:wordWrap w:val="0"/>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开标由采购人或者采购代理机构主持</w:t>
      </w:r>
      <w:r>
        <w:rPr>
          <w:rFonts w:hint="eastAsia" w:ascii="宋体" w:hAnsi="宋体" w:cs="宋体"/>
          <w:bCs/>
          <w:color w:val="auto"/>
          <w:sz w:val="24"/>
          <w:szCs w:val="24"/>
          <w:highlight w:val="none"/>
          <w:lang w:val="zh-CN"/>
        </w:rPr>
        <w:t>。</w:t>
      </w:r>
    </w:p>
    <w:p w14:paraId="66544CA3">
      <w:pPr>
        <w:wordWrap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主持人按下列程序进行开标：</w:t>
      </w:r>
    </w:p>
    <w:p w14:paraId="74C8E62E">
      <w:pPr>
        <w:wordWrap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（1）宣布开标纪律；</w:t>
      </w:r>
    </w:p>
    <w:p w14:paraId="3CA15B15">
      <w:pPr>
        <w:wordWrap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（2）查看并公布投标报名名单；</w:t>
      </w:r>
    </w:p>
    <w:p w14:paraId="6F9C12E4">
      <w:pPr>
        <w:wordWrap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（3）宣布开标人、唱标人、监标人等有关人员；</w:t>
      </w:r>
    </w:p>
    <w:p w14:paraId="285E33AB">
      <w:pPr>
        <w:wordWrap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（4）采购人或者采购代理机构将按照供应商电子响应文件解密后的第一次开标记录，当众宣读供应商名称、修改和撤回投标的通知、投标价格、服务期限等内容；并在开标后由采购人或者监督人员签字确认。</w:t>
      </w:r>
    </w:p>
    <w:p w14:paraId="47DAE6FD">
      <w:pPr>
        <w:wordWrap w:val="0"/>
        <w:adjustRightInd w:val="0"/>
        <w:spacing w:line="440" w:lineRule="exact"/>
        <w:ind w:firstLine="480" w:firstLineChars="200"/>
        <w:jc w:val="left"/>
        <w:rPr>
          <w:rFonts w:hint="eastAsia" w:ascii="宋体" w:hAnsi="宋体" w:cs="宋体"/>
          <w:b/>
          <w:bCs/>
          <w:color w:val="auto"/>
          <w:sz w:val="24"/>
          <w:szCs w:val="24"/>
          <w:highlight w:val="none"/>
          <w:lang w:val="zh-CN"/>
        </w:rPr>
      </w:pPr>
      <w:r>
        <w:rPr>
          <w:rFonts w:hint="eastAsia" w:ascii="宋体" w:hAnsi="宋体" w:cs="宋体"/>
          <w:bCs/>
          <w:color w:val="auto"/>
          <w:sz w:val="24"/>
          <w:szCs w:val="24"/>
          <w:highlight w:val="none"/>
          <w:lang w:val="zh-CN"/>
        </w:rPr>
        <w:t>（5）开标结束，告知供应商代表等待通知递交最终报价。</w:t>
      </w:r>
    </w:p>
    <w:p w14:paraId="6BC4030D">
      <w:pPr>
        <w:wordWrap w:val="0"/>
        <w:adjustRightInd w:val="0"/>
        <w:spacing w:line="440" w:lineRule="exact"/>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5.3 开标质疑</w:t>
      </w:r>
    </w:p>
    <w:p w14:paraId="33E2C5FE">
      <w:pPr>
        <w:wordWrap w:val="0"/>
        <w:spacing w:line="44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供应商代表对开标过程和开标记录有异议，以及认为采购人、采购代理机构相关工作人员有需要回避的情形的，应当场提出询问或者回避申请。采购人、采购代理机构对供应商代表提出的询问或者回避申请应当及时处理，如当场未提出，过后不予受理。</w:t>
      </w:r>
    </w:p>
    <w:p w14:paraId="7A4769CB">
      <w:pPr>
        <w:wordWrap w:val="0"/>
        <w:adjustRightInd w:val="0"/>
        <w:spacing w:line="44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zh-CN"/>
        </w:rPr>
        <w:t>5.4、供应商</w:t>
      </w:r>
      <w:r>
        <w:rPr>
          <w:rFonts w:hint="eastAsia" w:ascii="宋体" w:hAnsi="宋体" w:cs="宋体"/>
          <w:b/>
          <w:bCs/>
          <w:color w:val="auto"/>
          <w:sz w:val="24"/>
          <w:szCs w:val="24"/>
          <w:highlight w:val="none"/>
        </w:rPr>
        <w:t>存在下列情况之一的，投标无效:</w:t>
      </w:r>
    </w:p>
    <w:p w14:paraId="48433070">
      <w:pPr>
        <w:wordWrap w:val="0"/>
        <w:adjustRightInd w:val="0"/>
        <w:spacing w:line="44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（1）响应文件在规定的响应文件提交截止时间以后未上传的；</w:t>
      </w:r>
    </w:p>
    <w:p w14:paraId="668CC387">
      <w:pPr>
        <w:wordWrap w:val="0"/>
        <w:adjustRightInd w:val="0"/>
        <w:spacing w:line="44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rPr>
        <w:t>）上传的</w:t>
      </w:r>
      <w:r>
        <w:rPr>
          <w:rFonts w:hint="eastAsia" w:ascii="宋体" w:hAnsi="宋体" w:cs="宋体"/>
          <w:color w:val="auto"/>
          <w:sz w:val="24"/>
          <w:szCs w:val="24"/>
          <w:highlight w:val="none"/>
        </w:rPr>
        <w:t>响应文件未按磋商文件要求签署、盖章</w:t>
      </w:r>
      <w:r>
        <w:rPr>
          <w:rFonts w:hint="eastAsia" w:ascii="宋体" w:hAnsi="宋体" w:cs="宋体"/>
          <w:color w:val="auto"/>
          <w:sz w:val="24"/>
          <w:szCs w:val="24"/>
          <w:highlight w:val="none"/>
          <w:lang w:val="zh-CN"/>
        </w:rPr>
        <w:t>的；</w:t>
      </w:r>
    </w:p>
    <w:p w14:paraId="6917D6E6">
      <w:pPr>
        <w:pStyle w:val="5"/>
        <w:wordWrap w:val="0"/>
        <w:spacing w:line="44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rPr>
        <w:t>）上传的响应文件签署、盖章不一致的情形；</w:t>
      </w:r>
    </w:p>
    <w:p w14:paraId="713EE2A8">
      <w:pPr>
        <w:wordWrap w:val="0"/>
        <w:adjustRightInd w:val="0"/>
        <w:spacing w:line="44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rPr>
        <w:t>）供应商所提交的响应文件无效、缺失或者不符合磋商文件的规定；</w:t>
      </w:r>
    </w:p>
    <w:p w14:paraId="642A0178">
      <w:pPr>
        <w:wordWrap w:val="0"/>
        <w:adjustRightInd w:val="0"/>
        <w:spacing w:line="44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不具备磋商文件中规定的资格要求的；</w:t>
      </w:r>
    </w:p>
    <w:p w14:paraId="16C092D4">
      <w:pPr>
        <w:wordWrap w:val="0"/>
        <w:adjustRightInd w:val="0"/>
        <w:spacing w:line="44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zh-CN"/>
        </w:rPr>
        <w:t>）未实质性响应磋商文件要求的其他情形；</w:t>
      </w:r>
    </w:p>
    <w:p w14:paraId="61E30E35">
      <w:pPr>
        <w:wordWrap w:val="0"/>
        <w:adjustRightInd w:val="0"/>
        <w:spacing w:line="44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报价超过磋商文件中规定的预算金额或者最高限价的；</w:t>
      </w:r>
    </w:p>
    <w:p w14:paraId="6DD3D0BA">
      <w:pPr>
        <w:wordWrap w:val="0"/>
        <w:adjustRightInd w:val="0"/>
        <w:spacing w:line="44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）响应文件含有采购人不能接受的附加条件的；</w:t>
      </w:r>
    </w:p>
    <w:p w14:paraId="1B7396D0">
      <w:pPr>
        <w:wordWrap w:val="0"/>
        <w:adjustRightInd w:val="0"/>
        <w:spacing w:line="44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）法律、法规和磋商文件规定的其他无效情形。</w:t>
      </w:r>
    </w:p>
    <w:p w14:paraId="1A8202C3">
      <w:pPr>
        <w:wordWrap w:val="0"/>
        <w:adjustRightInd w:val="0"/>
        <w:spacing w:line="44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存在以上任何一种情况，相关供应商的投标无效，做废标处理。</w:t>
      </w:r>
    </w:p>
    <w:p w14:paraId="34F7A04A">
      <w:pPr>
        <w:wordWrap w:val="0"/>
        <w:adjustRightInd w:val="0"/>
        <w:spacing w:line="440" w:lineRule="exac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5.5、开标时有下列情形之一的，采购人有权宣布本项目废标：</w:t>
      </w:r>
    </w:p>
    <w:p w14:paraId="4E3A6F65">
      <w:pPr>
        <w:wordWrap w:val="0"/>
        <w:adjustRightInd w:val="0"/>
        <w:spacing w:line="44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（1）服务期限符合磋商文件要求的供应商不足三家的；</w:t>
      </w:r>
    </w:p>
    <w:p w14:paraId="3652C7D4">
      <w:pPr>
        <w:wordWrap w:val="0"/>
        <w:adjustRightInd w:val="0"/>
        <w:spacing w:line="44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（2）所有供应商的报价均超过采购项目预算，采购人不能支付的。</w:t>
      </w:r>
    </w:p>
    <w:p w14:paraId="53CA5E34">
      <w:pPr>
        <w:wordWrap w:val="0"/>
        <w:adjustRightInd w:val="0"/>
        <w:spacing w:line="44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首次招标废标后将重新招标，重新招标仍出现本款情形的，可按本须知第11款的规定处理。</w:t>
      </w:r>
    </w:p>
    <w:p w14:paraId="048B1B12">
      <w:pPr>
        <w:wordWrap w:val="0"/>
        <w:adjustRightInd w:val="0"/>
        <w:spacing w:line="440" w:lineRule="exact"/>
        <w:jc w:val="left"/>
        <w:rPr>
          <w:rFonts w:hint="eastAsia" w:ascii="宋体" w:hAnsi="宋体" w:cs="宋体"/>
          <w:b/>
          <w:color w:val="auto"/>
          <w:sz w:val="28"/>
          <w:szCs w:val="28"/>
          <w:highlight w:val="none"/>
          <w:lang w:val="zh-CN"/>
        </w:rPr>
      </w:pPr>
      <w:r>
        <w:rPr>
          <w:rFonts w:hint="eastAsia" w:ascii="宋体" w:hAnsi="宋体" w:cs="宋体"/>
          <w:b/>
          <w:color w:val="auto"/>
          <w:sz w:val="28"/>
          <w:szCs w:val="28"/>
          <w:highlight w:val="none"/>
          <w:lang w:val="zh-CN"/>
        </w:rPr>
        <w:t>6.评标</w:t>
      </w:r>
    </w:p>
    <w:p w14:paraId="179EAA88">
      <w:pPr>
        <w:wordWrap w:val="0"/>
        <w:adjustRightInd w:val="0"/>
        <w:spacing w:line="440" w:lineRule="exact"/>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6.1 磋商小组</w:t>
      </w:r>
    </w:p>
    <w:p w14:paraId="3594A812">
      <w:pPr>
        <w:tabs>
          <w:tab w:val="left" w:pos="760"/>
        </w:tabs>
        <w:wordWrap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bCs/>
          <w:color w:val="auto"/>
          <w:sz w:val="24"/>
          <w:szCs w:val="24"/>
          <w:highlight w:val="none"/>
          <w:lang w:val="zh-CN"/>
        </w:rPr>
        <w:t>6.1.1 评标由采购人依法组建的磋商小组负责。评审专家由采购人或其委托的采购代理机构熟悉相关业务的代表，以及有关技术、经济等方面的专家组成。磋商小组成员人数以及技术、经济等方面评审专家的确定方式见供应商须知前附表。</w:t>
      </w:r>
      <w:r>
        <w:rPr>
          <w:rFonts w:hint="eastAsia" w:ascii="宋体" w:hAnsi="宋体" w:cs="宋体"/>
          <w:color w:val="auto"/>
          <w:sz w:val="24"/>
          <w:szCs w:val="24"/>
          <w:highlight w:val="none"/>
          <w:lang w:val="zh-CN"/>
        </w:rPr>
        <w:t>需要设立磋商小组主任的，磋商小组主任由评审专家担任，由磋商小组成员选举产生，负责主持具体评标工作。磋商小组根据有关法律法规和磋商文件规定的评标方法和标准，</w:t>
      </w:r>
      <w:r>
        <w:rPr>
          <w:rFonts w:hint="eastAsia" w:ascii="宋体" w:hAnsi="宋体" w:cs="宋体"/>
          <w:color w:val="auto"/>
          <w:sz w:val="24"/>
          <w:szCs w:val="24"/>
          <w:highlight w:val="none"/>
        </w:rPr>
        <w:t>对符合性审查合格的响应文件进行商务和技术评估，综合比较与评价</w:t>
      </w:r>
      <w:r>
        <w:rPr>
          <w:rFonts w:hint="eastAsia" w:ascii="宋体" w:hAnsi="宋体" w:cs="宋体"/>
          <w:color w:val="auto"/>
          <w:sz w:val="24"/>
          <w:szCs w:val="24"/>
          <w:highlight w:val="none"/>
          <w:lang w:val="zh-CN"/>
        </w:rPr>
        <w:t>，负责完成评标的全过程直至评定预成交供应商。</w:t>
      </w:r>
    </w:p>
    <w:p w14:paraId="3D307547">
      <w:pPr>
        <w:tabs>
          <w:tab w:val="left" w:pos="760"/>
        </w:tabs>
        <w:wordWrap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6.1.2 磋商小组成员有下列情形之一的，应当回避：</w:t>
      </w:r>
    </w:p>
    <w:p w14:paraId="25054C74">
      <w:pPr>
        <w:tabs>
          <w:tab w:val="left" w:pos="760"/>
        </w:tabs>
        <w:wordWrap w:val="0"/>
        <w:spacing w:line="440" w:lineRule="exact"/>
        <w:ind w:firstLine="360" w:firstLineChars="15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（1）供应商或供应商主要负责人的近亲属；</w:t>
      </w:r>
    </w:p>
    <w:p w14:paraId="184919A1">
      <w:pPr>
        <w:tabs>
          <w:tab w:val="left" w:pos="760"/>
        </w:tabs>
        <w:wordWrap w:val="0"/>
        <w:spacing w:line="440" w:lineRule="exact"/>
        <w:ind w:firstLine="360" w:firstLineChars="15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（2）项目主管部门或者行政监督部门的人员；</w:t>
      </w:r>
    </w:p>
    <w:p w14:paraId="11460044">
      <w:pPr>
        <w:tabs>
          <w:tab w:val="left" w:pos="760"/>
        </w:tabs>
        <w:wordWrap w:val="0"/>
        <w:spacing w:line="440" w:lineRule="exact"/>
        <w:ind w:firstLine="360" w:firstLineChars="15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（3）与供应商有经济利益关系，可能影响对投标公正评审的；</w:t>
      </w:r>
    </w:p>
    <w:p w14:paraId="40A05B1B">
      <w:pPr>
        <w:tabs>
          <w:tab w:val="left" w:pos="760"/>
        </w:tabs>
        <w:wordWrap w:val="0"/>
        <w:spacing w:line="440" w:lineRule="exact"/>
        <w:ind w:firstLine="360" w:firstLineChars="15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（4）曾因在招标、评标以及其他与招标投标有关活动中从事违法行为而受过行政处罚或刑事处罚的；</w:t>
      </w:r>
    </w:p>
    <w:p w14:paraId="15044B8E">
      <w:pPr>
        <w:tabs>
          <w:tab w:val="left" w:pos="760"/>
        </w:tabs>
        <w:wordWrap w:val="0"/>
        <w:spacing w:line="440" w:lineRule="exact"/>
        <w:ind w:firstLine="360" w:firstLineChars="15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（5）与供应商有其他利害关系。</w:t>
      </w:r>
    </w:p>
    <w:p w14:paraId="476CDB16">
      <w:pPr>
        <w:tabs>
          <w:tab w:val="left" w:pos="760"/>
        </w:tabs>
        <w:wordWrap w:val="0"/>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zh-CN"/>
        </w:rPr>
        <w:t>6.1.3 评标过程中，</w:t>
      </w:r>
      <w:r>
        <w:rPr>
          <w:rFonts w:hint="eastAsia" w:ascii="宋体" w:hAnsi="宋体" w:cs="宋体"/>
          <w:bCs/>
          <w:color w:val="auto"/>
          <w:sz w:val="24"/>
          <w:szCs w:val="24"/>
          <w:highlight w:val="none"/>
        </w:rPr>
        <w:t>因磋商小组成员缺席、回避或者健康等特殊原因导致磋商小组组成不符合本办法规定的，采购人或者采购代理机构应当依法补足后继续评标。被更换的磋商小组成员所作出的评标意见无效。</w:t>
      </w:r>
    </w:p>
    <w:p w14:paraId="4AA378B6">
      <w:pPr>
        <w:wordWrap w:val="0"/>
        <w:adjustRightInd w:val="0"/>
        <w:spacing w:line="440" w:lineRule="exact"/>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6.2 评标原则</w:t>
      </w:r>
    </w:p>
    <w:p w14:paraId="0B09D33C">
      <w:pPr>
        <w:wordWrap w:val="0"/>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评标活动遵循公平、公正、科学和择优的原则。</w:t>
      </w:r>
    </w:p>
    <w:p w14:paraId="3631EEF7">
      <w:pPr>
        <w:wordWrap w:val="0"/>
        <w:adjustRightInd w:val="0"/>
        <w:spacing w:line="440" w:lineRule="exact"/>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6.3 评标</w:t>
      </w:r>
    </w:p>
    <w:p w14:paraId="69F20ADC">
      <w:pPr>
        <w:tabs>
          <w:tab w:val="left" w:pos="760"/>
        </w:tabs>
        <w:wordWrap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6.3.1按照本章及第三章“评标办法”规定的方法、评审因素、标准和程序对响应文件进行评审。本章及第三章“评标办法”没有规定的方法、评审因素和标准，不作为评标依据。</w:t>
      </w:r>
    </w:p>
    <w:p w14:paraId="002B1CAB">
      <w:pPr>
        <w:wordWrap w:val="0"/>
        <w:adjustRightInd w:val="0"/>
        <w:spacing w:line="440" w:lineRule="exact"/>
        <w:ind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6.3.2 评标完成后，磋商小组应当向采购人提交书面评审报告和成交候选供应商名单。磋商小组推荐成交候选供应商的人数见供应商须知前附表。</w:t>
      </w:r>
    </w:p>
    <w:p w14:paraId="7E96670B">
      <w:pPr>
        <w:wordWrap w:val="0"/>
        <w:adjustRightInd w:val="0"/>
        <w:spacing w:line="44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6.3.3 审查是否所有供应商的报价均超过最高投标限价：</w:t>
      </w:r>
    </w:p>
    <w:p w14:paraId="01E3E98D">
      <w:pPr>
        <w:wordWrap w:val="0"/>
        <w:adjustRightInd w:val="0"/>
        <w:spacing w:line="44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根据《中华人民共和国政府采购法》的规定，所有供应商的报价均超过最高投标限价，采购人不能支付的，应予废标。</w:t>
      </w:r>
    </w:p>
    <w:p w14:paraId="13B30658">
      <w:pPr>
        <w:wordWrap w:val="0"/>
        <w:adjustRightInd w:val="0"/>
        <w:spacing w:line="44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6.3.4 审查供应商是否存在串通投标行为：</w:t>
      </w:r>
    </w:p>
    <w:p w14:paraId="571F111D">
      <w:pPr>
        <w:wordWrap w:val="0"/>
        <w:adjustRightInd w:val="0"/>
        <w:spacing w:line="44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磋商小组发现供应商有下列情形之一的，将认定属于串通投标行为，相关供应商的投标应作废标处理。评标结束后，招标机构将以书面形式报告本级财政部门：</w:t>
      </w:r>
    </w:p>
    <w:p w14:paraId="753FA059">
      <w:pPr>
        <w:wordWrap w:val="0"/>
        <w:adjustRightInd w:val="0"/>
        <w:spacing w:line="44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（1）不同供应商的响应文件中错、漏之处相同的；</w:t>
      </w:r>
    </w:p>
    <w:p w14:paraId="146CAF5D">
      <w:pPr>
        <w:wordWrap w:val="0"/>
        <w:adjustRightInd w:val="0"/>
        <w:spacing w:line="44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（2）不同供应商的响应文件相互混装的，或者相互加盖了对方公章的，或者相互出现了对方法定代表人或者委托代理人签名的，或者相互书写了对方名称的；</w:t>
      </w:r>
    </w:p>
    <w:p w14:paraId="01742990">
      <w:pPr>
        <w:wordWrap w:val="0"/>
        <w:adjustRightInd w:val="0"/>
        <w:spacing w:line="44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（3）一家供应商的响应文件中加盖了另一家供应商公章的；</w:t>
      </w:r>
    </w:p>
    <w:p w14:paraId="297D92BD">
      <w:pPr>
        <w:wordWrap w:val="0"/>
        <w:adjustRightInd w:val="0"/>
        <w:spacing w:line="44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（4）</w:t>
      </w:r>
      <w:r>
        <w:rPr>
          <w:rFonts w:hint="eastAsia" w:ascii="宋体" w:hAnsi="宋体" w:cs="宋体"/>
          <w:color w:val="auto"/>
          <w:sz w:val="24"/>
          <w:szCs w:val="24"/>
          <w:highlight w:val="none"/>
        </w:rPr>
        <w:t>不同供应商的响应文件载明的项目管理成员或者联系人员为同一人</w:t>
      </w:r>
      <w:r>
        <w:rPr>
          <w:rFonts w:hint="eastAsia" w:ascii="宋体" w:hAnsi="宋体" w:cs="宋体"/>
          <w:color w:val="auto"/>
          <w:sz w:val="24"/>
          <w:szCs w:val="24"/>
          <w:highlight w:val="none"/>
          <w:lang w:val="zh-CN"/>
        </w:rPr>
        <w:t>；</w:t>
      </w:r>
    </w:p>
    <w:p w14:paraId="77230C37">
      <w:pPr>
        <w:wordWrap w:val="0"/>
        <w:adjustRightInd w:val="0"/>
        <w:spacing w:line="44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（5）</w:t>
      </w:r>
      <w:r>
        <w:rPr>
          <w:rFonts w:hint="eastAsia" w:ascii="宋体" w:hAnsi="宋体" w:cs="宋体"/>
          <w:color w:val="auto"/>
          <w:sz w:val="24"/>
          <w:szCs w:val="24"/>
          <w:highlight w:val="none"/>
        </w:rPr>
        <w:t>不同供应商的响应文件异常一致或者投标报价呈规律性差异</w:t>
      </w:r>
      <w:r>
        <w:rPr>
          <w:rFonts w:hint="eastAsia" w:ascii="宋体" w:hAnsi="宋体" w:cs="宋体"/>
          <w:color w:val="auto"/>
          <w:sz w:val="24"/>
          <w:szCs w:val="24"/>
          <w:highlight w:val="none"/>
          <w:lang w:val="zh-CN"/>
        </w:rPr>
        <w:t>；</w:t>
      </w:r>
    </w:p>
    <w:p w14:paraId="39038099">
      <w:pPr>
        <w:wordWrap w:val="0"/>
        <w:adjustRightInd w:val="0"/>
        <w:spacing w:line="44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（6）不同供应商的响应文件中相关内容的段落、字句、售后服务电话、联系人姓名等非正常一致的；</w:t>
      </w:r>
    </w:p>
    <w:p w14:paraId="23814714">
      <w:pPr>
        <w:wordWrap w:val="0"/>
        <w:adjustRightInd w:val="0"/>
        <w:spacing w:line="44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（7）一家供应商的响应文件中装订了标有另一家供应商名称的文件材料，或者出现了另一家法定代表人或者授予代理人签名的，其投标作废标处理；</w:t>
      </w:r>
    </w:p>
    <w:p w14:paraId="46320D1F">
      <w:pPr>
        <w:wordWrap w:val="0"/>
        <w:adjustRightInd w:val="0"/>
        <w:spacing w:line="44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（8）不同供应商的响应文件由同一单位或者个人编制；</w:t>
      </w:r>
    </w:p>
    <w:p w14:paraId="33E573FE">
      <w:pPr>
        <w:wordWrap w:val="0"/>
        <w:adjustRightInd w:val="0"/>
        <w:spacing w:line="44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（9）不同供应商委托同一单位或者个人办理投标事宜；</w:t>
      </w:r>
    </w:p>
    <w:p w14:paraId="41D3B5EB">
      <w:pPr>
        <w:wordWrap w:val="0"/>
        <w:adjustRightInd w:val="0"/>
        <w:spacing w:line="44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（10）不同供应商的响应文件由同一台电脑编制。</w:t>
      </w:r>
    </w:p>
    <w:p w14:paraId="2F581AE4">
      <w:pPr>
        <w:wordWrap w:val="0"/>
        <w:adjustRightInd w:val="0"/>
        <w:spacing w:line="44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（11）电子招投标时不同供应商的电子响应文件机器制作码或创建标识码一致的；</w:t>
      </w:r>
    </w:p>
    <w:p w14:paraId="73C5EA2F">
      <w:pPr>
        <w:wordWrap w:val="0"/>
        <w:adjustRightInd w:val="0"/>
        <w:spacing w:line="44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rPr>
        <w:t>）《关于禁止串通招标投标行为的暂行规定》（国家工商行政管理局令第82号）第三条规定的串通投标行为；</w:t>
      </w:r>
    </w:p>
    <w:p w14:paraId="4F8A16B1">
      <w:pPr>
        <w:wordWrap w:val="0"/>
        <w:adjustRightInd w:val="0"/>
        <w:spacing w:line="4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）供应商串通投标的其他情形。</w:t>
      </w:r>
    </w:p>
    <w:p w14:paraId="08BE645D">
      <w:pPr>
        <w:wordWrap w:val="0"/>
        <w:adjustRightInd w:val="0"/>
        <w:spacing w:line="44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6.3.5 对响应文件商务部分（资格性）进行审查：</w:t>
      </w:r>
    </w:p>
    <w:p w14:paraId="6F3844AE">
      <w:pPr>
        <w:wordWrap w:val="0"/>
        <w:adjustRightInd w:val="0"/>
        <w:spacing w:line="44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磋商小组将审查每个供应商提交的商务文件是否齐全完整，是否合法有效，是否有重大偏离和保留，是否符合磋商文件的全部要求。商务（供应商资格）审查不符合磋商文件要求的响应文件将被拒绝。</w:t>
      </w:r>
    </w:p>
    <w:p w14:paraId="71F6275D">
      <w:pPr>
        <w:wordWrap w:val="0"/>
        <w:adjustRightInd w:val="0"/>
        <w:spacing w:line="440" w:lineRule="exact"/>
        <w:ind w:firstLine="482"/>
        <w:rPr>
          <w:rFonts w:hint="eastAsia" w:ascii="宋体" w:hAnsi="宋体" w:cs="宋体"/>
          <w:color w:val="auto"/>
          <w:sz w:val="24"/>
          <w:szCs w:val="24"/>
          <w:highlight w:val="none"/>
          <w:lang w:val="zh-CN"/>
        </w:rPr>
      </w:pPr>
      <w:r>
        <w:rPr>
          <w:rFonts w:hint="eastAsia" w:ascii="宋体" w:hAnsi="宋体" w:cs="宋体"/>
          <w:bCs/>
          <w:color w:val="auto"/>
          <w:sz w:val="24"/>
          <w:szCs w:val="24"/>
          <w:highlight w:val="none"/>
          <w:lang w:val="zh-CN"/>
        </w:rPr>
        <w:t>6.3.6  对响应文件技术部分（符合性）进行审查：</w:t>
      </w:r>
    </w:p>
    <w:p w14:paraId="58847AFD">
      <w:pPr>
        <w:wordWrap w:val="0"/>
        <w:adjustRightInd w:val="0"/>
        <w:spacing w:line="44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6.3.6.1 对于商务审查合格的供应商，磋商小组将审查其响应文件技术部分是否对磋商文件规定的事项、格式及内容、条款、技术规格及要求等都做出了实质性响应。</w:t>
      </w:r>
    </w:p>
    <w:p w14:paraId="1B03421E">
      <w:pPr>
        <w:wordWrap w:val="0"/>
        <w:adjustRightInd w:val="0"/>
        <w:spacing w:line="44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6.3.6.2 实质性响应的投标是指与磋商文件规定的事项、格式及内容、条款、技术规格及要求等如实进行响应，没有重大偏离和保留。没有实质性响应磋商文件要求的投标将被拒绝。</w:t>
      </w:r>
    </w:p>
    <w:p w14:paraId="632DB74A">
      <w:pPr>
        <w:wordWrap w:val="0"/>
        <w:adjustRightInd w:val="0"/>
        <w:spacing w:line="44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6.3.7 重大偏离和保留是指实质上影响合同的供货范围、质量和性能，或者实质上限制了合同中采购人的权利或供应商的义务。响应文件有下列情形之一的属于重大偏离和保留，将作废标处理：</w:t>
      </w:r>
    </w:p>
    <w:p w14:paraId="52A123ED">
      <w:pPr>
        <w:wordWrap w:val="0"/>
        <w:spacing w:line="4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（1）供应商未按磋商文件规定提交所要求提交的全部文件或者提交的文件无效、缺失、漏项或者不符合磋商文件的规定；</w:t>
      </w:r>
    </w:p>
    <w:p w14:paraId="3B286E5F">
      <w:pPr>
        <w:wordWrap w:val="0"/>
        <w:spacing w:line="4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（2）响应文件未按磋商文件的规定密封、签署或盖章；</w:t>
      </w:r>
    </w:p>
    <w:p w14:paraId="3848F622">
      <w:pPr>
        <w:wordWrap w:val="0"/>
        <w:spacing w:line="4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（3）响应文件载明的项目完成期限超过磋商文件规定的期限；</w:t>
      </w:r>
    </w:p>
    <w:p w14:paraId="39CFD065">
      <w:pPr>
        <w:wordWrap w:val="0"/>
        <w:spacing w:line="4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（4）响应文件技术部分存在明显雷同响应、响应内容与证明资料不一致、提供虚假证明资料或虚假描述的；</w:t>
      </w:r>
    </w:p>
    <w:p w14:paraId="53D83B4D">
      <w:pPr>
        <w:wordWrap w:val="0"/>
        <w:spacing w:line="4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（5）响应文件技术规格、标准和技术参数与文件中证明材料不符合及不响应的；</w:t>
      </w:r>
    </w:p>
    <w:p w14:paraId="2629C6B0">
      <w:pPr>
        <w:wordWrap w:val="0"/>
        <w:spacing w:line="4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（6）响应文件载明的服务需求、要求和标准等不符合磋商文件要求；</w:t>
      </w:r>
    </w:p>
    <w:p w14:paraId="46EE6490">
      <w:pPr>
        <w:wordWrap w:val="0"/>
        <w:spacing w:line="4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（7）响应文件附有采购人不能接受的条件；</w:t>
      </w:r>
    </w:p>
    <w:p w14:paraId="11A8E53C">
      <w:pPr>
        <w:wordWrap w:val="0"/>
        <w:adjustRightInd w:val="0"/>
        <w:spacing w:line="4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（8）不符合磋商文件规定的其他实质性要求。</w:t>
      </w:r>
    </w:p>
    <w:p w14:paraId="5AEE46DC">
      <w:pPr>
        <w:wordWrap w:val="0"/>
        <w:spacing w:line="4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6.3.8 磋商小组将允许修正响应文件中不构成重大偏离的细微偏离，但这些修正应不会对实质上响应磋商文件要求的供应商的竞争地位（相互排序）产生不公正的影响。</w:t>
      </w:r>
    </w:p>
    <w:p w14:paraId="24863A30">
      <w:pPr>
        <w:wordWrap w:val="0"/>
        <w:adjustRightInd w:val="0"/>
        <w:spacing w:line="4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6.3.9 磋商小组对响应文件的判定，只依据响应文件内容本身，不依据任何外来证明。</w:t>
      </w:r>
    </w:p>
    <w:p w14:paraId="0BFEC260">
      <w:pPr>
        <w:wordWrap w:val="0"/>
        <w:adjustRightInd w:val="0"/>
        <w:spacing w:line="44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6.3.10 投标报价的审查：磋商小组将对商务审查、技术审查合格的响应文件的报价进行审核，看其是否有计算和累加上的错误或前后不一致的，按下列规定修正：</w:t>
      </w:r>
    </w:p>
    <w:p w14:paraId="229E5844">
      <w:pPr>
        <w:wordWrap w:val="0"/>
        <w:adjustRightInd w:val="0"/>
        <w:spacing w:line="44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响应文件中开标一览表内容与响应文件中相应内容不一致的，以开标一览表为准；</w:t>
      </w:r>
    </w:p>
    <w:p w14:paraId="48F8CFE4">
      <w:pPr>
        <w:wordWrap w:val="0"/>
        <w:adjustRightInd w:val="0"/>
        <w:spacing w:line="44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（2）大写金额和小写金额不一致的，以大写金额为准；</w:t>
      </w:r>
    </w:p>
    <w:p w14:paraId="0B5DD30F">
      <w:pPr>
        <w:wordWrap w:val="0"/>
        <w:adjustRightInd w:val="0"/>
        <w:spacing w:line="44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（3）总价金额与按单价汇总金额不一致的，以单价金额计算结果为准。</w:t>
      </w:r>
    </w:p>
    <w:p w14:paraId="69C7A266">
      <w:pPr>
        <w:wordWrap w:val="0"/>
        <w:adjustRightInd w:val="0"/>
        <w:spacing w:line="44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6.3.11公开开标后，直至向中标的供应商授予合同时止，除按磋商文件规定予以公开的评标结果外，凡与审查、澄清、评价和比较投标有关的资料以及授标意见等，均不得向供应商及与评标无关的其他人透露。</w:t>
      </w:r>
    </w:p>
    <w:p w14:paraId="5BB62DAE">
      <w:pPr>
        <w:wordWrap w:val="0"/>
        <w:adjustRightInd w:val="0"/>
        <w:spacing w:line="44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6.3.12 </w:t>
      </w:r>
      <w:r>
        <w:rPr>
          <w:rFonts w:hint="eastAsia" w:ascii="宋体" w:hAnsi="宋体" w:cs="宋体"/>
          <w:color w:val="auto"/>
          <w:sz w:val="24"/>
          <w:szCs w:val="24"/>
          <w:highlight w:val="none"/>
        </w:rPr>
        <w:t>对于响应文件中含义不明确、同类问题表述不一致或者有明显文字和计算错误的内容，磋商小组</w:t>
      </w:r>
      <w:r>
        <w:rPr>
          <w:rFonts w:hint="eastAsia" w:ascii="宋体" w:hAnsi="宋体" w:cs="宋体"/>
          <w:color w:val="auto"/>
          <w:sz w:val="24"/>
          <w:szCs w:val="24"/>
          <w:highlight w:val="none"/>
          <w:lang w:val="zh-CN"/>
        </w:rPr>
        <w:t>将以书面形式（澄清细微偏离由磋商小组依据磋商文件集体决定并由磋商小组专家签字）要求供应商在规定的时限内（在评标结束前）作出必要的澄清、说明或者补正。供应商的澄清、说明或者补正应当采用书面形式，由供应商法定代表人或其委托代理人签字（须提交签字人身份证件并与响应文件签字人一致）并加盖公章，供应商的澄清、说明或者补正不得超出响应文件的范围或者改变响应文件的实质性内容。供应商拒不进行澄清、说明、补正的，或者不能在规定时间内作出书面澄清、说明、补正的，磋商小组将拒绝其投标。</w:t>
      </w:r>
    </w:p>
    <w:p w14:paraId="27A0AD35">
      <w:pPr>
        <w:tabs>
          <w:tab w:val="left" w:pos="3675"/>
        </w:tabs>
        <w:wordWrap w:val="0"/>
        <w:adjustRightInd w:val="0"/>
        <w:spacing w:line="44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6.3.13本项目采用综合评分法，磋商小组将按不同供应商评审后得分由高到低的顺序推荐前三名成交候选供应商；得分相同的，按投标报价由低到高顺序排列；得分且投标报价也相同的，按技术标评审得分由高到低顺序排列。响应文件在满足磋商文件全部实质性要求，且按照评审因素的量化指标评审后得分最高的供应商为第一成交候选供应商，依次排列。</w:t>
      </w:r>
    </w:p>
    <w:p w14:paraId="1437738A">
      <w:pPr>
        <w:tabs>
          <w:tab w:val="left" w:pos="3675"/>
        </w:tabs>
        <w:wordWrap w:val="0"/>
        <w:adjustRightInd w:val="0"/>
        <w:spacing w:line="44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6.3.14评标结果汇总完成后，除下列情形外，任何人不得修改评标结果：</w:t>
      </w:r>
    </w:p>
    <w:p w14:paraId="10CB90CB">
      <w:pPr>
        <w:tabs>
          <w:tab w:val="left" w:pos="3675"/>
        </w:tabs>
        <w:wordWrap w:val="0"/>
        <w:adjustRightIn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（1）分值汇总计算错误的；</w:t>
      </w:r>
    </w:p>
    <w:p w14:paraId="2A4DE9F2">
      <w:pPr>
        <w:tabs>
          <w:tab w:val="left" w:pos="3675"/>
        </w:tabs>
        <w:wordWrap w:val="0"/>
        <w:adjustRightInd w:val="0"/>
        <w:spacing w:line="44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（2）分项评分超出评分标准范围的；</w:t>
      </w:r>
    </w:p>
    <w:p w14:paraId="7851C3FE">
      <w:pPr>
        <w:tabs>
          <w:tab w:val="left" w:pos="3675"/>
        </w:tabs>
        <w:wordWrap w:val="0"/>
        <w:adjustRightInd w:val="0"/>
        <w:spacing w:line="44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（3）磋商小组成员对客观评审因素评分不一致的；</w:t>
      </w:r>
    </w:p>
    <w:p w14:paraId="7987A208">
      <w:pPr>
        <w:tabs>
          <w:tab w:val="left" w:pos="3675"/>
        </w:tabs>
        <w:wordWrap w:val="0"/>
        <w:adjustRightInd w:val="0"/>
        <w:spacing w:line="44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（4）经磋商小组认定评分畸高、畸低的。</w:t>
      </w:r>
    </w:p>
    <w:p w14:paraId="00947483">
      <w:pPr>
        <w:tabs>
          <w:tab w:val="left" w:pos="3675"/>
        </w:tabs>
        <w:wordWrap w:val="0"/>
        <w:adjustRightInd w:val="0"/>
        <w:spacing w:line="44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评审报告签署前，经复核发现存在以上情形之一的，磋商小组应当当场修改评标结果，并在评审报告中记载；评审报告签署后，采购人或者采购代理机构发现存在以上情形之一的，应当组织原磋商小组进行重新评审，重新评审改变评标结果的，书面报告本级财政部门。</w:t>
      </w:r>
    </w:p>
    <w:p w14:paraId="404C18D8">
      <w:pPr>
        <w:tabs>
          <w:tab w:val="left" w:pos="3675"/>
        </w:tabs>
        <w:wordWrap w:val="0"/>
        <w:adjustRightInd w:val="0"/>
        <w:spacing w:line="44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供应商对本条第一款情形提出质疑的，采购人或者采购代理机构可以组织原磋商小组进行重新评审，重新评审改变评标结果的，应当书面报告本级财政部门。</w:t>
      </w:r>
    </w:p>
    <w:p w14:paraId="6DCD4230">
      <w:pPr>
        <w:wordWrap w:val="0"/>
        <w:adjustRightInd w:val="0"/>
        <w:spacing w:line="440" w:lineRule="exact"/>
        <w:jc w:val="left"/>
        <w:rPr>
          <w:rFonts w:hint="eastAsia" w:ascii="宋体" w:hAnsi="宋体" w:cs="宋体"/>
          <w:b/>
          <w:color w:val="auto"/>
          <w:sz w:val="28"/>
          <w:szCs w:val="28"/>
          <w:highlight w:val="none"/>
          <w:lang w:val="zh-CN"/>
        </w:rPr>
      </w:pPr>
      <w:r>
        <w:rPr>
          <w:rFonts w:hint="eastAsia" w:ascii="宋体" w:hAnsi="宋体" w:cs="宋体"/>
          <w:b/>
          <w:color w:val="auto"/>
          <w:sz w:val="28"/>
          <w:szCs w:val="28"/>
          <w:highlight w:val="none"/>
          <w:lang w:val="zh-CN"/>
        </w:rPr>
        <w:t>7.合同授予</w:t>
      </w:r>
    </w:p>
    <w:p w14:paraId="5BD3C303">
      <w:pPr>
        <w:wordWrap w:val="0"/>
        <w:adjustRightInd w:val="0"/>
        <w:spacing w:line="440" w:lineRule="exact"/>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7.1 成交结果公示</w:t>
      </w:r>
    </w:p>
    <w:p w14:paraId="3765FCD4">
      <w:pPr>
        <w:tabs>
          <w:tab w:val="left" w:pos="760"/>
        </w:tabs>
        <w:wordWrap w:val="0"/>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底的原则确定成交供应商，也可以书面授权磋商小组直接确定成交供应商。</w:t>
      </w:r>
      <w:r>
        <w:rPr>
          <w:rFonts w:hint="eastAsia" w:ascii="宋体" w:hAnsi="宋体" w:cs="宋体"/>
          <w:color w:val="auto"/>
          <w:kern w:val="0"/>
          <w:sz w:val="24"/>
          <w:highlight w:val="none"/>
        </w:rPr>
        <w:t>采购人或者采购代理机构应当在成交供应商确定后2个工作日内，在省级以上财政部门指定的政府采购信息发布媒体上公告成交结果，同时向成交供应商发出成交通知书，并将磋商文件随成交结果同时公告。</w:t>
      </w:r>
      <w:r>
        <w:rPr>
          <w:rFonts w:hint="eastAsia" w:ascii="宋体" w:hAnsi="宋体" w:cs="宋体"/>
          <w:bCs/>
          <w:color w:val="auto"/>
          <w:sz w:val="24"/>
          <w:szCs w:val="24"/>
          <w:highlight w:val="none"/>
          <w:lang w:val="zh-CN"/>
        </w:rPr>
        <w:t>按照供应商须知前附表规定的公告媒介和期限发布成交结果公告，</w:t>
      </w:r>
      <w:r>
        <w:rPr>
          <w:rFonts w:hint="eastAsia" w:ascii="宋体" w:hAnsi="宋体" w:cs="宋体"/>
          <w:bCs/>
          <w:color w:val="auto"/>
          <w:sz w:val="24"/>
          <w:szCs w:val="24"/>
          <w:highlight w:val="none"/>
        </w:rPr>
        <w:t>成交结果公告期限为1个工作日</w:t>
      </w:r>
      <w:r>
        <w:rPr>
          <w:rFonts w:hint="eastAsia" w:ascii="宋体" w:hAnsi="宋体" w:cs="宋体"/>
          <w:bCs/>
          <w:color w:val="auto"/>
          <w:sz w:val="24"/>
          <w:szCs w:val="24"/>
          <w:highlight w:val="none"/>
          <w:lang w:val="zh-CN"/>
        </w:rPr>
        <w:t>。</w:t>
      </w:r>
    </w:p>
    <w:p w14:paraId="6B46688E">
      <w:pPr>
        <w:wordWrap w:val="0"/>
        <w:adjustRightInd w:val="0"/>
        <w:spacing w:line="440" w:lineRule="exact"/>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7.2 评标结果异议</w:t>
      </w:r>
    </w:p>
    <w:p w14:paraId="22142F35">
      <w:pPr>
        <w:tabs>
          <w:tab w:val="left" w:pos="760"/>
        </w:tabs>
        <w:wordWrap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供应商认为中标、成交结果使自己的权益受到损害的，可以在发布中标、成交结果公告之日起七个工作日内，以书面形式向采购人提出质疑。采购人应当在收到供应商的书面质疑后七</w:t>
      </w:r>
      <w:r>
        <w:rPr>
          <w:rFonts w:hint="eastAsia" w:ascii="宋体" w:hAnsi="宋体" w:cs="宋体"/>
          <w:bCs/>
          <w:color w:val="auto"/>
          <w:sz w:val="24"/>
          <w:szCs w:val="24"/>
          <w:highlight w:val="none"/>
        </w:rPr>
        <w:t>个工作日内</w:t>
      </w:r>
      <w:r>
        <w:rPr>
          <w:rFonts w:hint="eastAsia" w:ascii="宋体" w:hAnsi="宋体" w:cs="宋体"/>
          <w:bCs/>
          <w:color w:val="auto"/>
          <w:sz w:val="24"/>
          <w:szCs w:val="24"/>
          <w:highlight w:val="none"/>
          <w:lang w:val="zh-CN"/>
        </w:rPr>
        <w:t>作出答复。</w:t>
      </w:r>
    </w:p>
    <w:p w14:paraId="58D4B8EE">
      <w:pPr>
        <w:wordWrap w:val="0"/>
        <w:adjustRightInd w:val="0"/>
        <w:spacing w:line="440" w:lineRule="exact"/>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7.3 成交供应商履约能力审查</w:t>
      </w:r>
    </w:p>
    <w:p w14:paraId="2C1643EC">
      <w:pPr>
        <w:wordWrap w:val="0"/>
        <w:adjustRightInd w:val="0"/>
        <w:spacing w:line="440" w:lineRule="exact"/>
        <w:ind w:firstLine="480" w:firstLineChars="200"/>
        <w:jc w:val="left"/>
        <w:rPr>
          <w:rFonts w:hint="eastAsia" w:ascii="宋体" w:hAnsi="宋体" w:cs="宋体"/>
          <w:b/>
          <w:bCs/>
          <w:color w:val="auto"/>
          <w:sz w:val="24"/>
          <w:szCs w:val="24"/>
          <w:highlight w:val="none"/>
          <w:lang w:val="zh-CN"/>
        </w:rPr>
      </w:pPr>
      <w:r>
        <w:rPr>
          <w:rFonts w:hint="eastAsia" w:ascii="宋体" w:hAnsi="宋体" w:cs="宋体"/>
          <w:color w:val="auto"/>
          <w:sz w:val="24"/>
          <w:szCs w:val="24"/>
          <w:highlight w:val="none"/>
          <w:lang w:val="zh-CN"/>
        </w:rPr>
        <w:t>成交供应商的经营、财务状况发生较大变化或存在违法行为以及经采购人考察成交供应商提供中标项目服务需求与磋商文件的要求不符，采购人认为可能影响其履约能力的，将在发出成交通知书前提请原磋商小组按照磋商文件规定的标准和方法进行审查确认。</w:t>
      </w:r>
    </w:p>
    <w:p w14:paraId="7033EE32">
      <w:pPr>
        <w:wordWrap w:val="0"/>
        <w:adjustRightInd w:val="0"/>
        <w:spacing w:line="440" w:lineRule="exact"/>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7.4 定标</w:t>
      </w:r>
    </w:p>
    <w:p w14:paraId="46B00509">
      <w:pPr>
        <w:tabs>
          <w:tab w:val="left" w:pos="760"/>
        </w:tabs>
        <w:wordWrap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按照供应商须知前附表的规定，采购人或采购人授权的磋商小组依法确定成交供应商。</w:t>
      </w:r>
    </w:p>
    <w:p w14:paraId="1EA0C325">
      <w:pPr>
        <w:wordWrap w:val="0"/>
        <w:adjustRightInd w:val="0"/>
        <w:spacing w:line="440" w:lineRule="exact"/>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7.5 成交通知</w:t>
      </w:r>
    </w:p>
    <w:p w14:paraId="65EA47F0">
      <w:pPr>
        <w:wordWrap w:val="0"/>
        <w:adjustRightInd w:val="0"/>
        <w:spacing w:line="440" w:lineRule="exact"/>
        <w:ind w:firstLine="482"/>
        <w:rPr>
          <w:rFonts w:hint="eastAsia" w:ascii="宋体" w:hAnsi="宋体" w:cs="宋体"/>
          <w:color w:val="auto"/>
          <w:sz w:val="24"/>
          <w:szCs w:val="24"/>
          <w:highlight w:val="none"/>
          <w:lang w:val="zh-CN"/>
        </w:rPr>
      </w:pPr>
      <w:r>
        <w:rPr>
          <w:rFonts w:hint="eastAsia" w:ascii="宋体" w:hAnsi="宋体" w:cs="宋体"/>
          <w:bCs/>
          <w:color w:val="auto"/>
          <w:sz w:val="24"/>
          <w:szCs w:val="24"/>
          <w:highlight w:val="none"/>
          <w:lang w:val="zh-CN"/>
        </w:rPr>
        <w:t>在本章第 3.3 款规定的投标有效期内，采购人以书面形式向成交供应商发出成交通知书，</w:t>
      </w:r>
      <w:r>
        <w:rPr>
          <w:rFonts w:hint="eastAsia" w:ascii="宋体" w:hAnsi="宋体" w:cs="宋体"/>
          <w:color w:val="auto"/>
          <w:sz w:val="24"/>
          <w:szCs w:val="24"/>
          <w:highlight w:val="none"/>
          <w:lang w:val="zh-CN"/>
        </w:rPr>
        <w:t>成交通知书是合同的组成部分，对采购人和成交供应商均具有法律约束力。</w:t>
      </w:r>
    </w:p>
    <w:p w14:paraId="1283CDB5">
      <w:pPr>
        <w:wordWrap w:val="0"/>
        <w:adjustRightInd w:val="0"/>
        <w:spacing w:line="440" w:lineRule="exact"/>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7.6 技术成果经济补偿</w:t>
      </w:r>
    </w:p>
    <w:p w14:paraId="2D4AF1EF">
      <w:pPr>
        <w:tabs>
          <w:tab w:val="left" w:pos="760"/>
        </w:tabs>
        <w:wordWrap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采购人对符合磋商文件规定的未成交供应商的技术成果进行补偿的，采购人将在供应商须知前附表中规定给予经济补偿标准，未规定的不予经济补偿。</w:t>
      </w:r>
    </w:p>
    <w:p w14:paraId="3347506B">
      <w:pPr>
        <w:wordWrap w:val="0"/>
        <w:adjustRightInd w:val="0"/>
        <w:spacing w:line="440" w:lineRule="exact"/>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7.7 履约保证金</w:t>
      </w:r>
    </w:p>
    <w:p w14:paraId="4D800680">
      <w:pPr>
        <w:tabs>
          <w:tab w:val="left" w:pos="760"/>
        </w:tabs>
        <w:wordWrap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7.7.1 在签订合同前，成交供应商应按供应商须知前附表规定的形式、金额和磋商文件第五章“合同条款”规定的或者事先经过采购人书面认可的履约保证金格式向采购人提交履约保证金。除供应商须知前附表另有规定外，履约保证金为中标合同金额的 10%。联合体中标的，其履约保证金以联合体各方或者联合体中牵头人的名义提交。</w:t>
      </w:r>
    </w:p>
    <w:p w14:paraId="1963660C">
      <w:pPr>
        <w:wordWrap w:val="0"/>
        <w:adjustRightInd w:val="0"/>
        <w:spacing w:line="440" w:lineRule="exact"/>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7.8 签订合同</w:t>
      </w:r>
    </w:p>
    <w:p w14:paraId="29A65686">
      <w:pPr>
        <w:tabs>
          <w:tab w:val="left" w:pos="760"/>
        </w:tabs>
        <w:wordWrap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7.8.1 采购人和成交供应商应当自成交通知书发出之日起 30 日内，按照磋商文件和成交供应商响应文件的规定订立书面合同。成交供应商无正当理由拒签合同，在签订合同时向采购人提出附加条件，或者不按照磋商文件要求提交履约保证金的，采购人有权取消其中标资格，同时</w:t>
      </w:r>
      <w:r>
        <w:rPr>
          <w:rFonts w:hint="eastAsia" w:ascii="宋体" w:hAnsi="宋体" w:cs="宋体"/>
          <w:color w:val="auto"/>
          <w:sz w:val="24"/>
          <w:szCs w:val="24"/>
          <w:highlight w:val="none"/>
          <w:lang w:val="zh-CN"/>
        </w:rPr>
        <w:t>列入不良行为记录名单，在一至三年内禁止参加政府采购活动并予以公告。供应商在被磋商小组评定为预中标供应商（成交供应商）之后、成交通知书发出之前放弃中标的，按本条规定处理</w:t>
      </w:r>
      <w:r>
        <w:rPr>
          <w:rFonts w:hint="eastAsia" w:ascii="宋体" w:hAnsi="宋体" w:cs="宋体"/>
          <w:bCs/>
          <w:color w:val="auto"/>
          <w:sz w:val="24"/>
          <w:szCs w:val="24"/>
          <w:highlight w:val="none"/>
          <w:lang w:val="zh-CN"/>
        </w:rPr>
        <w:t>给采购人造成损失的，成交供应商还应当对予以赔偿。</w:t>
      </w:r>
    </w:p>
    <w:p w14:paraId="3A6D950D">
      <w:pPr>
        <w:tabs>
          <w:tab w:val="left" w:pos="760"/>
        </w:tabs>
        <w:wordWrap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7.8.2 发出成交通知书后，采购人无正当理由拒签合同，或者在签订合同时向成交供应商提出附加条件的，给成交供应商造成损失的，应当赔偿损失。</w:t>
      </w:r>
    </w:p>
    <w:p w14:paraId="11AFD8EE">
      <w:pPr>
        <w:wordWrap w:val="0"/>
        <w:adjustRightInd w:val="0"/>
        <w:spacing w:line="440" w:lineRule="exact"/>
        <w:ind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7.8.3 联合体中标的，联合体各方应当共同与采购人签订合同，就中标项目向采购人承担连带责任。</w:t>
      </w:r>
    </w:p>
    <w:p w14:paraId="7C99A9C7">
      <w:pPr>
        <w:wordWrap w:val="0"/>
        <w:adjustRightInd w:val="0"/>
        <w:spacing w:line="440" w:lineRule="exact"/>
        <w:jc w:val="left"/>
        <w:rPr>
          <w:rFonts w:hint="eastAsia" w:ascii="宋体" w:hAnsi="宋体" w:cs="宋体"/>
          <w:b/>
          <w:color w:val="auto"/>
          <w:sz w:val="28"/>
          <w:szCs w:val="28"/>
          <w:highlight w:val="none"/>
          <w:lang w:val="zh-CN"/>
        </w:rPr>
      </w:pPr>
      <w:r>
        <w:rPr>
          <w:rFonts w:hint="eastAsia" w:ascii="宋体" w:hAnsi="宋体" w:cs="宋体"/>
          <w:b/>
          <w:color w:val="auto"/>
          <w:sz w:val="28"/>
          <w:szCs w:val="28"/>
          <w:highlight w:val="none"/>
          <w:lang w:val="zh-CN"/>
        </w:rPr>
        <w:t>8.纪律和监督</w:t>
      </w:r>
    </w:p>
    <w:p w14:paraId="6814774E">
      <w:pPr>
        <w:wordWrap w:val="0"/>
        <w:adjustRightInd w:val="0"/>
        <w:spacing w:line="440" w:lineRule="exact"/>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8.1 对采购人的纪律要求</w:t>
      </w:r>
    </w:p>
    <w:p w14:paraId="08D31A9A">
      <w:pPr>
        <w:tabs>
          <w:tab w:val="left" w:pos="760"/>
        </w:tabs>
        <w:wordWrap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采购人不得泄露招标投标活动中应当保密的情况和资料，不得与供应商串通损害国家利益、社会公共利益或者他人合法权益。</w:t>
      </w:r>
      <w:r>
        <w:rPr>
          <w:rFonts w:hint="eastAsia" w:ascii="宋体" w:hAnsi="宋体" w:cs="宋体"/>
          <w:color w:val="auto"/>
          <w:sz w:val="24"/>
          <w:szCs w:val="24"/>
          <w:highlight w:val="none"/>
          <w:lang w:val="zh-CN"/>
        </w:rPr>
        <w:t>采购人只负责评标组织工作，不参加评标。</w:t>
      </w:r>
      <w:r>
        <w:rPr>
          <w:rFonts w:hint="eastAsia" w:ascii="宋体" w:hAnsi="宋体" w:cs="宋体"/>
          <w:color w:val="auto"/>
          <w:sz w:val="24"/>
          <w:szCs w:val="24"/>
          <w:highlight w:val="none"/>
        </w:rPr>
        <w:t>采购人委托的采购代理机构工作人员不得参加由本机构代理的政府采购项目的评标。</w:t>
      </w:r>
    </w:p>
    <w:p w14:paraId="036FD939">
      <w:pPr>
        <w:wordWrap w:val="0"/>
        <w:adjustRightInd w:val="0"/>
        <w:spacing w:line="440" w:lineRule="exact"/>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8.2 对供应商的纪律要求</w:t>
      </w:r>
    </w:p>
    <w:p w14:paraId="1D889573">
      <w:pPr>
        <w:tabs>
          <w:tab w:val="left" w:pos="760"/>
        </w:tabs>
        <w:wordWrap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供应商不得相互串通投标或者与采购人串通投标，不得向采购人或者磋商小组成员行贿谋取中标，不得以他人名义投标或者以其他方式弄虚作假骗取中标；供应商不得以任何方式干扰、影响评标工作。</w:t>
      </w:r>
    </w:p>
    <w:p w14:paraId="7035A1A4">
      <w:pPr>
        <w:wordWrap w:val="0"/>
        <w:adjustRightInd w:val="0"/>
        <w:spacing w:line="440" w:lineRule="exact"/>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8.3 对磋商小组成员的纪律要求</w:t>
      </w:r>
    </w:p>
    <w:p w14:paraId="6B1621E0">
      <w:pPr>
        <w:tabs>
          <w:tab w:val="left" w:pos="760"/>
        </w:tabs>
        <w:wordWrap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磋商小组成员不得收受他人的财物或者其他好处，不得向他人透露对响应文件的评审和比较、成交候选供应商的推荐情况以及评标有关的其他情况。在评标活动中，磋商小组成员应当客观、公正地履行职责，遵守职业道德，不得擅离职守，影响评标程序正常进行，不得使用第三章“评标办法”没有规定的评审因素和标准进行评标。</w:t>
      </w:r>
    </w:p>
    <w:p w14:paraId="57BB91D2">
      <w:pPr>
        <w:wordWrap w:val="0"/>
        <w:adjustRightInd w:val="0"/>
        <w:spacing w:line="440" w:lineRule="exact"/>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8.4 对与评标活动有关的工作人员的纪律要求</w:t>
      </w:r>
    </w:p>
    <w:p w14:paraId="38F0C7CC">
      <w:pPr>
        <w:tabs>
          <w:tab w:val="left" w:pos="760"/>
        </w:tabs>
        <w:wordWrap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与评标活动有关的工作人员不得收受他人的财物或者其他好处，不得向他人透露对响应文件的评审和比较、成交候选供应商的推荐情况以及评标有关的其他情况。在评标活动中，与评标活动有关的工作人员不得擅离职守，影响评标程序正常进行。</w:t>
      </w:r>
    </w:p>
    <w:p w14:paraId="009C3042">
      <w:pPr>
        <w:wordWrap w:val="0"/>
        <w:adjustRightInd w:val="0"/>
        <w:spacing w:line="440" w:lineRule="exact"/>
        <w:jc w:val="left"/>
        <w:rPr>
          <w:rFonts w:hint="eastAsia" w:ascii="宋体" w:hAnsi="宋体" w:cs="宋体"/>
          <w:b/>
          <w:color w:val="auto"/>
          <w:sz w:val="28"/>
          <w:szCs w:val="28"/>
          <w:highlight w:val="none"/>
          <w:lang w:val="zh-CN"/>
        </w:rPr>
      </w:pPr>
      <w:r>
        <w:rPr>
          <w:rFonts w:hint="eastAsia" w:ascii="宋体" w:hAnsi="宋体" w:cs="宋体"/>
          <w:b/>
          <w:color w:val="auto"/>
          <w:sz w:val="28"/>
          <w:szCs w:val="28"/>
          <w:highlight w:val="none"/>
          <w:lang w:val="zh-CN"/>
        </w:rPr>
        <w:t>9.是否采用电子招标投标</w:t>
      </w:r>
    </w:p>
    <w:p w14:paraId="73D5FB09">
      <w:pPr>
        <w:tabs>
          <w:tab w:val="left" w:pos="760"/>
        </w:tabs>
        <w:wordWrap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本招标项目是否采用电子招标投标方式，见供应商须知前附表。</w:t>
      </w:r>
    </w:p>
    <w:p w14:paraId="6BDBCC58">
      <w:pPr>
        <w:wordWrap w:val="0"/>
        <w:adjustRightInd w:val="0"/>
        <w:spacing w:line="440" w:lineRule="exact"/>
        <w:jc w:val="left"/>
        <w:rPr>
          <w:rFonts w:hint="eastAsia" w:ascii="宋体" w:hAnsi="宋体" w:cs="宋体"/>
          <w:b/>
          <w:color w:val="auto"/>
          <w:sz w:val="28"/>
          <w:szCs w:val="28"/>
          <w:highlight w:val="none"/>
          <w:lang w:val="zh-CN"/>
        </w:rPr>
      </w:pPr>
      <w:r>
        <w:rPr>
          <w:rFonts w:hint="eastAsia" w:ascii="宋体" w:hAnsi="宋体" w:cs="宋体"/>
          <w:b/>
          <w:color w:val="auto"/>
          <w:sz w:val="28"/>
          <w:szCs w:val="28"/>
          <w:highlight w:val="none"/>
          <w:lang w:val="zh-CN"/>
        </w:rPr>
        <w:t>10.需要补充的其他内容</w:t>
      </w:r>
    </w:p>
    <w:p w14:paraId="7C575C43">
      <w:pPr>
        <w:wordWrap w:val="0"/>
        <w:adjustRightInd w:val="0"/>
        <w:spacing w:line="440" w:lineRule="exact"/>
        <w:ind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lang w:val="zh-CN"/>
        </w:rPr>
        <w:t>需要补充的其他内容：见供应商须知前附表</w:t>
      </w:r>
    </w:p>
    <w:p w14:paraId="770320C5">
      <w:pPr>
        <w:wordWrap w:val="0"/>
        <w:spacing w:line="440" w:lineRule="exact"/>
        <w:rPr>
          <w:rFonts w:hint="eastAsia" w:ascii="宋体" w:hAnsi="宋体" w:cs="宋体"/>
          <w:b/>
          <w:color w:val="auto"/>
          <w:sz w:val="28"/>
          <w:szCs w:val="28"/>
          <w:highlight w:val="none"/>
        </w:rPr>
      </w:pPr>
      <w:r>
        <w:rPr>
          <w:rFonts w:hint="eastAsia" w:ascii="宋体" w:hAnsi="宋体" w:cs="宋体"/>
          <w:b/>
          <w:color w:val="auto"/>
          <w:kern w:val="0"/>
          <w:sz w:val="28"/>
          <w:szCs w:val="28"/>
          <w:highlight w:val="none"/>
        </w:rPr>
        <w:t>1</w:t>
      </w:r>
      <w:r>
        <w:rPr>
          <w:rFonts w:hint="eastAsia" w:ascii="宋体" w:hAnsi="宋体" w:cs="宋体"/>
          <w:b/>
          <w:color w:val="auto"/>
          <w:sz w:val="28"/>
          <w:szCs w:val="28"/>
          <w:highlight w:val="none"/>
          <w:lang w:val="zh-CN"/>
        </w:rPr>
        <w:t>1. 重新招标及采购方式变更</w:t>
      </w:r>
    </w:p>
    <w:p w14:paraId="089F011D">
      <w:pPr>
        <w:wordWrap w:val="0"/>
        <w:spacing w:line="44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公开招标数额标准以上的采购项目，投标截止后供应商不足3家或者通过资格审查或符合性审查的供应商不足3家的，除采购任务取消情形外，按照以下方式处理：</w:t>
      </w:r>
    </w:p>
    <w:p w14:paraId="682D30E7">
      <w:pPr>
        <w:wordWrap w:val="0"/>
        <w:spacing w:line="44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 采用公开招标采购的项目，如果</w:t>
      </w:r>
      <w:r>
        <w:rPr>
          <w:rFonts w:hint="eastAsia" w:ascii="宋体" w:hAnsi="宋体" w:cs="宋体"/>
          <w:bCs/>
          <w:color w:val="auto"/>
          <w:sz w:val="24"/>
          <w:szCs w:val="24"/>
          <w:highlight w:val="none"/>
        </w:rPr>
        <w:t>招标</w:t>
      </w:r>
      <w:r>
        <w:rPr>
          <w:rFonts w:hint="eastAsia" w:ascii="宋体" w:hAnsi="宋体" w:cs="宋体"/>
          <w:color w:val="auto"/>
          <w:kern w:val="0"/>
          <w:sz w:val="24"/>
          <w:szCs w:val="24"/>
          <w:highlight w:val="none"/>
        </w:rPr>
        <w:t>文件存在不合理条款或者招标程序不符合规定的，采购人、采购代理机构改正后依法重新招标；如果招标文件没有不合理条款、招标程序符合规定，需要采用其他采购方式采购的，采购人应当依法报财政部门批准。</w:t>
      </w:r>
    </w:p>
    <w:p w14:paraId="7774144E">
      <w:pPr>
        <w:wordWrap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（2）采用竞争性谈判方式采购的项目，如果</w:t>
      </w:r>
      <w:r>
        <w:rPr>
          <w:rFonts w:hint="eastAsia" w:ascii="宋体" w:hAnsi="宋体" w:cs="宋体"/>
          <w:color w:val="auto"/>
          <w:kern w:val="0"/>
          <w:sz w:val="24"/>
          <w:szCs w:val="24"/>
          <w:highlight w:val="none"/>
        </w:rPr>
        <w:t>公开招标的货物、服务采购项目，在招标过程中提交投标文件或者经评审实质性响应招标文件要求的供应商只有两家时，采购人拟采用非招标采购方式</w:t>
      </w:r>
      <w:r>
        <w:rPr>
          <w:rFonts w:hint="eastAsia" w:ascii="宋体" w:hAnsi="宋体" w:cs="宋体"/>
          <w:color w:val="auto"/>
          <w:sz w:val="24"/>
          <w:szCs w:val="24"/>
          <w:highlight w:val="none"/>
        </w:rPr>
        <w:t>竞争性谈判</w:t>
      </w:r>
      <w:r>
        <w:rPr>
          <w:rFonts w:hint="eastAsia" w:ascii="宋体" w:hAnsi="宋体" w:cs="宋体"/>
          <w:color w:val="auto"/>
          <w:kern w:val="0"/>
          <w:sz w:val="24"/>
          <w:szCs w:val="24"/>
          <w:highlight w:val="none"/>
        </w:rPr>
        <w:t>的，采购人应当在采购活动开始前，经主管预算单位同意后，向设区的市、自治州以上人民政府财政部门申请批准后可以与该两家供应商进行竞争性谈判采购，采购人、采购代理机构应当根据采购需求编制谈判文件，成立谈判小组，由谈判小组对谈判文件进行确认。符合本款情形的供应商最低数量可以为两家。</w:t>
      </w:r>
    </w:p>
    <w:p w14:paraId="15537B44">
      <w:pPr>
        <w:wordWrap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（3）采用单一来源方式采购的项目，如果</w:t>
      </w:r>
      <w:r>
        <w:rPr>
          <w:rFonts w:hint="eastAsia" w:ascii="宋体" w:hAnsi="宋体" w:cs="宋体"/>
          <w:color w:val="auto"/>
          <w:kern w:val="0"/>
          <w:sz w:val="24"/>
          <w:szCs w:val="24"/>
          <w:highlight w:val="none"/>
        </w:rPr>
        <w:t>公开招标的货物、服务采购项目，在招标过程中提交投标文件或者经评审实质性响应招标文件要求的供应商只有一家时，</w:t>
      </w:r>
      <w:r>
        <w:rPr>
          <w:rFonts w:hint="eastAsia" w:ascii="宋体" w:hAnsi="宋体" w:cs="宋体"/>
          <w:color w:val="auto"/>
          <w:sz w:val="24"/>
          <w:szCs w:val="24"/>
          <w:highlight w:val="none"/>
        </w:rPr>
        <w:t>不得直接变更为单一来源方式采购，</w:t>
      </w:r>
      <w:r>
        <w:rPr>
          <w:rFonts w:hint="eastAsia" w:ascii="宋体" w:hAnsi="宋体" w:cs="宋体"/>
          <w:color w:val="auto"/>
          <w:kern w:val="0"/>
          <w:sz w:val="24"/>
          <w:szCs w:val="24"/>
          <w:highlight w:val="none"/>
        </w:rPr>
        <w:t>采购人拟采用非招标采购方式</w:t>
      </w:r>
      <w:r>
        <w:rPr>
          <w:rFonts w:hint="eastAsia" w:ascii="宋体" w:hAnsi="宋体" w:cs="宋体"/>
          <w:color w:val="auto"/>
          <w:sz w:val="24"/>
          <w:szCs w:val="24"/>
          <w:highlight w:val="none"/>
        </w:rPr>
        <w:t>单一来源</w:t>
      </w:r>
      <w:r>
        <w:rPr>
          <w:rFonts w:hint="eastAsia" w:ascii="宋体" w:hAnsi="宋体" w:cs="宋体"/>
          <w:color w:val="auto"/>
          <w:kern w:val="0"/>
          <w:sz w:val="24"/>
          <w:szCs w:val="24"/>
          <w:highlight w:val="none"/>
        </w:rPr>
        <w:t>的，采购人、采购代理机构应当先做废标处理，然后经主管预算单位同意后，向设区的市、自治州以上人民政府财政部门申请批准前在省级以上财政部门指定媒体上公示，并将公示情况一并报财政部门，公示期不得少于5个工作日。</w:t>
      </w:r>
    </w:p>
    <w:p w14:paraId="57477070">
      <w:pPr>
        <w:wordWrap w:val="0"/>
        <w:spacing w:line="440" w:lineRule="exact"/>
        <w:rPr>
          <w:rFonts w:hint="eastAsia" w:ascii="宋体" w:hAnsi="宋体" w:cs="宋体"/>
          <w:b/>
          <w:bCs/>
          <w:color w:val="auto"/>
          <w:sz w:val="24"/>
          <w:szCs w:val="24"/>
          <w:highlight w:val="none"/>
        </w:rPr>
      </w:pPr>
      <w:r>
        <w:rPr>
          <w:rFonts w:hint="eastAsia" w:ascii="宋体" w:hAnsi="宋体" w:cs="宋体"/>
          <w:b/>
          <w:color w:val="auto"/>
          <w:sz w:val="28"/>
          <w:szCs w:val="28"/>
          <w:highlight w:val="none"/>
        </w:rPr>
        <w:t>12.</w:t>
      </w:r>
      <w:r>
        <w:rPr>
          <w:rFonts w:hint="eastAsia" w:ascii="宋体" w:hAnsi="宋体" w:cs="宋体"/>
          <w:b/>
          <w:bCs/>
          <w:color w:val="auto"/>
          <w:sz w:val="28"/>
          <w:szCs w:val="28"/>
          <w:highlight w:val="none"/>
        </w:rPr>
        <w:t>质疑</w:t>
      </w:r>
    </w:p>
    <w:p w14:paraId="61010EBA">
      <w:pPr>
        <w:wordWrap w:val="0"/>
        <w:adjustRightInd w:val="0"/>
        <w:spacing w:line="440" w:lineRule="exact"/>
        <w:ind w:firstLine="480" w:firstLineChars="200"/>
        <w:jc w:val="left"/>
        <w:rPr>
          <w:rFonts w:hint="eastAsia" w:ascii="宋体" w:hAnsi="宋体" w:eastAsia="宋体" w:cs="宋体"/>
          <w:bCs/>
          <w:color w:val="auto"/>
          <w:sz w:val="24"/>
          <w:szCs w:val="24"/>
          <w:highlight w:val="none"/>
          <w:lang w:val="zh-CN"/>
        </w:rPr>
      </w:pPr>
      <w:r>
        <w:rPr>
          <w:rFonts w:hint="eastAsia" w:ascii="宋体" w:hAnsi="宋体" w:cs="宋体"/>
          <w:color w:val="auto"/>
          <w:sz w:val="24"/>
          <w:szCs w:val="24"/>
          <w:highlight w:val="none"/>
        </w:rPr>
        <w:t>12.1 供应商对采购活动及有关事项有质疑的，可以向采购人或采购代理机构提出询问或质疑，但应符合相关法律法规的规定。</w:t>
      </w:r>
    </w:p>
    <w:p w14:paraId="287016DD">
      <w:pPr>
        <w:wordWrap w:val="0"/>
        <w:adjustRightInd w:val="0"/>
        <w:spacing w:line="440" w:lineRule="exact"/>
        <w:ind w:firstLine="480" w:firstLineChars="200"/>
        <w:jc w:val="left"/>
        <w:rPr>
          <w:rFonts w:hint="eastAsia" w:ascii="宋体" w:hAnsi="宋体" w:eastAsia="宋体" w:cs="宋体"/>
          <w:bCs/>
          <w:color w:val="auto"/>
          <w:sz w:val="24"/>
          <w:szCs w:val="24"/>
          <w:highlight w:val="none"/>
          <w:lang w:val="zh-CN"/>
        </w:rPr>
      </w:pPr>
      <w:r>
        <w:rPr>
          <w:rFonts w:hint="eastAsia" w:ascii="宋体" w:hAnsi="宋体" w:cs="宋体"/>
          <w:color w:val="auto"/>
          <w:sz w:val="24"/>
          <w:szCs w:val="24"/>
          <w:highlight w:val="none"/>
        </w:rPr>
        <w:t>12.2供应商认为采购文件、采购过程和中标、成交结果使自己的权益受到损害的，可以在知道或者应知其权益受到损害之日起七个工作日内，</w:t>
      </w:r>
      <w:r>
        <w:rPr>
          <w:rFonts w:hint="eastAsia" w:ascii="宋体" w:hAnsi="宋体" w:eastAsia="宋体" w:cs="宋体"/>
          <w:bCs/>
          <w:color w:val="auto"/>
          <w:sz w:val="24"/>
          <w:szCs w:val="24"/>
          <w:highlight w:val="none"/>
          <w:lang w:val="zh-CN"/>
        </w:rPr>
        <w:t>一次性提出针对同一采购程序环节的质疑，同时将书面质疑送至采购人或采购代理机构。否则采购人或采购代理机构视其质疑为无效。</w:t>
      </w:r>
    </w:p>
    <w:p w14:paraId="5F866CB1">
      <w:pPr>
        <w:wordWrap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供应商质疑应当按照（财政部94号令）《政府采购质疑和投诉办法》规定执行，否则采购人或采购代理机构有权拒绝。</w:t>
      </w:r>
    </w:p>
    <w:p w14:paraId="6474BE27">
      <w:pPr>
        <w:wordWrap w:val="0"/>
        <w:spacing w:line="440" w:lineRule="exac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13.投诉</w:t>
      </w:r>
    </w:p>
    <w:p w14:paraId="1B223DBF">
      <w:pPr>
        <w:wordWrap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13.1 已提出质疑的供应商对答复内容不满意或采购人未在规定时间内作出答复的，可以在答复期满后十五个工作日内向同级政府采购监督管理部门投诉。</w:t>
      </w:r>
    </w:p>
    <w:p w14:paraId="2FB8E956">
      <w:pPr>
        <w:wordWrap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13.2 投诉应当按照（财政部94号令）《政府采购质疑和投诉办法》规定执行，否则监督部门有权拒绝受理。</w:t>
      </w:r>
    </w:p>
    <w:p w14:paraId="0CBF2C53">
      <w:pPr>
        <w:wordWrap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13.3 供应商投诉事项必须与质疑事项保持一致，不得超出质疑事项范围。</w:t>
      </w:r>
    </w:p>
    <w:p w14:paraId="5D39FE0D">
      <w:pPr>
        <w:wordWrap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13.4 监督部门受理投诉后可以进行调查取证或抄送有关单位进行质证，并在三十个工作日内对投诉事项作出处理决定，并以书面方式通知投诉人与投诉事项有关的当事人。</w:t>
      </w:r>
    </w:p>
    <w:p w14:paraId="60DE72FE">
      <w:pPr>
        <w:wordWrap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13.5 投诉人对政府采购监督管理部门的投诉处理决定不服或者政府采购监督管理部门逾期未作出处理的，可以依法申请行政复议或者向人民法院提起行政诉讼。</w:t>
      </w:r>
    </w:p>
    <w:p w14:paraId="71082B45">
      <w:pPr>
        <w:wordWrap w:val="0"/>
        <w:spacing w:line="440" w:lineRule="exac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14.验收</w:t>
      </w:r>
    </w:p>
    <w:p w14:paraId="7903BAE3">
      <w:pPr>
        <w:pStyle w:val="18"/>
        <w:spacing w:after="0" w:line="44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采购人应当及时对采购项目进行验收。采购人可以邀请参加本项目的其他</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或者第三方机构参与验收。参与验收的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或者第三方机构的意见作为验收书的参考资料一并存档</w:t>
      </w:r>
      <w:r>
        <w:rPr>
          <w:rFonts w:hint="eastAsia" w:ascii="宋体" w:hAnsi="宋体" w:cs="宋体"/>
          <w:color w:val="auto"/>
          <w:sz w:val="24"/>
          <w:szCs w:val="24"/>
          <w:highlight w:val="none"/>
          <w:lang w:eastAsia="zh-CN"/>
        </w:rPr>
        <w:t>。</w:t>
      </w:r>
    </w:p>
    <w:p w14:paraId="6AE59809">
      <w:pP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br w:type="page"/>
      </w:r>
    </w:p>
    <w:p w14:paraId="5BE60F5A">
      <w:pPr>
        <w:keepNext w:val="0"/>
        <w:keepLines w:val="0"/>
        <w:shd w:val="clear" w:color="auto" w:fill="auto"/>
        <w:spacing w:line="300" w:lineRule="auto"/>
        <w:ind w:firstLine="442" w:firstLineChars="100"/>
        <w:jc w:val="center"/>
        <w:outlineLvl w:val="9"/>
        <w:rPr>
          <w:rFonts w:hint="eastAsia"/>
          <w:b/>
          <w:bCs/>
          <w:kern w:val="44"/>
          <w:sz w:val="44"/>
          <w:szCs w:val="44"/>
          <w:highlight w:val="none"/>
        </w:rPr>
      </w:pPr>
      <w:bookmarkStart w:id="28" w:name="_Toc77166514"/>
      <w:bookmarkStart w:id="29" w:name="_Toc24483"/>
      <w:bookmarkStart w:id="30" w:name="_Toc19824"/>
      <w:bookmarkStart w:id="31" w:name="_Toc247085756"/>
      <w:bookmarkStart w:id="32" w:name="_Toc144974565"/>
      <w:bookmarkStart w:id="33" w:name="_Toc179632616"/>
      <w:bookmarkStart w:id="34" w:name="_Toc468267471"/>
      <w:bookmarkStart w:id="35" w:name="_Toc246996984"/>
      <w:bookmarkStart w:id="36" w:name="_Toc152042375"/>
      <w:bookmarkStart w:id="37" w:name="_Toc246996241"/>
      <w:bookmarkStart w:id="38" w:name="_Toc152045598"/>
      <w:r>
        <w:rPr>
          <w:rFonts w:hint="eastAsia"/>
          <w:b/>
          <w:bCs/>
          <w:kern w:val="44"/>
          <w:sz w:val="44"/>
          <w:szCs w:val="44"/>
          <w:highlight w:val="none"/>
        </w:rPr>
        <w:t>第三章 评标办法（综合评分法）</w:t>
      </w:r>
      <w:bookmarkEnd w:id="28"/>
      <w:bookmarkEnd w:id="29"/>
      <w:bookmarkEnd w:id="30"/>
      <w:bookmarkEnd w:id="31"/>
      <w:bookmarkEnd w:id="32"/>
      <w:bookmarkEnd w:id="33"/>
      <w:bookmarkEnd w:id="34"/>
      <w:bookmarkEnd w:id="35"/>
      <w:bookmarkEnd w:id="36"/>
      <w:bookmarkEnd w:id="37"/>
      <w:bookmarkEnd w:id="38"/>
    </w:p>
    <w:p w14:paraId="0CF17256">
      <w:pPr>
        <w:spacing w:before="78" w:line="219" w:lineRule="auto"/>
        <w:jc w:val="right"/>
        <w:rPr>
          <w:rFonts w:ascii="宋体" w:hAnsi="宋体" w:eastAsia="宋体" w:cs="宋体"/>
          <w:sz w:val="24"/>
          <w:szCs w:val="24"/>
        </w:rPr>
      </w:pPr>
      <w:r>
        <w:rPr>
          <w:rFonts w:ascii="宋体" w:hAnsi="宋体" w:eastAsia="宋体" w:cs="宋体"/>
          <w:spacing w:val="-3"/>
          <w:sz w:val="24"/>
          <w:szCs w:val="24"/>
        </w:rPr>
        <w:t>依据《中华人民共和国政府采购法》及相关文件规</w:t>
      </w:r>
      <w:r>
        <w:rPr>
          <w:rFonts w:ascii="宋体" w:hAnsi="宋体" w:eastAsia="宋体" w:cs="宋体"/>
          <w:spacing w:val="-4"/>
          <w:sz w:val="24"/>
          <w:szCs w:val="24"/>
        </w:rPr>
        <w:t>定，采用综合打分法确定中标供应商。</w:t>
      </w:r>
    </w:p>
    <w:p w14:paraId="7F9F3F05">
      <w:pPr>
        <w:spacing w:before="117" w:line="298" w:lineRule="auto"/>
        <w:ind w:left="9" w:right="18" w:firstLine="480"/>
        <w:rPr>
          <w:rFonts w:ascii="宋体" w:hAnsi="宋体" w:eastAsia="宋体" w:cs="宋体"/>
          <w:sz w:val="24"/>
          <w:szCs w:val="24"/>
        </w:rPr>
      </w:pPr>
      <w:r>
        <w:rPr>
          <w:rFonts w:ascii="宋体" w:hAnsi="宋体" w:eastAsia="宋体" w:cs="宋体"/>
          <w:spacing w:val="-1"/>
          <w:sz w:val="24"/>
          <w:szCs w:val="24"/>
        </w:rPr>
        <w:t>本项目采用综合打分法，满分为</w:t>
      </w:r>
      <w:r>
        <w:rPr>
          <w:rFonts w:ascii="宋体" w:hAnsi="宋体" w:eastAsia="宋体" w:cs="宋体"/>
          <w:spacing w:val="-29"/>
          <w:sz w:val="24"/>
          <w:szCs w:val="24"/>
        </w:rPr>
        <w:t xml:space="preserve"> </w:t>
      </w:r>
      <w:r>
        <w:rPr>
          <w:rFonts w:ascii="宋体" w:hAnsi="宋体" w:eastAsia="宋体" w:cs="宋体"/>
          <w:spacing w:val="-1"/>
          <w:sz w:val="24"/>
          <w:szCs w:val="24"/>
        </w:rPr>
        <w:t>100</w:t>
      </w:r>
      <w:r>
        <w:rPr>
          <w:rFonts w:ascii="宋体" w:hAnsi="宋体" w:eastAsia="宋体" w:cs="宋体"/>
          <w:spacing w:val="-43"/>
          <w:sz w:val="24"/>
          <w:szCs w:val="24"/>
        </w:rPr>
        <w:t xml:space="preserve"> </w:t>
      </w:r>
      <w:r>
        <w:rPr>
          <w:rFonts w:ascii="宋体" w:hAnsi="宋体" w:eastAsia="宋体" w:cs="宋体"/>
          <w:spacing w:val="-1"/>
          <w:sz w:val="24"/>
          <w:szCs w:val="24"/>
        </w:rPr>
        <w:t>分（不含加分部分</w:t>
      </w:r>
      <w:r>
        <w:rPr>
          <w:rFonts w:ascii="宋体" w:hAnsi="宋体" w:eastAsia="宋体" w:cs="宋体"/>
          <w:spacing w:val="9"/>
          <w:sz w:val="24"/>
          <w:szCs w:val="24"/>
        </w:rPr>
        <w:t>），</w:t>
      </w:r>
      <w:r>
        <w:rPr>
          <w:rFonts w:ascii="宋体" w:hAnsi="宋体" w:eastAsia="宋体" w:cs="宋体"/>
          <w:spacing w:val="-1"/>
          <w:sz w:val="24"/>
          <w:szCs w:val="24"/>
        </w:rPr>
        <w:t>按评审后综合得分由高到低</w:t>
      </w:r>
      <w:r>
        <w:rPr>
          <w:rFonts w:ascii="宋体" w:hAnsi="宋体" w:eastAsia="宋体" w:cs="宋体"/>
          <w:sz w:val="24"/>
          <w:szCs w:val="24"/>
        </w:rPr>
        <w:t xml:space="preserve"> </w:t>
      </w:r>
      <w:r>
        <w:rPr>
          <w:rFonts w:ascii="宋体" w:hAnsi="宋体" w:eastAsia="宋体" w:cs="宋体"/>
          <w:spacing w:val="-4"/>
          <w:sz w:val="24"/>
          <w:szCs w:val="24"/>
        </w:rPr>
        <w:t>顺序排列，综合得分相同的，按投标报价由低到高顺序排列，综合得分且投标报价都相同的，</w:t>
      </w:r>
      <w:r>
        <w:rPr>
          <w:rFonts w:ascii="宋体" w:hAnsi="宋体" w:eastAsia="宋体" w:cs="宋体"/>
          <w:spacing w:val="12"/>
          <w:sz w:val="24"/>
          <w:szCs w:val="24"/>
        </w:rPr>
        <w:t xml:space="preserve"> </w:t>
      </w:r>
      <w:r>
        <w:rPr>
          <w:rFonts w:ascii="宋体" w:hAnsi="宋体" w:eastAsia="宋体" w:cs="宋体"/>
          <w:spacing w:val="-1"/>
          <w:sz w:val="24"/>
          <w:szCs w:val="24"/>
        </w:rPr>
        <w:t>按技术指标优劣顺序排列，由评标委员会确定中标供应商。</w:t>
      </w:r>
    </w:p>
    <w:p w14:paraId="3FBCE8D5">
      <w:pPr>
        <w:spacing w:before="34" w:line="299" w:lineRule="auto"/>
        <w:ind w:left="8" w:firstLine="482"/>
        <w:rPr>
          <w:rFonts w:ascii="宋体" w:hAnsi="宋体" w:eastAsia="宋体" w:cs="宋体"/>
          <w:sz w:val="24"/>
          <w:szCs w:val="24"/>
        </w:rPr>
      </w:pPr>
      <w:r>
        <w:rPr>
          <w:rFonts w:ascii="宋体" w:hAnsi="宋体" w:eastAsia="宋体" w:cs="宋体"/>
          <w:spacing w:val="-5"/>
          <w:sz w:val="24"/>
          <w:szCs w:val="24"/>
        </w:rPr>
        <w:t>投标报价得分：以满足招标文件要求且最低的报价为基准价，其报价得分为</w:t>
      </w:r>
      <w:r>
        <w:rPr>
          <w:rFonts w:ascii="宋体" w:hAnsi="宋体" w:eastAsia="宋体" w:cs="宋体"/>
          <w:spacing w:val="-6"/>
          <w:sz w:val="24"/>
          <w:szCs w:val="24"/>
        </w:rPr>
        <w:t>满分，10</w:t>
      </w:r>
      <w:r>
        <w:rPr>
          <w:rFonts w:ascii="宋体" w:hAnsi="宋体" w:eastAsia="宋体" w:cs="宋体"/>
          <w:spacing w:val="-48"/>
          <w:sz w:val="24"/>
          <w:szCs w:val="24"/>
        </w:rPr>
        <w:t xml:space="preserve"> </w:t>
      </w:r>
      <w:r>
        <w:rPr>
          <w:rFonts w:ascii="宋体" w:hAnsi="宋体" w:eastAsia="宋体" w:cs="宋体"/>
          <w:spacing w:val="-6"/>
          <w:sz w:val="24"/>
          <w:szCs w:val="24"/>
        </w:rPr>
        <w:t>分。</w:t>
      </w:r>
      <w:r>
        <w:rPr>
          <w:rFonts w:ascii="宋体" w:hAnsi="宋体" w:eastAsia="宋体" w:cs="宋体"/>
          <w:sz w:val="24"/>
          <w:szCs w:val="24"/>
        </w:rPr>
        <w:t xml:space="preserve"> </w:t>
      </w:r>
      <w:r>
        <w:rPr>
          <w:rFonts w:ascii="宋体" w:hAnsi="宋体" w:eastAsia="宋体" w:cs="宋体"/>
          <w:spacing w:val="2"/>
          <w:sz w:val="24"/>
          <w:szCs w:val="24"/>
        </w:rPr>
        <w:t>其他投标单位报价得分计算公式：报价得分</w:t>
      </w:r>
      <w:r>
        <w:rPr>
          <w:rFonts w:ascii="宋体" w:hAnsi="宋体" w:eastAsia="宋体" w:cs="宋体"/>
          <w:spacing w:val="-23"/>
          <w:sz w:val="24"/>
          <w:szCs w:val="24"/>
        </w:rPr>
        <w:t>＝（</w:t>
      </w:r>
      <w:r>
        <w:rPr>
          <w:rFonts w:ascii="宋体" w:hAnsi="宋体" w:eastAsia="宋体" w:cs="宋体"/>
          <w:spacing w:val="2"/>
          <w:sz w:val="24"/>
          <w:szCs w:val="24"/>
        </w:rPr>
        <w:t>基准价/报价）</w:t>
      </w:r>
      <w:r>
        <w:rPr>
          <w:rFonts w:ascii="宋体" w:hAnsi="宋体" w:eastAsia="宋体" w:cs="宋体"/>
          <w:spacing w:val="-68"/>
          <w:sz w:val="24"/>
          <w:szCs w:val="24"/>
        </w:rPr>
        <w:t xml:space="preserve"> </w:t>
      </w:r>
      <w:r>
        <w:rPr>
          <w:rFonts w:ascii="宋体" w:hAnsi="宋体" w:eastAsia="宋体" w:cs="宋体"/>
          <w:spacing w:val="2"/>
          <w:sz w:val="24"/>
          <w:szCs w:val="24"/>
        </w:rPr>
        <w:t>×</w:t>
      </w:r>
      <w:r>
        <w:rPr>
          <w:rFonts w:ascii="宋体" w:hAnsi="宋体" w:eastAsia="宋体" w:cs="宋体"/>
          <w:spacing w:val="-88"/>
          <w:sz w:val="24"/>
          <w:szCs w:val="24"/>
        </w:rPr>
        <w:t xml:space="preserve"> </w:t>
      </w:r>
      <w:r>
        <w:rPr>
          <w:rFonts w:ascii="宋体" w:hAnsi="宋体" w:eastAsia="宋体" w:cs="宋体"/>
          <w:spacing w:val="2"/>
          <w:sz w:val="24"/>
          <w:szCs w:val="24"/>
        </w:rPr>
        <w:t>10</w:t>
      </w:r>
      <w:r>
        <w:rPr>
          <w:rFonts w:ascii="宋体" w:hAnsi="宋体" w:eastAsia="宋体" w:cs="宋体"/>
          <w:spacing w:val="-46"/>
          <w:sz w:val="24"/>
          <w:szCs w:val="24"/>
        </w:rPr>
        <w:t xml:space="preserve"> </w:t>
      </w:r>
      <w:r>
        <w:rPr>
          <w:rFonts w:ascii="宋体" w:hAnsi="宋体" w:eastAsia="宋体" w:cs="宋体"/>
          <w:spacing w:val="2"/>
          <w:sz w:val="24"/>
          <w:szCs w:val="24"/>
        </w:rPr>
        <w:t>分。四舍五入后保留</w:t>
      </w:r>
      <w:r>
        <w:rPr>
          <w:rFonts w:ascii="宋体" w:hAnsi="宋体" w:eastAsia="宋体" w:cs="宋体"/>
          <w:spacing w:val="-42"/>
          <w:sz w:val="24"/>
          <w:szCs w:val="24"/>
        </w:rPr>
        <w:t xml:space="preserve"> </w:t>
      </w:r>
      <w:r>
        <w:rPr>
          <w:rFonts w:ascii="宋体" w:hAnsi="宋体" w:eastAsia="宋体" w:cs="宋体"/>
          <w:spacing w:val="2"/>
          <w:sz w:val="24"/>
          <w:szCs w:val="24"/>
        </w:rPr>
        <w:t>2</w:t>
      </w:r>
      <w:r>
        <w:rPr>
          <w:rFonts w:ascii="宋体" w:hAnsi="宋体" w:eastAsia="宋体" w:cs="宋体"/>
          <w:sz w:val="24"/>
          <w:szCs w:val="24"/>
        </w:rPr>
        <w:t xml:space="preserve"> </w:t>
      </w:r>
      <w:r>
        <w:rPr>
          <w:rFonts w:ascii="宋体" w:hAnsi="宋体" w:eastAsia="宋体" w:cs="宋体"/>
          <w:spacing w:val="-3"/>
          <w:sz w:val="24"/>
          <w:szCs w:val="24"/>
        </w:rPr>
        <w:t>位小数。</w:t>
      </w:r>
    </w:p>
    <w:p w14:paraId="5E1F4A69">
      <w:pPr>
        <w:spacing w:before="36" w:line="278" w:lineRule="auto"/>
        <w:ind w:left="13" w:right="80" w:firstLine="485"/>
        <w:rPr>
          <w:rFonts w:ascii="宋体" w:hAnsi="宋体" w:eastAsia="宋体" w:cs="宋体"/>
          <w:sz w:val="24"/>
          <w:szCs w:val="24"/>
        </w:rPr>
      </w:pPr>
      <w:r>
        <w:rPr>
          <w:rFonts w:ascii="宋体" w:hAnsi="宋体" w:eastAsia="宋体" w:cs="宋体"/>
          <w:sz w:val="24"/>
          <w:szCs w:val="24"/>
        </w:rPr>
        <w:t>（一）对于非预留份额专门面向中小企业的</w:t>
      </w:r>
      <w:r>
        <w:rPr>
          <w:rFonts w:ascii="宋体" w:hAnsi="宋体" w:eastAsia="宋体" w:cs="宋体"/>
          <w:spacing w:val="-1"/>
          <w:sz w:val="24"/>
          <w:szCs w:val="24"/>
        </w:rPr>
        <w:t>采购项目或者采购包，将按财库〔2020〕46</w:t>
      </w:r>
      <w:r>
        <w:rPr>
          <w:rFonts w:ascii="宋体" w:hAnsi="宋体" w:eastAsia="宋体" w:cs="宋体"/>
          <w:sz w:val="24"/>
          <w:szCs w:val="24"/>
        </w:rPr>
        <w:t xml:space="preserve"> 号、财库[2014]68</w:t>
      </w:r>
      <w:r>
        <w:rPr>
          <w:rFonts w:ascii="宋体" w:hAnsi="宋体" w:eastAsia="宋体" w:cs="宋体"/>
          <w:spacing w:val="-45"/>
          <w:sz w:val="24"/>
          <w:szCs w:val="24"/>
        </w:rPr>
        <w:t xml:space="preserve"> </w:t>
      </w:r>
      <w:r>
        <w:rPr>
          <w:rFonts w:ascii="宋体" w:hAnsi="宋体" w:eastAsia="宋体" w:cs="宋体"/>
          <w:sz w:val="24"/>
          <w:szCs w:val="24"/>
        </w:rPr>
        <w:t>号、财库[2017]141</w:t>
      </w:r>
      <w:r>
        <w:rPr>
          <w:rFonts w:ascii="宋体" w:hAnsi="宋体" w:eastAsia="宋体" w:cs="宋体"/>
          <w:spacing w:val="-40"/>
          <w:sz w:val="24"/>
          <w:szCs w:val="24"/>
        </w:rPr>
        <w:t xml:space="preserve"> </w:t>
      </w:r>
      <w:r>
        <w:rPr>
          <w:rFonts w:ascii="宋体" w:hAnsi="宋体" w:eastAsia="宋体" w:cs="宋体"/>
          <w:sz w:val="24"/>
          <w:szCs w:val="24"/>
        </w:rPr>
        <w:t>号文件的规定进行相应</w:t>
      </w:r>
      <w:r>
        <w:rPr>
          <w:rFonts w:ascii="宋体" w:hAnsi="宋体" w:eastAsia="宋体" w:cs="宋体"/>
          <w:spacing w:val="-1"/>
          <w:sz w:val="24"/>
          <w:szCs w:val="24"/>
        </w:rPr>
        <w:t>的价格扣除，价格扣除比例对</w:t>
      </w:r>
      <w:r>
        <w:rPr>
          <w:rFonts w:ascii="宋体" w:hAnsi="宋体" w:eastAsia="宋体" w:cs="宋体"/>
          <w:sz w:val="24"/>
          <w:szCs w:val="24"/>
        </w:rPr>
        <w:t xml:space="preserve"> </w:t>
      </w:r>
      <w:r>
        <w:rPr>
          <w:rFonts w:ascii="宋体" w:hAnsi="宋体" w:eastAsia="宋体" w:cs="宋体"/>
          <w:spacing w:val="-1"/>
          <w:sz w:val="24"/>
          <w:szCs w:val="24"/>
        </w:rPr>
        <w:t>小型企业和微型企业同等对待，不作区分。</w:t>
      </w:r>
    </w:p>
    <w:p w14:paraId="54326A64">
      <w:pPr>
        <w:spacing w:before="117" w:line="290" w:lineRule="auto"/>
        <w:ind w:left="7" w:right="80" w:firstLine="492"/>
        <w:rPr>
          <w:rFonts w:ascii="宋体" w:hAnsi="宋体" w:eastAsia="宋体" w:cs="宋体"/>
          <w:sz w:val="24"/>
          <w:szCs w:val="24"/>
        </w:rPr>
      </w:pPr>
      <w:r>
        <w:rPr>
          <w:rFonts w:ascii="宋体" w:hAnsi="宋体" w:eastAsia="宋体" w:cs="宋体"/>
          <w:spacing w:val="-3"/>
          <w:sz w:val="24"/>
          <w:szCs w:val="24"/>
        </w:rPr>
        <w:t>（1）提供的货物全部由符合政策要求的小型和微型企业（含监狱企业、残疾人福利性单</w:t>
      </w:r>
      <w:r>
        <w:rPr>
          <w:rFonts w:ascii="宋体" w:hAnsi="宋体" w:eastAsia="宋体" w:cs="宋体"/>
          <w:spacing w:val="13"/>
          <w:sz w:val="24"/>
          <w:szCs w:val="24"/>
        </w:rPr>
        <w:t xml:space="preserve"> </w:t>
      </w:r>
      <w:r>
        <w:rPr>
          <w:rFonts w:ascii="宋体" w:hAnsi="宋体" w:eastAsia="宋体" w:cs="宋体"/>
          <w:spacing w:val="1"/>
          <w:sz w:val="24"/>
          <w:szCs w:val="24"/>
        </w:rPr>
        <w:t>位）制造的，对其报价给予</w:t>
      </w:r>
      <w:r>
        <w:rPr>
          <w:rFonts w:ascii="宋体" w:hAnsi="宋体" w:eastAsia="宋体" w:cs="宋体"/>
          <w:spacing w:val="-13"/>
          <w:sz w:val="24"/>
          <w:szCs w:val="24"/>
        </w:rPr>
        <w:t xml:space="preserve"> </w:t>
      </w:r>
      <w:r>
        <w:rPr>
          <w:rFonts w:ascii="宋体" w:hAnsi="宋体" w:eastAsia="宋体" w:cs="宋体"/>
          <w:spacing w:val="1"/>
          <w:sz w:val="24"/>
          <w:szCs w:val="24"/>
        </w:rPr>
        <w:t>10%的扣除，用扣除后的价格参与评审。小微企业须在投标文件</w:t>
      </w:r>
      <w:r>
        <w:rPr>
          <w:rFonts w:ascii="宋体" w:hAnsi="宋体" w:eastAsia="宋体" w:cs="宋体"/>
          <w:sz w:val="24"/>
          <w:szCs w:val="24"/>
        </w:rPr>
        <w:t xml:space="preserve"> </w:t>
      </w:r>
      <w:r>
        <w:rPr>
          <w:rFonts w:ascii="宋体" w:hAnsi="宋体" w:eastAsia="宋体" w:cs="宋体"/>
          <w:spacing w:val="-2"/>
          <w:sz w:val="24"/>
          <w:szCs w:val="24"/>
        </w:rPr>
        <w:t>中出具《中小企业声明函》{如为监狱企业，提供由省级以上监狱管理</w:t>
      </w:r>
      <w:r>
        <w:rPr>
          <w:rFonts w:ascii="宋体" w:hAnsi="宋体" w:eastAsia="宋体" w:cs="宋体"/>
          <w:spacing w:val="-3"/>
          <w:sz w:val="24"/>
          <w:szCs w:val="24"/>
        </w:rPr>
        <w:t>局、戒毒管理局（含新</w:t>
      </w:r>
      <w:r>
        <w:rPr>
          <w:rFonts w:ascii="宋体" w:hAnsi="宋体" w:eastAsia="宋体" w:cs="宋体"/>
          <w:sz w:val="24"/>
          <w:szCs w:val="24"/>
        </w:rPr>
        <w:t xml:space="preserve"> </w:t>
      </w:r>
      <w:r>
        <w:rPr>
          <w:rFonts w:ascii="宋体" w:hAnsi="宋体" w:eastAsia="宋体" w:cs="宋体"/>
          <w:spacing w:val="1"/>
          <w:sz w:val="24"/>
          <w:szCs w:val="24"/>
        </w:rPr>
        <w:t>疆生产建设兵团）出具的属于监狱企业的证明文件；如为残疾人</w:t>
      </w:r>
      <w:r>
        <w:rPr>
          <w:rFonts w:ascii="宋体" w:hAnsi="宋体" w:eastAsia="宋体" w:cs="宋体"/>
          <w:sz w:val="24"/>
          <w:szCs w:val="24"/>
        </w:rPr>
        <w:t xml:space="preserve">福利性单位，提供《残疾人 </w:t>
      </w:r>
      <w:r>
        <w:rPr>
          <w:rFonts w:ascii="宋体" w:hAnsi="宋体" w:eastAsia="宋体" w:cs="宋体"/>
          <w:spacing w:val="-1"/>
          <w:sz w:val="24"/>
          <w:szCs w:val="24"/>
        </w:rPr>
        <w:t>福利性单位声明函》}，否则不享受相关中小企业扶持政策。</w:t>
      </w:r>
    </w:p>
    <w:p w14:paraId="330EF53C">
      <w:pPr>
        <w:spacing w:before="112" w:line="279" w:lineRule="auto"/>
        <w:ind w:left="8" w:right="80" w:firstLine="491"/>
        <w:rPr>
          <w:rFonts w:ascii="宋体" w:hAnsi="宋体" w:eastAsia="宋体" w:cs="宋体"/>
          <w:sz w:val="24"/>
          <w:szCs w:val="24"/>
        </w:rPr>
      </w:pPr>
      <w:r>
        <w:rPr>
          <w:rFonts w:ascii="宋体" w:hAnsi="宋体" w:eastAsia="宋体" w:cs="宋体"/>
          <w:spacing w:val="-3"/>
          <w:sz w:val="24"/>
          <w:szCs w:val="24"/>
        </w:rPr>
        <w:t>（2）在货物采购项目中，供应商提供的货物既有中小企业（监狱企业、残疾人福利性单</w:t>
      </w:r>
      <w:r>
        <w:rPr>
          <w:rFonts w:ascii="宋体" w:hAnsi="宋体" w:eastAsia="宋体" w:cs="宋体"/>
          <w:spacing w:val="13"/>
          <w:sz w:val="24"/>
          <w:szCs w:val="24"/>
        </w:rPr>
        <w:t xml:space="preserve"> </w:t>
      </w:r>
      <w:r>
        <w:rPr>
          <w:rFonts w:ascii="宋体" w:hAnsi="宋体" w:eastAsia="宋体" w:cs="宋体"/>
          <w:spacing w:val="1"/>
          <w:sz w:val="24"/>
          <w:szCs w:val="24"/>
        </w:rPr>
        <w:t>位）制造货物，也有大型企业（非监狱企业、残疾人福利性单</w:t>
      </w:r>
      <w:r>
        <w:rPr>
          <w:rFonts w:ascii="宋体" w:hAnsi="宋体" w:eastAsia="宋体" w:cs="宋体"/>
          <w:sz w:val="24"/>
          <w:szCs w:val="24"/>
        </w:rPr>
        <w:t xml:space="preserve">位）制造货物的，不享受中小 </w:t>
      </w:r>
      <w:r>
        <w:rPr>
          <w:rFonts w:ascii="宋体" w:hAnsi="宋体" w:eastAsia="宋体" w:cs="宋体"/>
          <w:spacing w:val="-2"/>
          <w:sz w:val="24"/>
          <w:szCs w:val="24"/>
        </w:rPr>
        <w:t>企业扶持政策。</w:t>
      </w:r>
    </w:p>
    <w:p w14:paraId="1192BFB3">
      <w:pPr>
        <w:spacing w:before="114" w:line="290" w:lineRule="auto"/>
        <w:ind w:left="9" w:right="18" w:firstLine="490"/>
        <w:rPr>
          <w:rFonts w:ascii="宋体" w:hAnsi="宋体" w:eastAsia="宋体" w:cs="宋体"/>
          <w:sz w:val="24"/>
          <w:szCs w:val="24"/>
        </w:rPr>
      </w:pPr>
      <w:r>
        <w:rPr>
          <w:rFonts w:ascii="宋体" w:hAnsi="宋体" w:eastAsia="宋体" w:cs="宋体"/>
          <w:spacing w:val="-1"/>
          <w:sz w:val="24"/>
          <w:szCs w:val="24"/>
        </w:rPr>
        <w:t>（二）对于预留份额专门面向中小企业的采购项目或</w:t>
      </w:r>
      <w:r>
        <w:rPr>
          <w:rFonts w:ascii="宋体" w:hAnsi="宋体" w:eastAsia="宋体" w:cs="宋体"/>
          <w:spacing w:val="-2"/>
          <w:sz w:val="24"/>
          <w:szCs w:val="24"/>
        </w:rPr>
        <w:t>者采购包，将按财库〔2020〕46</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z w:val="24"/>
          <w:szCs w:val="24"/>
        </w:rPr>
        <w:t xml:space="preserve"> </w:t>
      </w:r>
      <w:r>
        <w:rPr>
          <w:rFonts w:ascii="宋体" w:hAnsi="宋体" w:eastAsia="宋体" w:cs="宋体"/>
          <w:spacing w:val="1"/>
          <w:sz w:val="24"/>
          <w:szCs w:val="24"/>
        </w:rPr>
        <w:t>规定专门面向中小企业采购，不再进行价格扣除。中小企业</w:t>
      </w:r>
      <w:r>
        <w:rPr>
          <w:rFonts w:ascii="宋体" w:hAnsi="宋体" w:eastAsia="宋体" w:cs="宋体"/>
          <w:sz w:val="24"/>
          <w:szCs w:val="24"/>
        </w:rPr>
        <w:t xml:space="preserve">须在投标文件中出具《中小企业 </w:t>
      </w:r>
      <w:r>
        <w:rPr>
          <w:rFonts w:ascii="宋体" w:hAnsi="宋体" w:eastAsia="宋体" w:cs="宋体"/>
          <w:spacing w:val="-2"/>
          <w:sz w:val="24"/>
          <w:szCs w:val="24"/>
        </w:rPr>
        <w:t>声明函》</w:t>
      </w:r>
      <w:r>
        <w:rPr>
          <w:rFonts w:ascii="宋体" w:hAnsi="宋体" w:eastAsia="宋体" w:cs="宋体"/>
          <w:spacing w:val="-70"/>
          <w:sz w:val="24"/>
          <w:szCs w:val="24"/>
        </w:rPr>
        <w:t xml:space="preserve"> </w:t>
      </w:r>
      <w:r>
        <w:rPr>
          <w:rFonts w:ascii="宋体" w:hAnsi="宋体" w:eastAsia="宋体" w:cs="宋体"/>
          <w:spacing w:val="-2"/>
          <w:sz w:val="24"/>
          <w:szCs w:val="24"/>
        </w:rPr>
        <w:t>{如为监狱企业，提供由省级以上监狱管理局、戒毒管理局（含新疆生产建设兵团）</w:t>
      </w:r>
      <w:r>
        <w:rPr>
          <w:rFonts w:ascii="宋体" w:hAnsi="宋体" w:eastAsia="宋体" w:cs="宋体"/>
          <w:sz w:val="24"/>
          <w:szCs w:val="24"/>
        </w:rPr>
        <w:t xml:space="preserve"> </w:t>
      </w:r>
      <w:r>
        <w:rPr>
          <w:rFonts w:ascii="宋体" w:hAnsi="宋体" w:eastAsia="宋体" w:cs="宋体"/>
          <w:spacing w:val="-12"/>
          <w:sz w:val="24"/>
          <w:szCs w:val="24"/>
        </w:rPr>
        <w:t>出具的属于监狱企业的证明文件；如为残疾人福利性单位，提供《残疾人福利性单位声明函》}，</w:t>
      </w:r>
      <w:r>
        <w:rPr>
          <w:rFonts w:ascii="宋体" w:hAnsi="宋体" w:eastAsia="宋体" w:cs="宋体"/>
          <w:spacing w:val="4"/>
          <w:sz w:val="24"/>
          <w:szCs w:val="24"/>
        </w:rPr>
        <w:t xml:space="preserve"> </w:t>
      </w:r>
      <w:r>
        <w:rPr>
          <w:rFonts w:ascii="宋体" w:hAnsi="宋体" w:eastAsia="宋体" w:cs="宋体"/>
          <w:spacing w:val="-1"/>
          <w:sz w:val="24"/>
          <w:szCs w:val="24"/>
        </w:rPr>
        <w:t>否则不享受相关中小企业扶持政策。</w:t>
      </w:r>
    </w:p>
    <w:p w14:paraId="7F5A6003">
      <w:pPr>
        <w:spacing w:before="117" w:line="298" w:lineRule="auto"/>
        <w:ind w:left="9" w:right="80" w:firstLine="480"/>
        <w:rPr>
          <w:rFonts w:ascii="宋体" w:hAnsi="宋体" w:eastAsia="宋体" w:cs="宋体"/>
          <w:sz w:val="24"/>
          <w:szCs w:val="24"/>
        </w:rPr>
      </w:pPr>
      <w:r>
        <w:rPr>
          <w:rFonts w:ascii="宋体" w:hAnsi="宋体" w:eastAsia="宋体" w:cs="宋体"/>
          <w:spacing w:val="1"/>
          <w:sz w:val="24"/>
          <w:szCs w:val="24"/>
        </w:rPr>
        <w:t>预留份额的采购项目或者采购包，通过发布公告方式邀请</w:t>
      </w:r>
      <w:r>
        <w:rPr>
          <w:rFonts w:ascii="宋体" w:hAnsi="宋体" w:eastAsia="宋体" w:cs="宋体"/>
          <w:sz w:val="24"/>
          <w:szCs w:val="24"/>
        </w:rPr>
        <w:t>供应商后，符合资格条件的中 小企业数量不足</w:t>
      </w:r>
      <w:r>
        <w:rPr>
          <w:rFonts w:ascii="宋体" w:hAnsi="宋体" w:eastAsia="宋体" w:cs="宋体"/>
          <w:spacing w:val="-44"/>
          <w:sz w:val="24"/>
          <w:szCs w:val="24"/>
        </w:rPr>
        <w:t xml:space="preserve"> </w:t>
      </w:r>
      <w:r>
        <w:rPr>
          <w:rFonts w:ascii="宋体" w:hAnsi="宋体" w:eastAsia="宋体" w:cs="宋体"/>
          <w:sz w:val="24"/>
          <w:szCs w:val="24"/>
        </w:rPr>
        <w:t>3</w:t>
      </w:r>
      <w:r>
        <w:rPr>
          <w:rFonts w:ascii="宋体" w:hAnsi="宋体" w:eastAsia="宋体" w:cs="宋体"/>
          <w:spacing w:val="-49"/>
          <w:sz w:val="24"/>
          <w:szCs w:val="24"/>
        </w:rPr>
        <w:t xml:space="preserve"> </w:t>
      </w:r>
      <w:r>
        <w:rPr>
          <w:rFonts w:ascii="宋体" w:hAnsi="宋体" w:eastAsia="宋体" w:cs="宋体"/>
          <w:sz w:val="24"/>
          <w:szCs w:val="24"/>
        </w:rPr>
        <w:t xml:space="preserve">家的，应当中止采购活动，视同未预留份额的采购项目或者采购包，按照 </w:t>
      </w:r>
      <w:r>
        <w:rPr>
          <w:rFonts w:ascii="宋体" w:hAnsi="宋体" w:eastAsia="宋体" w:cs="宋体"/>
          <w:spacing w:val="-1"/>
          <w:sz w:val="24"/>
          <w:szCs w:val="24"/>
        </w:rPr>
        <w:t>财库〔2020〕46</w:t>
      </w:r>
      <w:r>
        <w:rPr>
          <w:rFonts w:ascii="宋体" w:hAnsi="宋体" w:eastAsia="宋体" w:cs="宋体"/>
          <w:spacing w:val="-43"/>
          <w:sz w:val="24"/>
          <w:szCs w:val="24"/>
        </w:rPr>
        <w:t xml:space="preserve"> </w:t>
      </w:r>
      <w:r>
        <w:rPr>
          <w:rFonts w:ascii="宋体" w:hAnsi="宋体" w:eastAsia="宋体" w:cs="宋体"/>
          <w:spacing w:val="-1"/>
          <w:sz w:val="24"/>
          <w:szCs w:val="24"/>
        </w:rPr>
        <w:t>号文件第九条有关规定重新组织采购活动。</w:t>
      </w:r>
    </w:p>
    <w:p w14:paraId="5F864D51">
      <w:pPr>
        <w:spacing w:before="37" w:line="293" w:lineRule="auto"/>
        <w:ind w:left="15" w:right="80" w:firstLine="484"/>
        <w:rPr>
          <w:rFonts w:ascii="宋体" w:hAnsi="宋体" w:eastAsia="宋体" w:cs="宋体"/>
          <w:sz w:val="24"/>
          <w:szCs w:val="24"/>
        </w:rPr>
      </w:pPr>
      <w:r>
        <w:rPr>
          <w:rFonts w:ascii="宋体" w:hAnsi="宋体" w:eastAsia="宋体" w:cs="宋体"/>
          <w:sz w:val="24"/>
          <w:szCs w:val="24"/>
        </w:rPr>
        <w:t>（三）享受扶持政策获得政府采购合同的，小微企业不得将合同分包给大中型企业，中</w:t>
      </w:r>
      <w:r>
        <w:rPr>
          <w:rFonts w:ascii="宋体" w:hAnsi="宋体" w:eastAsia="宋体" w:cs="宋体"/>
          <w:spacing w:val="16"/>
          <w:sz w:val="24"/>
          <w:szCs w:val="24"/>
        </w:rPr>
        <w:t xml:space="preserve"> </w:t>
      </w:r>
      <w:r>
        <w:rPr>
          <w:rFonts w:ascii="宋体" w:hAnsi="宋体" w:eastAsia="宋体" w:cs="宋体"/>
          <w:spacing w:val="-2"/>
          <w:sz w:val="24"/>
          <w:szCs w:val="24"/>
        </w:rPr>
        <w:t>型企业不得将合同分包给大型企业。</w:t>
      </w:r>
    </w:p>
    <w:p w14:paraId="5F187DA2">
      <w:pPr>
        <w:spacing w:before="37" w:line="219" w:lineRule="auto"/>
        <w:ind w:left="487"/>
        <w:rPr>
          <w:rFonts w:ascii="宋体" w:hAnsi="宋体" w:eastAsia="宋体" w:cs="宋体"/>
          <w:sz w:val="24"/>
          <w:szCs w:val="24"/>
        </w:rPr>
      </w:pPr>
      <w:r>
        <w:rPr>
          <w:rFonts w:ascii="宋体" w:hAnsi="宋体" w:eastAsia="宋体" w:cs="宋体"/>
          <w:spacing w:val="-1"/>
          <w:sz w:val="24"/>
          <w:szCs w:val="24"/>
        </w:rPr>
        <w:t>评委打分最高为</w:t>
      </w:r>
      <w:r>
        <w:rPr>
          <w:rFonts w:ascii="宋体" w:hAnsi="宋体" w:eastAsia="宋体" w:cs="宋体"/>
          <w:spacing w:val="-50"/>
          <w:sz w:val="24"/>
          <w:szCs w:val="24"/>
        </w:rPr>
        <w:t xml:space="preserve"> </w:t>
      </w:r>
      <w:r>
        <w:rPr>
          <w:rFonts w:ascii="宋体" w:hAnsi="宋体" w:eastAsia="宋体" w:cs="宋体"/>
          <w:spacing w:val="-1"/>
          <w:sz w:val="24"/>
          <w:szCs w:val="24"/>
        </w:rPr>
        <w:t>90</w:t>
      </w:r>
      <w:r>
        <w:rPr>
          <w:rFonts w:ascii="宋体" w:hAnsi="宋体" w:eastAsia="宋体" w:cs="宋体"/>
          <w:spacing w:val="-48"/>
          <w:sz w:val="24"/>
          <w:szCs w:val="24"/>
        </w:rPr>
        <w:t xml:space="preserve"> </w:t>
      </w:r>
      <w:r>
        <w:rPr>
          <w:rFonts w:ascii="宋体" w:hAnsi="宋体" w:eastAsia="宋体" w:cs="宋体"/>
          <w:spacing w:val="-1"/>
          <w:sz w:val="24"/>
          <w:szCs w:val="24"/>
        </w:rPr>
        <w:t>分，具体评分细则详见评审表（评分细</w:t>
      </w:r>
      <w:r>
        <w:rPr>
          <w:rFonts w:ascii="宋体" w:hAnsi="宋体" w:eastAsia="宋体" w:cs="宋体"/>
          <w:spacing w:val="-2"/>
          <w:sz w:val="24"/>
          <w:szCs w:val="24"/>
        </w:rPr>
        <w:t>则）。</w:t>
      </w:r>
    </w:p>
    <w:p w14:paraId="363909D3">
      <w:pPr>
        <w:spacing w:before="115" w:line="301" w:lineRule="auto"/>
        <w:ind w:left="7" w:right="80" w:firstLine="480"/>
        <w:rPr>
          <w:rFonts w:ascii="宋体" w:hAnsi="宋体" w:eastAsia="宋体" w:cs="宋体"/>
          <w:sz w:val="24"/>
          <w:szCs w:val="24"/>
        </w:rPr>
      </w:pPr>
      <w:r>
        <w:rPr>
          <w:rFonts w:ascii="宋体" w:hAnsi="宋体" w:eastAsia="宋体" w:cs="宋体"/>
          <w:sz w:val="24"/>
          <w:szCs w:val="24"/>
        </w:rPr>
        <w:t>加分部分为：依据《关于调整优化节能产品、环境标志产品政府采购执行机制的通知》</w:t>
      </w:r>
      <w:r>
        <w:rPr>
          <w:rFonts w:ascii="宋体" w:hAnsi="宋体" w:eastAsia="宋体" w:cs="宋体"/>
          <w:spacing w:val="18"/>
          <w:sz w:val="24"/>
          <w:szCs w:val="24"/>
        </w:rPr>
        <w:t xml:space="preserve"> </w:t>
      </w:r>
      <w:r>
        <w:rPr>
          <w:rFonts w:ascii="宋体" w:hAnsi="宋体" w:eastAsia="宋体" w:cs="宋体"/>
          <w:spacing w:val="1"/>
          <w:sz w:val="24"/>
          <w:szCs w:val="24"/>
        </w:rPr>
        <w:t>（财库〔2019〕9</w:t>
      </w:r>
      <w:r>
        <w:rPr>
          <w:rFonts w:ascii="宋体" w:hAnsi="宋体" w:eastAsia="宋体" w:cs="宋体"/>
          <w:spacing w:val="-42"/>
          <w:sz w:val="24"/>
          <w:szCs w:val="24"/>
        </w:rPr>
        <w:t xml:space="preserve"> </w:t>
      </w:r>
      <w:r>
        <w:rPr>
          <w:rFonts w:ascii="宋体" w:hAnsi="宋体" w:eastAsia="宋体" w:cs="宋体"/>
          <w:spacing w:val="1"/>
          <w:sz w:val="24"/>
          <w:szCs w:val="24"/>
        </w:rPr>
        <w:t>号</w:t>
      </w:r>
      <w:r>
        <w:rPr>
          <w:rFonts w:ascii="宋体" w:hAnsi="宋体" w:eastAsia="宋体" w:cs="宋体"/>
          <w:spacing w:val="15"/>
          <w:sz w:val="24"/>
          <w:szCs w:val="24"/>
        </w:rPr>
        <w:t>），</w:t>
      </w:r>
      <w:r>
        <w:rPr>
          <w:rFonts w:ascii="宋体" w:hAnsi="宋体" w:eastAsia="宋体" w:cs="宋体"/>
          <w:spacing w:val="1"/>
          <w:sz w:val="24"/>
          <w:szCs w:val="24"/>
        </w:rPr>
        <w:t>对政府采购节能产品、环境标志产品实施品目清单管理，依据品目</w:t>
      </w:r>
      <w:r>
        <w:rPr>
          <w:rFonts w:ascii="宋体" w:hAnsi="宋体" w:eastAsia="宋体" w:cs="宋体"/>
          <w:sz w:val="24"/>
          <w:szCs w:val="24"/>
        </w:rPr>
        <w:t xml:space="preserve"> </w:t>
      </w:r>
      <w:r>
        <w:rPr>
          <w:rFonts w:ascii="宋体" w:hAnsi="宋体" w:eastAsia="宋体" w:cs="宋体"/>
          <w:spacing w:val="1"/>
          <w:sz w:val="24"/>
          <w:szCs w:val="24"/>
        </w:rPr>
        <w:t>清单和认证证书实施政府优先采购和强制采购。拟采购的产品属</w:t>
      </w:r>
      <w:r>
        <w:rPr>
          <w:rFonts w:ascii="宋体" w:hAnsi="宋体" w:eastAsia="宋体" w:cs="宋体"/>
          <w:sz w:val="24"/>
          <w:szCs w:val="24"/>
        </w:rPr>
        <w:t xml:space="preserve">于品目清单范围的，应当依 </w:t>
      </w:r>
      <w:r>
        <w:rPr>
          <w:rFonts w:ascii="宋体" w:hAnsi="宋体" w:eastAsia="宋体" w:cs="宋体"/>
          <w:spacing w:val="1"/>
          <w:sz w:val="24"/>
          <w:szCs w:val="24"/>
        </w:rPr>
        <w:t>据国家确定的认证机构出具的、处于有效期之内的节能产品、环</w:t>
      </w:r>
      <w:r>
        <w:rPr>
          <w:rFonts w:ascii="宋体" w:hAnsi="宋体" w:eastAsia="宋体" w:cs="宋体"/>
          <w:sz w:val="24"/>
          <w:szCs w:val="24"/>
        </w:rPr>
        <w:t>境标志产品认证证书，对获</w:t>
      </w:r>
    </w:p>
    <w:p w14:paraId="730ABA19">
      <w:pPr>
        <w:spacing w:line="301" w:lineRule="auto"/>
        <w:rPr>
          <w:rFonts w:ascii="宋体" w:hAnsi="宋体" w:eastAsia="宋体" w:cs="宋体"/>
          <w:sz w:val="24"/>
          <w:szCs w:val="24"/>
        </w:rPr>
        <w:sectPr>
          <w:footerReference r:id="rId5" w:type="default"/>
          <w:pgSz w:w="11906" w:h="16839"/>
          <w:pgMar w:top="960" w:right="1054" w:bottom="916" w:left="1134" w:header="945" w:footer="754" w:gutter="0"/>
          <w:cols w:space="720" w:num="1"/>
        </w:sectPr>
      </w:pPr>
    </w:p>
    <w:p w14:paraId="43941934">
      <w:pPr>
        <w:spacing w:before="284" w:line="305" w:lineRule="auto"/>
        <w:ind w:left="7" w:firstLine="1"/>
        <w:rPr>
          <w:rFonts w:ascii="宋体" w:hAnsi="宋体" w:eastAsia="宋体" w:cs="宋体"/>
          <w:sz w:val="24"/>
          <w:szCs w:val="24"/>
        </w:rPr>
      </w:pPr>
      <w:r>
        <w:rPr>
          <w:rFonts w:ascii="宋体" w:hAnsi="宋体" w:eastAsia="宋体" w:cs="宋体"/>
          <w:spacing w:val="1"/>
          <w:sz w:val="24"/>
          <w:szCs w:val="24"/>
        </w:rPr>
        <w:t>得证书的产品实施政府优先采购或强制采购。对于已列入节</w:t>
      </w:r>
      <w:r>
        <w:rPr>
          <w:rFonts w:ascii="宋体" w:hAnsi="宋体" w:eastAsia="宋体" w:cs="宋体"/>
          <w:sz w:val="24"/>
          <w:szCs w:val="24"/>
        </w:rPr>
        <w:t xml:space="preserve">能产品、环境标志产品品目清单 </w:t>
      </w:r>
      <w:r>
        <w:rPr>
          <w:rFonts w:ascii="宋体" w:hAnsi="宋体" w:eastAsia="宋体" w:cs="宋体"/>
          <w:spacing w:val="4"/>
          <w:sz w:val="24"/>
          <w:szCs w:val="24"/>
        </w:rPr>
        <w:t>的非强制采购的产品类别及《政府采购自主创新产品目录》的</w:t>
      </w:r>
      <w:r>
        <w:rPr>
          <w:rFonts w:ascii="宋体" w:hAnsi="宋体" w:eastAsia="宋体" w:cs="宋体"/>
          <w:spacing w:val="3"/>
          <w:sz w:val="24"/>
          <w:szCs w:val="24"/>
        </w:rPr>
        <w:t>产品按《吉林省财政厅文件</w:t>
      </w:r>
      <w:r>
        <w:rPr>
          <w:rFonts w:ascii="宋体" w:hAnsi="宋体" w:eastAsia="宋体" w:cs="宋体"/>
          <w:sz w:val="24"/>
          <w:szCs w:val="24"/>
        </w:rPr>
        <w:t xml:space="preserve">  </w:t>
      </w:r>
      <w:r>
        <w:rPr>
          <w:rFonts w:ascii="宋体" w:hAnsi="宋体" w:eastAsia="宋体" w:cs="宋体"/>
          <w:spacing w:val="2"/>
          <w:sz w:val="24"/>
          <w:szCs w:val="24"/>
        </w:rPr>
        <w:t>吉财采购【2008】3</w:t>
      </w:r>
      <w:r>
        <w:rPr>
          <w:rFonts w:ascii="宋体" w:hAnsi="宋体" w:eastAsia="宋体" w:cs="宋体"/>
          <w:spacing w:val="-43"/>
          <w:sz w:val="24"/>
          <w:szCs w:val="24"/>
        </w:rPr>
        <w:t xml:space="preserve"> </w:t>
      </w:r>
      <w:r>
        <w:rPr>
          <w:rFonts w:ascii="宋体" w:hAnsi="宋体" w:eastAsia="宋体" w:cs="宋体"/>
          <w:spacing w:val="2"/>
          <w:sz w:val="24"/>
          <w:szCs w:val="24"/>
        </w:rPr>
        <w:t>号》给予加分。供应商应对所投标货物纳</w:t>
      </w:r>
      <w:r>
        <w:rPr>
          <w:rFonts w:ascii="宋体" w:hAnsi="宋体" w:eastAsia="宋体" w:cs="宋体"/>
          <w:spacing w:val="1"/>
          <w:sz w:val="24"/>
          <w:szCs w:val="24"/>
        </w:rPr>
        <w:t>入品目清单和目录的产品在投</w:t>
      </w:r>
      <w:r>
        <w:rPr>
          <w:rFonts w:ascii="宋体" w:hAnsi="宋体" w:eastAsia="宋体" w:cs="宋体"/>
          <w:sz w:val="24"/>
          <w:szCs w:val="24"/>
        </w:rPr>
        <w:t xml:space="preserve"> </w:t>
      </w:r>
      <w:r>
        <w:rPr>
          <w:rFonts w:ascii="宋体" w:hAnsi="宋体" w:eastAsia="宋体" w:cs="宋体"/>
          <w:spacing w:val="1"/>
          <w:sz w:val="24"/>
          <w:szCs w:val="24"/>
        </w:rPr>
        <w:t>标文件中按产品所在包另行单独列表，并提供相关依据｛须以报</w:t>
      </w:r>
      <w:r>
        <w:rPr>
          <w:rFonts w:ascii="宋体" w:hAnsi="宋体" w:eastAsia="宋体" w:cs="宋体"/>
          <w:sz w:val="24"/>
          <w:szCs w:val="24"/>
        </w:rPr>
        <w:t xml:space="preserve">价表的形式单独列表，并对 </w:t>
      </w:r>
      <w:r>
        <w:rPr>
          <w:rFonts w:ascii="宋体" w:hAnsi="宋体" w:eastAsia="宋体" w:cs="宋体"/>
          <w:spacing w:val="1"/>
          <w:sz w:val="24"/>
          <w:szCs w:val="24"/>
        </w:rPr>
        <w:t>此部分产品的投标报价合计及在整体投标报价中所占百分比进行</w:t>
      </w:r>
      <w:r>
        <w:rPr>
          <w:rFonts w:ascii="宋体" w:hAnsi="宋体" w:eastAsia="宋体" w:cs="宋体"/>
          <w:sz w:val="24"/>
          <w:szCs w:val="24"/>
        </w:rPr>
        <w:t xml:space="preserve">明确标注。节能产品、环境 </w:t>
      </w:r>
      <w:r>
        <w:rPr>
          <w:rFonts w:ascii="宋体" w:hAnsi="宋体" w:eastAsia="宋体" w:cs="宋体"/>
          <w:spacing w:val="1"/>
          <w:sz w:val="24"/>
          <w:szCs w:val="24"/>
        </w:rPr>
        <w:t>标志产品须提供品目清单、国家确定的认证机构（提供市场监管</w:t>
      </w:r>
      <w:r>
        <w:rPr>
          <w:rFonts w:ascii="宋体" w:hAnsi="宋体" w:eastAsia="宋体" w:cs="宋体"/>
          <w:sz w:val="24"/>
          <w:szCs w:val="24"/>
        </w:rPr>
        <w:t xml:space="preserve">总局认定为认证机构的网上 </w:t>
      </w:r>
      <w:r>
        <w:rPr>
          <w:rFonts w:ascii="宋体" w:hAnsi="宋体" w:eastAsia="宋体" w:cs="宋体"/>
          <w:spacing w:val="-1"/>
          <w:sz w:val="24"/>
          <w:szCs w:val="24"/>
        </w:rPr>
        <w:t>截图）出具的、处于有效期之内的节能产品、环境标志产品认证证书；</w:t>
      </w:r>
      <w:r>
        <w:rPr>
          <w:rFonts w:ascii="宋体" w:hAnsi="宋体" w:eastAsia="宋体" w:cs="宋体"/>
          <w:spacing w:val="-52"/>
          <w:sz w:val="24"/>
          <w:szCs w:val="24"/>
        </w:rPr>
        <w:t xml:space="preserve"> </w:t>
      </w:r>
      <w:r>
        <w:rPr>
          <w:rFonts w:ascii="宋体" w:hAnsi="宋体" w:eastAsia="宋体" w:cs="宋体"/>
          <w:spacing w:val="-1"/>
          <w:sz w:val="24"/>
          <w:szCs w:val="24"/>
        </w:rPr>
        <w:t>自主创新产品须提供</w:t>
      </w:r>
      <w:r>
        <w:rPr>
          <w:rFonts w:ascii="宋体" w:hAnsi="宋体" w:eastAsia="宋体" w:cs="宋体"/>
          <w:sz w:val="24"/>
          <w:szCs w:val="24"/>
        </w:rPr>
        <w:t xml:space="preserve"> 《政府采购自主创新产品目录》</w:t>
      </w:r>
      <w:r>
        <w:rPr>
          <w:rFonts w:ascii="宋体" w:hAnsi="宋体" w:eastAsia="宋体" w:cs="宋体"/>
          <w:spacing w:val="14"/>
          <w:sz w:val="24"/>
          <w:szCs w:val="24"/>
        </w:rPr>
        <w:t>｝，</w:t>
      </w:r>
      <w:r>
        <w:rPr>
          <w:rFonts w:ascii="宋体" w:hAnsi="宋体" w:eastAsia="宋体" w:cs="宋体"/>
          <w:sz w:val="24"/>
          <w:szCs w:val="24"/>
        </w:rPr>
        <w:t xml:space="preserve">否则不予计算（如已经将此内容列为技术要求或评委评 </w:t>
      </w:r>
      <w:r>
        <w:rPr>
          <w:rFonts w:ascii="宋体" w:hAnsi="宋体" w:eastAsia="宋体" w:cs="宋体"/>
          <w:spacing w:val="-1"/>
          <w:sz w:val="24"/>
          <w:szCs w:val="24"/>
        </w:rPr>
        <w:t>分因素，不再重复加分）。</w:t>
      </w:r>
    </w:p>
    <w:p w14:paraId="74D4ED6E">
      <w:pPr>
        <w:spacing w:before="34" w:line="294" w:lineRule="auto"/>
        <w:ind w:left="11" w:firstLine="476"/>
        <w:rPr>
          <w:rFonts w:ascii="宋体" w:hAnsi="宋体" w:eastAsia="宋体" w:cs="宋体"/>
          <w:sz w:val="24"/>
          <w:szCs w:val="24"/>
        </w:rPr>
      </w:pPr>
      <w:r>
        <w:rPr>
          <w:rFonts w:ascii="宋体" w:hAnsi="宋体" w:eastAsia="宋体" w:cs="宋体"/>
          <w:spacing w:val="1"/>
          <w:sz w:val="24"/>
          <w:szCs w:val="24"/>
        </w:rPr>
        <w:t>评委的平均分，报价得分和加分，三项之和，得出各投标单位的</w:t>
      </w:r>
      <w:r>
        <w:rPr>
          <w:rFonts w:ascii="宋体" w:hAnsi="宋体" w:eastAsia="宋体" w:cs="宋体"/>
          <w:sz w:val="24"/>
          <w:szCs w:val="24"/>
        </w:rPr>
        <w:t xml:space="preserve">综合得分，得分最高的 </w:t>
      </w:r>
      <w:r>
        <w:rPr>
          <w:rFonts w:ascii="宋体" w:hAnsi="宋体" w:eastAsia="宋体" w:cs="宋体"/>
          <w:spacing w:val="-2"/>
          <w:sz w:val="24"/>
          <w:szCs w:val="24"/>
        </w:rPr>
        <w:t>投标人应为中标单位。</w:t>
      </w:r>
    </w:p>
    <w:p w14:paraId="70F74860">
      <w:pPr>
        <w:spacing w:before="35" w:line="219" w:lineRule="auto"/>
        <w:ind w:left="489"/>
        <w:rPr>
          <w:rFonts w:ascii="宋体" w:hAnsi="宋体" w:eastAsia="宋体" w:cs="宋体"/>
          <w:sz w:val="24"/>
          <w:szCs w:val="24"/>
        </w:rPr>
      </w:pPr>
      <w:r>
        <w:rPr>
          <w:rFonts w:ascii="宋体" w:hAnsi="宋体" w:eastAsia="宋体" w:cs="宋体"/>
          <w:spacing w:val="-1"/>
          <w:sz w:val="24"/>
          <w:szCs w:val="24"/>
        </w:rPr>
        <w:t>本评标文件包括以下评标过程中所需文件附表：</w:t>
      </w:r>
    </w:p>
    <w:p w14:paraId="134707E5">
      <w:pPr>
        <w:pStyle w:val="18"/>
        <w:spacing w:line="244" w:lineRule="auto"/>
      </w:pPr>
    </w:p>
    <w:p w14:paraId="22020280">
      <w:pPr>
        <w:pStyle w:val="18"/>
        <w:spacing w:line="244" w:lineRule="auto"/>
      </w:pPr>
    </w:p>
    <w:p w14:paraId="5D13EF1E">
      <w:pPr>
        <w:pStyle w:val="18"/>
        <w:spacing w:line="245" w:lineRule="auto"/>
      </w:pPr>
      <w: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34925</wp:posOffset>
                </wp:positionV>
                <wp:extent cx="6120130"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6120130" cy="9525"/>
                        </a:xfrm>
                        <a:custGeom>
                          <a:avLst/>
                          <a:gdLst/>
                          <a:ahLst/>
                          <a:cxnLst/>
                          <a:pathLst>
                            <a:path w="9637" h="15">
                              <a:moveTo>
                                <a:pt x="0" y="0"/>
                              </a:moveTo>
                              <a:lnTo>
                                <a:pt x="9637" y="0"/>
                              </a:lnTo>
                              <a:lnTo>
                                <a:pt x="9637"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15pt;margin-top:2.75pt;height:0.75pt;width:481.9pt;z-index:251662336;mso-width-relative:page;mso-height-relative:page;" fillcolor="#000000" filled="t" stroked="f" coordsize="9637,15" o:gfxdata="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qt249QAAAAFAQAADwAAAAAAAAABACAA&#10;AAAiAAAAZHJzL2Rvd25yZXYueG1sUEsBAhQAFAAAAAgAh07iQIHrpX8RAgAAewQAAA4AAAAAAAAA&#10;AQAgAAAAIwEAAGRycy9lMm9Eb2MueG1sUEsFBgAAAAAGAAYAWQEAAKYFAAAAAA==&#10;" path="m0,0l9637,0,9637,14,0,14,0,0xe">
                <v:fill on="t" focussize="0,0"/>
                <v:stroke on="f"/>
                <v:imagedata o:title=""/>
                <o:lock v:ext="edit" aspectratio="f"/>
              </v:shape>
            </w:pict>
          </mc:Fallback>
        </mc:AlternateContent>
      </w:r>
    </w:p>
    <w:p w14:paraId="5AB2A3CA">
      <w:pPr>
        <w:numPr>
          <w:ilvl w:val="0"/>
          <w:numId w:val="0"/>
        </w:numPr>
        <w:spacing w:line="360" w:lineRule="auto"/>
        <w:jc w:val="center"/>
        <w:rPr>
          <w:rFonts w:hint="eastAsia" w:ascii="宋体" w:hAnsi="宋体" w:eastAsia="宋体" w:cs="宋体"/>
          <w:b/>
          <w:bCs/>
          <w:sz w:val="27"/>
          <w:szCs w:val="27"/>
          <w:lang w:eastAsia="zh-CN"/>
        </w:rPr>
      </w:pPr>
      <w:r>
        <w:rPr>
          <w:rFonts w:hint="eastAsia" w:ascii="宋体" w:hAnsi="宋体" w:eastAsia="宋体" w:cs="宋体"/>
          <w:b/>
          <w:bCs/>
          <w:sz w:val="27"/>
          <w:szCs w:val="27"/>
          <w:lang w:val="zh-CN" w:eastAsia="zh-CN"/>
        </w:rPr>
        <w:t>（</w:t>
      </w:r>
      <w:r>
        <w:rPr>
          <w:rFonts w:hint="eastAsia" w:ascii="宋体" w:hAnsi="宋体" w:eastAsia="宋体" w:cs="宋体"/>
          <w:b/>
          <w:bCs/>
          <w:sz w:val="27"/>
          <w:szCs w:val="27"/>
          <w:lang w:val="en-US" w:eastAsia="zh-CN"/>
        </w:rPr>
        <w:t>一</w:t>
      </w:r>
      <w:r>
        <w:rPr>
          <w:rFonts w:hint="eastAsia" w:ascii="宋体" w:hAnsi="宋体" w:eastAsia="宋体" w:cs="宋体"/>
          <w:b/>
          <w:bCs/>
          <w:sz w:val="27"/>
          <w:szCs w:val="27"/>
          <w:lang w:val="zh-CN" w:eastAsia="zh-CN"/>
        </w:rPr>
        <w:t>）</w:t>
      </w:r>
      <w:r>
        <w:rPr>
          <w:rFonts w:hint="eastAsia" w:ascii="宋体" w:hAnsi="宋体" w:eastAsia="宋体" w:cs="宋体"/>
          <w:b/>
          <w:bCs/>
          <w:sz w:val="27"/>
          <w:szCs w:val="27"/>
          <w:lang w:eastAsia="zh-CN"/>
        </w:rPr>
        <w:t>资格审查表</w:t>
      </w:r>
    </w:p>
    <w:tbl>
      <w:tblPr>
        <w:tblStyle w:val="47"/>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5993"/>
        <w:gridCol w:w="2482"/>
      </w:tblGrid>
      <w:tr w14:paraId="22D0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0082B152">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b w:val="0"/>
                <w:color w:val="auto"/>
                <w:kern w:val="2"/>
                <w:sz w:val="24"/>
                <w:szCs w:val="24"/>
                <w:highlight w:val="none"/>
                <w:lang w:bidi="ar-SA"/>
              </w:rPr>
              <w:t>序号</w:t>
            </w:r>
          </w:p>
        </w:tc>
        <w:tc>
          <w:tcPr>
            <w:tcW w:w="5993" w:type="dxa"/>
            <w:tcBorders>
              <w:tl2br w:val="nil"/>
              <w:tr2bl w:val="nil"/>
            </w:tcBorders>
            <w:noWrap w:val="0"/>
            <w:vAlign w:val="center"/>
          </w:tcPr>
          <w:p w14:paraId="363DAD1D">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b w:val="0"/>
                <w:color w:val="auto"/>
                <w:kern w:val="2"/>
                <w:sz w:val="24"/>
                <w:szCs w:val="24"/>
                <w:highlight w:val="none"/>
                <w:lang w:bidi="ar-SA"/>
              </w:rPr>
              <w:t>资格审查内容</w:t>
            </w:r>
          </w:p>
        </w:tc>
        <w:tc>
          <w:tcPr>
            <w:tcW w:w="2482" w:type="dxa"/>
            <w:tcBorders>
              <w:tl2br w:val="nil"/>
              <w:tr2bl w:val="nil"/>
            </w:tcBorders>
            <w:noWrap w:val="0"/>
            <w:vAlign w:val="center"/>
          </w:tcPr>
          <w:p w14:paraId="6EBBA1CA">
            <w:pPr>
              <w:widowControl w:val="0"/>
              <w:numPr>
                <w:ilvl w:val="0"/>
                <w:numId w:val="0"/>
              </w:numPr>
              <w:adjustRightInd w:val="0"/>
              <w:snapToGrid w:val="0"/>
              <w:spacing w:line="288" w:lineRule="auto"/>
              <w:jc w:val="both"/>
              <w:rPr>
                <w:rFonts w:hint="eastAsia" w:ascii="宋体" w:hAnsi="宋体" w:eastAsia="宋体" w:cs="宋体"/>
                <w:b w:val="0"/>
                <w:color w:val="auto"/>
                <w:spacing w:val="0"/>
                <w:kern w:val="2"/>
                <w:sz w:val="24"/>
                <w:szCs w:val="24"/>
                <w:highlight w:val="none"/>
                <w:lang w:bidi="ar-SA"/>
              </w:rPr>
            </w:pPr>
            <w:r>
              <w:rPr>
                <w:rFonts w:hint="eastAsia" w:ascii="宋体" w:hAnsi="宋体" w:eastAsia="宋体" w:cs="宋体"/>
                <w:b w:val="0"/>
                <w:color w:val="auto"/>
                <w:spacing w:val="0"/>
                <w:kern w:val="2"/>
                <w:sz w:val="24"/>
                <w:szCs w:val="24"/>
                <w:highlight w:val="none"/>
                <w:lang w:bidi="ar-SA"/>
              </w:rPr>
              <w:t>要求</w:t>
            </w:r>
          </w:p>
        </w:tc>
      </w:tr>
      <w:tr w14:paraId="5355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4AEBB9F9">
            <w:pPr>
              <w:widowControl w:val="0"/>
              <w:numPr>
                <w:ilvl w:val="0"/>
                <w:numId w:val="0"/>
              </w:numPr>
              <w:adjustRightInd w:val="0"/>
              <w:snapToGrid w:val="0"/>
              <w:spacing w:line="288" w:lineRule="auto"/>
              <w:jc w:val="center"/>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1</w:t>
            </w:r>
          </w:p>
        </w:tc>
        <w:tc>
          <w:tcPr>
            <w:tcW w:w="5993" w:type="dxa"/>
            <w:tcBorders>
              <w:tl2br w:val="nil"/>
              <w:tr2bl w:val="nil"/>
            </w:tcBorders>
            <w:noWrap w:val="0"/>
            <w:vAlign w:val="center"/>
          </w:tcPr>
          <w:p w14:paraId="2D626F16">
            <w:pPr>
              <w:widowControl w:val="0"/>
              <w:numPr>
                <w:ilvl w:val="0"/>
                <w:numId w:val="0"/>
              </w:numPr>
              <w:adjustRightInd w:val="0"/>
              <w:snapToGrid w:val="0"/>
              <w:spacing w:line="288" w:lineRule="auto"/>
              <w:jc w:val="both"/>
              <w:rPr>
                <w:rFonts w:hint="eastAsia"/>
                <w:spacing w:val="-4"/>
                <w:lang w:eastAsia="zh-CN"/>
              </w:rPr>
            </w:pPr>
            <w:r>
              <w:rPr>
                <w:rFonts w:hint="eastAsia"/>
                <w:spacing w:val="-4"/>
              </w:rPr>
              <w:t>法定代表人参加投标的，须提供法定代表人身份证明；</w:t>
            </w:r>
          </w:p>
          <w:p w14:paraId="71E404D4">
            <w:pPr>
              <w:widowControl w:val="0"/>
              <w:numPr>
                <w:ilvl w:val="0"/>
                <w:numId w:val="0"/>
              </w:numPr>
              <w:adjustRightInd w:val="0"/>
              <w:snapToGrid w:val="0"/>
              <w:spacing w:line="288" w:lineRule="auto"/>
              <w:jc w:val="both"/>
              <w:rPr>
                <w:rFonts w:hint="eastAsia"/>
                <w:spacing w:val="-4"/>
              </w:rPr>
            </w:pPr>
            <w:r>
              <w:rPr>
                <w:rFonts w:hint="eastAsia"/>
                <w:spacing w:val="-4"/>
              </w:rPr>
              <w:t>授权委托人参加投标的，须提供法定代表人授权委托书</w:t>
            </w:r>
          </w:p>
        </w:tc>
        <w:tc>
          <w:tcPr>
            <w:tcW w:w="2482" w:type="dxa"/>
            <w:tcBorders>
              <w:tl2br w:val="nil"/>
              <w:tr2bl w:val="nil"/>
            </w:tcBorders>
            <w:noWrap w:val="0"/>
            <w:vAlign w:val="center"/>
          </w:tcPr>
          <w:p w14:paraId="3A44AB30">
            <w:pPr>
              <w:widowControl w:val="0"/>
              <w:numPr>
                <w:ilvl w:val="0"/>
                <w:numId w:val="0"/>
              </w:numPr>
              <w:adjustRightInd w:val="0"/>
              <w:snapToGrid w:val="0"/>
              <w:spacing w:line="288" w:lineRule="auto"/>
              <w:jc w:val="both"/>
              <w:rPr>
                <w:rFonts w:hint="eastAsia"/>
                <w:spacing w:val="-4"/>
              </w:rPr>
            </w:pPr>
            <w:r>
              <w:rPr>
                <w:rFonts w:hint="eastAsia"/>
                <w:spacing w:val="-4"/>
              </w:rPr>
              <w:t>标书内附证明及委托书加盖单位公章</w:t>
            </w:r>
          </w:p>
        </w:tc>
      </w:tr>
      <w:tr w14:paraId="24B4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61D94D80">
            <w:pPr>
              <w:widowControl w:val="0"/>
              <w:numPr>
                <w:ilvl w:val="0"/>
                <w:numId w:val="0"/>
              </w:numPr>
              <w:adjustRightInd w:val="0"/>
              <w:snapToGrid w:val="0"/>
              <w:spacing w:line="288" w:lineRule="auto"/>
              <w:ind w:left="0" w:leftChars="0" w:firstLine="0" w:firstLineChars="0"/>
              <w:jc w:val="center"/>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2</w:t>
            </w:r>
          </w:p>
        </w:tc>
        <w:tc>
          <w:tcPr>
            <w:tcW w:w="5993" w:type="dxa"/>
            <w:tcBorders>
              <w:tl2br w:val="nil"/>
              <w:tr2bl w:val="nil"/>
            </w:tcBorders>
            <w:noWrap w:val="0"/>
            <w:vAlign w:val="center"/>
          </w:tcPr>
          <w:p w14:paraId="7E943711">
            <w:pPr>
              <w:widowControl w:val="0"/>
              <w:numPr>
                <w:ilvl w:val="0"/>
                <w:numId w:val="0"/>
              </w:numPr>
              <w:adjustRightInd w:val="0"/>
              <w:snapToGrid w:val="0"/>
              <w:spacing w:line="288" w:lineRule="auto"/>
              <w:jc w:val="both"/>
              <w:rPr>
                <w:rFonts w:hint="eastAsia"/>
                <w:spacing w:val="-4"/>
              </w:rPr>
            </w:pPr>
            <w:r>
              <w:rPr>
                <w:rFonts w:hint="eastAsia"/>
                <w:spacing w:val="-4"/>
              </w:rPr>
              <w:t>营业执照副本</w:t>
            </w:r>
          </w:p>
        </w:tc>
        <w:tc>
          <w:tcPr>
            <w:tcW w:w="2482" w:type="dxa"/>
            <w:tcBorders>
              <w:tl2br w:val="nil"/>
              <w:tr2bl w:val="nil"/>
            </w:tcBorders>
            <w:noWrap w:val="0"/>
            <w:vAlign w:val="center"/>
          </w:tcPr>
          <w:p w14:paraId="1D157626">
            <w:pPr>
              <w:widowControl w:val="0"/>
              <w:numPr>
                <w:ilvl w:val="0"/>
                <w:numId w:val="0"/>
              </w:numPr>
              <w:adjustRightInd w:val="0"/>
              <w:snapToGrid w:val="0"/>
              <w:spacing w:line="288" w:lineRule="auto"/>
              <w:jc w:val="both"/>
              <w:rPr>
                <w:rFonts w:hint="eastAsia"/>
                <w:spacing w:val="-4"/>
              </w:rPr>
            </w:pPr>
            <w:r>
              <w:rPr>
                <w:rFonts w:hint="eastAsia"/>
                <w:spacing w:val="-4"/>
              </w:rPr>
              <w:t>标书内附复印件加盖单位公章</w:t>
            </w:r>
          </w:p>
        </w:tc>
      </w:tr>
      <w:tr w14:paraId="3B6F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35038788">
            <w:pPr>
              <w:widowControl w:val="0"/>
              <w:numPr>
                <w:ilvl w:val="0"/>
                <w:numId w:val="0"/>
              </w:numPr>
              <w:adjustRightInd w:val="0"/>
              <w:snapToGrid w:val="0"/>
              <w:spacing w:line="288" w:lineRule="auto"/>
              <w:jc w:val="center"/>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3</w:t>
            </w:r>
          </w:p>
        </w:tc>
        <w:tc>
          <w:tcPr>
            <w:tcW w:w="5993" w:type="dxa"/>
            <w:tcBorders>
              <w:tl2br w:val="nil"/>
              <w:tr2bl w:val="nil"/>
            </w:tcBorders>
            <w:noWrap w:val="0"/>
            <w:vAlign w:val="center"/>
          </w:tcPr>
          <w:p w14:paraId="66343055">
            <w:pPr>
              <w:widowControl w:val="0"/>
              <w:numPr>
                <w:ilvl w:val="0"/>
                <w:numId w:val="0"/>
              </w:numPr>
              <w:adjustRightInd w:val="0"/>
              <w:snapToGrid w:val="0"/>
              <w:spacing w:line="288" w:lineRule="auto"/>
              <w:jc w:val="both"/>
              <w:rPr>
                <w:rFonts w:hint="eastAsia" w:ascii="Arial" w:hAnsi="Arial" w:eastAsia="Arial" w:cs="Arial"/>
                <w:snapToGrid w:val="0"/>
                <w:color w:val="000000"/>
                <w:spacing w:val="-4"/>
                <w:kern w:val="0"/>
                <w:sz w:val="21"/>
                <w:szCs w:val="21"/>
                <w:lang w:val="en-US" w:eastAsia="zh-CN" w:bidi="ar-SA"/>
              </w:rPr>
            </w:pPr>
            <w:r>
              <w:rPr>
                <w:rFonts w:hint="eastAsia" w:ascii="宋体" w:hAnsi="宋体" w:eastAsia="宋体" w:cs="宋体"/>
                <w:color w:val="auto"/>
                <w:kern w:val="0"/>
                <w:sz w:val="24"/>
                <w:szCs w:val="24"/>
                <w:highlight w:val="none"/>
                <w:lang w:val="en-US" w:eastAsia="zh-CN" w:bidi="ar"/>
              </w:rPr>
              <w:t>依法缴纳税收和社会保障资金的良好记录，近半年任意一个月缴纳税收的凭据、缴纳社会保险专用收据或社会保险缴纳清单；</w:t>
            </w:r>
          </w:p>
        </w:tc>
        <w:tc>
          <w:tcPr>
            <w:tcW w:w="2482" w:type="dxa"/>
            <w:tcBorders>
              <w:tl2br w:val="nil"/>
              <w:tr2bl w:val="nil"/>
            </w:tcBorders>
            <w:noWrap w:val="0"/>
            <w:vAlign w:val="center"/>
          </w:tcPr>
          <w:p w14:paraId="34F1795C">
            <w:pPr>
              <w:widowControl w:val="0"/>
              <w:numPr>
                <w:ilvl w:val="0"/>
                <w:numId w:val="0"/>
              </w:numPr>
              <w:adjustRightInd w:val="0"/>
              <w:snapToGrid w:val="0"/>
              <w:spacing w:line="288" w:lineRule="auto"/>
              <w:jc w:val="both"/>
              <w:rPr>
                <w:rFonts w:hint="eastAsia" w:ascii="Arial" w:hAnsi="Arial" w:eastAsia="Arial" w:cs="Arial"/>
                <w:snapToGrid w:val="0"/>
                <w:color w:val="000000"/>
                <w:spacing w:val="-4"/>
                <w:kern w:val="0"/>
                <w:sz w:val="21"/>
                <w:szCs w:val="21"/>
                <w:lang w:val="en-US" w:eastAsia="en-US" w:bidi="ar-SA"/>
              </w:rPr>
            </w:pPr>
            <w:r>
              <w:rPr>
                <w:rFonts w:hint="eastAsia" w:ascii="Arial" w:hAnsi="Arial" w:eastAsia="Arial" w:cs="Arial"/>
                <w:snapToGrid w:val="0"/>
                <w:color w:val="000000"/>
                <w:spacing w:val="-4"/>
                <w:kern w:val="0"/>
                <w:sz w:val="21"/>
                <w:szCs w:val="21"/>
                <w:lang w:val="en-US" w:eastAsia="en-US" w:bidi="ar-SA"/>
              </w:rPr>
              <w:t>标书内附复印件加盖单位公章</w:t>
            </w:r>
          </w:p>
        </w:tc>
      </w:tr>
      <w:tr w14:paraId="25BF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774BCD7A">
            <w:pPr>
              <w:widowControl w:val="0"/>
              <w:numPr>
                <w:ilvl w:val="0"/>
                <w:numId w:val="0"/>
              </w:numPr>
              <w:adjustRightInd w:val="0"/>
              <w:snapToGrid w:val="0"/>
              <w:spacing w:line="288" w:lineRule="auto"/>
              <w:ind w:left="0" w:leftChars="0" w:firstLine="0" w:firstLineChars="0"/>
              <w:jc w:val="center"/>
              <w:rPr>
                <w:rFonts w:hint="eastAsia"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4</w:t>
            </w:r>
          </w:p>
        </w:tc>
        <w:tc>
          <w:tcPr>
            <w:tcW w:w="5993" w:type="dxa"/>
            <w:tcBorders>
              <w:tl2br w:val="nil"/>
              <w:tr2bl w:val="nil"/>
            </w:tcBorders>
            <w:noWrap w:val="0"/>
            <w:vAlign w:val="center"/>
          </w:tcPr>
          <w:p w14:paraId="7E74163C">
            <w:pPr>
              <w:widowControl w:val="0"/>
              <w:numPr>
                <w:ilvl w:val="0"/>
                <w:numId w:val="0"/>
              </w:numPr>
              <w:adjustRightInd w:val="0"/>
              <w:snapToGrid w:val="0"/>
              <w:spacing w:line="288" w:lineRule="auto"/>
              <w:jc w:val="both"/>
              <w:rPr>
                <w:rFonts w:hint="eastAsia" w:ascii="Arial" w:hAnsi="Arial" w:eastAsia="Arial" w:cs="Arial"/>
                <w:snapToGrid w:val="0"/>
                <w:color w:val="000000"/>
                <w:spacing w:val="-4"/>
                <w:kern w:val="0"/>
                <w:sz w:val="21"/>
                <w:szCs w:val="21"/>
                <w:lang w:val="en-US" w:eastAsia="en-US" w:bidi="ar-SA"/>
              </w:rPr>
            </w:pPr>
            <w:r>
              <w:rPr>
                <w:rFonts w:hint="eastAsia" w:ascii="Arial" w:hAnsi="Arial" w:eastAsia="Arial" w:cs="Arial"/>
                <w:snapToGrid w:val="0"/>
                <w:color w:val="000000"/>
                <w:spacing w:val="-4"/>
                <w:kern w:val="0"/>
                <w:sz w:val="21"/>
                <w:szCs w:val="21"/>
                <w:lang w:val="en-US" w:eastAsia="en-US" w:bidi="ar-SA"/>
              </w:rPr>
              <w:t>近三年在经营活动中没有重大违法记录的书面声明</w:t>
            </w:r>
          </w:p>
        </w:tc>
        <w:tc>
          <w:tcPr>
            <w:tcW w:w="2482" w:type="dxa"/>
            <w:tcBorders>
              <w:tl2br w:val="nil"/>
              <w:tr2bl w:val="nil"/>
            </w:tcBorders>
            <w:noWrap w:val="0"/>
            <w:vAlign w:val="center"/>
          </w:tcPr>
          <w:p w14:paraId="34F2D100">
            <w:pPr>
              <w:widowControl w:val="0"/>
              <w:numPr>
                <w:ilvl w:val="0"/>
                <w:numId w:val="0"/>
              </w:numPr>
              <w:adjustRightInd w:val="0"/>
              <w:snapToGrid w:val="0"/>
              <w:spacing w:line="288" w:lineRule="auto"/>
              <w:jc w:val="both"/>
              <w:rPr>
                <w:rFonts w:hint="eastAsia" w:ascii="Arial" w:hAnsi="Arial" w:eastAsia="Arial" w:cs="Arial"/>
                <w:snapToGrid w:val="0"/>
                <w:color w:val="000000"/>
                <w:spacing w:val="-4"/>
                <w:kern w:val="0"/>
                <w:sz w:val="21"/>
                <w:szCs w:val="21"/>
                <w:lang w:val="en-US" w:eastAsia="en-US" w:bidi="ar-SA"/>
              </w:rPr>
            </w:pPr>
            <w:r>
              <w:rPr>
                <w:rFonts w:hint="eastAsia" w:ascii="Arial" w:hAnsi="Arial" w:eastAsia="Arial" w:cs="Arial"/>
                <w:snapToGrid w:val="0"/>
                <w:color w:val="000000"/>
                <w:spacing w:val="-4"/>
                <w:kern w:val="0"/>
                <w:sz w:val="21"/>
                <w:szCs w:val="21"/>
                <w:lang w:val="en-US" w:eastAsia="en-US" w:bidi="ar-SA"/>
              </w:rPr>
              <w:t>标书内附声明</w:t>
            </w:r>
          </w:p>
        </w:tc>
      </w:tr>
      <w:tr w14:paraId="677A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76753B6E">
            <w:pPr>
              <w:widowControl w:val="0"/>
              <w:numPr>
                <w:ilvl w:val="0"/>
                <w:numId w:val="0"/>
              </w:numPr>
              <w:adjustRightInd w:val="0"/>
              <w:snapToGrid w:val="0"/>
              <w:spacing w:line="288" w:lineRule="auto"/>
              <w:ind w:left="0" w:leftChars="0" w:firstLine="0" w:firstLineChars="0"/>
              <w:jc w:val="center"/>
              <w:rPr>
                <w:rFonts w:hint="default"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5</w:t>
            </w:r>
          </w:p>
        </w:tc>
        <w:tc>
          <w:tcPr>
            <w:tcW w:w="5993" w:type="dxa"/>
            <w:tcBorders>
              <w:tl2br w:val="nil"/>
              <w:tr2bl w:val="nil"/>
            </w:tcBorders>
            <w:noWrap w:val="0"/>
            <w:vAlign w:val="center"/>
          </w:tcPr>
          <w:p w14:paraId="0E0C0150">
            <w:pPr>
              <w:widowControl w:val="0"/>
              <w:numPr>
                <w:ilvl w:val="0"/>
                <w:numId w:val="0"/>
              </w:numPr>
              <w:adjustRightInd w:val="0"/>
              <w:snapToGrid w:val="0"/>
              <w:spacing w:line="288" w:lineRule="auto"/>
              <w:jc w:val="both"/>
              <w:rPr>
                <w:rFonts w:hint="eastAsia" w:ascii="Arial" w:hAnsi="Arial" w:eastAsia="Arial" w:cs="Arial"/>
                <w:snapToGrid w:val="0"/>
                <w:color w:val="000000"/>
                <w:spacing w:val="-4"/>
                <w:kern w:val="0"/>
                <w:sz w:val="21"/>
                <w:szCs w:val="21"/>
                <w:lang w:val="en-US" w:eastAsia="en-US" w:bidi="ar-SA"/>
              </w:rPr>
            </w:pPr>
            <w:r>
              <w:rPr>
                <w:rFonts w:hint="eastAsia" w:ascii="Arial" w:hAnsi="Arial" w:eastAsia="Arial" w:cs="Arial"/>
                <w:snapToGrid w:val="0"/>
                <w:color w:val="000000"/>
                <w:spacing w:val="-4"/>
                <w:kern w:val="0"/>
                <w:sz w:val="21"/>
                <w:szCs w:val="21"/>
                <w:lang w:val="en-US" w:eastAsia="en-US" w:bidi="ar-SA"/>
              </w:rPr>
              <w:t>拒绝列入政府取消投标资格期间的企业或个人投标。</w:t>
            </w:r>
          </w:p>
        </w:tc>
        <w:tc>
          <w:tcPr>
            <w:tcW w:w="2482" w:type="dxa"/>
            <w:tcBorders>
              <w:tl2br w:val="nil"/>
              <w:tr2bl w:val="nil"/>
            </w:tcBorders>
            <w:noWrap w:val="0"/>
            <w:vAlign w:val="center"/>
          </w:tcPr>
          <w:p w14:paraId="054EB24F">
            <w:pPr>
              <w:widowControl w:val="0"/>
              <w:numPr>
                <w:ilvl w:val="0"/>
                <w:numId w:val="0"/>
              </w:numPr>
              <w:adjustRightInd w:val="0"/>
              <w:snapToGrid w:val="0"/>
              <w:spacing w:line="288" w:lineRule="auto"/>
              <w:jc w:val="both"/>
              <w:rPr>
                <w:rFonts w:hint="eastAsia" w:ascii="Arial" w:hAnsi="Arial" w:eastAsia="Arial" w:cs="Arial"/>
                <w:snapToGrid w:val="0"/>
                <w:color w:val="000000"/>
                <w:spacing w:val="-4"/>
                <w:kern w:val="0"/>
                <w:sz w:val="21"/>
                <w:szCs w:val="21"/>
                <w:lang w:val="en-US" w:eastAsia="en-US" w:bidi="ar-SA"/>
              </w:rPr>
            </w:pPr>
            <w:r>
              <w:rPr>
                <w:rFonts w:hint="eastAsia" w:ascii="Arial" w:hAnsi="Arial" w:eastAsia="Arial" w:cs="Arial"/>
                <w:snapToGrid w:val="0"/>
                <w:color w:val="000000"/>
                <w:spacing w:val="-4"/>
                <w:kern w:val="0"/>
                <w:sz w:val="21"/>
                <w:szCs w:val="21"/>
                <w:lang w:val="en-US" w:eastAsia="en-US" w:bidi="ar-SA"/>
              </w:rPr>
              <w:t>标书内附法定代表人或委托代理人签字并加盖投标人公章的承诺书</w:t>
            </w:r>
          </w:p>
        </w:tc>
      </w:tr>
      <w:tr w14:paraId="4C11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4B6B8200">
            <w:pPr>
              <w:widowControl w:val="0"/>
              <w:numPr>
                <w:ilvl w:val="0"/>
                <w:numId w:val="0"/>
              </w:numPr>
              <w:adjustRightInd w:val="0"/>
              <w:snapToGrid w:val="0"/>
              <w:spacing w:line="288" w:lineRule="auto"/>
              <w:ind w:left="0" w:leftChars="0" w:firstLine="0" w:firstLineChars="0"/>
              <w:jc w:val="center"/>
              <w:rPr>
                <w:rFonts w:hint="default"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6</w:t>
            </w:r>
          </w:p>
        </w:tc>
        <w:tc>
          <w:tcPr>
            <w:tcW w:w="5993" w:type="dxa"/>
            <w:tcBorders>
              <w:tl2br w:val="nil"/>
              <w:tr2bl w:val="nil"/>
            </w:tcBorders>
            <w:noWrap w:val="0"/>
            <w:vAlign w:val="center"/>
          </w:tcPr>
          <w:p w14:paraId="1359AB2D">
            <w:pPr>
              <w:widowControl w:val="0"/>
              <w:numPr>
                <w:ilvl w:val="0"/>
                <w:numId w:val="0"/>
              </w:numPr>
              <w:adjustRightInd w:val="0"/>
              <w:snapToGrid w:val="0"/>
              <w:spacing w:line="288" w:lineRule="auto"/>
              <w:jc w:val="both"/>
              <w:rPr>
                <w:rFonts w:hint="eastAsia" w:ascii="Arial" w:hAnsi="Arial" w:eastAsia="Arial" w:cs="Arial"/>
                <w:snapToGrid w:val="0"/>
                <w:color w:val="000000"/>
                <w:spacing w:val="-4"/>
                <w:kern w:val="0"/>
                <w:sz w:val="21"/>
                <w:szCs w:val="21"/>
                <w:lang w:val="en-US" w:eastAsia="en-US" w:bidi="ar-SA"/>
              </w:rPr>
            </w:pPr>
            <w:r>
              <w:rPr>
                <w:rFonts w:hint="eastAsia" w:ascii="Arial" w:hAnsi="Arial" w:eastAsia="Arial" w:cs="Arial"/>
                <w:snapToGrid w:val="0"/>
                <w:color w:val="000000"/>
                <w:spacing w:val="-4"/>
                <w:kern w:val="0"/>
                <w:sz w:val="21"/>
                <w:szCs w:val="21"/>
                <w:lang w:val="en-US" w:eastAsia="zh-CN" w:bidi="ar-SA"/>
              </w:rPr>
              <w:t>在中国裁判文书网上，近三年无行贿受贿犯罪记录</w:t>
            </w:r>
          </w:p>
        </w:tc>
        <w:tc>
          <w:tcPr>
            <w:tcW w:w="2482" w:type="dxa"/>
            <w:tcBorders>
              <w:tl2br w:val="nil"/>
              <w:tr2bl w:val="nil"/>
            </w:tcBorders>
            <w:noWrap w:val="0"/>
            <w:vAlign w:val="center"/>
          </w:tcPr>
          <w:p w14:paraId="3C4EAA97">
            <w:pPr>
              <w:widowControl w:val="0"/>
              <w:numPr>
                <w:ilvl w:val="0"/>
                <w:numId w:val="0"/>
              </w:numPr>
              <w:adjustRightInd w:val="0"/>
              <w:snapToGrid w:val="0"/>
              <w:spacing w:line="288" w:lineRule="auto"/>
              <w:jc w:val="both"/>
              <w:rPr>
                <w:rFonts w:hint="eastAsia" w:ascii="Arial" w:hAnsi="Arial" w:eastAsia="Arial" w:cs="Arial"/>
                <w:snapToGrid w:val="0"/>
                <w:color w:val="000000"/>
                <w:spacing w:val="-4"/>
                <w:kern w:val="0"/>
                <w:sz w:val="21"/>
                <w:szCs w:val="21"/>
                <w:lang w:val="en-US" w:eastAsia="en-US" w:bidi="ar-SA"/>
              </w:rPr>
            </w:pPr>
            <w:r>
              <w:rPr>
                <w:rFonts w:hint="eastAsia" w:ascii="Arial" w:hAnsi="Arial" w:eastAsia="Arial" w:cs="Arial"/>
                <w:snapToGrid w:val="0"/>
                <w:color w:val="000000"/>
                <w:spacing w:val="-4"/>
                <w:kern w:val="0"/>
                <w:sz w:val="21"/>
                <w:szCs w:val="21"/>
                <w:lang w:val="en-US" w:eastAsia="en-US" w:bidi="ar-SA"/>
              </w:rPr>
              <w:t>标书内附复印件加盖单位公章</w:t>
            </w:r>
          </w:p>
        </w:tc>
      </w:tr>
      <w:tr w14:paraId="795E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197" w:type="dxa"/>
            <w:gridSpan w:val="3"/>
            <w:tcBorders>
              <w:tl2br w:val="nil"/>
              <w:tr2bl w:val="nil"/>
            </w:tcBorders>
            <w:noWrap w:val="0"/>
            <w:vAlign w:val="center"/>
          </w:tcPr>
          <w:p w14:paraId="1DC6ABBC">
            <w:pPr>
              <w:widowControl w:val="0"/>
              <w:numPr>
                <w:ilvl w:val="0"/>
                <w:numId w:val="0"/>
              </w:numPr>
              <w:adjustRightInd w:val="0"/>
              <w:snapToGrid w:val="0"/>
              <w:spacing w:line="288" w:lineRule="auto"/>
              <w:jc w:val="both"/>
              <w:rPr>
                <w:rFonts w:hint="eastAsia" w:ascii="Arial" w:hAnsi="Arial" w:eastAsia="Arial" w:cs="Arial"/>
                <w:snapToGrid w:val="0"/>
                <w:color w:val="000000"/>
                <w:spacing w:val="-4"/>
                <w:kern w:val="0"/>
                <w:sz w:val="21"/>
                <w:szCs w:val="21"/>
                <w:lang w:val="en-US" w:eastAsia="en-US" w:bidi="ar-SA"/>
              </w:rPr>
            </w:pPr>
            <w:r>
              <w:rPr>
                <w:spacing w:val="-4"/>
              </w:rPr>
              <w:t>上述评审因素都合格为资格评审合格，有一项不合格为废标。不再进行下一</w:t>
            </w:r>
            <w:r>
              <w:rPr>
                <w:spacing w:val="6"/>
              </w:rPr>
              <w:t xml:space="preserve"> </w:t>
            </w:r>
            <w:r>
              <w:rPr>
                <w:spacing w:val="-4"/>
              </w:rPr>
              <w:t>步评审。</w:t>
            </w:r>
          </w:p>
        </w:tc>
      </w:tr>
    </w:tbl>
    <w:p w14:paraId="26AFC71F">
      <w:pPr>
        <w:shd w:val="clear" w:color="auto" w:fill="auto"/>
        <w:autoSpaceDE w:val="0"/>
        <w:autoSpaceDN w:val="0"/>
        <w:adjustRightInd w:val="0"/>
        <w:spacing w:line="440" w:lineRule="exact"/>
        <w:jc w:val="left"/>
        <w:rPr>
          <w:rFonts w:hint="eastAsia" w:ascii="宋体" w:cs="宋体"/>
          <w:kern w:val="0"/>
          <w:sz w:val="24"/>
          <w:highlight w:val="none"/>
        </w:rPr>
      </w:pPr>
      <w:r>
        <w:rPr>
          <w:rFonts w:hint="eastAsia" w:ascii="宋体" w:cs="宋体"/>
          <w:kern w:val="0"/>
          <w:sz w:val="24"/>
          <w:highlight w:val="none"/>
        </w:rPr>
        <w:t>注：1、营业执照、组织机构代码证与税务登记证实行“三证合一”的执行《国务院办公厅关于加快推进“三证合一”登记制度改革的意见》国办发〔2015〕50号。</w:t>
      </w:r>
    </w:p>
    <w:p w14:paraId="1C6C22D0">
      <w:pPr>
        <w:shd w:val="clear" w:color="auto" w:fill="auto"/>
        <w:autoSpaceDE w:val="0"/>
        <w:autoSpaceDN w:val="0"/>
        <w:adjustRightInd w:val="0"/>
        <w:spacing w:line="440" w:lineRule="exact"/>
        <w:jc w:val="left"/>
        <w:rPr>
          <w:rFonts w:hint="eastAsia" w:ascii="宋体" w:cs="宋体"/>
          <w:kern w:val="0"/>
          <w:sz w:val="24"/>
          <w:highlight w:val="none"/>
        </w:rPr>
      </w:pPr>
      <w:r>
        <w:rPr>
          <w:rFonts w:hint="eastAsia" w:ascii="宋体" w:cs="宋体"/>
          <w:kern w:val="0"/>
          <w:sz w:val="24"/>
          <w:highlight w:val="none"/>
        </w:rPr>
        <w:t xml:space="preserve">2、根据中华人民共和国财政部令第87号 《政府采购货物和服务招标投标管理办法》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14:paraId="172732FA">
      <w:pPr>
        <w:shd w:val="clear" w:color="auto" w:fill="auto"/>
        <w:spacing w:line="500" w:lineRule="exact"/>
        <w:jc w:val="center"/>
        <w:textAlignment w:val="baseline"/>
        <w:rPr>
          <w:rFonts w:hint="eastAsia" w:ascii="宋体" w:cs="宋体"/>
          <w:b/>
          <w:sz w:val="28"/>
          <w:szCs w:val="20"/>
          <w:highlight w:val="none"/>
        </w:rPr>
      </w:pPr>
      <w:r>
        <w:rPr>
          <w:rFonts w:hint="eastAsia" w:ascii="宋体" w:cs="宋体"/>
          <w:b/>
          <w:sz w:val="28"/>
          <w:szCs w:val="20"/>
          <w:highlight w:val="none"/>
        </w:rPr>
        <w:t>（二）符合性评审表</w:t>
      </w:r>
    </w:p>
    <w:tbl>
      <w:tblPr>
        <w:tblStyle w:val="4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7102"/>
      </w:tblGrid>
      <w:tr w14:paraId="0768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blHeader/>
          <w:jc w:val="center"/>
        </w:trPr>
        <w:tc>
          <w:tcPr>
            <w:tcW w:w="2078" w:type="dxa"/>
            <w:tcBorders>
              <w:tl2br w:val="nil"/>
              <w:tr2bl w:val="nil"/>
            </w:tcBorders>
            <w:noWrap w:val="0"/>
            <w:vAlign w:val="center"/>
          </w:tcPr>
          <w:p w14:paraId="176E788D">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Times New Roman" w:eastAsia="宋体" w:cs="宋体"/>
                <w:bCs w:val="0"/>
                <w:kern w:val="2"/>
                <w:sz w:val="24"/>
                <w:szCs w:val="24"/>
                <w:highlight w:val="none"/>
                <w:lang w:val="zh-CN" w:eastAsia="zh-CN" w:bidi="ar-SA"/>
              </w:rPr>
              <w:t>评审因素</w:t>
            </w:r>
          </w:p>
        </w:tc>
        <w:tc>
          <w:tcPr>
            <w:tcW w:w="7102" w:type="dxa"/>
            <w:tcBorders>
              <w:tl2br w:val="nil"/>
              <w:tr2bl w:val="nil"/>
            </w:tcBorders>
            <w:noWrap w:val="0"/>
            <w:vAlign w:val="center"/>
          </w:tcPr>
          <w:p w14:paraId="6889A183">
            <w:pPr>
              <w:widowControl/>
              <w:numPr>
                <w:ilvl w:val="0"/>
                <w:numId w:val="0"/>
              </w:numPr>
              <w:shd w:val="clear" w:color="auto" w:fill="auto"/>
              <w:autoSpaceDE/>
              <w:autoSpaceDN/>
              <w:adjustRightInd/>
              <w:snapToGrid/>
              <w:spacing w:line="240" w:lineRule="atLeast"/>
              <w:ind w:left="0" w:leftChars="0" w:firstLine="480" w:firstLineChars="200"/>
              <w:jc w:val="left"/>
              <w:rPr>
                <w:rFonts w:hint="eastAsia" w:ascii="宋体" w:hAnsi="Times New Roman" w:eastAsia="宋体" w:cs="宋体"/>
                <w:bCs w:val="0"/>
                <w:kern w:val="2"/>
                <w:sz w:val="24"/>
                <w:szCs w:val="24"/>
                <w:highlight w:val="none"/>
                <w:lang w:val="zh-CN" w:eastAsia="zh-CN" w:bidi="ar-SA"/>
              </w:rPr>
            </w:pPr>
            <w:r>
              <w:rPr>
                <w:rFonts w:hint="eastAsia" w:ascii="宋体" w:hAnsi="Times New Roman" w:eastAsia="宋体" w:cs="宋体"/>
                <w:bCs w:val="0"/>
                <w:kern w:val="2"/>
                <w:sz w:val="24"/>
                <w:szCs w:val="24"/>
                <w:highlight w:val="none"/>
                <w:lang w:val="zh-CN" w:eastAsia="zh-CN" w:bidi="ar-SA"/>
              </w:rPr>
              <w:t>评审标准</w:t>
            </w:r>
          </w:p>
        </w:tc>
      </w:tr>
      <w:tr w14:paraId="3A66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619096A8">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Times New Roman" w:eastAsia="宋体" w:cs="宋体"/>
                <w:bCs w:val="0"/>
                <w:kern w:val="2"/>
                <w:sz w:val="24"/>
                <w:szCs w:val="24"/>
                <w:highlight w:val="none"/>
                <w:lang w:val="zh-CN" w:eastAsia="zh-CN" w:bidi="ar-SA"/>
              </w:rPr>
              <w:t>投标人名称</w:t>
            </w:r>
          </w:p>
        </w:tc>
        <w:tc>
          <w:tcPr>
            <w:tcW w:w="7102" w:type="dxa"/>
            <w:tcBorders>
              <w:tl2br w:val="nil"/>
              <w:tr2bl w:val="nil"/>
            </w:tcBorders>
            <w:noWrap w:val="0"/>
            <w:vAlign w:val="center"/>
          </w:tcPr>
          <w:p w14:paraId="57B762A0">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Times New Roman" w:eastAsia="宋体" w:cs="宋体"/>
                <w:bCs w:val="0"/>
                <w:kern w:val="2"/>
                <w:sz w:val="24"/>
                <w:szCs w:val="24"/>
                <w:highlight w:val="none"/>
                <w:lang w:val="zh-CN" w:eastAsia="zh-CN" w:bidi="ar-SA"/>
              </w:rPr>
              <w:t>与营业执照一致</w:t>
            </w:r>
          </w:p>
        </w:tc>
      </w:tr>
      <w:tr w14:paraId="6DFE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773DE34A">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en-US" w:eastAsia="zh-CN" w:bidi="ar-SA"/>
              </w:rPr>
            </w:pPr>
            <w:r>
              <w:rPr>
                <w:rFonts w:hint="eastAsia" w:ascii="宋体" w:hAnsi="Times New Roman" w:eastAsia="宋体" w:cs="宋体"/>
                <w:bCs w:val="0"/>
                <w:kern w:val="2"/>
                <w:sz w:val="24"/>
                <w:szCs w:val="24"/>
                <w:highlight w:val="none"/>
                <w:lang w:val="zh-CN" w:eastAsia="zh-CN" w:bidi="ar-SA"/>
              </w:rPr>
              <w:t>签字盖章</w:t>
            </w:r>
            <w:r>
              <w:rPr>
                <w:rFonts w:hint="eastAsia" w:ascii="宋体" w:hAnsi="Times New Roman" w:eastAsia="宋体" w:cs="宋体"/>
                <w:bCs w:val="0"/>
                <w:kern w:val="2"/>
                <w:sz w:val="24"/>
                <w:szCs w:val="24"/>
                <w:highlight w:val="none"/>
                <w:lang w:val="en-US" w:eastAsia="zh-CN" w:bidi="ar-SA"/>
              </w:rPr>
              <w:t>要求</w:t>
            </w:r>
          </w:p>
        </w:tc>
        <w:tc>
          <w:tcPr>
            <w:tcW w:w="7102" w:type="dxa"/>
            <w:tcBorders>
              <w:tl2br w:val="nil"/>
              <w:tr2bl w:val="nil"/>
            </w:tcBorders>
            <w:noWrap w:val="0"/>
            <w:vAlign w:val="center"/>
          </w:tcPr>
          <w:p w14:paraId="59CF6962">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en-US" w:eastAsia="zh-CN" w:bidi="ar-SA"/>
              </w:rPr>
            </w:pPr>
            <w:r>
              <w:rPr>
                <w:rFonts w:hint="eastAsia" w:ascii="宋体" w:hAnsi="Times New Roman" w:eastAsia="宋体" w:cs="宋体"/>
                <w:bCs w:val="0"/>
                <w:kern w:val="2"/>
                <w:sz w:val="24"/>
                <w:szCs w:val="24"/>
                <w:highlight w:val="none"/>
                <w:lang w:val="en-US" w:eastAsia="zh-CN" w:bidi="ar-SA"/>
              </w:rPr>
              <w:t>符合招标文件格式</w:t>
            </w:r>
          </w:p>
        </w:tc>
      </w:tr>
      <w:tr w14:paraId="408A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2078" w:type="dxa"/>
            <w:tcBorders>
              <w:tl2br w:val="nil"/>
              <w:tr2bl w:val="nil"/>
            </w:tcBorders>
            <w:noWrap w:val="0"/>
            <w:vAlign w:val="center"/>
          </w:tcPr>
          <w:p w14:paraId="05C4F85B">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Times New Roman" w:eastAsia="宋体" w:cs="宋体"/>
                <w:bCs w:val="0"/>
                <w:kern w:val="2"/>
                <w:sz w:val="24"/>
                <w:szCs w:val="24"/>
                <w:highlight w:val="none"/>
                <w:lang w:val="zh-CN" w:eastAsia="zh-CN" w:bidi="ar-SA"/>
              </w:rPr>
              <w:t>银行开户许可证</w:t>
            </w:r>
          </w:p>
        </w:tc>
        <w:tc>
          <w:tcPr>
            <w:tcW w:w="7102" w:type="dxa"/>
            <w:tcBorders>
              <w:tl2br w:val="nil"/>
              <w:tr2bl w:val="nil"/>
            </w:tcBorders>
            <w:noWrap w:val="0"/>
            <w:vAlign w:val="center"/>
          </w:tcPr>
          <w:p w14:paraId="0D548FFE">
            <w:pPr>
              <w:widowControl/>
              <w:numPr>
                <w:ilvl w:val="0"/>
                <w:numId w:val="0"/>
              </w:numPr>
              <w:shd w:val="clear" w:color="auto" w:fill="auto"/>
              <w:autoSpaceDE/>
              <w:autoSpaceDN/>
              <w:adjustRightInd/>
              <w:snapToGrid/>
              <w:spacing w:line="240" w:lineRule="atLeast"/>
              <w:ind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Times New Roman" w:eastAsia="宋体" w:cs="宋体"/>
                <w:bCs w:val="0"/>
                <w:kern w:val="2"/>
                <w:sz w:val="24"/>
                <w:szCs w:val="24"/>
                <w:highlight w:val="none"/>
                <w:lang w:val="zh-CN" w:eastAsia="zh-CN" w:bidi="ar-SA"/>
              </w:rPr>
              <w:t>具备有效的银行开户证明。</w:t>
            </w:r>
          </w:p>
          <w:p w14:paraId="5C25E361">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kern w:val="2"/>
                <w:sz w:val="24"/>
                <w:szCs w:val="24"/>
                <w:highlight w:val="none"/>
                <w:lang w:val="zh-CN" w:eastAsia="zh-CN"/>
              </w:rPr>
            </w:pPr>
            <w:r>
              <w:rPr>
                <w:rFonts w:hint="eastAsia" w:ascii="宋体" w:hAnsi="Times New Roman" w:eastAsia="宋体" w:cs="宋体"/>
                <w:kern w:val="2"/>
                <w:sz w:val="24"/>
                <w:szCs w:val="24"/>
                <w:highlight w:val="none"/>
              </w:rPr>
              <w:t>标书内附加盖公章的复印件</w:t>
            </w:r>
          </w:p>
        </w:tc>
      </w:tr>
      <w:tr w14:paraId="55F1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0CFF3787">
            <w:pPr>
              <w:widowControl/>
              <w:numPr>
                <w:ilvl w:val="0"/>
                <w:numId w:val="0"/>
              </w:numPr>
              <w:shd w:val="clear" w:color="auto" w:fill="auto"/>
              <w:autoSpaceDE/>
              <w:autoSpaceDN/>
              <w:adjustRightInd/>
              <w:snapToGrid/>
              <w:spacing w:line="240" w:lineRule="atLeast"/>
              <w:ind w:left="0" w:leftChars="0" w:firstLine="0" w:firstLineChars="0"/>
              <w:jc w:val="left"/>
              <w:rPr>
                <w:rFonts w:hint="default" w:ascii="宋体" w:hAnsi="Times New Roman" w:eastAsia="宋体" w:cs="宋体"/>
                <w:bCs w:val="0"/>
                <w:color w:val="C00000"/>
                <w:kern w:val="2"/>
                <w:sz w:val="24"/>
                <w:szCs w:val="24"/>
                <w:highlight w:val="none"/>
                <w:lang w:val="en-US" w:eastAsia="zh-CN" w:bidi="ar-SA"/>
              </w:rPr>
            </w:pPr>
            <w:r>
              <w:rPr>
                <w:rFonts w:hint="eastAsia" w:ascii="宋体" w:hAnsi="宋体" w:eastAsia="宋体" w:cs="宋体"/>
                <w:kern w:val="0"/>
                <w:sz w:val="24"/>
                <w:szCs w:val="24"/>
                <w:highlight w:val="none"/>
                <w:lang w:val="en-US" w:eastAsia="zh-CN"/>
              </w:rPr>
              <w:t>服务期</w:t>
            </w:r>
          </w:p>
        </w:tc>
        <w:tc>
          <w:tcPr>
            <w:tcW w:w="7102" w:type="dxa"/>
            <w:tcBorders>
              <w:tl2br w:val="nil"/>
              <w:tr2bl w:val="nil"/>
            </w:tcBorders>
            <w:noWrap w:val="0"/>
            <w:vAlign w:val="center"/>
          </w:tcPr>
          <w:p w14:paraId="33A66973">
            <w:pPr>
              <w:widowControl/>
              <w:numPr>
                <w:ilvl w:val="0"/>
                <w:numId w:val="0"/>
              </w:numPr>
              <w:shd w:val="clear" w:color="auto" w:fill="auto"/>
              <w:autoSpaceDE/>
              <w:autoSpaceDN/>
              <w:adjustRightInd/>
              <w:snapToGrid/>
              <w:spacing w:line="240" w:lineRule="atLeast"/>
              <w:ind w:left="0" w:leftChars="0" w:firstLine="0" w:firstLineChars="0"/>
              <w:jc w:val="left"/>
              <w:rPr>
                <w:rFonts w:hint="default" w:ascii="宋体" w:hAnsi="Times New Roman" w:eastAsia="宋体" w:cs="宋体"/>
                <w:bCs w:val="0"/>
                <w:color w:val="C00000"/>
                <w:kern w:val="2"/>
                <w:sz w:val="24"/>
                <w:szCs w:val="24"/>
                <w:highlight w:val="none"/>
                <w:lang w:val="en-US" w:eastAsia="zh-CN" w:bidi="ar-SA"/>
              </w:rPr>
            </w:pPr>
            <w:r>
              <w:rPr>
                <w:rFonts w:hint="eastAsia" w:ascii="宋体" w:hAnsi="宋体" w:cs="宋体"/>
                <w:color w:val="auto"/>
                <w:sz w:val="24"/>
                <w:szCs w:val="24"/>
                <w:highlight w:val="none"/>
                <w:lang w:val="en-US" w:eastAsia="zh-CN"/>
              </w:rPr>
              <w:t>2025年7月19日至2025年12月31日</w:t>
            </w:r>
          </w:p>
        </w:tc>
      </w:tr>
      <w:tr w14:paraId="0025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70361F88">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宋体" w:eastAsia="宋体" w:cs="宋体"/>
                <w:kern w:val="0"/>
                <w:sz w:val="24"/>
                <w:szCs w:val="24"/>
                <w:highlight w:val="none"/>
                <w:lang w:val="en-US" w:eastAsia="zh-CN"/>
              </w:rPr>
              <w:t>服务标准及要求</w:t>
            </w:r>
          </w:p>
        </w:tc>
        <w:tc>
          <w:tcPr>
            <w:tcW w:w="7102" w:type="dxa"/>
            <w:tcBorders>
              <w:tl2br w:val="nil"/>
              <w:tr2bl w:val="nil"/>
            </w:tcBorders>
            <w:noWrap w:val="0"/>
            <w:vAlign w:val="center"/>
          </w:tcPr>
          <w:p w14:paraId="072CAF2A">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宋体" w:eastAsia="宋体" w:cs="宋体"/>
                <w:kern w:val="0"/>
                <w:sz w:val="24"/>
                <w:szCs w:val="24"/>
                <w:highlight w:val="none"/>
                <w:lang w:val="en-US" w:eastAsia="zh-CN"/>
              </w:rPr>
              <w:t>符合招标文件第</w:t>
            </w:r>
            <w:r>
              <w:rPr>
                <w:rFonts w:hint="eastAsia" w:ascii="宋体" w:hAnsi="宋体" w:cs="宋体"/>
                <w:kern w:val="0"/>
                <w:sz w:val="24"/>
                <w:szCs w:val="24"/>
                <w:highlight w:val="none"/>
                <w:lang w:val="en-US" w:eastAsia="zh-CN"/>
              </w:rPr>
              <w:t>四</w:t>
            </w:r>
            <w:r>
              <w:rPr>
                <w:rFonts w:hint="eastAsia" w:ascii="宋体" w:hAnsi="宋体" w:eastAsia="宋体" w:cs="宋体"/>
                <w:kern w:val="0"/>
                <w:sz w:val="24"/>
                <w:szCs w:val="24"/>
                <w:highlight w:val="none"/>
                <w:lang w:val="en-US" w:eastAsia="zh-CN"/>
              </w:rPr>
              <w:t>章“服务标准及要求”规定。</w:t>
            </w:r>
          </w:p>
        </w:tc>
      </w:tr>
      <w:tr w14:paraId="184A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5777D4CD">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Times New Roman" w:eastAsia="宋体" w:cs="宋体"/>
                <w:bCs w:val="0"/>
                <w:kern w:val="2"/>
                <w:sz w:val="24"/>
                <w:szCs w:val="24"/>
                <w:highlight w:val="none"/>
                <w:lang w:val="zh-CN" w:eastAsia="zh-CN" w:bidi="ar-SA"/>
              </w:rPr>
              <w:t>投标有效期</w:t>
            </w:r>
          </w:p>
        </w:tc>
        <w:tc>
          <w:tcPr>
            <w:tcW w:w="7102" w:type="dxa"/>
            <w:tcBorders>
              <w:tl2br w:val="nil"/>
              <w:tr2bl w:val="nil"/>
            </w:tcBorders>
            <w:noWrap w:val="0"/>
            <w:vAlign w:val="center"/>
          </w:tcPr>
          <w:p w14:paraId="2571596C">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Times New Roman" w:eastAsia="宋体" w:cs="宋体"/>
                <w:bCs w:val="0"/>
                <w:kern w:val="2"/>
                <w:sz w:val="24"/>
                <w:szCs w:val="24"/>
                <w:highlight w:val="none"/>
                <w:lang w:val="zh-CN" w:eastAsia="zh-CN" w:bidi="ar-SA"/>
              </w:rPr>
              <w:t>投标截止之日后90天（日历天）</w:t>
            </w:r>
          </w:p>
        </w:tc>
      </w:tr>
      <w:tr w14:paraId="0A91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078" w:type="dxa"/>
            <w:tcBorders>
              <w:tl2br w:val="nil"/>
              <w:tr2bl w:val="nil"/>
            </w:tcBorders>
            <w:noWrap w:val="0"/>
            <w:vAlign w:val="center"/>
          </w:tcPr>
          <w:p w14:paraId="013B1A79">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Times New Roman" w:eastAsia="宋体" w:cs="宋体"/>
                <w:bCs w:val="0"/>
                <w:kern w:val="2"/>
                <w:sz w:val="24"/>
                <w:szCs w:val="24"/>
                <w:highlight w:val="none"/>
                <w:lang w:val="zh-CN" w:eastAsia="zh-CN" w:bidi="ar-SA"/>
              </w:rPr>
              <w:t>技术标准和要求</w:t>
            </w:r>
          </w:p>
        </w:tc>
        <w:tc>
          <w:tcPr>
            <w:tcW w:w="7102" w:type="dxa"/>
            <w:tcBorders>
              <w:tl2br w:val="nil"/>
              <w:tr2bl w:val="nil"/>
            </w:tcBorders>
            <w:noWrap w:val="0"/>
            <w:vAlign w:val="center"/>
          </w:tcPr>
          <w:p w14:paraId="71D21DA6">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Times New Roman" w:eastAsia="宋体" w:cs="宋体"/>
                <w:bCs w:val="0"/>
                <w:kern w:val="2"/>
                <w:sz w:val="24"/>
                <w:szCs w:val="24"/>
                <w:highlight w:val="none"/>
                <w:lang w:val="zh-CN" w:eastAsia="zh-CN" w:bidi="ar-SA"/>
              </w:rPr>
              <w:t>符合招标文件“技术</w:t>
            </w:r>
            <w:r>
              <w:rPr>
                <w:rFonts w:hint="eastAsia" w:ascii="宋体" w:cs="宋体"/>
                <w:bCs w:val="0"/>
                <w:kern w:val="2"/>
                <w:sz w:val="24"/>
                <w:szCs w:val="24"/>
                <w:highlight w:val="none"/>
                <w:lang w:val="en-US" w:eastAsia="zh-CN" w:bidi="ar-SA"/>
              </w:rPr>
              <w:t>标准和</w:t>
            </w:r>
            <w:r>
              <w:rPr>
                <w:rFonts w:hint="eastAsia" w:ascii="宋体" w:hAnsi="Times New Roman" w:eastAsia="宋体" w:cs="宋体"/>
                <w:bCs w:val="0"/>
                <w:kern w:val="2"/>
                <w:sz w:val="24"/>
                <w:szCs w:val="24"/>
                <w:highlight w:val="none"/>
                <w:lang w:val="zh-CN" w:eastAsia="zh-CN" w:bidi="ar-SA"/>
              </w:rPr>
              <w:t>要求”规定，</w:t>
            </w:r>
            <w:r>
              <w:rPr>
                <w:rFonts w:hint="eastAsia" w:ascii="宋体" w:hAnsi="Times New Roman" w:eastAsia="宋体" w:cs="宋体"/>
                <w:bCs w:val="0"/>
                <w:kern w:val="2"/>
                <w:sz w:val="24"/>
                <w:szCs w:val="24"/>
                <w:highlight w:val="none"/>
                <w:lang w:bidi="ar-SA"/>
              </w:rPr>
              <w:t>允许正偏离。</w:t>
            </w:r>
          </w:p>
        </w:tc>
      </w:tr>
      <w:tr w14:paraId="2865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078" w:type="dxa"/>
            <w:tcBorders>
              <w:tl2br w:val="nil"/>
              <w:tr2bl w:val="nil"/>
            </w:tcBorders>
            <w:noWrap w:val="0"/>
            <w:vAlign w:val="center"/>
          </w:tcPr>
          <w:p w14:paraId="44B11F7D">
            <w:pPr>
              <w:widowControl/>
              <w:numPr>
                <w:ilvl w:val="0"/>
                <w:numId w:val="0"/>
              </w:numPr>
              <w:shd w:val="clear" w:color="auto" w:fill="auto"/>
              <w:autoSpaceDE/>
              <w:autoSpaceDN/>
              <w:adjustRightInd/>
              <w:snapToGrid/>
              <w:spacing w:line="240" w:lineRule="atLeast"/>
              <w:ind w:left="0" w:leftChars="0" w:firstLine="0" w:firstLineChars="0"/>
              <w:jc w:val="left"/>
              <w:rPr>
                <w:rFonts w:hint="default" w:ascii="宋体" w:hAnsi="Times New Roman" w:eastAsia="宋体" w:cs="宋体"/>
                <w:bCs w:val="0"/>
                <w:kern w:val="2"/>
                <w:sz w:val="24"/>
                <w:szCs w:val="24"/>
                <w:highlight w:val="none"/>
                <w:lang w:val="en-US" w:eastAsia="zh-CN" w:bidi="ar-SA"/>
              </w:rPr>
            </w:pPr>
            <w:r>
              <w:rPr>
                <w:rFonts w:hint="eastAsia" w:ascii="宋体" w:cs="宋体"/>
                <w:bCs w:val="0"/>
                <w:kern w:val="2"/>
                <w:sz w:val="24"/>
                <w:szCs w:val="24"/>
                <w:highlight w:val="none"/>
                <w:lang w:val="en-US" w:eastAsia="zh-CN" w:bidi="ar-SA"/>
              </w:rPr>
              <w:t>报价唯一</w:t>
            </w:r>
          </w:p>
        </w:tc>
        <w:tc>
          <w:tcPr>
            <w:tcW w:w="7102" w:type="dxa"/>
            <w:tcBorders>
              <w:tl2br w:val="nil"/>
              <w:tr2bl w:val="nil"/>
            </w:tcBorders>
            <w:noWrap w:val="0"/>
            <w:vAlign w:val="center"/>
          </w:tcPr>
          <w:p w14:paraId="093BA130">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Times New Roman" w:eastAsia="宋体" w:cs="宋体"/>
                <w:bCs w:val="0"/>
                <w:kern w:val="2"/>
                <w:sz w:val="24"/>
                <w:szCs w:val="24"/>
                <w:highlight w:val="none"/>
                <w:lang w:val="zh-CN" w:eastAsia="zh-CN" w:bidi="ar-SA"/>
              </w:rPr>
              <w:t>投标人是否按招标文件要求进行报价的,报价合理且唯一并不超过拦标价</w:t>
            </w:r>
            <w:r>
              <w:rPr>
                <w:rFonts w:hint="eastAsia" w:ascii="宋体" w:cs="宋体"/>
                <w:bCs w:val="0"/>
                <w:kern w:val="2"/>
                <w:sz w:val="24"/>
                <w:szCs w:val="24"/>
                <w:highlight w:val="none"/>
                <w:lang w:val="zh-CN" w:eastAsia="zh-CN" w:bidi="ar-SA"/>
              </w:rPr>
              <w:t>。</w:t>
            </w:r>
          </w:p>
        </w:tc>
      </w:tr>
      <w:tr w14:paraId="3366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180" w:type="dxa"/>
            <w:gridSpan w:val="2"/>
            <w:tcBorders>
              <w:tl2br w:val="nil"/>
              <w:tr2bl w:val="nil"/>
            </w:tcBorders>
            <w:noWrap w:val="0"/>
            <w:vAlign w:val="center"/>
          </w:tcPr>
          <w:p w14:paraId="0FF111A3">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spacing w:val="-4"/>
              </w:rPr>
              <w:t>上述评审因素都合格为</w:t>
            </w:r>
            <w:r>
              <w:rPr>
                <w:rFonts w:hint="eastAsia"/>
                <w:spacing w:val="-4"/>
              </w:rPr>
              <w:t>符合性评审</w:t>
            </w:r>
            <w:r>
              <w:rPr>
                <w:spacing w:val="-4"/>
              </w:rPr>
              <w:t>合格，有一项不合格为废标。不再进行下</w:t>
            </w:r>
            <w:r>
              <w:rPr>
                <w:spacing w:val="6"/>
              </w:rPr>
              <w:t xml:space="preserve"> </w:t>
            </w:r>
            <w:r>
              <w:rPr>
                <w:spacing w:val="-3"/>
              </w:rPr>
              <w:t>一步评审。</w:t>
            </w:r>
          </w:p>
        </w:tc>
      </w:tr>
    </w:tbl>
    <w:p w14:paraId="5E90AA48">
      <w:pPr>
        <w:spacing w:before="3"/>
      </w:pPr>
      <w:r>
        <mc:AlternateContent>
          <mc:Choice Requires="wps">
            <w:drawing>
              <wp:anchor distT="0" distB="0" distL="114300" distR="114300" simplePos="0" relativeHeight="251663360" behindDoc="0" locked="0" layoutInCell="0" allowOverlap="1">
                <wp:simplePos x="0" y="0"/>
                <wp:positionH relativeFrom="page">
                  <wp:posOffset>720090</wp:posOffset>
                </wp:positionH>
                <wp:positionV relativeFrom="page">
                  <wp:posOffset>600710</wp:posOffset>
                </wp:positionV>
                <wp:extent cx="6120130"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6120130" cy="9525"/>
                        </a:xfrm>
                        <a:custGeom>
                          <a:avLst/>
                          <a:gdLst/>
                          <a:ahLst/>
                          <a:cxnLst/>
                          <a:pathLst>
                            <a:path w="9637" h="15">
                              <a:moveTo>
                                <a:pt x="0" y="0"/>
                              </a:moveTo>
                              <a:lnTo>
                                <a:pt x="9637" y="0"/>
                              </a:lnTo>
                              <a:lnTo>
                                <a:pt x="9637"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47.3pt;height:0.75pt;width:481.9pt;mso-position-horizontal-relative:page;mso-position-vertical-relative:page;z-index:251663360;mso-width-relative:page;mso-height-relative:page;" fillcolor="#000000" filled="t" stroked="f" coordsize="9637,15" o:allowincell="f" o:gfxdata="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UlJW9gAAAAKAQAADwAAAAAAAAABACAA&#10;AAAiAAAAZHJzL2Rvd25yZXYueG1sUEsBAhQAFAAAAAgAh07iQG/IxhINAgAAewQAAA4AAAAAAAAA&#10;AQAgAAAAJwEAAGRycy9lMm9Eb2MueG1sUEsFBgAAAAAGAAYAWQEAAKYFAAAAAA==&#10;" path="m0,0l9637,0,9637,14,0,14,0,0xe">
                <v:fill on="t" focussize="0,0"/>
                <v:stroke on="f"/>
                <v:imagedata o:title=""/>
                <o:lock v:ext="edit" aspectratio="f"/>
              </v:shape>
            </w:pict>
          </mc:Fallback>
        </mc:AlternateContent>
      </w:r>
    </w:p>
    <w:p w14:paraId="624DDCA1">
      <w:pPr>
        <w:spacing w:before="83" w:line="219" w:lineRule="auto"/>
        <w:ind w:left="531"/>
        <w:outlineLvl w:val="1"/>
        <w:rPr>
          <w:rFonts w:ascii="宋体" w:hAnsi="宋体" w:eastAsia="宋体" w:cs="宋体"/>
          <w:sz w:val="24"/>
          <w:szCs w:val="24"/>
        </w:rPr>
      </w:pPr>
      <w:r>
        <w:rPr>
          <w:rFonts w:ascii="宋体" w:hAnsi="宋体" w:eastAsia="宋体" w:cs="宋体"/>
          <w:spacing w:val="-4"/>
          <w:sz w:val="24"/>
          <w:szCs w:val="24"/>
        </w:rPr>
        <w:t>注：1、“通过</w:t>
      </w:r>
      <w:r>
        <w:rPr>
          <w:rFonts w:ascii="宋体" w:hAnsi="宋体" w:eastAsia="宋体" w:cs="宋体"/>
          <w:spacing w:val="-88"/>
          <w:sz w:val="24"/>
          <w:szCs w:val="24"/>
        </w:rPr>
        <w:t xml:space="preserve"> </w:t>
      </w:r>
      <w:r>
        <w:rPr>
          <w:rFonts w:ascii="宋体" w:hAnsi="宋体" w:eastAsia="宋体" w:cs="宋体"/>
          <w:spacing w:val="-4"/>
          <w:sz w:val="24"/>
          <w:szCs w:val="24"/>
        </w:rPr>
        <w:t>”表示该项评审标准实质性响应招标文件的要求，“不通过</w:t>
      </w:r>
      <w:r>
        <w:rPr>
          <w:rFonts w:ascii="宋体" w:hAnsi="宋体" w:eastAsia="宋体" w:cs="宋体"/>
          <w:spacing w:val="-88"/>
          <w:sz w:val="24"/>
          <w:szCs w:val="24"/>
        </w:rPr>
        <w:t xml:space="preserve"> </w:t>
      </w:r>
      <w:r>
        <w:rPr>
          <w:rFonts w:ascii="宋体" w:hAnsi="宋体" w:eastAsia="宋体" w:cs="宋体"/>
          <w:spacing w:val="-4"/>
          <w:sz w:val="24"/>
          <w:szCs w:val="24"/>
        </w:rPr>
        <w:t>”表示该项评</w:t>
      </w:r>
    </w:p>
    <w:p w14:paraId="3AF8CDB4">
      <w:pPr>
        <w:spacing w:before="75" w:line="219" w:lineRule="auto"/>
        <w:ind w:left="63"/>
        <w:rPr>
          <w:rFonts w:ascii="宋体" w:hAnsi="宋体" w:eastAsia="宋体" w:cs="宋体"/>
          <w:sz w:val="24"/>
          <w:szCs w:val="24"/>
        </w:rPr>
      </w:pPr>
      <w:r>
        <w:rPr>
          <w:rFonts w:ascii="宋体" w:hAnsi="宋体" w:eastAsia="宋体" w:cs="宋体"/>
          <w:spacing w:val="-2"/>
          <w:sz w:val="24"/>
          <w:szCs w:val="24"/>
        </w:rPr>
        <w:t>审标准未实质性响应招标文件的要求；</w:t>
      </w:r>
    </w:p>
    <w:p w14:paraId="2744EB1E">
      <w:pPr>
        <w:spacing w:before="74" w:line="219" w:lineRule="auto"/>
        <w:ind w:left="534"/>
        <w:outlineLvl w:val="1"/>
        <w:rPr>
          <w:rFonts w:ascii="宋体" w:hAnsi="宋体" w:eastAsia="宋体" w:cs="宋体"/>
          <w:sz w:val="24"/>
          <w:szCs w:val="24"/>
        </w:rPr>
      </w:pPr>
      <w:r>
        <w:rPr>
          <w:rFonts w:ascii="宋体" w:hAnsi="宋体" w:eastAsia="宋体" w:cs="宋体"/>
          <w:spacing w:val="-3"/>
          <w:sz w:val="24"/>
          <w:szCs w:val="24"/>
        </w:rPr>
        <w:t>2、结论汇总意见采取少数服从多数原则，即超过半数评委的结论</w:t>
      </w:r>
      <w:r>
        <w:rPr>
          <w:rFonts w:ascii="宋体" w:hAnsi="宋体" w:eastAsia="宋体" w:cs="宋体"/>
          <w:spacing w:val="-4"/>
          <w:sz w:val="24"/>
          <w:szCs w:val="24"/>
        </w:rPr>
        <w:t>为“通过</w:t>
      </w:r>
      <w:r>
        <w:rPr>
          <w:rFonts w:ascii="宋体" w:hAnsi="宋体" w:eastAsia="宋体" w:cs="宋体"/>
          <w:spacing w:val="-88"/>
          <w:sz w:val="24"/>
          <w:szCs w:val="24"/>
        </w:rPr>
        <w:t xml:space="preserve"> </w:t>
      </w:r>
      <w:r>
        <w:rPr>
          <w:rFonts w:ascii="宋体" w:hAnsi="宋体" w:eastAsia="宋体" w:cs="宋体"/>
          <w:spacing w:val="-4"/>
          <w:sz w:val="24"/>
          <w:szCs w:val="24"/>
        </w:rPr>
        <w:t>”该投标人初</w:t>
      </w:r>
    </w:p>
    <w:p w14:paraId="7B06155E">
      <w:pPr>
        <w:spacing w:before="76" w:line="219" w:lineRule="auto"/>
        <w:ind w:left="54"/>
        <w:outlineLvl w:val="1"/>
        <w:rPr>
          <w:rFonts w:ascii="宋体" w:hAnsi="宋体" w:eastAsia="宋体" w:cs="宋体"/>
          <w:sz w:val="24"/>
          <w:szCs w:val="24"/>
        </w:rPr>
      </w:pPr>
      <w:r>
        <w:rPr>
          <w:rFonts w:ascii="宋体" w:hAnsi="宋体" w:eastAsia="宋体" w:cs="宋体"/>
          <w:spacing w:val="-2"/>
          <w:sz w:val="24"/>
          <w:szCs w:val="24"/>
        </w:rPr>
        <w:t>步评审合同，否则不合格。</w:t>
      </w:r>
    </w:p>
    <w:p w14:paraId="1612000B">
      <w:pPr>
        <w:spacing w:line="219" w:lineRule="auto"/>
        <w:rPr>
          <w:rFonts w:ascii="宋体" w:hAnsi="宋体" w:eastAsia="宋体" w:cs="宋体"/>
          <w:sz w:val="24"/>
          <w:szCs w:val="24"/>
        </w:rPr>
        <w:sectPr>
          <w:headerReference r:id="rId6" w:type="default"/>
          <w:footerReference r:id="rId7" w:type="default"/>
          <w:pgSz w:w="11906" w:h="16839"/>
          <w:pgMar w:top="400" w:right="1091" w:bottom="916" w:left="1090" w:header="0" w:footer="754" w:gutter="0"/>
          <w:cols w:space="720" w:num="1"/>
        </w:sectPr>
      </w:pPr>
    </w:p>
    <w:p w14:paraId="7442AAE8">
      <w:pPr>
        <w:pStyle w:val="18"/>
        <w:spacing w:line="244" w:lineRule="auto"/>
      </w:pPr>
    </w:p>
    <w:p w14:paraId="343E5424">
      <w:pPr>
        <w:pStyle w:val="18"/>
        <w:spacing w:line="244" w:lineRule="auto"/>
      </w:pPr>
    </w:p>
    <w:p w14:paraId="74701E6B">
      <w:pPr>
        <w:pStyle w:val="18"/>
        <w:spacing w:line="245" w:lineRule="auto"/>
      </w:pPr>
      <w:r>
        <mc:AlternateContent>
          <mc:Choice Requires="wps">
            <w:drawing>
              <wp:anchor distT="0" distB="0" distL="114300" distR="114300" simplePos="0" relativeHeight="251664384" behindDoc="0" locked="0" layoutInCell="1" allowOverlap="1">
                <wp:simplePos x="0" y="0"/>
                <wp:positionH relativeFrom="column">
                  <wp:posOffset>71120</wp:posOffset>
                </wp:positionH>
                <wp:positionV relativeFrom="paragraph">
                  <wp:posOffset>34925</wp:posOffset>
                </wp:positionV>
                <wp:extent cx="6120130" cy="9525"/>
                <wp:effectExtent l="0" t="0" r="0" b="0"/>
                <wp:wrapNone/>
                <wp:docPr id="4" name="任意多边形 4"/>
                <wp:cNvGraphicFramePr/>
                <a:graphic xmlns:a="http://schemas.openxmlformats.org/drawingml/2006/main">
                  <a:graphicData uri="http://schemas.microsoft.com/office/word/2010/wordprocessingShape">
                    <wps:wsp>
                      <wps:cNvSpPr/>
                      <wps:spPr>
                        <a:xfrm>
                          <a:off x="0" y="0"/>
                          <a:ext cx="6120130" cy="9525"/>
                        </a:xfrm>
                        <a:custGeom>
                          <a:avLst/>
                          <a:gdLst/>
                          <a:ahLst/>
                          <a:cxnLst/>
                          <a:pathLst>
                            <a:path w="9637" h="15">
                              <a:moveTo>
                                <a:pt x="0" y="0"/>
                              </a:moveTo>
                              <a:lnTo>
                                <a:pt x="9637" y="0"/>
                              </a:lnTo>
                              <a:lnTo>
                                <a:pt x="9637"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pt;margin-top:2.75pt;height:0.75pt;width:481.9pt;z-index:251664384;mso-width-relative:page;mso-height-relative:page;" fillcolor="#000000" filled="t" stroked="f" coordsize="9637,15" o:gfxdata="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adamdQAAAAGAQAADwAAAAAAAAABACAAAAAi&#10;AAAAZHJzL2Rvd25yZXYueG1sUEsBAhQAFAAAAAgAh07iQJhZdyQOAgAAewQAAA4AAAAAAAAAAQAg&#10;AAAAIwEAAGRycy9lMm9Eb2MueG1sUEsFBgAAAAAGAAYAWQEAAKMFAAAAAA==&#10;" path="m0,0l9637,0,9637,14,0,14,0,0xe">
                <v:fill on="t" focussize="0,0"/>
                <v:stroke on="f"/>
                <v:imagedata o:title=""/>
                <o:lock v:ext="edit" aspectratio="f"/>
              </v:shape>
            </w:pict>
          </mc:Fallback>
        </mc:AlternateContent>
      </w:r>
    </w:p>
    <w:p w14:paraId="4901FA74">
      <w:pPr>
        <w:spacing w:before="78" w:line="220" w:lineRule="auto"/>
        <w:ind w:left="603"/>
        <w:rPr>
          <w:rFonts w:ascii="宋体" w:hAnsi="宋体" w:eastAsia="宋体" w:cs="宋体"/>
          <w:sz w:val="24"/>
          <w:szCs w:val="24"/>
        </w:rPr>
      </w:pPr>
      <w:r>
        <w:rPr>
          <w:rFonts w:ascii="宋体" w:hAnsi="宋体" w:eastAsia="宋体" w:cs="宋体"/>
          <w:b/>
          <w:bCs/>
          <w:spacing w:val="-6"/>
          <w:sz w:val="24"/>
          <w:szCs w:val="24"/>
        </w:rPr>
        <w:t>2</w:t>
      </w:r>
      <w:r>
        <w:rPr>
          <w:rFonts w:ascii="宋体" w:hAnsi="宋体" w:eastAsia="宋体" w:cs="宋体"/>
          <w:spacing w:val="14"/>
          <w:sz w:val="24"/>
          <w:szCs w:val="24"/>
        </w:rPr>
        <w:t xml:space="preserve"> </w:t>
      </w:r>
      <w:r>
        <w:rPr>
          <w:rFonts w:ascii="宋体" w:hAnsi="宋体" w:eastAsia="宋体" w:cs="宋体"/>
          <w:b/>
          <w:bCs/>
          <w:spacing w:val="-6"/>
          <w:sz w:val="24"/>
          <w:szCs w:val="24"/>
        </w:rPr>
        <w:t>详细评审表</w:t>
      </w:r>
    </w:p>
    <w:p w14:paraId="026F00B2">
      <w:pPr>
        <w:spacing w:before="24" w:line="219" w:lineRule="auto"/>
        <w:ind w:left="4340"/>
        <w:rPr>
          <w:rFonts w:ascii="宋体" w:hAnsi="宋体" w:eastAsia="宋体" w:cs="宋体"/>
          <w:sz w:val="24"/>
          <w:szCs w:val="24"/>
        </w:rPr>
      </w:pPr>
      <w:r>
        <w:rPr>
          <w:rFonts w:ascii="宋体" w:hAnsi="宋体" w:eastAsia="宋体" w:cs="宋体"/>
          <w:b/>
          <w:bCs/>
          <w:spacing w:val="-4"/>
          <w:sz w:val="24"/>
          <w:szCs w:val="24"/>
        </w:rPr>
        <w:t>综合评分明细表</w:t>
      </w:r>
    </w:p>
    <w:p w14:paraId="65301F0E">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综合评分明细表的制定以科学合理、降低评标委员会自由裁量权为原则。</w:t>
      </w:r>
    </w:p>
    <w:tbl>
      <w:tblPr>
        <w:tblStyle w:val="143"/>
        <w:tblW w:w="94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
        <w:gridCol w:w="1135"/>
        <w:gridCol w:w="1256"/>
        <w:gridCol w:w="709"/>
        <w:gridCol w:w="5530"/>
      </w:tblGrid>
      <w:tr w14:paraId="74A92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838" w:type="dxa"/>
            <w:vAlign w:val="top"/>
          </w:tcPr>
          <w:p w14:paraId="3EBCA14E">
            <w:pPr>
              <w:pStyle w:val="142"/>
              <w:spacing w:before="85" w:line="211" w:lineRule="auto"/>
              <w:ind w:left="184"/>
            </w:pPr>
            <w:r>
              <w:rPr>
                <w:spacing w:val="-5"/>
              </w:rPr>
              <w:t>序号</w:t>
            </w:r>
          </w:p>
        </w:tc>
        <w:tc>
          <w:tcPr>
            <w:tcW w:w="2391" w:type="dxa"/>
            <w:gridSpan w:val="2"/>
            <w:vAlign w:val="top"/>
          </w:tcPr>
          <w:p w14:paraId="53F22E7C">
            <w:pPr>
              <w:pStyle w:val="142"/>
              <w:spacing w:before="85" w:line="211" w:lineRule="auto"/>
              <w:ind w:left="719"/>
            </w:pPr>
            <w:r>
              <w:rPr>
                <w:spacing w:val="-3"/>
              </w:rPr>
              <w:t>评分项目</w:t>
            </w:r>
          </w:p>
        </w:tc>
        <w:tc>
          <w:tcPr>
            <w:tcW w:w="709" w:type="dxa"/>
            <w:vAlign w:val="top"/>
          </w:tcPr>
          <w:p w14:paraId="3F0CACF7">
            <w:pPr>
              <w:pStyle w:val="142"/>
              <w:spacing w:before="85" w:line="211" w:lineRule="auto"/>
              <w:ind w:left="125"/>
            </w:pPr>
            <w:r>
              <w:rPr>
                <w:spacing w:val="-7"/>
              </w:rPr>
              <w:t>分值</w:t>
            </w:r>
          </w:p>
        </w:tc>
        <w:tc>
          <w:tcPr>
            <w:tcW w:w="5530" w:type="dxa"/>
            <w:vAlign w:val="top"/>
          </w:tcPr>
          <w:p w14:paraId="4D1A7521">
            <w:pPr>
              <w:pStyle w:val="142"/>
              <w:spacing w:before="85" w:line="211" w:lineRule="auto"/>
              <w:ind w:left="2289"/>
            </w:pPr>
            <w:r>
              <w:rPr>
                <w:spacing w:val="-3"/>
              </w:rPr>
              <w:t>评分标准</w:t>
            </w:r>
          </w:p>
        </w:tc>
      </w:tr>
      <w:tr w14:paraId="16778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9" w:hRule="atLeast"/>
        </w:trPr>
        <w:tc>
          <w:tcPr>
            <w:tcW w:w="838" w:type="dxa"/>
            <w:vMerge w:val="restart"/>
            <w:vAlign w:val="top"/>
          </w:tcPr>
          <w:p w14:paraId="0B7E1FB7">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05CEA321">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5AEAECB2">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0CF426DA">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0E4EAA56">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5C29B6B3">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322AF400">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1BBE0054">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45C88CCD">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36474764">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09B5D417">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0290AD6D">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61BC3DC7">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01B79693">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62D318C7">
            <w:pPr>
              <w:spacing w:line="244" w:lineRule="auto"/>
              <w:rPr>
                <w:rFonts w:hint="eastAsia" w:ascii="等线" w:hAnsi="等线" w:eastAsia="等线" w:cs="等线"/>
                <w:i w:val="0"/>
                <w:iCs w:val="0"/>
                <w:snapToGrid w:val="0"/>
                <w:color w:val="000000"/>
                <w:kern w:val="0"/>
                <w:sz w:val="22"/>
                <w:szCs w:val="22"/>
                <w:u w:val="none"/>
                <w:lang w:val="en-US" w:eastAsia="zh-CN" w:bidi="ar"/>
              </w:rPr>
            </w:pPr>
          </w:p>
          <w:p w14:paraId="23A07C27">
            <w:pPr>
              <w:spacing w:line="244" w:lineRule="auto"/>
              <w:rPr>
                <w:rFonts w:hint="eastAsia" w:ascii="等线" w:hAnsi="等线" w:eastAsia="等线" w:cs="等线"/>
                <w:i w:val="0"/>
                <w:iCs w:val="0"/>
                <w:snapToGrid w:val="0"/>
                <w:color w:val="000000"/>
                <w:kern w:val="0"/>
                <w:sz w:val="22"/>
                <w:szCs w:val="22"/>
                <w:u w:val="none"/>
                <w:lang w:val="en-US" w:eastAsia="zh-CN" w:bidi="ar"/>
              </w:rPr>
            </w:pPr>
          </w:p>
          <w:p w14:paraId="7122D0C5">
            <w:pPr>
              <w:spacing w:line="244" w:lineRule="auto"/>
              <w:rPr>
                <w:rFonts w:hint="eastAsia" w:ascii="等线" w:hAnsi="等线" w:eastAsia="等线" w:cs="等线"/>
                <w:i w:val="0"/>
                <w:iCs w:val="0"/>
                <w:snapToGrid w:val="0"/>
                <w:color w:val="000000"/>
                <w:kern w:val="0"/>
                <w:sz w:val="22"/>
                <w:szCs w:val="22"/>
                <w:u w:val="none"/>
                <w:lang w:val="en-US" w:eastAsia="zh-CN" w:bidi="ar"/>
              </w:rPr>
            </w:pPr>
          </w:p>
          <w:p w14:paraId="4E5D5DA0">
            <w:pPr>
              <w:spacing w:line="244" w:lineRule="auto"/>
              <w:rPr>
                <w:rFonts w:hint="eastAsia" w:ascii="等线" w:hAnsi="等线" w:eastAsia="等线" w:cs="等线"/>
                <w:i w:val="0"/>
                <w:iCs w:val="0"/>
                <w:snapToGrid w:val="0"/>
                <w:color w:val="000000"/>
                <w:kern w:val="0"/>
                <w:sz w:val="22"/>
                <w:szCs w:val="22"/>
                <w:u w:val="none"/>
                <w:lang w:val="en-US" w:eastAsia="zh-CN" w:bidi="ar"/>
              </w:rPr>
            </w:pPr>
          </w:p>
          <w:p w14:paraId="2AB9B19F">
            <w:pPr>
              <w:spacing w:line="244" w:lineRule="auto"/>
              <w:rPr>
                <w:rFonts w:hint="eastAsia" w:ascii="等线" w:hAnsi="等线" w:eastAsia="等线" w:cs="等线"/>
                <w:i w:val="0"/>
                <w:iCs w:val="0"/>
                <w:snapToGrid w:val="0"/>
                <w:color w:val="000000"/>
                <w:kern w:val="0"/>
                <w:sz w:val="22"/>
                <w:szCs w:val="22"/>
                <w:u w:val="none"/>
                <w:lang w:val="en-US" w:eastAsia="zh-CN" w:bidi="ar"/>
              </w:rPr>
            </w:pPr>
          </w:p>
          <w:p w14:paraId="497FEC83">
            <w:pPr>
              <w:spacing w:line="244" w:lineRule="auto"/>
              <w:rPr>
                <w:rFonts w:hint="eastAsia" w:ascii="等线" w:hAnsi="等线" w:eastAsia="等线" w:cs="等线"/>
                <w:i w:val="0"/>
                <w:iCs w:val="0"/>
                <w:snapToGrid w:val="0"/>
                <w:color w:val="000000"/>
                <w:kern w:val="0"/>
                <w:sz w:val="22"/>
                <w:szCs w:val="22"/>
                <w:u w:val="none"/>
                <w:lang w:val="en-US" w:eastAsia="zh-CN" w:bidi="ar"/>
              </w:rPr>
            </w:pPr>
          </w:p>
          <w:p w14:paraId="4C75BD68">
            <w:pPr>
              <w:spacing w:line="244" w:lineRule="auto"/>
              <w:rPr>
                <w:rFonts w:hint="eastAsia" w:ascii="等线" w:hAnsi="等线" w:eastAsia="等线" w:cs="等线"/>
                <w:i w:val="0"/>
                <w:iCs w:val="0"/>
                <w:snapToGrid w:val="0"/>
                <w:color w:val="000000"/>
                <w:kern w:val="0"/>
                <w:sz w:val="22"/>
                <w:szCs w:val="22"/>
                <w:u w:val="none"/>
                <w:lang w:val="en-US" w:eastAsia="zh-CN" w:bidi="ar"/>
              </w:rPr>
            </w:pPr>
          </w:p>
          <w:p w14:paraId="01663898">
            <w:pPr>
              <w:spacing w:line="244" w:lineRule="auto"/>
              <w:rPr>
                <w:rFonts w:hint="eastAsia" w:ascii="等线" w:hAnsi="等线" w:eastAsia="等线" w:cs="等线"/>
                <w:i w:val="0"/>
                <w:iCs w:val="0"/>
                <w:snapToGrid w:val="0"/>
                <w:color w:val="000000"/>
                <w:kern w:val="0"/>
                <w:sz w:val="22"/>
                <w:szCs w:val="22"/>
                <w:u w:val="none"/>
                <w:lang w:val="en-US" w:eastAsia="zh-CN" w:bidi="ar"/>
              </w:rPr>
            </w:pPr>
          </w:p>
          <w:p w14:paraId="164CCFB1">
            <w:pPr>
              <w:spacing w:line="244" w:lineRule="auto"/>
              <w:rPr>
                <w:rFonts w:hint="eastAsia" w:ascii="等线" w:hAnsi="等线" w:eastAsia="等线" w:cs="等线"/>
                <w:i w:val="0"/>
                <w:iCs w:val="0"/>
                <w:snapToGrid w:val="0"/>
                <w:color w:val="000000"/>
                <w:kern w:val="0"/>
                <w:sz w:val="22"/>
                <w:szCs w:val="22"/>
                <w:u w:val="none"/>
                <w:lang w:val="en-US" w:eastAsia="zh-CN" w:bidi="ar"/>
              </w:rPr>
            </w:pPr>
          </w:p>
          <w:p w14:paraId="2B66BD65">
            <w:pPr>
              <w:pStyle w:val="142"/>
              <w:spacing w:before="78" w:line="184" w:lineRule="auto"/>
              <w:ind w:left="383"/>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1</w:t>
            </w:r>
          </w:p>
        </w:tc>
        <w:tc>
          <w:tcPr>
            <w:tcW w:w="1135" w:type="dxa"/>
            <w:vMerge w:val="restart"/>
            <w:vAlign w:val="top"/>
          </w:tcPr>
          <w:p w14:paraId="7AC91222">
            <w:pPr>
              <w:spacing w:line="247" w:lineRule="auto"/>
              <w:rPr>
                <w:rFonts w:hint="eastAsia" w:ascii="等线" w:hAnsi="等线" w:eastAsia="等线" w:cs="等线"/>
                <w:i w:val="0"/>
                <w:iCs w:val="0"/>
                <w:snapToGrid w:val="0"/>
                <w:color w:val="000000"/>
                <w:kern w:val="0"/>
                <w:sz w:val="22"/>
                <w:szCs w:val="22"/>
                <w:u w:val="none"/>
                <w:lang w:val="en-US" w:eastAsia="zh-CN" w:bidi="ar"/>
              </w:rPr>
            </w:pPr>
          </w:p>
          <w:p w14:paraId="207FAEC1">
            <w:pPr>
              <w:spacing w:line="247" w:lineRule="auto"/>
              <w:rPr>
                <w:rFonts w:hint="eastAsia" w:ascii="等线" w:hAnsi="等线" w:eastAsia="等线" w:cs="等线"/>
                <w:i w:val="0"/>
                <w:iCs w:val="0"/>
                <w:snapToGrid w:val="0"/>
                <w:color w:val="000000"/>
                <w:kern w:val="0"/>
                <w:sz w:val="22"/>
                <w:szCs w:val="22"/>
                <w:u w:val="none"/>
                <w:lang w:val="en-US" w:eastAsia="zh-CN" w:bidi="ar"/>
              </w:rPr>
            </w:pPr>
          </w:p>
          <w:p w14:paraId="4F486562">
            <w:pPr>
              <w:spacing w:line="247" w:lineRule="auto"/>
              <w:rPr>
                <w:rFonts w:hint="eastAsia" w:ascii="等线" w:hAnsi="等线" w:eastAsia="等线" w:cs="等线"/>
                <w:i w:val="0"/>
                <w:iCs w:val="0"/>
                <w:snapToGrid w:val="0"/>
                <w:color w:val="000000"/>
                <w:kern w:val="0"/>
                <w:sz w:val="22"/>
                <w:szCs w:val="22"/>
                <w:u w:val="none"/>
                <w:lang w:val="en-US" w:eastAsia="zh-CN" w:bidi="ar"/>
              </w:rPr>
            </w:pPr>
          </w:p>
          <w:p w14:paraId="608C5F67">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72372523">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4EC4F41B">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3F3FEFFF">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1AC8233B">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1FA4C26C">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43C6E139">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7A819FFD">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5FB32F18">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46DB0A7E">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5922CDFE">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12CB7E30">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02958C55">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5DA7D671">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577890A6">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25F109AC">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7A156604">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30AEC80C">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0C315EE9">
            <w:pPr>
              <w:pStyle w:val="142"/>
              <w:spacing w:before="78" w:line="219" w:lineRule="auto"/>
              <w:ind w:left="218"/>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商务部</w:t>
            </w:r>
          </w:p>
          <w:p w14:paraId="3365D394">
            <w:pPr>
              <w:pStyle w:val="142"/>
              <w:spacing w:before="74" w:line="264" w:lineRule="auto"/>
              <w:ind w:left="336" w:right="205" w:hanging="120"/>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分（27分）</w:t>
            </w:r>
          </w:p>
        </w:tc>
        <w:tc>
          <w:tcPr>
            <w:tcW w:w="1256" w:type="dxa"/>
            <w:vAlign w:val="top"/>
          </w:tcPr>
          <w:p w14:paraId="0E61B244">
            <w:pPr>
              <w:spacing w:line="245" w:lineRule="auto"/>
              <w:rPr>
                <w:rFonts w:hint="eastAsia" w:ascii="等线" w:hAnsi="等线" w:eastAsia="等线" w:cs="等线"/>
                <w:i w:val="0"/>
                <w:iCs w:val="0"/>
                <w:snapToGrid w:val="0"/>
                <w:color w:val="000000"/>
                <w:kern w:val="0"/>
                <w:sz w:val="22"/>
                <w:szCs w:val="22"/>
                <w:u w:val="none"/>
                <w:lang w:val="en-US" w:eastAsia="zh-CN" w:bidi="ar"/>
              </w:rPr>
            </w:pPr>
          </w:p>
          <w:p w14:paraId="43E221E0">
            <w:pPr>
              <w:spacing w:line="245" w:lineRule="auto"/>
              <w:rPr>
                <w:rFonts w:hint="eastAsia" w:ascii="等线" w:hAnsi="等线" w:eastAsia="等线" w:cs="等线"/>
                <w:i w:val="0"/>
                <w:iCs w:val="0"/>
                <w:snapToGrid w:val="0"/>
                <w:color w:val="000000"/>
                <w:kern w:val="0"/>
                <w:sz w:val="22"/>
                <w:szCs w:val="22"/>
                <w:u w:val="none"/>
                <w:lang w:val="en-US" w:eastAsia="zh-CN" w:bidi="ar"/>
              </w:rPr>
            </w:pPr>
          </w:p>
          <w:p w14:paraId="267F70D9">
            <w:pPr>
              <w:spacing w:line="245" w:lineRule="auto"/>
              <w:rPr>
                <w:rFonts w:hint="eastAsia" w:ascii="等线" w:hAnsi="等线" w:eastAsia="等线" w:cs="等线"/>
                <w:i w:val="0"/>
                <w:iCs w:val="0"/>
                <w:snapToGrid w:val="0"/>
                <w:color w:val="000000"/>
                <w:kern w:val="0"/>
                <w:sz w:val="22"/>
                <w:szCs w:val="22"/>
                <w:u w:val="none"/>
                <w:lang w:val="en-US" w:eastAsia="zh-CN" w:bidi="ar"/>
              </w:rPr>
            </w:pPr>
          </w:p>
          <w:p w14:paraId="16DA0FC1">
            <w:pPr>
              <w:spacing w:line="246" w:lineRule="auto"/>
              <w:rPr>
                <w:rFonts w:hint="eastAsia" w:ascii="等线" w:hAnsi="等线" w:eastAsia="等线" w:cs="等线"/>
                <w:i w:val="0"/>
                <w:iCs w:val="0"/>
                <w:snapToGrid w:val="0"/>
                <w:color w:val="000000"/>
                <w:kern w:val="0"/>
                <w:sz w:val="22"/>
                <w:szCs w:val="22"/>
                <w:u w:val="none"/>
                <w:lang w:val="en-US" w:eastAsia="zh-CN" w:bidi="ar"/>
              </w:rPr>
            </w:pPr>
          </w:p>
          <w:p w14:paraId="2F696D75">
            <w:pPr>
              <w:spacing w:line="246" w:lineRule="auto"/>
              <w:rPr>
                <w:rFonts w:hint="eastAsia" w:ascii="等线" w:hAnsi="等线" w:eastAsia="等线" w:cs="等线"/>
                <w:i w:val="0"/>
                <w:iCs w:val="0"/>
                <w:snapToGrid w:val="0"/>
                <w:color w:val="000000"/>
                <w:kern w:val="0"/>
                <w:sz w:val="22"/>
                <w:szCs w:val="22"/>
                <w:u w:val="none"/>
                <w:lang w:val="en-US" w:eastAsia="zh-CN" w:bidi="ar"/>
              </w:rPr>
            </w:pPr>
          </w:p>
          <w:p w14:paraId="3B18C366">
            <w:pPr>
              <w:spacing w:line="246" w:lineRule="auto"/>
              <w:rPr>
                <w:rFonts w:hint="eastAsia" w:ascii="等线" w:hAnsi="等线" w:eastAsia="等线" w:cs="等线"/>
                <w:i w:val="0"/>
                <w:iCs w:val="0"/>
                <w:snapToGrid w:val="0"/>
                <w:color w:val="000000"/>
                <w:kern w:val="0"/>
                <w:sz w:val="22"/>
                <w:szCs w:val="22"/>
                <w:u w:val="none"/>
                <w:lang w:val="en-US" w:eastAsia="zh-CN" w:bidi="ar"/>
              </w:rPr>
            </w:pPr>
          </w:p>
          <w:p w14:paraId="3E5BA8A5">
            <w:pPr>
              <w:spacing w:line="246" w:lineRule="auto"/>
              <w:rPr>
                <w:rFonts w:hint="eastAsia" w:ascii="等线" w:hAnsi="等线" w:eastAsia="等线" w:cs="等线"/>
                <w:i w:val="0"/>
                <w:iCs w:val="0"/>
                <w:snapToGrid w:val="0"/>
                <w:color w:val="000000"/>
                <w:kern w:val="0"/>
                <w:sz w:val="22"/>
                <w:szCs w:val="22"/>
                <w:u w:val="none"/>
                <w:lang w:val="en-US" w:eastAsia="zh-CN" w:bidi="ar"/>
              </w:rPr>
            </w:pPr>
          </w:p>
          <w:p w14:paraId="321EFCE8">
            <w:pPr>
              <w:spacing w:line="246" w:lineRule="auto"/>
              <w:rPr>
                <w:rFonts w:hint="eastAsia" w:ascii="等线" w:hAnsi="等线" w:eastAsia="等线" w:cs="等线"/>
                <w:i w:val="0"/>
                <w:iCs w:val="0"/>
                <w:snapToGrid w:val="0"/>
                <w:color w:val="000000"/>
                <w:kern w:val="0"/>
                <w:sz w:val="22"/>
                <w:szCs w:val="22"/>
                <w:u w:val="none"/>
                <w:lang w:val="en-US" w:eastAsia="zh-CN" w:bidi="ar"/>
              </w:rPr>
            </w:pPr>
          </w:p>
          <w:p w14:paraId="4D6E3B72">
            <w:pPr>
              <w:pStyle w:val="142"/>
              <w:spacing w:before="78" w:line="218" w:lineRule="auto"/>
              <w:ind w:left="157"/>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投标报价</w:t>
            </w:r>
          </w:p>
        </w:tc>
        <w:tc>
          <w:tcPr>
            <w:tcW w:w="709" w:type="dxa"/>
            <w:vAlign w:val="top"/>
          </w:tcPr>
          <w:p w14:paraId="0FC60C45">
            <w:pPr>
              <w:spacing w:line="250" w:lineRule="auto"/>
              <w:rPr>
                <w:rFonts w:hint="eastAsia" w:ascii="等线" w:hAnsi="等线" w:eastAsia="等线" w:cs="等线"/>
                <w:i w:val="0"/>
                <w:iCs w:val="0"/>
                <w:snapToGrid w:val="0"/>
                <w:color w:val="000000"/>
                <w:kern w:val="0"/>
                <w:sz w:val="22"/>
                <w:szCs w:val="22"/>
                <w:u w:val="none"/>
                <w:lang w:val="en-US" w:eastAsia="zh-CN" w:bidi="ar"/>
              </w:rPr>
            </w:pPr>
          </w:p>
          <w:p w14:paraId="0AA5FEFE">
            <w:pPr>
              <w:spacing w:line="250" w:lineRule="auto"/>
              <w:rPr>
                <w:rFonts w:hint="eastAsia" w:ascii="等线" w:hAnsi="等线" w:eastAsia="等线" w:cs="等线"/>
                <w:i w:val="0"/>
                <w:iCs w:val="0"/>
                <w:snapToGrid w:val="0"/>
                <w:color w:val="000000"/>
                <w:kern w:val="0"/>
                <w:sz w:val="22"/>
                <w:szCs w:val="22"/>
                <w:u w:val="none"/>
                <w:lang w:val="en-US" w:eastAsia="zh-CN" w:bidi="ar"/>
              </w:rPr>
            </w:pPr>
          </w:p>
          <w:p w14:paraId="51720CD1">
            <w:pPr>
              <w:spacing w:line="250" w:lineRule="auto"/>
              <w:rPr>
                <w:rFonts w:hint="eastAsia" w:ascii="等线" w:hAnsi="等线" w:eastAsia="等线" w:cs="等线"/>
                <w:i w:val="0"/>
                <w:iCs w:val="0"/>
                <w:snapToGrid w:val="0"/>
                <w:color w:val="000000"/>
                <w:kern w:val="0"/>
                <w:sz w:val="22"/>
                <w:szCs w:val="22"/>
                <w:u w:val="none"/>
                <w:lang w:val="en-US" w:eastAsia="zh-CN" w:bidi="ar"/>
              </w:rPr>
            </w:pPr>
          </w:p>
          <w:p w14:paraId="47877B90">
            <w:pPr>
              <w:spacing w:line="250" w:lineRule="auto"/>
              <w:rPr>
                <w:rFonts w:hint="eastAsia" w:ascii="等线" w:hAnsi="等线" w:eastAsia="等线" w:cs="等线"/>
                <w:i w:val="0"/>
                <w:iCs w:val="0"/>
                <w:snapToGrid w:val="0"/>
                <w:color w:val="000000"/>
                <w:kern w:val="0"/>
                <w:sz w:val="22"/>
                <w:szCs w:val="22"/>
                <w:u w:val="none"/>
                <w:lang w:val="en-US" w:eastAsia="zh-CN" w:bidi="ar"/>
              </w:rPr>
            </w:pPr>
          </w:p>
          <w:p w14:paraId="57801C8F">
            <w:pPr>
              <w:spacing w:line="250" w:lineRule="auto"/>
              <w:rPr>
                <w:rFonts w:hint="eastAsia" w:ascii="等线" w:hAnsi="等线" w:eastAsia="等线" w:cs="等线"/>
                <w:i w:val="0"/>
                <w:iCs w:val="0"/>
                <w:snapToGrid w:val="0"/>
                <w:color w:val="000000"/>
                <w:kern w:val="0"/>
                <w:sz w:val="22"/>
                <w:szCs w:val="22"/>
                <w:u w:val="none"/>
                <w:lang w:val="en-US" w:eastAsia="zh-CN" w:bidi="ar"/>
              </w:rPr>
            </w:pPr>
          </w:p>
          <w:p w14:paraId="4BE2274A">
            <w:pPr>
              <w:spacing w:line="250" w:lineRule="auto"/>
              <w:rPr>
                <w:rFonts w:hint="eastAsia" w:ascii="等线" w:hAnsi="等线" w:eastAsia="等线" w:cs="等线"/>
                <w:i w:val="0"/>
                <w:iCs w:val="0"/>
                <w:snapToGrid w:val="0"/>
                <w:color w:val="000000"/>
                <w:kern w:val="0"/>
                <w:sz w:val="22"/>
                <w:szCs w:val="22"/>
                <w:u w:val="none"/>
                <w:lang w:val="en-US" w:eastAsia="zh-CN" w:bidi="ar"/>
              </w:rPr>
            </w:pPr>
          </w:p>
          <w:p w14:paraId="07FACA66">
            <w:pPr>
              <w:spacing w:line="250" w:lineRule="auto"/>
              <w:rPr>
                <w:rFonts w:hint="eastAsia" w:ascii="等线" w:hAnsi="等线" w:eastAsia="等线" w:cs="等线"/>
                <w:i w:val="0"/>
                <w:iCs w:val="0"/>
                <w:snapToGrid w:val="0"/>
                <w:color w:val="000000"/>
                <w:kern w:val="0"/>
                <w:sz w:val="22"/>
                <w:szCs w:val="22"/>
                <w:u w:val="none"/>
                <w:lang w:val="en-US" w:eastAsia="zh-CN" w:bidi="ar"/>
              </w:rPr>
            </w:pPr>
          </w:p>
          <w:p w14:paraId="28C02326">
            <w:pPr>
              <w:spacing w:line="251" w:lineRule="auto"/>
              <w:rPr>
                <w:rFonts w:hint="eastAsia" w:ascii="等线" w:hAnsi="等线" w:eastAsia="等线" w:cs="等线"/>
                <w:i w:val="0"/>
                <w:iCs w:val="0"/>
                <w:snapToGrid w:val="0"/>
                <w:color w:val="000000"/>
                <w:kern w:val="0"/>
                <w:sz w:val="22"/>
                <w:szCs w:val="22"/>
                <w:u w:val="none"/>
                <w:lang w:val="en-US" w:eastAsia="zh-CN" w:bidi="ar"/>
              </w:rPr>
            </w:pPr>
          </w:p>
          <w:p w14:paraId="58224D1F">
            <w:pPr>
              <w:pStyle w:val="142"/>
              <w:spacing w:before="78" w:line="184" w:lineRule="auto"/>
              <w:ind w:left="259"/>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10</w:t>
            </w:r>
          </w:p>
        </w:tc>
        <w:tc>
          <w:tcPr>
            <w:tcW w:w="5530" w:type="dxa"/>
            <w:vAlign w:val="top"/>
          </w:tcPr>
          <w:p w14:paraId="3E03E3CE">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投标报价得分：</w:t>
            </w:r>
          </w:p>
          <w:p w14:paraId="7842D536">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1、有效投标中投标价格最低的投标报价为评标基准 价，其价格分为满分 10 分。</w:t>
            </w:r>
          </w:p>
          <w:p w14:paraId="4301EBC9">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2、其他供应商的价格分统一按照下列公式计算：投 标报价得分=(评标基准价／投标报价)× 10</w:t>
            </w:r>
          </w:p>
          <w:p w14:paraId="31EFF015">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因落实政府采购政策进行价格调整的，以调整后的 价格计算评标基准价和投标报价。</w:t>
            </w:r>
          </w:p>
          <w:p w14:paraId="142AE9CB">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注：评标委员会发现投标人的报价明显低于其他投  标报价，或者在设有预算价时与之差距较大，使得  其投标报价可能低于其成本，有可能影响商品或服  务质量和不能诚信履约的，应当要求该投标人作出  书面说明并提供相应的证明材料。投标人不能合理  说明或者不能提供相应证明材料的，由评标委员会  认定该投标人以低于成本报价竞标，视为无效投标。</w:t>
            </w:r>
          </w:p>
        </w:tc>
      </w:tr>
      <w:tr w14:paraId="4CF7E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838" w:type="dxa"/>
            <w:vMerge w:val="continue"/>
            <w:vAlign w:val="top"/>
          </w:tcPr>
          <w:p w14:paraId="3318C8D6">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tc>
        <w:tc>
          <w:tcPr>
            <w:tcW w:w="1135" w:type="dxa"/>
            <w:vMerge w:val="continue"/>
            <w:vAlign w:val="top"/>
          </w:tcPr>
          <w:p w14:paraId="7A032E28">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tc>
        <w:tc>
          <w:tcPr>
            <w:tcW w:w="1256" w:type="dxa"/>
            <w:vAlign w:val="top"/>
          </w:tcPr>
          <w:p w14:paraId="5DE1AC5F">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616FAF06">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3577D726">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企业业绩</w:t>
            </w:r>
          </w:p>
          <w:p w14:paraId="0C1784D0">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tc>
        <w:tc>
          <w:tcPr>
            <w:tcW w:w="709" w:type="dxa"/>
            <w:vAlign w:val="top"/>
          </w:tcPr>
          <w:p w14:paraId="4997ABEE">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3CA270DF">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6ED75623">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5F07841C">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3</w:t>
            </w:r>
          </w:p>
        </w:tc>
        <w:tc>
          <w:tcPr>
            <w:tcW w:w="5530" w:type="dxa"/>
            <w:vAlign w:val="top"/>
          </w:tcPr>
          <w:p w14:paraId="053AD369">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供应商近三年（2022年-2024年）已完成类似项目的，每提供1项得1分，最高得3分；（评分依据：需提供中标通知书或合同复印件加盖供应商公章，未提供不得分）。</w:t>
            </w:r>
          </w:p>
        </w:tc>
      </w:tr>
      <w:tr w14:paraId="252AC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838" w:type="dxa"/>
            <w:vMerge w:val="continue"/>
            <w:vAlign w:val="top"/>
          </w:tcPr>
          <w:p w14:paraId="3B6C7247">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tc>
        <w:tc>
          <w:tcPr>
            <w:tcW w:w="1135" w:type="dxa"/>
            <w:vMerge w:val="continue"/>
            <w:vAlign w:val="top"/>
          </w:tcPr>
          <w:p w14:paraId="3A2DED7B">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tc>
        <w:tc>
          <w:tcPr>
            <w:tcW w:w="1256" w:type="dxa"/>
            <w:vAlign w:val="center"/>
          </w:tcPr>
          <w:p w14:paraId="23B4AA77">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优惠条件</w:t>
            </w:r>
          </w:p>
          <w:p w14:paraId="43E2CABF">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tc>
        <w:tc>
          <w:tcPr>
            <w:tcW w:w="709" w:type="dxa"/>
            <w:vAlign w:val="top"/>
          </w:tcPr>
          <w:p w14:paraId="23429339">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17FBFF91">
            <w:pPr>
              <w:pStyle w:val="142"/>
              <w:spacing w:before="28" w:line="229" w:lineRule="auto"/>
              <w:ind w:left="114" w:right="106" w:firstLine="1"/>
              <w:rPr>
                <w:rFonts w:hint="default"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4</w:t>
            </w:r>
          </w:p>
        </w:tc>
        <w:tc>
          <w:tcPr>
            <w:tcW w:w="5530" w:type="dxa"/>
            <w:shd w:val="clear" w:color="auto" w:fill="auto"/>
            <w:vAlign w:val="center"/>
          </w:tcPr>
          <w:p w14:paraId="1D4E608D">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投标人每提供一项实质性优惠条件得1分，最高4分；无实质性优惠条件不得分。</w:t>
            </w:r>
          </w:p>
        </w:tc>
      </w:tr>
      <w:tr w14:paraId="2A687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6" w:hRule="atLeast"/>
        </w:trPr>
        <w:tc>
          <w:tcPr>
            <w:tcW w:w="838" w:type="dxa"/>
            <w:vMerge w:val="continue"/>
            <w:vAlign w:val="top"/>
          </w:tcPr>
          <w:p w14:paraId="1372BDD3">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tc>
        <w:tc>
          <w:tcPr>
            <w:tcW w:w="1135" w:type="dxa"/>
            <w:vMerge w:val="continue"/>
            <w:vAlign w:val="top"/>
          </w:tcPr>
          <w:p w14:paraId="787B4F27">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tc>
        <w:tc>
          <w:tcPr>
            <w:tcW w:w="1256" w:type="dxa"/>
            <w:vAlign w:val="center"/>
          </w:tcPr>
          <w:p w14:paraId="13BC7D56">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服务承诺</w:t>
            </w:r>
          </w:p>
          <w:p w14:paraId="06A1D6FF">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tc>
        <w:tc>
          <w:tcPr>
            <w:tcW w:w="709" w:type="dxa"/>
            <w:vAlign w:val="top"/>
          </w:tcPr>
          <w:p w14:paraId="02134678">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03453D89">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09830F58">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5FA211DC">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554A82C0">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68A8A61D">
            <w:pPr>
              <w:pStyle w:val="142"/>
              <w:spacing w:before="28" w:line="229" w:lineRule="auto"/>
              <w:ind w:left="114" w:right="106" w:firstLine="1"/>
              <w:rPr>
                <w:rFonts w:hint="default"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10</w:t>
            </w:r>
          </w:p>
        </w:tc>
        <w:tc>
          <w:tcPr>
            <w:tcW w:w="5530" w:type="dxa"/>
            <w:shd w:val="clear" w:color="auto" w:fill="auto"/>
            <w:vAlign w:val="center"/>
          </w:tcPr>
          <w:p w14:paraId="38C6D7AF">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default" w:ascii="等线" w:hAnsi="等线" w:eastAsia="等线" w:cs="等线"/>
                <w:i w:val="0"/>
                <w:iCs w:val="0"/>
                <w:snapToGrid w:val="0"/>
                <w:color w:val="000000"/>
                <w:kern w:val="0"/>
                <w:sz w:val="22"/>
                <w:szCs w:val="22"/>
                <w:u w:val="none"/>
                <w:lang w:val="en-US" w:eastAsia="zh-CN" w:bidi="ar"/>
              </w:rPr>
              <w:t>针对本项目做出切实可行的服务承诺。</w:t>
            </w:r>
            <w:r>
              <w:rPr>
                <w:rFonts w:hint="default" w:ascii="等线" w:hAnsi="等线" w:eastAsia="等线" w:cs="等线"/>
                <w:i w:val="0"/>
                <w:iCs w:val="0"/>
                <w:snapToGrid w:val="0"/>
                <w:color w:val="000000"/>
                <w:kern w:val="0"/>
                <w:sz w:val="22"/>
                <w:szCs w:val="22"/>
                <w:u w:val="none"/>
                <w:lang w:val="en-US" w:eastAsia="zh-CN" w:bidi="ar"/>
              </w:rPr>
              <w:br w:type="textWrapping"/>
            </w:r>
            <w:r>
              <w:rPr>
                <w:rFonts w:hint="default" w:ascii="等线" w:hAnsi="等线" w:eastAsia="等线" w:cs="等线"/>
                <w:i w:val="0"/>
                <w:iCs w:val="0"/>
                <w:snapToGrid w:val="0"/>
                <w:color w:val="000000"/>
                <w:kern w:val="0"/>
                <w:sz w:val="22"/>
                <w:szCs w:val="22"/>
                <w:u w:val="none"/>
                <w:lang w:val="en-US" w:eastAsia="zh-CN" w:bidi="ar"/>
              </w:rPr>
              <w:t>1、承诺内容全面，切实可行的得8分，9分，10分；</w:t>
            </w:r>
            <w:r>
              <w:rPr>
                <w:rFonts w:hint="default" w:ascii="等线" w:hAnsi="等线" w:eastAsia="等线" w:cs="等线"/>
                <w:i w:val="0"/>
                <w:iCs w:val="0"/>
                <w:snapToGrid w:val="0"/>
                <w:color w:val="000000"/>
                <w:kern w:val="0"/>
                <w:sz w:val="22"/>
                <w:szCs w:val="22"/>
                <w:u w:val="none"/>
                <w:lang w:val="en-US" w:eastAsia="zh-CN" w:bidi="ar"/>
              </w:rPr>
              <w:br w:type="textWrapping"/>
            </w:r>
            <w:r>
              <w:rPr>
                <w:rFonts w:hint="default" w:ascii="等线" w:hAnsi="等线" w:eastAsia="等线" w:cs="等线"/>
                <w:i w:val="0"/>
                <w:iCs w:val="0"/>
                <w:snapToGrid w:val="0"/>
                <w:color w:val="000000"/>
                <w:kern w:val="0"/>
                <w:sz w:val="22"/>
                <w:szCs w:val="22"/>
                <w:u w:val="none"/>
                <w:lang w:val="en-US" w:eastAsia="zh-CN" w:bidi="ar"/>
              </w:rPr>
              <w:t>2、承诺内容较全面，比较切实可行的得4分，5分，6分，7分；</w:t>
            </w:r>
            <w:r>
              <w:rPr>
                <w:rFonts w:hint="default" w:ascii="等线" w:hAnsi="等线" w:eastAsia="等线" w:cs="等线"/>
                <w:i w:val="0"/>
                <w:iCs w:val="0"/>
                <w:snapToGrid w:val="0"/>
                <w:color w:val="000000"/>
                <w:kern w:val="0"/>
                <w:sz w:val="22"/>
                <w:szCs w:val="22"/>
                <w:u w:val="none"/>
                <w:lang w:val="en-US" w:eastAsia="zh-CN" w:bidi="ar"/>
              </w:rPr>
              <w:br w:type="textWrapping"/>
            </w:r>
            <w:r>
              <w:rPr>
                <w:rFonts w:hint="default" w:ascii="等线" w:hAnsi="等线" w:eastAsia="等线" w:cs="等线"/>
                <w:i w:val="0"/>
                <w:iCs w:val="0"/>
                <w:snapToGrid w:val="0"/>
                <w:color w:val="000000"/>
                <w:kern w:val="0"/>
                <w:sz w:val="22"/>
                <w:szCs w:val="22"/>
                <w:u w:val="none"/>
                <w:lang w:val="en-US" w:eastAsia="zh-CN" w:bidi="ar"/>
              </w:rPr>
              <w:t>3、承诺内容有遗漏，可行性一般的得1分，2分，3分；</w:t>
            </w:r>
            <w:r>
              <w:rPr>
                <w:rFonts w:hint="default" w:ascii="等线" w:hAnsi="等线" w:eastAsia="等线" w:cs="等线"/>
                <w:i w:val="0"/>
                <w:iCs w:val="0"/>
                <w:snapToGrid w:val="0"/>
                <w:color w:val="000000"/>
                <w:kern w:val="0"/>
                <w:sz w:val="22"/>
                <w:szCs w:val="22"/>
                <w:u w:val="none"/>
                <w:lang w:val="en-US" w:eastAsia="zh-CN" w:bidi="ar"/>
              </w:rPr>
              <w:br w:type="textWrapping"/>
            </w:r>
            <w:r>
              <w:rPr>
                <w:rFonts w:hint="default" w:ascii="等线" w:hAnsi="等线" w:eastAsia="等线" w:cs="等线"/>
                <w:i w:val="0"/>
                <w:iCs w:val="0"/>
                <w:snapToGrid w:val="0"/>
                <w:color w:val="000000"/>
                <w:kern w:val="0"/>
                <w:sz w:val="22"/>
                <w:szCs w:val="22"/>
                <w:u w:val="none"/>
                <w:lang w:val="en-US" w:eastAsia="zh-CN" w:bidi="ar"/>
              </w:rPr>
              <w:t>4、不提供物业服务相关（含保洁服务、劳务服务）优质服务相关信息证明扫描件加盖公章及服务承诺情况的不得分。</w:t>
            </w:r>
          </w:p>
        </w:tc>
      </w:tr>
    </w:tbl>
    <w:p w14:paraId="47893A51">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sectPr>
          <w:footerReference r:id="rId8" w:type="default"/>
          <w:pgSz w:w="11906" w:h="16839"/>
          <w:pgMar w:top="400" w:right="1134" w:bottom="916" w:left="1021" w:header="0" w:footer="754" w:gutter="0"/>
          <w:cols w:space="720" w:num="1"/>
        </w:sectPr>
      </w:pPr>
      <w:r>
        <w:rPr>
          <w:rFonts w:hint="eastAsia" w:ascii="等线" w:hAnsi="等线" w:eastAsia="等线" w:cs="等线"/>
          <w:i w:val="0"/>
          <w:iCs w:val="0"/>
          <w:snapToGrid w:val="0"/>
          <w:color w:val="000000"/>
          <w:kern w:val="0"/>
          <w:sz w:val="22"/>
          <w:szCs w:val="22"/>
          <w:u w:val="none"/>
          <w:lang w:val="en-US" w:eastAsia="zh-CN" w:bidi="ar"/>
        </w:rPr>
        <mc:AlternateContent>
          <mc:Choice Requires="wps">
            <w:drawing>
              <wp:anchor distT="0" distB="0" distL="114300" distR="114300" simplePos="0" relativeHeight="251665408" behindDoc="0" locked="0" layoutInCell="0" allowOverlap="1">
                <wp:simplePos x="0" y="0"/>
                <wp:positionH relativeFrom="page">
                  <wp:posOffset>720090</wp:posOffset>
                </wp:positionH>
                <wp:positionV relativeFrom="page">
                  <wp:posOffset>600710</wp:posOffset>
                </wp:positionV>
                <wp:extent cx="6120130" cy="9525"/>
                <wp:effectExtent l="0" t="0" r="0" b="0"/>
                <wp:wrapNone/>
                <wp:docPr id="8" name="任意多边形 8"/>
                <wp:cNvGraphicFramePr/>
                <a:graphic xmlns:a="http://schemas.openxmlformats.org/drawingml/2006/main">
                  <a:graphicData uri="http://schemas.microsoft.com/office/word/2010/wordprocessingShape">
                    <wps:wsp>
                      <wps:cNvSpPr/>
                      <wps:spPr>
                        <a:xfrm>
                          <a:off x="0" y="0"/>
                          <a:ext cx="6120130" cy="9525"/>
                        </a:xfrm>
                        <a:custGeom>
                          <a:avLst/>
                          <a:gdLst/>
                          <a:ahLst/>
                          <a:cxnLst/>
                          <a:pathLst>
                            <a:path w="9637" h="15">
                              <a:moveTo>
                                <a:pt x="0" y="0"/>
                              </a:moveTo>
                              <a:lnTo>
                                <a:pt x="9637" y="0"/>
                              </a:lnTo>
                              <a:lnTo>
                                <a:pt x="9637"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47.3pt;height:0.75pt;width:481.9pt;mso-position-horizontal-relative:page;mso-position-vertical-relative:page;z-index:251665408;mso-width-relative:page;mso-height-relative:page;" fillcolor="#000000" filled="t" stroked="f" coordsize="9637,15" o:allowincell="f" o:gfxdata="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FJSVvYAAAACgEAAA8AAAAAAAAA&#10;AQAgAAAAIgAAAGRycy9kb3ducmV2LnhtbFBLAQIUABQAAAAIAIdO4kC9l0yQEQIAAHsEAAAOAAAA&#10;AAAAAAEAIAAAACcBAABkcnMvZTJvRG9jLnhtbFBLBQYAAAAABgAGAFkBAACqBQAAAAA=&#10;" path="m0,0l9637,0,9637,14,0,14,0,0xe">
                <v:fill on="t" focussize="0,0"/>
                <v:stroke on="f"/>
                <v:imagedata o:title=""/>
                <o:lock v:ext="edit" aspectratio="f"/>
              </v:shape>
            </w:pict>
          </mc:Fallback>
        </mc:AlternateContent>
      </w:r>
    </w:p>
    <w:p w14:paraId="785C30E3">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mc:AlternateContent>
          <mc:Choice Requires="wps">
            <w:drawing>
              <wp:anchor distT="0" distB="0" distL="114300" distR="114300" simplePos="0" relativeHeight="251666432" behindDoc="0" locked="0" layoutInCell="0" allowOverlap="1">
                <wp:simplePos x="0" y="0"/>
                <wp:positionH relativeFrom="page">
                  <wp:posOffset>720090</wp:posOffset>
                </wp:positionH>
                <wp:positionV relativeFrom="page">
                  <wp:posOffset>600710</wp:posOffset>
                </wp:positionV>
                <wp:extent cx="6120130" cy="9525"/>
                <wp:effectExtent l="0" t="0" r="0" b="0"/>
                <wp:wrapNone/>
                <wp:docPr id="9" name="任意多边形 9"/>
                <wp:cNvGraphicFramePr/>
                <a:graphic xmlns:a="http://schemas.openxmlformats.org/drawingml/2006/main">
                  <a:graphicData uri="http://schemas.microsoft.com/office/word/2010/wordprocessingShape">
                    <wps:wsp>
                      <wps:cNvSpPr/>
                      <wps:spPr>
                        <a:xfrm>
                          <a:off x="0" y="0"/>
                          <a:ext cx="6120130" cy="9525"/>
                        </a:xfrm>
                        <a:custGeom>
                          <a:avLst/>
                          <a:gdLst/>
                          <a:ahLst/>
                          <a:cxnLst/>
                          <a:pathLst>
                            <a:path w="9637" h="15">
                              <a:moveTo>
                                <a:pt x="0" y="0"/>
                              </a:moveTo>
                              <a:lnTo>
                                <a:pt x="9637" y="0"/>
                              </a:lnTo>
                              <a:lnTo>
                                <a:pt x="9637"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47.3pt;height:0.75pt;width:481.9pt;mso-position-horizontal-relative:page;mso-position-vertical-relative:page;z-index:251666432;mso-width-relative:page;mso-height-relative:page;" fillcolor="#000000" filled="t" stroked="f" coordsize="9637,15" o:allowincell="f" o:gfxdata="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UlJW9gAAAAKAQAADwAAAAAAAAAB&#10;ACAAAAAiAAAAZHJzL2Rvd25yZXYueG1sUEsBAhQAFAAAAAgAh07iQEoG/aYQAgAAewQAAA4AAAAA&#10;AAAAAQAgAAAAJwEAAGRycy9lMm9Eb2MueG1sUEsFBgAAAAAGAAYAWQEAAKkFAAAAAA==&#10;" path="m0,0l9637,0,9637,14,0,14,0,0xe">
                <v:fill on="t" focussize="0,0"/>
                <v:stroke on="f"/>
                <v:imagedata o:title=""/>
                <o:lock v:ext="edit" aspectratio="f"/>
              </v:shape>
            </w:pict>
          </mc:Fallback>
        </mc:AlternateContent>
      </w:r>
    </w:p>
    <w:p w14:paraId="151C084F">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53A8AD10">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tbl>
      <w:tblPr>
        <w:tblStyle w:val="143"/>
        <w:tblW w:w="94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
        <w:gridCol w:w="1135"/>
        <w:gridCol w:w="1256"/>
        <w:gridCol w:w="709"/>
        <w:gridCol w:w="5530"/>
      </w:tblGrid>
      <w:tr w14:paraId="2AEE3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trPr>
        <w:tc>
          <w:tcPr>
            <w:tcW w:w="838" w:type="dxa"/>
            <w:vMerge w:val="restart"/>
            <w:vAlign w:val="top"/>
          </w:tcPr>
          <w:p w14:paraId="6B7B9B1D">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71BF7237">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4BC70187">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1EE75B09">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258CDF52">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4033E83A">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58041412">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06B18A4D">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07796C0A">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6840880E">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361D72A0">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46B7B571">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1EEA7D4F">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06ACA8F8">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3B9AD751">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379E26A6">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5FC11F94">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2</w:t>
            </w:r>
          </w:p>
        </w:tc>
        <w:tc>
          <w:tcPr>
            <w:tcW w:w="1135" w:type="dxa"/>
            <w:vMerge w:val="restart"/>
            <w:vAlign w:val="top"/>
          </w:tcPr>
          <w:p w14:paraId="095A0D28">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105A7899">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668B3641">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3CEECED9">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2055CFDB">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30BC369D">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6F975233">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5B8CFBFE">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490E652D">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65AFF903">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6A09AA66">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53DD1928">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250E2FCC">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0A02D46D">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58A54746">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33070EC4">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技术部 分</w:t>
            </w:r>
          </w:p>
          <w:p w14:paraId="41FD139E">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（73 分）</w:t>
            </w:r>
          </w:p>
        </w:tc>
        <w:tc>
          <w:tcPr>
            <w:tcW w:w="1256" w:type="dxa"/>
            <w:vAlign w:val="center"/>
          </w:tcPr>
          <w:p w14:paraId="0C989A95">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服务方案</w:t>
            </w:r>
          </w:p>
        </w:tc>
        <w:tc>
          <w:tcPr>
            <w:tcW w:w="709" w:type="dxa"/>
            <w:vAlign w:val="center"/>
          </w:tcPr>
          <w:p w14:paraId="1BE42454">
            <w:pPr>
              <w:pStyle w:val="142"/>
              <w:spacing w:before="28" w:line="229" w:lineRule="auto"/>
              <w:ind w:left="114" w:right="106" w:firstLine="1"/>
              <w:rPr>
                <w:rFonts w:hint="default"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14</w:t>
            </w:r>
          </w:p>
        </w:tc>
        <w:tc>
          <w:tcPr>
            <w:tcW w:w="5530" w:type="dxa"/>
            <w:vAlign w:val="top"/>
          </w:tcPr>
          <w:p w14:paraId="03A8DFE9">
            <w:pPr>
              <w:pStyle w:val="142"/>
              <w:spacing w:before="28" w:line="229" w:lineRule="auto"/>
              <w:ind w:left="114" w:right="106" w:firstLine="1"/>
              <w:rPr>
                <w:rFonts w:hint="default"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 xml:space="preserve">为本项目提供的服务方案能够满足采购人需求，条理清晰、具备行业先进性，可操作性强。同时要求服务方案内容要求包括: 1、项目人员组织架构；2、各岗位职责及工作要求；3、 项目整体服务标准；4、各岗位作业流程图；5、突发事件应急管理办法；6、流程管理纠正预防措施；7、完善的后勤保障制度； </w:t>
            </w:r>
            <w:r>
              <w:rPr>
                <w:rFonts w:hint="eastAsia" w:ascii="等线" w:hAnsi="等线" w:eastAsia="等线" w:cs="等线"/>
                <w:i w:val="0"/>
                <w:iCs w:val="0"/>
                <w:snapToGrid w:val="0"/>
                <w:color w:val="000000"/>
                <w:kern w:val="0"/>
                <w:sz w:val="22"/>
                <w:szCs w:val="22"/>
                <w:u w:val="none"/>
                <w:lang w:val="zh-CN" w:eastAsia="zh-CN" w:bidi="ar"/>
              </w:rPr>
              <w:t>编制内容具体细致、全面，无遗漏，可操作性强得</w:t>
            </w:r>
            <w:r>
              <w:rPr>
                <w:rFonts w:hint="eastAsia" w:ascii="等线" w:hAnsi="等线" w:eastAsia="等线" w:cs="等线"/>
                <w:i w:val="0"/>
                <w:iCs w:val="0"/>
                <w:snapToGrid w:val="0"/>
                <w:color w:val="000000"/>
                <w:kern w:val="0"/>
                <w:sz w:val="22"/>
                <w:szCs w:val="22"/>
                <w:u w:val="none"/>
                <w:lang w:val="en-US" w:eastAsia="zh-CN" w:bidi="ar"/>
              </w:rPr>
              <w:t>14</w:t>
            </w:r>
            <w:r>
              <w:rPr>
                <w:rFonts w:hint="eastAsia" w:ascii="等线" w:hAnsi="等线" w:eastAsia="等线" w:cs="等线"/>
                <w:i w:val="0"/>
                <w:iCs w:val="0"/>
                <w:snapToGrid w:val="0"/>
                <w:color w:val="000000"/>
                <w:kern w:val="0"/>
                <w:sz w:val="22"/>
                <w:szCs w:val="22"/>
                <w:u w:val="none"/>
                <w:lang w:val="zh-CN" w:eastAsia="zh-CN" w:bidi="ar"/>
              </w:rPr>
              <w:t>分，方案编制内容较具体细致、较全面，无遗漏，可操作性较强得</w:t>
            </w:r>
            <w:r>
              <w:rPr>
                <w:rFonts w:hint="eastAsia" w:ascii="等线" w:hAnsi="等线" w:eastAsia="等线" w:cs="等线"/>
                <w:i w:val="0"/>
                <w:iCs w:val="0"/>
                <w:snapToGrid w:val="0"/>
                <w:color w:val="000000"/>
                <w:kern w:val="0"/>
                <w:sz w:val="22"/>
                <w:szCs w:val="22"/>
                <w:u w:val="none"/>
                <w:lang w:val="en-US" w:eastAsia="zh-CN" w:bidi="ar"/>
              </w:rPr>
              <w:t>10</w:t>
            </w:r>
            <w:r>
              <w:rPr>
                <w:rFonts w:hint="eastAsia" w:ascii="等线" w:hAnsi="等线" w:eastAsia="等线" w:cs="等线"/>
                <w:i w:val="0"/>
                <w:iCs w:val="0"/>
                <w:snapToGrid w:val="0"/>
                <w:color w:val="000000"/>
                <w:kern w:val="0"/>
                <w:sz w:val="22"/>
                <w:szCs w:val="22"/>
                <w:u w:val="none"/>
                <w:lang w:val="zh-CN" w:eastAsia="zh-CN" w:bidi="ar"/>
              </w:rPr>
              <w:t>分，方案编制内容较具体细致、较全面，可操作性一般得</w:t>
            </w:r>
            <w:r>
              <w:rPr>
                <w:rFonts w:hint="eastAsia" w:ascii="等线" w:hAnsi="等线" w:eastAsia="等线" w:cs="等线"/>
                <w:i w:val="0"/>
                <w:iCs w:val="0"/>
                <w:snapToGrid w:val="0"/>
                <w:color w:val="000000"/>
                <w:kern w:val="0"/>
                <w:sz w:val="22"/>
                <w:szCs w:val="22"/>
                <w:u w:val="none"/>
                <w:lang w:val="en-US" w:eastAsia="zh-CN" w:bidi="ar"/>
              </w:rPr>
              <w:t>6</w:t>
            </w:r>
            <w:r>
              <w:rPr>
                <w:rFonts w:hint="eastAsia" w:ascii="等线" w:hAnsi="等线" w:eastAsia="等线" w:cs="等线"/>
                <w:i w:val="0"/>
                <w:iCs w:val="0"/>
                <w:snapToGrid w:val="0"/>
                <w:color w:val="000000"/>
                <w:kern w:val="0"/>
                <w:sz w:val="22"/>
                <w:szCs w:val="22"/>
                <w:u w:val="none"/>
                <w:lang w:val="zh-CN" w:eastAsia="zh-CN" w:bidi="ar"/>
              </w:rPr>
              <w:t>分，未提供或差不得分。</w:t>
            </w:r>
          </w:p>
        </w:tc>
      </w:tr>
      <w:tr w14:paraId="7F86B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6" w:hRule="atLeast"/>
        </w:trPr>
        <w:tc>
          <w:tcPr>
            <w:tcW w:w="838" w:type="dxa"/>
            <w:vMerge w:val="continue"/>
            <w:vAlign w:val="top"/>
          </w:tcPr>
          <w:p w14:paraId="40868DE7">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tc>
        <w:tc>
          <w:tcPr>
            <w:tcW w:w="1135" w:type="dxa"/>
            <w:vMerge w:val="continue"/>
            <w:vAlign w:val="top"/>
          </w:tcPr>
          <w:p w14:paraId="487C7311">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tc>
        <w:tc>
          <w:tcPr>
            <w:tcW w:w="1256" w:type="dxa"/>
            <w:vAlign w:val="center"/>
          </w:tcPr>
          <w:p w14:paraId="447D9962">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管理制度</w:t>
            </w:r>
          </w:p>
        </w:tc>
        <w:tc>
          <w:tcPr>
            <w:tcW w:w="709" w:type="dxa"/>
            <w:vAlign w:val="top"/>
          </w:tcPr>
          <w:p w14:paraId="48D6EB9A">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52062BC3">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29F99101">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25BA481E">
            <w:pPr>
              <w:pStyle w:val="142"/>
              <w:spacing w:before="28" w:line="229" w:lineRule="auto"/>
              <w:ind w:left="114" w:right="106" w:firstLine="1"/>
              <w:rPr>
                <w:rFonts w:hint="default"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12</w:t>
            </w:r>
          </w:p>
        </w:tc>
        <w:tc>
          <w:tcPr>
            <w:tcW w:w="5530" w:type="dxa"/>
            <w:vAlign w:val="top"/>
          </w:tcPr>
          <w:p w14:paraId="280FB857">
            <w:pPr>
              <w:pStyle w:val="142"/>
              <w:spacing w:before="28" w:line="229" w:lineRule="auto"/>
              <w:ind w:left="114" w:right="106" w:firstLine="1"/>
              <w:rPr>
                <w:rFonts w:hint="default"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zh-CN" w:eastAsia="zh-CN" w:bidi="ar"/>
              </w:rPr>
              <w:t>为本项目提供的管理制度要求： 管理制度条款清晰、内容完善、要求明确、具备可行性且制度中各项规定易于执行与落实。 1、员工着装制度； 2、行为规范制度； 3、封闭管理制度； 4、</w:t>
            </w:r>
            <w:r>
              <w:rPr>
                <w:rFonts w:hint="eastAsia" w:ascii="等线" w:hAnsi="等线" w:eastAsia="等线" w:cs="等线"/>
                <w:i w:val="0"/>
                <w:iCs w:val="0"/>
                <w:snapToGrid w:val="0"/>
                <w:color w:val="000000"/>
                <w:kern w:val="0"/>
                <w:sz w:val="22"/>
                <w:szCs w:val="22"/>
                <w:u w:val="none"/>
                <w:lang w:val="en-US" w:eastAsia="zh-CN" w:bidi="ar"/>
              </w:rPr>
              <w:t>企业内部管理制度</w:t>
            </w:r>
            <w:r>
              <w:rPr>
                <w:rFonts w:hint="eastAsia" w:ascii="等线" w:hAnsi="等线" w:eastAsia="等线" w:cs="等线"/>
                <w:i w:val="0"/>
                <w:iCs w:val="0"/>
                <w:snapToGrid w:val="0"/>
                <w:color w:val="000000"/>
                <w:kern w:val="0"/>
                <w:sz w:val="22"/>
                <w:szCs w:val="22"/>
                <w:u w:val="none"/>
                <w:lang w:val="zh-CN" w:eastAsia="zh-CN" w:bidi="ar"/>
              </w:rPr>
              <w:t>；编制内容具体细致、全面，无遗漏，可操作性强得</w:t>
            </w:r>
            <w:r>
              <w:rPr>
                <w:rFonts w:hint="eastAsia" w:ascii="等线" w:hAnsi="等线" w:eastAsia="等线" w:cs="等线"/>
                <w:i w:val="0"/>
                <w:iCs w:val="0"/>
                <w:snapToGrid w:val="0"/>
                <w:color w:val="000000"/>
                <w:kern w:val="0"/>
                <w:sz w:val="22"/>
                <w:szCs w:val="22"/>
                <w:u w:val="none"/>
                <w:lang w:val="en-US" w:eastAsia="zh-CN" w:bidi="ar"/>
              </w:rPr>
              <w:t>12</w:t>
            </w:r>
            <w:r>
              <w:rPr>
                <w:rFonts w:hint="eastAsia" w:ascii="等线" w:hAnsi="等线" w:eastAsia="等线" w:cs="等线"/>
                <w:i w:val="0"/>
                <w:iCs w:val="0"/>
                <w:snapToGrid w:val="0"/>
                <w:color w:val="000000"/>
                <w:kern w:val="0"/>
                <w:sz w:val="22"/>
                <w:szCs w:val="22"/>
                <w:u w:val="none"/>
                <w:lang w:val="zh-CN" w:eastAsia="zh-CN" w:bidi="ar"/>
              </w:rPr>
              <w:t>分，方案编制内容较具体细致、较全面，无遗漏，可操作性较强得</w:t>
            </w:r>
            <w:r>
              <w:rPr>
                <w:rFonts w:hint="eastAsia" w:ascii="等线" w:hAnsi="等线" w:eastAsia="等线" w:cs="等线"/>
                <w:i w:val="0"/>
                <w:iCs w:val="0"/>
                <w:snapToGrid w:val="0"/>
                <w:color w:val="000000"/>
                <w:kern w:val="0"/>
                <w:sz w:val="22"/>
                <w:szCs w:val="22"/>
                <w:u w:val="none"/>
                <w:lang w:val="en-US" w:eastAsia="zh-CN" w:bidi="ar"/>
              </w:rPr>
              <w:t>8</w:t>
            </w:r>
            <w:r>
              <w:rPr>
                <w:rFonts w:hint="eastAsia" w:ascii="等线" w:hAnsi="等线" w:eastAsia="等线" w:cs="等线"/>
                <w:i w:val="0"/>
                <w:iCs w:val="0"/>
                <w:snapToGrid w:val="0"/>
                <w:color w:val="000000"/>
                <w:kern w:val="0"/>
                <w:sz w:val="22"/>
                <w:szCs w:val="22"/>
                <w:u w:val="none"/>
                <w:lang w:val="zh-CN" w:eastAsia="zh-CN" w:bidi="ar"/>
              </w:rPr>
              <w:t>分，方案编制内容较具体细致、较全面，可操作性一般得</w:t>
            </w:r>
            <w:r>
              <w:rPr>
                <w:rFonts w:hint="eastAsia" w:ascii="等线" w:hAnsi="等线" w:eastAsia="等线" w:cs="等线"/>
                <w:i w:val="0"/>
                <w:iCs w:val="0"/>
                <w:snapToGrid w:val="0"/>
                <w:color w:val="000000"/>
                <w:kern w:val="0"/>
                <w:sz w:val="22"/>
                <w:szCs w:val="22"/>
                <w:u w:val="none"/>
                <w:lang w:val="en-US" w:eastAsia="zh-CN" w:bidi="ar"/>
              </w:rPr>
              <w:t>5</w:t>
            </w:r>
            <w:r>
              <w:rPr>
                <w:rFonts w:hint="eastAsia" w:ascii="等线" w:hAnsi="等线" w:eastAsia="等线" w:cs="等线"/>
                <w:i w:val="0"/>
                <w:iCs w:val="0"/>
                <w:snapToGrid w:val="0"/>
                <w:color w:val="000000"/>
                <w:kern w:val="0"/>
                <w:sz w:val="22"/>
                <w:szCs w:val="22"/>
                <w:u w:val="none"/>
                <w:lang w:val="zh-CN" w:eastAsia="zh-CN" w:bidi="ar"/>
              </w:rPr>
              <w:t>分，未提供或差不得分。</w:t>
            </w:r>
          </w:p>
        </w:tc>
      </w:tr>
      <w:tr w14:paraId="34D11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838" w:type="dxa"/>
            <w:vMerge w:val="continue"/>
            <w:vAlign w:val="top"/>
          </w:tcPr>
          <w:p w14:paraId="19F524A1">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tc>
        <w:tc>
          <w:tcPr>
            <w:tcW w:w="1135" w:type="dxa"/>
            <w:vMerge w:val="continue"/>
            <w:vAlign w:val="top"/>
          </w:tcPr>
          <w:p w14:paraId="2623234E">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tc>
        <w:tc>
          <w:tcPr>
            <w:tcW w:w="1256" w:type="dxa"/>
            <w:vAlign w:val="center"/>
          </w:tcPr>
          <w:p w14:paraId="3EEDBE11">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培训措施</w:t>
            </w:r>
          </w:p>
        </w:tc>
        <w:tc>
          <w:tcPr>
            <w:tcW w:w="709" w:type="dxa"/>
            <w:vAlign w:val="top"/>
          </w:tcPr>
          <w:p w14:paraId="1BE3D3F1">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29134B39">
            <w:pPr>
              <w:pStyle w:val="142"/>
              <w:spacing w:before="28" w:line="229" w:lineRule="auto"/>
              <w:ind w:left="114" w:right="106" w:firstLine="1"/>
              <w:rPr>
                <w:rFonts w:hint="default"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12</w:t>
            </w:r>
          </w:p>
        </w:tc>
        <w:tc>
          <w:tcPr>
            <w:tcW w:w="5530" w:type="dxa"/>
            <w:vAlign w:val="center"/>
          </w:tcPr>
          <w:p w14:paraId="7C7F33B1">
            <w:pPr>
              <w:pStyle w:val="142"/>
              <w:spacing w:before="28" w:line="229" w:lineRule="auto"/>
              <w:ind w:left="114" w:right="106" w:firstLine="1"/>
              <w:rPr>
                <w:rFonts w:hint="default"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zh-CN" w:eastAsia="zh-CN" w:bidi="ar"/>
              </w:rPr>
              <w:t>为本项目提供的人员培训方案及计划要求： 1、包含各类预案培训；2、人员言行规范培训；3、人员岗位技能培训等。要求培训计划及方案内容详实、条理清晰，可实现培训成果的转换与落地，编制内容具体细致、全面，无遗漏，可操作性强得</w:t>
            </w:r>
            <w:r>
              <w:rPr>
                <w:rFonts w:hint="eastAsia" w:ascii="等线" w:hAnsi="等线" w:eastAsia="等线" w:cs="等线"/>
                <w:i w:val="0"/>
                <w:iCs w:val="0"/>
                <w:snapToGrid w:val="0"/>
                <w:color w:val="000000"/>
                <w:kern w:val="0"/>
                <w:sz w:val="22"/>
                <w:szCs w:val="22"/>
                <w:u w:val="none"/>
                <w:lang w:val="en-US" w:eastAsia="zh-CN" w:bidi="ar"/>
              </w:rPr>
              <w:t>12</w:t>
            </w:r>
            <w:r>
              <w:rPr>
                <w:rFonts w:hint="eastAsia" w:ascii="等线" w:hAnsi="等线" w:eastAsia="等线" w:cs="等线"/>
                <w:i w:val="0"/>
                <w:iCs w:val="0"/>
                <w:snapToGrid w:val="0"/>
                <w:color w:val="000000"/>
                <w:kern w:val="0"/>
                <w:sz w:val="22"/>
                <w:szCs w:val="22"/>
                <w:u w:val="none"/>
                <w:lang w:val="zh-CN" w:eastAsia="zh-CN" w:bidi="ar"/>
              </w:rPr>
              <w:t>分，方案编制内容较具体细致、较全面，无遗漏，可操作性较强得</w:t>
            </w:r>
            <w:r>
              <w:rPr>
                <w:rFonts w:hint="eastAsia" w:ascii="等线" w:hAnsi="等线" w:eastAsia="等线" w:cs="等线"/>
                <w:i w:val="0"/>
                <w:iCs w:val="0"/>
                <w:snapToGrid w:val="0"/>
                <w:color w:val="000000"/>
                <w:kern w:val="0"/>
                <w:sz w:val="22"/>
                <w:szCs w:val="22"/>
                <w:u w:val="none"/>
                <w:lang w:val="en-US" w:eastAsia="zh-CN" w:bidi="ar"/>
              </w:rPr>
              <w:t>8</w:t>
            </w:r>
            <w:r>
              <w:rPr>
                <w:rFonts w:hint="eastAsia" w:ascii="等线" w:hAnsi="等线" w:eastAsia="等线" w:cs="等线"/>
                <w:i w:val="0"/>
                <w:iCs w:val="0"/>
                <w:snapToGrid w:val="0"/>
                <w:color w:val="000000"/>
                <w:kern w:val="0"/>
                <w:sz w:val="22"/>
                <w:szCs w:val="22"/>
                <w:u w:val="none"/>
                <w:lang w:val="zh-CN" w:eastAsia="zh-CN" w:bidi="ar"/>
              </w:rPr>
              <w:t>分，方案编制内容较具体细致、较全面，可操作性一般得</w:t>
            </w:r>
            <w:r>
              <w:rPr>
                <w:rFonts w:hint="eastAsia" w:ascii="等线" w:hAnsi="等线" w:eastAsia="等线" w:cs="等线"/>
                <w:i w:val="0"/>
                <w:iCs w:val="0"/>
                <w:snapToGrid w:val="0"/>
                <w:color w:val="000000"/>
                <w:kern w:val="0"/>
                <w:sz w:val="22"/>
                <w:szCs w:val="22"/>
                <w:u w:val="none"/>
                <w:lang w:val="en-US" w:eastAsia="zh-CN" w:bidi="ar"/>
              </w:rPr>
              <w:t>5</w:t>
            </w:r>
            <w:r>
              <w:rPr>
                <w:rFonts w:hint="eastAsia" w:ascii="等线" w:hAnsi="等线" w:eastAsia="等线" w:cs="等线"/>
                <w:i w:val="0"/>
                <w:iCs w:val="0"/>
                <w:snapToGrid w:val="0"/>
                <w:color w:val="000000"/>
                <w:kern w:val="0"/>
                <w:sz w:val="22"/>
                <w:szCs w:val="22"/>
                <w:u w:val="none"/>
                <w:lang w:val="zh-CN" w:eastAsia="zh-CN" w:bidi="ar"/>
              </w:rPr>
              <w:t>分，未提供或差不得分。</w:t>
            </w:r>
          </w:p>
        </w:tc>
      </w:tr>
      <w:tr w14:paraId="06D2A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4" w:hRule="atLeast"/>
        </w:trPr>
        <w:tc>
          <w:tcPr>
            <w:tcW w:w="838" w:type="dxa"/>
            <w:vMerge w:val="continue"/>
            <w:vAlign w:val="top"/>
          </w:tcPr>
          <w:p w14:paraId="0C25D889">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tc>
        <w:tc>
          <w:tcPr>
            <w:tcW w:w="1135" w:type="dxa"/>
            <w:vMerge w:val="continue"/>
            <w:vAlign w:val="top"/>
          </w:tcPr>
          <w:p w14:paraId="45F2D9F1">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tc>
        <w:tc>
          <w:tcPr>
            <w:tcW w:w="1256" w:type="dxa"/>
            <w:vAlign w:val="center"/>
          </w:tcPr>
          <w:p w14:paraId="085365BD">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保洁服务安排计划</w:t>
            </w:r>
          </w:p>
        </w:tc>
        <w:tc>
          <w:tcPr>
            <w:tcW w:w="709" w:type="dxa"/>
            <w:vAlign w:val="top"/>
          </w:tcPr>
          <w:p w14:paraId="0FA138F7">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1709EA1B">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5C3891A3">
            <w:pPr>
              <w:pStyle w:val="142"/>
              <w:spacing w:before="28" w:line="229" w:lineRule="auto"/>
              <w:ind w:left="114" w:right="106" w:firstLine="1"/>
              <w:rPr>
                <w:rFonts w:hint="default"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12</w:t>
            </w:r>
          </w:p>
        </w:tc>
        <w:tc>
          <w:tcPr>
            <w:tcW w:w="5530" w:type="dxa"/>
            <w:vAlign w:val="center"/>
          </w:tcPr>
          <w:p w14:paraId="68C63710">
            <w:pPr>
              <w:pStyle w:val="142"/>
              <w:spacing w:before="28" w:line="229" w:lineRule="auto"/>
              <w:ind w:left="114" w:right="106" w:firstLine="1"/>
              <w:rPr>
                <w:rFonts w:hint="default"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为本项目提供的保洁服务安排计划要求：1、日常、周、月清洁及消杀计划；2、楼内、卫生间卫生清洁；3、生活垃圾处理及协助巡查等，</w:t>
            </w:r>
            <w:r>
              <w:rPr>
                <w:rFonts w:hint="eastAsia" w:ascii="等线" w:hAnsi="等线" w:eastAsia="等线" w:cs="等线"/>
                <w:i w:val="0"/>
                <w:iCs w:val="0"/>
                <w:snapToGrid w:val="0"/>
                <w:color w:val="000000"/>
                <w:kern w:val="0"/>
                <w:sz w:val="22"/>
                <w:szCs w:val="22"/>
                <w:u w:val="none"/>
                <w:lang w:val="zh-CN" w:eastAsia="zh-CN" w:bidi="ar"/>
              </w:rPr>
              <w:t>清晰、完整、合理、 具备可行性，编制内容具体细致、全面，无遗漏，可操作性强得</w:t>
            </w:r>
            <w:r>
              <w:rPr>
                <w:rFonts w:hint="eastAsia" w:ascii="等线" w:hAnsi="等线" w:eastAsia="等线" w:cs="等线"/>
                <w:i w:val="0"/>
                <w:iCs w:val="0"/>
                <w:snapToGrid w:val="0"/>
                <w:color w:val="000000"/>
                <w:kern w:val="0"/>
                <w:sz w:val="22"/>
                <w:szCs w:val="22"/>
                <w:u w:val="none"/>
                <w:lang w:val="en-US" w:eastAsia="zh-CN" w:bidi="ar"/>
              </w:rPr>
              <w:t>12</w:t>
            </w:r>
            <w:r>
              <w:rPr>
                <w:rFonts w:hint="eastAsia" w:ascii="等线" w:hAnsi="等线" w:eastAsia="等线" w:cs="等线"/>
                <w:i w:val="0"/>
                <w:iCs w:val="0"/>
                <w:snapToGrid w:val="0"/>
                <w:color w:val="000000"/>
                <w:kern w:val="0"/>
                <w:sz w:val="22"/>
                <w:szCs w:val="22"/>
                <w:u w:val="none"/>
                <w:lang w:val="zh-CN" w:eastAsia="zh-CN" w:bidi="ar"/>
              </w:rPr>
              <w:t>分，方案编制内容较具体细致、较全面，无遗漏，可操作性较强得</w:t>
            </w:r>
            <w:r>
              <w:rPr>
                <w:rFonts w:hint="eastAsia" w:ascii="等线" w:hAnsi="等线" w:eastAsia="等线" w:cs="等线"/>
                <w:i w:val="0"/>
                <w:iCs w:val="0"/>
                <w:snapToGrid w:val="0"/>
                <w:color w:val="000000"/>
                <w:kern w:val="0"/>
                <w:sz w:val="22"/>
                <w:szCs w:val="22"/>
                <w:u w:val="none"/>
                <w:lang w:val="en-US" w:eastAsia="zh-CN" w:bidi="ar"/>
              </w:rPr>
              <w:t>8</w:t>
            </w:r>
            <w:r>
              <w:rPr>
                <w:rFonts w:hint="eastAsia" w:ascii="等线" w:hAnsi="等线" w:eastAsia="等线" w:cs="等线"/>
                <w:i w:val="0"/>
                <w:iCs w:val="0"/>
                <w:snapToGrid w:val="0"/>
                <w:color w:val="000000"/>
                <w:kern w:val="0"/>
                <w:sz w:val="22"/>
                <w:szCs w:val="22"/>
                <w:u w:val="none"/>
                <w:lang w:val="zh-CN" w:eastAsia="zh-CN" w:bidi="ar"/>
              </w:rPr>
              <w:t>分，方案编制内容较具体细致、较全面，可操作性一般得</w:t>
            </w:r>
            <w:r>
              <w:rPr>
                <w:rFonts w:hint="eastAsia" w:ascii="等线" w:hAnsi="等线" w:eastAsia="等线" w:cs="等线"/>
                <w:i w:val="0"/>
                <w:iCs w:val="0"/>
                <w:snapToGrid w:val="0"/>
                <w:color w:val="000000"/>
                <w:kern w:val="0"/>
                <w:sz w:val="22"/>
                <w:szCs w:val="22"/>
                <w:u w:val="none"/>
                <w:lang w:val="en-US" w:eastAsia="zh-CN" w:bidi="ar"/>
              </w:rPr>
              <w:t>5</w:t>
            </w:r>
            <w:r>
              <w:rPr>
                <w:rFonts w:hint="eastAsia" w:ascii="等线" w:hAnsi="等线" w:eastAsia="等线" w:cs="等线"/>
                <w:i w:val="0"/>
                <w:iCs w:val="0"/>
                <w:snapToGrid w:val="0"/>
                <w:color w:val="000000"/>
                <w:kern w:val="0"/>
                <w:sz w:val="22"/>
                <w:szCs w:val="22"/>
                <w:u w:val="none"/>
                <w:lang w:val="zh-CN" w:eastAsia="zh-CN" w:bidi="ar"/>
              </w:rPr>
              <w:t>分，未提供或差不得分。</w:t>
            </w:r>
          </w:p>
        </w:tc>
      </w:tr>
      <w:tr w14:paraId="057E7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trPr>
        <w:tc>
          <w:tcPr>
            <w:tcW w:w="838" w:type="dxa"/>
            <w:vMerge w:val="continue"/>
            <w:vAlign w:val="top"/>
          </w:tcPr>
          <w:p w14:paraId="01542CA3">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tc>
        <w:tc>
          <w:tcPr>
            <w:tcW w:w="1135" w:type="dxa"/>
            <w:vMerge w:val="continue"/>
            <w:vAlign w:val="top"/>
          </w:tcPr>
          <w:p w14:paraId="41A85ABE">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tc>
        <w:tc>
          <w:tcPr>
            <w:tcW w:w="1256" w:type="dxa"/>
            <w:vAlign w:val="center"/>
          </w:tcPr>
          <w:p w14:paraId="4E86C4AB">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体系制度</w:t>
            </w:r>
          </w:p>
        </w:tc>
        <w:tc>
          <w:tcPr>
            <w:tcW w:w="709" w:type="dxa"/>
            <w:vAlign w:val="top"/>
          </w:tcPr>
          <w:p w14:paraId="3A518B7E">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139082BE">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35BB2E2C">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8</w:t>
            </w:r>
          </w:p>
        </w:tc>
        <w:tc>
          <w:tcPr>
            <w:tcW w:w="5530" w:type="dxa"/>
            <w:vAlign w:val="center"/>
          </w:tcPr>
          <w:p w14:paraId="37CF814F">
            <w:pPr>
              <w:pStyle w:val="142"/>
              <w:spacing w:before="28" w:line="229" w:lineRule="auto"/>
              <w:ind w:left="114" w:right="106" w:firstLine="1"/>
              <w:rPr>
                <w:rFonts w:hint="default"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为本项目提供完善的体系制度要求：1、有完善的工作人员工资薪酬管理体系；2、人员劳动纪律管理制度等，</w:t>
            </w:r>
            <w:r>
              <w:rPr>
                <w:rFonts w:hint="eastAsia" w:ascii="等线" w:hAnsi="等线" w:eastAsia="等线" w:cs="等线"/>
                <w:i w:val="0"/>
                <w:iCs w:val="0"/>
                <w:snapToGrid w:val="0"/>
                <w:color w:val="000000"/>
                <w:kern w:val="0"/>
                <w:sz w:val="22"/>
                <w:szCs w:val="22"/>
                <w:u w:val="none"/>
                <w:lang w:val="zh-CN" w:eastAsia="zh-CN" w:bidi="ar"/>
              </w:rPr>
              <w:t>清晰、完整、合理、 具备可行性，编制内容具体细致、全面，无遗漏，可操作性强得</w:t>
            </w:r>
            <w:r>
              <w:rPr>
                <w:rFonts w:hint="eastAsia" w:ascii="等线" w:hAnsi="等线" w:eastAsia="等线" w:cs="等线"/>
                <w:i w:val="0"/>
                <w:iCs w:val="0"/>
                <w:snapToGrid w:val="0"/>
                <w:color w:val="000000"/>
                <w:kern w:val="0"/>
                <w:sz w:val="22"/>
                <w:szCs w:val="22"/>
                <w:u w:val="none"/>
                <w:lang w:val="en-US" w:eastAsia="zh-CN" w:bidi="ar"/>
              </w:rPr>
              <w:t>8</w:t>
            </w:r>
            <w:r>
              <w:rPr>
                <w:rFonts w:hint="eastAsia" w:ascii="等线" w:hAnsi="等线" w:eastAsia="等线" w:cs="等线"/>
                <w:i w:val="0"/>
                <w:iCs w:val="0"/>
                <w:snapToGrid w:val="0"/>
                <w:color w:val="000000"/>
                <w:kern w:val="0"/>
                <w:sz w:val="22"/>
                <w:szCs w:val="22"/>
                <w:u w:val="none"/>
                <w:lang w:val="zh-CN" w:eastAsia="zh-CN" w:bidi="ar"/>
              </w:rPr>
              <w:t>分，方案编制内容较具体细致、较全面，无遗漏，可操作性较强得</w:t>
            </w:r>
            <w:r>
              <w:rPr>
                <w:rFonts w:hint="eastAsia" w:ascii="等线" w:hAnsi="等线" w:eastAsia="等线" w:cs="等线"/>
                <w:i w:val="0"/>
                <w:iCs w:val="0"/>
                <w:snapToGrid w:val="0"/>
                <w:color w:val="000000"/>
                <w:kern w:val="0"/>
                <w:sz w:val="22"/>
                <w:szCs w:val="22"/>
                <w:u w:val="none"/>
                <w:lang w:val="en-US" w:eastAsia="zh-CN" w:bidi="ar"/>
              </w:rPr>
              <w:t>5</w:t>
            </w:r>
            <w:r>
              <w:rPr>
                <w:rFonts w:hint="eastAsia" w:ascii="等线" w:hAnsi="等线" w:eastAsia="等线" w:cs="等线"/>
                <w:i w:val="0"/>
                <w:iCs w:val="0"/>
                <w:snapToGrid w:val="0"/>
                <w:color w:val="000000"/>
                <w:kern w:val="0"/>
                <w:sz w:val="22"/>
                <w:szCs w:val="22"/>
                <w:u w:val="none"/>
                <w:lang w:val="zh-CN" w:eastAsia="zh-CN" w:bidi="ar"/>
              </w:rPr>
              <w:t>分，方案编制内容较具体细致、较全面，可操作性一般得</w:t>
            </w:r>
            <w:r>
              <w:rPr>
                <w:rFonts w:hint="eastAsia" w:ascii="等线" w:hAnsi="等线" w:eastAsia="等线" w:cs="等线"/>
                <w:i w:val="0"/>
                <w:iCs w:val="0"/>
                <w:snapToGrid w:val="0"/>
                <w:color w:val="000000"/>
                <w:kern w:val="0"/>
                <w:sz w:val="22"/>
                <w:szCs w:val="22"/>
                <w:u w:val="none"/>
                <w:lang w:val="en-US" w:eastAsia="zh-CN" w:bidi="ar"/>
              </w:rPr>
              <w:t>2</w:t>
            </w:r>
            <w:r>
              <w:rPr>
                <w:rFonts w:hint="eastAsia" w:ascii="等线" w:hAnsi="等线" w:eastAsia="等线" w:cs="等线"/>
                <w:i w:val="0"/>
                <w:iCs w:val="0"/>
                <w:snapToGrid w:val="0"/>
                <w:color w:val="000000"/>
                <w:kern w:val="0"/>
                <w:sz w:val="22"/>
                <w:szCs w:val="22"/>
                <w:u w:val="none"/>
                <w:lang w:val="zh-CN" w:eastAsia="zh-CN" w:bidi="ar"/>
              </w:rPr>
              <w:t>分，未提供或差不得分。</w:t>
            </w:r>
          </w:p>
        </w:tc>
      </w:tr>
      <w:tr w14:paraId="4E93A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trPr>
        <w:tc>
          <w:tcPr>
            <w:tcW w:w="838" w:type="dxa"/>
            <w:vMerge w:val="continue"/>
            <w:vAlign w:val="top"/>
          </w:tcPr>
          <w:p w14:paraId="61714626">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tc>
        <w:tc>
          <w:tcPr>
            <w:tcW w:w="1135" w:type="dxa"/>
            <w:vMerge w:val="continue"/>
            <w:vAlign w:val="top"/>
          </w:tcPr>
          <w:p w14:paraId="1F18A9CE">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tc>
        <w:tc>
          <w:tcPr>
            <w:tcW w:w="1256" w:type="dxa"/>
            <w:vAlign w:val="center"/>
          </w:tcPr>
          <w:p w14:paraId="6E23D277">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应急措施</w:t>
            </w:r>
          </w:p>
        </w:tc>
        <w:tc>
          <w:tcPr>
            <w:tcW w:w="709" w:type="dxa"/>
            <w:vAlign w:val="top"/>
          </w:tcPr>
          <w:p w14:paraId="4719B836">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00C33C22">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392F4A30">
            <w:pPr>
              <w:pStyle w:val="142"/>
              <w:spacing w:before="28" w:line="229" w:lineRule="auto"/>
              <w:ind w:left="114" w:right="106" w:firstLine="1"/>
              <w:rPr>
                <w:rFonts w:hint="default"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15</w:t>
            </w:r>
          </w:p>
        </w:tc>
        <w:tc>
          <w:tcPr>
            <w:tcW w:w="5530" w:type="dxa"/>
            <w:vAlign w:val="center"/>
          </w:tcPr>
          <w:p w14:paraId="4496C1D7">
            <w:pPr>
              <w:pStyle w:val="142"/>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zh-CN" w:eastAsia="zh-CN" w:bidi="ar"/>
              </w:rPr>
              <w:t xml:space="preserve">投标人充分考虑本项目需求的特点，为本项目提供的提供应急措施包括： </w:t>
            </w:r>
            <w:r>
              <w:rPr>
                <w:rFonts w:hint="eastAsia" w:ascii="等线" w:hAnsi="等线" w:eastAsia="等线" w:cs="等线"/>
                <w:i w:val="0"/>
                <w:iCs w:val="0"/>
                <w:snapToGrid w:val="0"/>
                <w:color w:val="000000"/>
                <w:kern w:val="0"/>
                <w:sz w:val="22"/>
                <w:szCs w:val="22"/>
                <w:u w:val="none"/>
                <w:lang w:val="en-US" w:eastAsia="zh-CN" w:bidi="ar"/>
              </w:rPr>
              <w:t>1</w:t>
            </w:r>
            <w:r>
              <w:rPr>
                <w:rFonts w:hint="eastAsia" w:ascii="等线" w:hAnsi="等线" w:eastAsia="等线" w:cs="等线"/>
                <w:i w:val="0"/>
                <w:iCs w:val="0"/>
                <w:snapToGrid w:val="0"/>
                <w:color w:val="000000"/>
                <w:kern w:val="0"/>
                <w:sz w:val="22"/>
                <w:szCs w:val="22"/>
                <w:u w:val="none"/>
                <w:lang w:val="zh-CN" w:eastAsia="zh-CN" w:bidi="ar"/>
              </w:rPr>
              <w:t>、</w:t>
            </w:r>
            <w:r>
              <w:rPr>
                <w:rFonts w:hint="eastAsia" w:ascii="等线" w:hAnsi="等线" w:eastAsia="等线" w:cs="等线"/>
                <w:i w:val="0"/>
                <w:iCs w:val="0"/>
                <w:snapToGrid w:val="0"/>
                <w:color w:val="000000"/>
                <w:kern w:val="0"/>
                <w:sz w:val="22"/>
                <w:szCs w:val="22"/>
                <w:u w:val="none"/>
                <w:lang w:val="en-US" w:eastAsia="zh-CN" w:bidi="ar"/>
              </w:rPr>
              <w:t>安全</w:t>
            </w:r>
            <w:r>
              <w:rPr>
                <w:rFonts w:hint="eastAsia" w:ascii="等线" w:hAnsi="等线" w:eastAsia="等线" w:cs="等线"/>
                <w:i w:val="0"/>
                <w:iCs w:val="0"/>
                <w:snapToGrid w:val="0"/>
                <w:color w:val="000000"/>
                <w:kern w:val="0"/>
                <w:sz w:val="22"/>
                <w:szCs w:val="22"/>
                <w:u w:val="none"/>
                <w:lang w:val="zh-CN" w:eastAsia="zh-CN" w:bidi="ar"/>
              </w:rPr>
              <w:t>事故预案；</w:t>
            </w:r>
            <w:r>
              <w:rPr>
                <w:rFonts w:hint="eastAsia" w:ascii="等线" w:hAnsi="等线" w:eastAsia="等线" w:cs="等线"/>
                <w:i w:val="0"/>
                <w:iCs w:val="0"/>
                <w:snapToGrid w:val="0"/>
                <w:color w:val="000000"/>
                <w:kern w:val="0"/>
                <w:sz w:val="22"/>
                <w:szCs w:val="22"/>
                <w:u w:val="none"/>
                <w:lang w:val="en-US" w:eastAsia="zh-CN" w:bidi="ar"/>
              </w:rPr>
              <w:t>2</w:t>
            </w:r>
            <w:r>
              <w:rPr>
                <w:rFonts w:hint="eastAsia" w:ascii="等线" w:hAnsi="等线" w:eastAsia="等线" w:cs="等线"/>
                <w:i w:val="0"/>
                <w:iCs w:val="0"/>
                <w:snapToGrid w:val="0"/>
                <w:color w:val="000000"/>
                <w:kern w:val="0"/>
                <w:sz w:val="22"/>
                <w:szCs w:val="22"/>
                <w:u w:val="none"/>
                <w:lang w:val="zh-CN" w:eastAsia="zh-CN" w:bidi="ar"/>
              </w:rPr>
              <w:t>、火灾、</w:t>
            </w:r>
            <w:r>
              <w:rPr>
                <w:rFonts w:hint="eastAsia" w:ascii="等线" w:hAnsi="等线" w:eastAsia="等线" w:cs="等线"/>
                <w:i w:val="0"/>
                <w:iCs w:val="0"/>
                <w:snapToGrid w:val="0"/>
                <w:color w:val="000000"/>
                <w:kern w:val="0"/>
                <w:sz w:val="22"/>
                <w:szCs w:val="22"/>
                <w:u w:val="none"/>
                <w:lang w:val="en-US" w:eastAsia="zh-CN" w:bidi="ar"/>
              </w:rPr>
              <w:t>停电、跑水</w:t>
            </w:r>
            <w:r>
              <w:rPr>
                <w:rFonts w:hint="eastAsia" w:ascii="等线" w:hAnsi="等线" w:eastAsia="等线" w:cs="等线"/>
                <w:i w:val="0"/>
                <w:iCs w:val="0"/>
                <w:snapToGrid w:val="0"/>
                <w:color w:val="000000"/>
                <w:kern w:val="0"/>
                <w:sz w:val="22"/>
                <w:szCs w:val="22"/>
                <w:u w:val="none"/>
                <w:lang w:val="zh-CN" w:eastAsia="zh-CN" w:bidi="ar"/>
              </w:rPr>
              <w:t>预案；</w:t>
            </w:r>
            <w:r>
              <w:rPr>
                <w:rFonts w:hint="eastAsia" w:ascii="等线" w:hAnsi="等线" w:eastAsia="等线" w:cs="等线"/>
                <w:i w:val="0"/>
                <w:iCs w:val="0"/>
                <w:snapToGrid w:val="0"/>
                <w:color w:val="000000"/>
                <w:kern w:val="0"/>
                <w:sz w:val="22"/>
                <w:szCs w:val="22"/>
                <w:u w:val="none"/>
                <w:lang w:val="en-US" w:eastAsia="zh-CN" w:bidi="ar"/>
              </w:rPr>
              <w:t>3</w:t>
            </w:r>
            <w:r>
              <w:rPr>
                <w:rFonts w:hint="eastAsia" w:ascii="等线" w:hAnsi="等线" w:eastAsia="等线" w:cs="等线"/>
                <w:i w:val="0"/>
                <w:iCs w:val="0"/>
                <w:snapToGrid w:val="0"/>
                <w:color w:val="000000"/>
                <w:kern w:val="0"/>
                <w:sz w:val="22"/>
                <w:szCs w:val="22"/>
                <w:u w:val="none"/>
                <w:lang w:val="zh-CN" w:eastAsia="zh-CN" w:bidi="ar"/>
              </w:rPr>
              <w:t>、群体事件预案；</w:t>
            </w:r>
            <w:r>
              <w:rPr>
                <w:rFonts w:hint="eastAsia" w:ascii="等线" w:hAnsi="等线" w:eastAsia="等线" w:cs="等线"/>
                <w:i w:val="0"/>
                <w:iCs w:val="0"/>
                <w:snapToGrid w:val="0"/>
                <w:color w:val="000000"/>
                <w:kern w:val="0"/>
                <w:sz w:val="22"/>
                <w:szCs w:val="22"/>
                <w:u w:val="none"/>
                <w:lang w:val="en-US" w:eastAsia="zh-CN" w:bidi="ar"/>
              </w:rPr>
              <w:t>4</w:t>
            </w:r>
            <w:r>
              <w:rPr>
                <w:rFonts w:hint="eastAsia" w:ascii="等线" w:hAnsi="等线" w:eastAsia="等线" w:cs="等线"/>
                <w:i w:val="0"/>
                <w:iCs w:val="0"/>
                <w:snapToGrid w:val="0"/>
                <w:color w:val="000000"/>
                <w:kern w:val="0"/>
                <w:sz w:val="22"/>
                <w:szCs w:val="22"/>
                <w:u w:val="none"/>
                <w:lang w:val="zh-CN" w:eastAsia="zh-CN" w:bidi="ar"/>
              </w:rPr>
              <w:t xml:space="preserve">、应急疏散预案； </w:t>
            </w:r>
            <w:r>
              <w:rPr>
                <w:rFonts w:hint="eastAsia" w:ascii="等线" w:hAnsi="等线" w:eastAsia="等线" w:cs="等线"/>
                <w:i w:val="0"/>
                <w:iCs w:val="0"/>
                <w:snapToGrid w:val="0"/>
                <w:color w:val="000000"/>
                <w:kern w:val="0"/>
                <w:sz w:val="22"/>
                <w:szCs w:val="22"/>
                <w:u w:val="none"/>
                <w:lang w:val="en-US" w:eastAsia="zh-CN" w:bidi="ar"/>
              </w:rPr>
              <w:t>5</w:t>
            </w:r>
            <w:r>
              <w:rPr>
                <w:rFonts w:hint="eastAsia" w:ascii="等线" w:hAnsi="等线" w:eastAsia="等线" w:cs="等线"/>
                <w:i w:val="0"/>
                <w:iCs w:val="0"/>
                <w:snapToGrid w:val="0"/>
                <w:color w:val="000000"/>
                <w:kern w:val="0"/>
                <w:sz w:val="22"/>
                <w:szCs w:val="22"/>
                <w:u w:val="none"/>
                <w:lang w:val="zh-CN" w:eastAsia="zh-CN" w:bidi="ar"/>
              </w:rPr>
              <w:t>、疫情防控预案等，所有应急预案清晰、完整、合理、 具备可行性，编制内容具体细致、全面，无遗漏，可操作性强得</w:t>
            </w:r>
            <w:r>
              <w:rPr>
                <w:rFonts w:hint="eastAsia" w:ascii="等线" w:hAnsi="等线" w:eastAsia="等线" w:cs="等线"/>
                <w:i w:val="0"/>
                <w:iCs w:val="0"/>
                <w:snapToGrid w:val="0"/>
                <w:color w:val="000000"/>
                <w:kern w:val="0"/>
                <w:sz w:val="22"/>
                <w:szCs w:val="22"/>
                <w:u w:val="none"/>
                <w:lang w:val="en-US" w:eastAsia="zh-CN" w:bidi="ar"/>
              </w:rPr>
              <w:t>15</w:t>
            </w:r>
            <w:r>
              <w:rPr>
                <w:rFonts w:hint="eastAsia" w:ascii="等线" w:hAnsi="等线" w:eastAsia="等线" w:cs="等线"/>
                <w:i w:val="0"/>
                <w:iCs w:val="0"/>
                <w:snapToGrid w:val="0"/>
                <w:color w:val="000000"/>
                <w:kern w:val="0"/>
                <w:sz w:val="22"/>
                <w:szCs w:val="22"/>
                <w:u w:val="none"/>
                <w:lang w:val="zh-CN" w:eastAsia="zh-CN" w:bidi="ar"/>
              </w:rPr>
              <w:t>分，方案编制内容较具体细致、较全面，无遗漏，可操作性较强得</w:t>
            </w:r>
            <w:r>
              <w:rPr>
                <w:rFonts w:hint="eastAsia" w:ascii="等线" w:hAnsi="等线" w:eastAsia="等线" w:cs="等线"/>
                <w:i w:val="0"/>
                <w:iCs w:val="0"/>
                <w:snapToGrid w:val="0"/>
                <w:color w:val="000000"/>
                <w:kern w:val="0"/>
                <w:sz w:val="22"/>
                <w:szCs w:val="22"/>
                <w:u w:val="none"/>
                <w:lang w:val="en-US" w:eastAsia="zh-CN" w:bidi="ar"/>
              </w:rPr>
              <w:t>9</w:t>
            </w:r>
            <w:r>
              <w:rPr>
                <w:rFonts w:hint="eastAsia" w:ascii="等线" w:hAnsi="等线" w:eastAsia="等线" w:cs="等线"/>
                <w:i w:val="0"/>
                <w:iCs w:val="0"/>
                <w:snapToGrid w:val="0"/>
                <w:color w:val="000000"/>
                <w:kern w:val="0"/>
                <w:sz w:val="22"/>
                <w:szCs w:val="22"/>
                <w:u w:val="none"/>
                <w:lang w:val="zh-CN" w:eastAsia="zh-CN" w:bidi="ar"/>
              </w:rPr>
              <w:t>分，方案编制内容较具体细致、较全面，可操作性一般得</w:t>
            </w:r>
            <w:r>
              <w:rPr>
                <w:rFonts w:hint="eastAsia" w:ascii="等线" w:hAnsi="等线" w:eastAsia="等线" w:cs="等线"/>
                <w:i w:val="0"/>
                <w:iCs w:val="0"/>
                <w:snapToGrid w:val="0"/>
                <w:color w:val="000000"/>
                <w:kern w:val="0"/>
                <w:sz w:val="22"/>
                <w:szCs w:val="22"/>
                <w:u w:val="none"/>
                <w:lang w:val="en-US" w:eastAsia="zh-CN" w:bidi="ar"/>
              </w:rPr>
              <w:t>5</w:t>
            </w:r>
            <w:r>
              <w:rPr>
                <w:rFonts w:hint="eastAsia" w:ascii="等线" w:hAnsi="等线" w:eastAsia="等线" w:cs="等线"/>
                <w:i w:val="0"/>
                <w:iCs w:val="0"/>
                <w:snapToGrid w:val="0"/>
                <w:color w:val="000000"/>
                <w:kern w:val="0"/>
                <w:sz w:val="22"/>
                <w:szCs w:val="22"/>
                <w:u w:val="none"/>
                <w:lang w:val="zh-CN" w:eastAsia="zh-CN" w:bidi="ar"/>
              </w:rPr>
              <w:t>分，未提供或差不得分。</w:t>
            </w:r>
          </w:p>
        </w:tc>
      </w:tr>
    </w:tbl>
    <w:p w14:paraId="5CA590B5">
      <w:pPr>
        <w:sectPr>
          <w:footerReference r:id="rId9" w:type="default"/>
          <w:pgSz w:w="11906" w:h="16839"/>
          <w:pgMar w:top="400" w:right="1134" w:bottom="916" w:left="1021" w:header="0" w:footer="754" w:gutter="0"/>
          <w:cols w:space="720" w:num="1"/>
        </w:sectPr>
      </w:pPr>
    </w:p>
    <w:p w14:paraId="64711CDB">
      <w:pPr>
        <w:spacing w:before="3"/>
      </w:pPr>
      <w:r>
        <mc:AlternateContent>
          <mc:Choice Requires="wps">
            <w:drawing>
              <wp:anchor distT="0" distB="0" distL="114300" distR="114300" simplePos="0" relativeHeight="251667456" behindDoc="0" locked="0" layoutInCell="0" allowOverlap="1">
                <wp:simplePos x="0" y="0"/>
                <wp:positionH relativeFrom="page">
                  <wp:posOffset>720090</wp:posOffset>
                </wp:positionH>
                <wp:positionV relativeFrom="page">
                  <wp:posOffset>600710</wp:posOffset>
                </wp:positionV>
                <wp:extent cx="6120130"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6120130" cy="9525"/>
                        </a:xfrm>
                        <a:custGeom>
                          <a:avLst/>
                          <a:gdLst/>
                          <a:ahLst/>
                          <a:cxnLst/>
                          <a:pathLst>
                            <a:path w="9637" h="15">
                              <a:moveTo>
                                <a:pt x="0" y="0"/>
                              </a:moveTo>
                              <a:lnTo>
                                <a:pt x="9637" y="0"/>
                              </a:lnTo>
                              <a:lnTo>
                                <a:pt x="9637"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47.3pt;height:0.75pt;width:481.9pt;mso-position-horizontal-relative:page;mso-position-vertical-relative:page;z-index:251667456;mso-width-relative:page;mso-height-relative:page;" fillcolor="#000000" filled="t" stroked="f" coordsize="9637,15" o:allowincell="f" o:gfxdata="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UlJW9gAAAAKAQAADwAAAAAAAAAB&#10;ACAAAAAiAAAAZHJzL2Rvd25yZXYueG1sUEsBAhQAFAAAAAgAh07iQHZ6FEkQAgAAewQAAA4AAAAA&#10;AAAAAQAgAAAAJwEAAGRycy9lMm9Eb2MueG1sUEsFBgAAAAAGAAYAWQEAAKkFAAAAAA==&#10;" path="m0,0l9637,0,9637,14,0,14,0,0xe">
                <v:fill on="t" focussize="0,0"/>
                <v:stroke on="f"/>
                <v:imagedata o:title=""/>
                <o:lock v:ext="edit" aspectratio="f"/>
              </v:shape>
            </w:pict>
          </mc:Fallback>
        </mc:AlternateContent>
      </w:r>
    </w:p>
    <w:p w14:paraId="3996EEF1">
      <w:pPr>
        <w:spacing w:before="3"/>
      </w:pPr>
    </w:p>
    <w:p w14:paraId="6EE3EA86">
      <w:pPr>
        <w:spacing w:before="3"/>
      </w:pPr>
    </w:p>
    <w:p w14:paraId="362CB633">
      <w:pPr>
        <w:spacing w:before="36" w:line="219" w:lineRule="auto"/>
        <w:ind w:left="120"/>
        <w:rPr>
          <w:rFonts w:ascii="宋体" w:hAnsi="宋体" w:eastAsia="宋体" w:cs="宋体"/>
          <w:sz w:val="24"/>
          <w:szCs w:val="24"/>
        </w:rPr>
      </w:pPr>
      <w:r>
        <w:rPr>
          <w:rFonts w:ascii="宋体" w:hAnsi="宋体" w:eastAsia="宋体" w:cs="宋体"/>
          <w:spacing w:val="2"/>
          <w:sz w:val="24"/>
          <w:szCs w:val="24"/>
        </w:rPr>
        <w:t>注</w:t>
      </w:r>
      <w:r>
        <w:rPr>
          <w:rFonts w:ascii="宋体" w:hAnsi="宋体" w:eastAsia="宋体" w:cs="宋体"/>
          <w:spacing w:val="-33"/>
          <w:sz w:val="24"/>
          <w:szCs w:val="24"/>
        </w:rPr>
        <w:t>：（</w:t>
      </w:r>
      <w:r>
        <w:rPr>
          <w:rFonts w:ascii="宋体" w:hAnsi="宋体" w:eastAsia="宋体" w:cs="宋体"/>
          <w:spacing w:val="2"/>
          <w:sz w:val="24"/>
          <w:szCs w:val="24"/>
        </w:rPr>
        <w:t>1）所有评委对某个合格投标人评分的算术</w:t>
      </w:r>
      <w:r>
        <w:rPr>
          <w:rFonts w:ascii="宋体" w:hAnsi="宋体" w:eastAsia="宋体" w:cs="宋体"/>
          <w:spacing w:val="1"/>
          <w:sz w:val="24"/>
          <w:szCs w:val="24"/>
        </w:rPr>
        <w:t>平均值为该投标人的最终得分；</w:t>
      </w:r>
    </w:p>
    <w:p w14:paraId="3A0AC142">
      <w:pPr>
        <w:spacing w:before="24" w:line="219" w:lineRule="auto"/>
        <w:ind w:left="132"/>
        <w:rPr>
          <w:rFonts w:ascii="宋体" w:hAnsi="宋体" w:eastAsia="宋体" w:cs="宋体"/>
          <w:sz w:val="24"/>
          <w:szCs w:val="24"/>
        </w:rPr>
      </w:pPr>
      <w:r>
        <w:rPr>
          <w:rFonts w:ascii="宋体" w:hAnsi="宋体" w:eastAsia="宋体" w:cs="宋体"/>
          <w:spacing w:val="-1"/>
          <w:sz w:val="24"/>
          <w:szCs w:val="24"/>
        </w:rPr>
        <w:t>（2）对所有合格投标人的最终得分进行排序，得分高者为预中标人。</w:t>
      </w:r>
    </w:p>
    <w:p w14:paraId="35BC91D5">
      <w:pPr>
        <w:spacing w:before="26" w:line="219" w:lineRule="auto"/>
        <w:ind w:left="132"/>
        <w:rPr>
          <w:rFonts w:ascii="宋体" w:hAnsi="宋体" w:eastAsia="宋体" w:cs="宋体"/>
          <w:sz w:val="24"/>
          <w:szCs w:val="24"/>
        </w:rPr>
      </w:pPr>
      <w:r>
        <w:rPr>
          <w:rFonts w:ascii="宋体" w:hAnsi="宋体" w:eastAsia="宋体" w:cs="宋体"/>
          <w:spacing w:val="-2"/>
          <w:sz w:val="24"/>
          <w:szCs w:val="24"/>
        </w:rPr>
        <w:t>（3）计算结果精确到小数点后两位。</w:t>
      </w:r>
    </w:p>
    <w:p w14:paraId="24ED616D">
      <w:pPr>
        <w:spacing w:line="219" w:lineRule="auto"/>
        <w:rPr>
          <w:rFonts w:ascii="宋体" w:hAnsi="宋体" w:eastAsia="宋体" w:cs="宋体"/>
          <w:sz w:val="24"/>
          <w:szCs w:val="24"/>
        </w:rPr>
        <w:sectPr>
          <w:footerReference r:id="rId10" w:type="default"/>
          <w:pgSz w:w="11906" w:h="16839"/>
          <w:pgMar w:top="400" w:right="1134" w:bottom="916" w:left="1021" w:header="0" w:footer="754" w:gutter="0"/>
          <w:cols w:space="720" w:num="1"/>
        </w:sectPr>
      </w:pPr>
    </w:p>
    <w:p w14:paraId="1818AEA9">
      <w:pPr>
        <w:wordWrap w:val="0"/>
        <w:spacing w:after="120" w:afterLines="50"/>
        <w:ind w:firstLine="2209" w:firstLineChars="500"/>
        <w:jc w:val="both"/>
        <w:outlineLvl w:val="0"/>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bookmarkStart w:id="39" w:name="_Toc24378"/>
      <w:bookmarkStart w:id="40" w:name="_Toc19957"/>
      <w:bookmarkStart w:id="41" w:name="_Toc3004"/>
      <w:bookmarkStart w:id="42" w:name="_Toc493"/>
      <w:bookmarkStart w:id="43" w:name="_Toc16029"/>
      <w:bookmarkStart w:id="44" w:name="_Toc19682"/>
      <w:r>
        <w:rPr>
          <w:rStyle w:val="65"/>
          <w:rFonts w:hint="eastAsia" w:ascii="宋体" w:hAnsi="宋体" w:cs="宋体"/>
          <w:color w:val="000000" w:themeColor="text1"/>
          <w:highlight w:val="none"/>
          <w14:textFill>
            <w14:solidFill>
              <w14:schemeClr w14:val="tx1"/>
            </w14:solidFill>
          </w14:textFill>
        </w:rPr>
        <w:t>第四章</w:t>
      </w:r>
      <w:bookmarkEnd w:id="39"/>
      <w:bookmarkEnd w:id="40"/>
      <w:bookmarkEnd w:id="41"/>
      <w:bookmarkEnd w:id="42"/>
      <w:bookmarkEnd w:id="43"/>
      <w:r>
        <w:rPr>
          <w:rStyle w:val="65"/>
          <w:rFonts w:hint="eastAsia" w:ascii="宋体" w:hAnsi="宋体" w:cs="宋体"/>
          <w:color w:val="000000" w:themeColor="text1"/>
          <w:highlight w:val="none"/>
          <w14:textFill>
            <w14:solidFill>
              <w14:schemeClr w14:val="tx1"/>
            </w14:solidFill>
          </w14:textFill>
        </w:rPr>
        <w:t xml:space="preserve">  </w:t>
      </w:r>
      <w:bookmarkEnd w:id="44"/>
      <w:r>
        <w:rPr>
          <w:rStyle w:val="65"/>
          <w:rFonts w:hint="eastAsia" w:ascii="宋体" w:hAnsi="宋体" w:cs="宋体"/>
          <w:color w:val="000000" w:themeColor="text1"/>
          <w:highlight w:val="none"/>
          <w:lang w:val="en-US" w:eastAsia="zh-CN"/>
          <w14:textFill>
            <w14:solidFill>
              <w14:schemeClr w14:val="tx1"/>
            </w14:solidFill>
          </w14:textFill>
        </w:rPr>
        <w:t>服务</w:t>
      </w:r>
      <w:r>
        <w:rPr>
          <w:rStyle w:val="65"/>
          <w:rFonts w:hint="eastAsia" w:ascii="宋体" w:hAnsi="宋体" w:cs="宋体"/>
          <w:color w:val="000000" w:themeColor="text1"/>
          <w:highlight w:val="none"/>
          <w14:textFill>
            <w14:solidFill>
              <w14:schemeClr w14:val="tx1"/>
            </w14:solidFill>
          </w14:textFill>
        </w:rPr>
        <w:t>技术标准和要求</w:t>
      </w:r>
    </w:p>
    <w:p w14:paraId="5FF027F5">
      <w:pPr>
        <w:keepNext w:val="0"/>
        <w:keepLines w:val="0"/>
        <w:pageBreakBefore w:val="0"/>
        <w:widowControl w:val="0"/>
        <w:kinsoku/>
        <w:wordWrap/>
        <w:overflowPunct/>
        <w:topLinePunct w:val="0"/>
        <w:autoSpaceDE/>
        <w:autoSpaceDN/>
        <w:bidi w:val="0"/>
        <w:adjustRightInd/>
        <w:snapToGrid/>
        <w:ind w:left="640" w:hanging="640" w:hangingChars="200"/>
        <w:textAlignment w:val="auto"/>
        <w:rPr>
          <w:rFonts w:hint="eastAsia" w:ascii="仿宋_GB2312" w:hAnsi="仿宋_GB2312" w:eastAsia="仿宋_GB2312" w:cs="仿宋_GB2312"/>
          <w:sz w:val="32"/>
          <w:szCs w:val="32"/>
          <w:lang w:val="en-US" w:eastAsia="zh-CN"/>
        </w:rPr>
      </w:pPr>
      <w:bookmarkStart w:id="45" w:name="_Toc20093"/>
      <w:bookmarkStart w:id="46" w:name="_Toc1190"/>
      <w:bookmarkStart w:id="47" w:name="_Toc22105"/>
      <w:bookmarkStart w:id="48" w:name="_Toc5708"/>
      <w:bookmarkStart w:id="49" w:name="_Toc29793"/>
      <w:bookmarkStart w:id="50" w:name="_Toc29635"/>
      <w:r>
        <w:rPr>
          <w:rFonts w:hint="eastAsia" w:ascii="仿宋_GB2312" w:hAnsi="仿宋_GB2312" w:eastAsia="仿宋_GB2312" w:cs="仿宋_GB2312"/>
          <w:sz w:val="32"/>
          <w:szCs w:val="32"/>
          <w:lang w:val="en-US" w:eastAsia="zh-CN"/>
        </w:rPr>
        <w:t xml:space="preserve"> </w:t>
      </w:r>
    </w:p>
    <w:p w14:paraId="65C724C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60" w:lineRule="exact"/>
        <w:ind w:firstLine="640" w:firstLineChars="200"/>
        <w:jc w:val="both"/>
        <w:textAlignment w:val="baseline"/>
        <w:outlineLvl w:val="0"/>
        <w:rPr>
          <w:rFonts w:hint="eastAsia" w:ascii="仿宋_GB2312" w:hAnsi="仿宋_GB2312" w:eastAsia="仿宋_GB2312" w:cstheme="minorBidi"/>
          <w:color w:val="000000" w:themeColor="text1"/>
          <w:kern w:val="2"/>
          <w:sz w:val="32"/>
          <w:szCs w:val="22"/>
          <w:lang w:val="en-US" w:eastAsia="zh-CN" w:bidi="ar-SA"/>
          <w14:textFill>
            <w14:solidFill>
              <w14:schemeClr w14:val="tx1"/>
            </w14:solidFill>
          </w14:textFill>
        </w:rPr>
      </w:pPr>
      <w:r>
        <w:rPr>
          <w:rFonts w:hint="eastAsia" w:ascii="仿宋_GB2312" w:hAnsi="仿宋_GB2312" w:eastAsia="仿宋_GB2312" w:cstheme="minorBidi"/>
          <w:color w:val="000000" w:themeColor="text1"/>
          <w:kern w:val="2"/>
          <w:sz w:val="32"/>
          <w:szCs w:val="22"/>
          <w:lang w:val="en-US" w:eastAsia="zh-CN" w:bidi="ar-SA"/>
          <w14:textFill>
            <w14:solidFill>
              <w14:schemeClr w14:val="tx1"/>
            </w14:solidFill>
          </w14:textFill>
        </w:rPr>
        <w:t>桦甸市人民法院办案安全保障管理范围的服务包括安检中心服务、民事审判执庭服务、值守服务等，具体要求如下：</w:t>
      </w:r>
    </w:p>
    <w:p w14:paraId="5311966F">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安检中心服务要求</w:t>
      </w:r>
    </w:p>
    <w:p w14:paraId="2DE5A4DD">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（1）对进入法院人员100%安检；</w:t>
      </w:r>
    </w:p>
    <w:p w14:paraId="0FE4B87A">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（2）负责引导、值机、男安检以及女安检；</w:t>
      </w:r>
    </w:p>
    <w:p w14:paraId="47307B51">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（3）对所有来院当事人进行酒精检测；</w:t>
      </w:r>
    </w:p>
    <w:p w14:paraId="1278652B">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（4）值机员负责对来院当事人所携带的包裹进行安检，发现管制物品及时扣押并上缴当地公安机关。</w:t>
      </w:r>
    </w:p>
    <w:p w14:paraId="0B532F2A">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（5）男安检及女安检主要负责对男当事人及女当事人进行人身安检，防止其夹带危险物品入院。</w:t>
      </w:r>
    </w:p>
    <w:p w14:paraId="3A181765">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（6）安检员负责维护法院入口处的秩序。确保人员有序进出，避免出现拥挤或混乱的情况，从而保障法院内部的安全与稳定。</w:t>
      </w:r>
    </w:p>
    <w:p w14:paraId="4C703E89">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（7）在安检过程中，如果发现有异常情况或突发事件，如有人试图携带违禁品进入法院，安检员需要迅速作出反应，采取必要的措施进行处理，并及时向司法警察大队报告。</w:t>
      </w:r>
    </w:p>
    <w:p w14:paraId="2CA265C4">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val="en-US" w:eastAsia="zh-CN"/>
        </w:rPr>
        <w:t>2.</w:t>
      </w:r>
      <w:r>
        <w:rPr>
          <w:rFonts w:hint="eastAsia" w:ascii="黑体" w:hAnsi="黑体" w:eastAsia="黑体" w:cs="黑体"/>
          <w:sz w:val="32"/>
          <w:szCs w:val="32"/>
          <w:highlight w:val="none"/>
          <w:lang w:eastAsia="zh-CN"/>
        </w:rPr>
        <w:t>民事审判执庭服务</w:t>
      </w:r>
      <w:r>
        <w:rPr>
          <w:rFonts w:hint="eastAsia" w:ascii="仿宋_GB2312" w:hAnsi="仿宋_GB2312" w:eastAsia="仿宋_GB2312" w:cs="仿宋_GB2312"/>
          <w:b/>
          <w:bCs/>
          <w:sz w:val="32"/>
          <w:szCs w:val="32"/>
          <w:lang w:eastAsia="zh-CN"/>
        </w:rPr>
        <w:t>要求</w:t>
      </w:r>
    </w:p>
    <w:p w14:paraId="7832FE1E">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）确保法庭的肃静和秩序，防止任何可能干扰审判正常进行的行为发生。监督法庭内人员的行为，以确保审判的顺利进行。</w:t>
      </w:r>
    </w:p>
    <w:p w14:paraId="3F6A42F7">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）保护法官、陪审员、证人以及诉讼参与人的人身安全，防止任何可能对他们构成威胁的行为发生。在必要时，采取适当的措施来制止暴力或威胁行为，以确保审判过程的安全性。</w:t>
      </w:r>
    </w:p>
    <w:p w14:paraId="395D2EB2">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）协助法官控制和管理法庭内的各项活动，以确保审判的高效和公正。</w:t>
      </w:r>
    </w:p>
    <w:p w14:paraId="6DE97433">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）发生突发事件，如当事人情绪激动、旁听人员扰乱法庭秩序等。在这些情况下，需要迅速作出反应，采取适当的措施来平息事态，恢复法庭的正常秩序。</w:t>
      </w:r>
    </w:p>
    <w:p w14:paraId="67AADBEF">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lang w:eastAsia="zh-CN"/>
        </w:rPr>
        <w:t>值守服务</w:t>
      </w:r>
      <w:r>
        <w:rPr>
          <w:rFonts w:hint="eastAsia" w:ascii="仿宋_GB2312" w:hAnsi="仿宋_GB2312" w:eastAsia="仿宋_GB2312" w:cs="仿宋_GB2312"/>
          <w:b/>
          <w:bCs/>
          <w:sz w:val="32"/>
          <w:szCs w:val="32"/>
          <w:lang w:eastAsia="zh-CN"/>
        </w:rPr>
        <w:t>要求</w:t>
      </w:r>
    </w:p>
    <w:p w14:paraId="5801EE3E">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(1)门卫室实行24小时值班制度，建立24小时巡查制度。</w:t>
      </w:r>
    </w:p>
    <w:p w14:paraId="15F21556">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(2)制定巡查路线，按照指定时间和路线执行，加强重点区域、重点部位的巡查。</w:t>
      </w:r>
    </w:p>
    <w:p w14:paraId="53B9C9ED">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(3)值班期间遵守监控设备的操作规程和保密制度，禁止无关人员查</w:t>
      </w:r>
      <w:r>
        <w:rPr>
          <w:rFonts w:hint="eastAsia" w:ascii="仿宋_GB2312" w:hAnsi="仿宋_GB2312" w:eastAsia="仿宋_GB2312" w:cs="仿宋_GB2312"/>
          <w:sz w:val="32"/>
          <w:szCs w:val="32"/>
          <w:lang w:eastAsia="zh-CN"/>
        </w:rPr>
        <w:t>看</w:t>
      </w:r>
      <w:r>
        <w:rPr>
          <w:rFonts w:hint="eastAsia" w:ascii="仿宋_GB2312" w:hAnsi="仿宋_GB2312" w:eastAsia="仿宋_GB2312" w:cs="仿宋_GB2312"/>
          <w:sz w:val="32"/>
          <w:szCs w:val="32"/>
        </w:rPr>
        <w:t>监控记录。</w:t>
      </w:r>
    </w:p>
    <w:p w14:paraId="71D14B20">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(4)在出入口对外来人员及其携带大件物品、外来车辆进行询问和记录，并与相关部门取得联系，同意后方可进入。</w:t>
      </w:r>
    </w:p>
    <w:p w14:paraId="7CF59FA9">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(5)院内大件物品搬出、扣押车辆驶出须有相关部门开具的证明和清单，经核实后方可放行。</w:t>
      </w:r>
    </w:p>
    <w:p w14:paraId="2C7D2CB3">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(6)排查可疑人员，对于不出示证件、不按规定登记、不听劝阻而强行闯入者，及时劝离，上报司法警察大队。</w:t>
      </w:r>
    </w:p>
    <w:p w14:paraId="177FE392">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(7)配合相关部门积极疏导上访人员，有效疏导如出入口人群集聚、车辆拥堵、货物堵塞道路等情况</w:t>
      </w:r>
    </w:p>
    <w:p w14:paraId="334C6A9F">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(8)发现火情、警情、灾情等突发事件，须第一时间上报相关部门，并协助处置。</w:t>
      </w:r>
    </w:p>
    <w:p w14:paraId="4B60C762">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(9)严格按照《人民法院司法警察安全检查规则》执行安检制度，防止危险品、管制类物品、限制类物品进入院内。</w:t>
      </w:r>
    </w:p>
    <w:p w14:paraId="1B7D2D93">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(10)协助维护院内秩序</w:t>
      </w:r>
    </w:p>
    <w:p w14:paraId="771E122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60" w:lineRule="exact"/>
        <w:ind w:firstLine="640" w:firstLineChars="200"/>
        <w:jc w:val="both"/>
        <w:textAlignment w:val="baseline"/>
        <w:outlineLvl w:val="0"/>
        <w:rPr>
          <w:rFonts w:hint="eastAsia" w:ascii="仿宋_GB2312" w:hAnsi="仿宋_GB2312" w:eastAsia="仿宋_GB2312" w:cstheme="minorBidi"/>
          <w:color w:val="000000" w:themeColor="text1"/>
          <w:kern w:val="2"/>
          <w:sz w:val="32"/>
          <w:szCs w:val="22"/>
          <w:lang w:val="en-US" w:eastAsia="zh-CN" w:bidi="ar-SA"/>
          <w14:textFill>
            <w14:solidFill>
              <w14:schemeClr w14:val="tx1"/>
            </w14:solidFill>
          </w14:textFill>
        </w:rPr>
      </w:pPr>
      <w:r>
        <w:rPr>
          <w:rFonts w:hint="eastAsia" w:ascii="仿宋_GB2312" w:hAnsi="仿宋_GB2312" w:eastAsia="仿宋_GB2312" w:cs="仿宋_GB2312"/>
          <w:sz w:val="32"/>
          <w:szCs w:val="32"/>
        </w:rPr>
        <w:t>(11)法院安排的其他工作任务。</w:t>
      </w:r>
    </w:p>
    <w:p w14:paraId="25675E1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60" w:lineRule="exact"/>
        <w:ind w:firstLine="640" w:firstLineChars="200"/>
        <w:jc w:val="both"/>
        <w:textAlignment w:val="baseline"/>
        <w:outlineLvl w:val="0"/>
        <w:rPr>
          <w:rFonts w:hint="eastAsia" w:ascii="仿宋_GB2312" w:hAnsi="仿宋_GB2312" w:eastAsia="仿宋_GB2312" w:cstheme="minorBidi"/>
          <w:color w:val="000000" w:themeColor="text1"/>
          <w:kern w:val="2"/>
          <w:sz w:val="32"/>
          <w:szCs w:val="22"/>
          <w:lang w:val="en-US" w:eastAsia="zh-CN" w:bidi="ar-SA"/>
          <w14:textFill>
            <w14:solidFill>
              <w14:schemeClr w14:val="tx1"/>
            </w14:solidFill>
          </w14:textFill>
        </w:rPr>
      </w:pPr>
    </w:p>
    <w:p w14:paraId="64E1597F">
      <w:pPr>
        <w:pStyle w:val="21"/>
        <w:rPr>
          <w:rStyle w:val="65"/>
          <w:rFonts w:hint="eastAsia" w:ascii="宋体" w:hAnsi="宋体" w:cs="宋体"/>
          <w:color w:val="auto"/>
          <w:highlight w:val="none"/>
        </w:rPr>
      </w:pPr>
    </w:p>
    <w:p w14:paraId="3241FC60">
      <w:pPr>
        <w:pStyle w:val="21"/>
        <w:rPr>
          <w:rStyle w:val="65"/>
          <w:rFonts w:hint="eastAsia" w:ascii="宋体" w:hAnsi="宋体" w:cs="宋体"/>
          <w:color w:val="auto"/>
          <w:highlight w:val="none"/>
        </w:rPr>
      </w:pPr>
    </w:p>
    <w:p w14:paraId="463A8177">
      <w:pPr>
        <w:pStyle w:val="21"/>
        <w:rPr>
          <w:rStyle w:val="65"/>
          <w:rFonts w:hint="eastAsia" w:ascii="宋体" w:hAnsi="宋体" w:cs="宋体"/>
          <w:color w:val="auto"/>
          <w:highlight w:val="none"/>
        </w:rPr>
      </w:pPr>
    </w:p>
    <w:p w14:paraId="7FF58C00">
      <w:pPr>
        <w:pStyle w:val="21"/>
        <w:rPr>
          <w:rStyle w:val="65"/>
          <w:rFonts w:hint="eastAsia" w:ascii="宋体" w:hAnsi="宋体" w:cs="宋体"/>
          <w:color w:val="auto"/>
          <w:highlight w:val="none"/>
        </w:rPr>
      </w:pPr>
    </w:p>
    <w:p w14:paraId="46C9E066">
      <w:pPr>
        <w:pStyle w:val="21"/>
        <w:rPr>
          <w:rStyle w:val="65"/>
          <w:rFonts w:hint="eastAsia" w:ascii="宋体" w:hAnsi="宋体" w:cs="宋体"/>
          <w:color w:val="auto"/>
          <w:highlight w:val="none"/>
        </w:rPr>
      </w:pPr>
    </w:p>
    <w:p w14:paraId="253832CC">
      <w:pPr>
        <w:pStyle w:val="21"/>
        <w:rPr>
          <w:rStyle w:val="65"/>
          <w:rFonts w:hint="eastAsia" w:ascii="宋体" w:hAnsi="宋体" w:cs="宋体"/>
          <w:color w:val="auto"/>
          <w:highlight w:val="none"/>
        </w:rPr>
      </w:pPr>
    </w:p>
    <w:p w14:paraId="3D4008F5">
      <w:pPr>
        <w:pStyle w:val="21"/>
        <w:rPr>
          <w:rStyle w:val="65"/>
          <w:rFonts w:hint="eastAsia" w:ascii="宋体" w:hAnsi="宋体" w:cs="宋体"/>
          <w:color w:val="auto"/>
          <w:highlight w:val="none"/>
        </w:rPr>
      </w:pPr>
    </w:p>
    <w:p w14:paraId="69BFD0AF">
      <w:pPr>
        <w:wordWrap w:val="0"/>
        <w:spacing w:after="120" w:afterLines="50" w:line="360" w:lineRule="auto"/>
        <w:jc w:val="center"/>
        <w:outlineLvl w:val="0"/>
        <w:rPr>
          <w:rFonts w:hint="eastAsia" w:ascii="宋体" w:hAnsi="宋体" w:cs="宋体"/>
          <w:color w:val="auto"/>
          <w:highlight w:val="none"/>
        </w:rPr>
      </w:pPr>
      <w:r>
        <w:rPr>
          <w:rStyle w:val="65"/>
          <w:rFonts w:hint="eastAsia" w:ascii="宋体" w:hAnsi="宋体" w:cs="宋体"/>
          <w:color w:val="auto"/>
          <w:highlight w:val="none"/>
        </w:rPr>
        <w:t>第五章  合同格式</w:t>
      </w:r>
      <w:bookmarkEnd w:id="45"/>
      <w:bookmarkEnd w:id="46"/>
      <w:bookmarkEnd w:id="47"/>
      <w:bookmarkEnd w:id="48"/>
      <w:bookmarkEnd w:id="49"/>
      <w:bookmarkEnd w:id="50"/>
    </w:p>
    <w:p w14:paraId="3CC9A4D7">
      <w:pPr>
        <w:wordWrap w:val="0"/>
        <w:spacing w:line="440" w:lineRule="exact"/>
        <w:ind w:firstLine="562" w:firstLineChars="200"/>
        <w:jc w:val="left"/>
        <w:rPr>
          <w:rFonts w:hint="eastAsia" w:ascii="宋体" w:hAnsi="宋体" w:cs="宋体"/>
          <w:b/>
          <w:color w:val="auto"/>
          <w:kern w:val="0"/>
          <w:sz w:val="28"/>
          <w:szCs w:val="28"/>
          <w:highlight w:val="none"/>
        </w:rPr>
      </w:pPr>
      <w:r>
        <w:rPr>
          <w:rFonts w:hint="eastAsia" w:ascii="宋体" w:hAnsi="宋体" w:cs="宋体"/>
          <w:b/>
          <w:bCs/>
          <w:color w:val="auto"/>
          <w:kern w:val="0"/>
          <w:sz w:val="28"/>
          <w:szCs w:val="28"/>
          <w:highlight w:val="none"/>
        </w:rPr>
        <w:t>注：政府采购合同的履行、违约责任和解决争议的方法等适用《中华人民共和国民法典》（此合同文本仅为通用参考合同文本，在确定成交供应商后，双方将对商务、技术、承诺等内容签订更加详细的内容，采购人保留对合同条款修改的权利。）</w:t>
      </w:r>
    </w:p>
    <w:p w14:paraId="0DAE71C9">
      <w:pPr>
        <w:wordWrap w:val="0"/>
        <w:rPr>
          <w:rFonts w:hint="eastAsia" w:ascii="宋体" w:hAnsi="宋体" w:cs="宋体"/>
          <w:b/>
          <w:color w:val="auto"/>
          <w:kern w:val="0"/>
          <w:sz w:val="24"/>
          <w:szCs w:val="24"/>
          <w:highlight w:val="none"/>
        </w:rPr>
      </w:pPr>
      <w:r>
        <w:rPr>
          <w:rFonts w:hint="eastAsia" w:ascii="宋体" w:hAnsi="宋体" w:cs="宋体"/>
          <w:b/>
          <w:color w:val="auto"/>
          <w:kern w:val="0"/>
          <w:sz w:val="28"/>
          <w:szCs w:val="28"/>
          <w:highlight w:val="none"/>
        </w:rPr>
        <w:br w:type="page"/>
      </w:r>
      <w:r>
        <w:rPr>
          <w:rFonts w:hint="eastAsia" w:ascii="宋体" w:hAnsi="宋体" w:cs="宋体"/>
          <w:b/>
          <w:color w:val="auto"/>
          <w:kern w:val="0"/>
          <w:sz w:val="28"/>
          <w:szCs w:val="28"/>
          <w:highlight w:val="none"/>
        </w:rPr>
        <w:t>合同编号：</w:t>
      </w:r>
    </w:p>
    <w:p w14:paraId="1646BBCA">
      <w:pPr>
        <w:wordWrap w:val="0"/>
        <w:jc w:val="center"/>
        <w:rPr>
          <w:rFonts w:hint="eastAsia" w:ascii="宋体" w:hAnsi="宋体" w:cs="宋体"/>
          <w:b/>
          <w:bCs/>
          <w:color w:val="auto"/>
          <w:kern w:val="0"/>
          <w:sz w:val="44"/>
          <w:szCs w:val="44"/>
          <w:highlight w:val="none"/>
        </w:rPr>
      </w:pPr>
    </w:p>
    <w:p w14:paraId="2911F276">
      <w:pPr>
        <w:pStyle w:val="18"/>
        <w:wordWrap w:val="0"/>
        <w:rPr>
          <w:rFonts w:hint="eastAsia" w:ascii="宋体" w:hAnsi="宋体" w:cs="宋体"/>
          <w:b/>
          <w:bCs/>
          <w:color w:val="auto"/>
          <w:sz w:val="44"/>
          <w:szCs w:val="44"/>
          <w:highlight w:val="none"/>
        </w:rPr>
      </w:pPr>
    </w:p>
    <w:p w14:paraId="33D9E10D">
      <w:pPr>
        <w:pStyle w:val="18"/>
        <w:wordWrap w:val="0"/>
        <w:rPr>
          <w:rFonts w:hint="eastAsia" w:ascii="宋体" w:hAnsi="宋体" w:cs="宋体"/>
          <w:b/>
          <w:bCs/>
          <w:color w:val="auto"/>
          <w:sz w:val="44"/>
          <w:szCs w:val="44"/>
          <w:highlight w:val="none"/>
        </w:rPr>
      </w:pPr>
    </w:p>
    <w:p w14:paraId="1BF9FDC6">
      <w:pPr>
        <w:pStyle w:val="18"/>
        <w:wordWrap w:val="0"/>
        <w:rPr>
          <w:rFonts w:hint="eastAsia" w:ascii="宋体" w:hAnsi="宋体" w:cs="宋体"/>
          <w:color w:val="auto"/>
          <w:highlight w:val="none"/>
        </w:rPr>
      </w:pPr>
    </w:p>
    <w:p w14:paraId="1327E8D6">
      <w:pPr>
        <w:wordWrap w:val="0"/>
        <w:jc w:val="center"/>
        <w:rPr>
          <w:rFonts w:hint="eastAsia" w:ascii="宋体" w:hAnsi="宋体" w:cs="宋体"/>
          <w:color w:val="auto"/>
          <w:kern w:val="0"/>
          <w:sz w:val="24"/>
          <w:szCs w:val="24"/>
          <w:highlight w:val="none"/>
        </w:rPr>
      </w:pPr>
      <w:r>
        <w:rPr>
          <w:rFonts w:hint="eastAsia" w:ascii="宋体" w:hAnsi="宋体" w:cs="宋体"/>
          <w:color w:val="auto"/>
          <w:sz w:val="24"/>
          <w:szCs w:val="21"/>
          <w:highlight w:val="none"/>
          <w:u w:val="single"/>
        </w:rPr>
        <w:t xml:space="preserve">                                  </w:t>
      </w:r>
      <w:r>
        <w:rPr>
          <w:rFonts w:hint="eastAsia" w:ascii="宋体" w:hAnsi="宋体" w:cs="宋体"/>
          <w:b/>
          <w:bCs/>
          <w:color w:val="auto"/>
          <w:kern w:val="0"/>
          <w:sz w:val="44"/>
          <w:szCs w:val="44"/>
          <w:highlight w:val="none"/>
        </w:rPr>
        <w:t>（项目名称）</w:t>
      </w:r>
    </w:p>
    <w:p w14:paraId="368EA6DD">
      <w:pPr>
        <w:wordWrap w:val="0"/>
        <w:jc w:val="left"/>
        <w:rPr>
          <w:rFonts w:hint="eastAsia" w:ascii="宋体" w:hAnsi="宋体" w:cs="宋体"/>
          <w:b/>
          <w:bCs/>
          <w:color w:val="auto"/>
          <w:kern w:val="0"/>
          <w:sz w:val="52"/>
          <w:szCs w:val="52"/>
          <w:highlight w:val="none"/>
        </w:rPr>
      </w:pPr>
    </w:p>
    <w:p w14:paraId="7CB839EB">
      <w:pPr>
        <w:wordWrap w:val="0"/>
        <w:jc w:val="left"/>
        <w:rPr>
          <w:rFonts w:hint="eastAsia" w:ascii="宋体" w:hAnsi="宋体" w:cs="宋体"/>
          <w:b/>
          <w:bCs/>
          <w:color w:val="auto"/>
          <w:kern w:val="0"/>
          <w:sz w:val="52"/>
          <w:szCs w:val="52"/>
          <w:highlight w:val="none"/>
        </w:rPr>
      </w:pPr>
    </w:p>
    <w:p w14:paraId="49CB0B0C">
      <w:pPr>
        <w:pStyle w:val="18"/>
        <w:wordWrap w:val="0"/>
        <w:rPr>
          <w:rFonts w:hint="eastAsia" w:ascii="宋体" w:hAnsi="宋体" w:cs="宋体"/>
          <w:color w:val="auto"/>
          <w:highlight w:val="none"/>
        </w:rPr>
      </w:pPr>
    </w:p>
    <w:p w14:paraId="475D8D88">
      <w:pPr>
        <w:pStyle w:val="18"/>
        <w:wordWrap w:val="0"/>
        <w:rPr>
          <w:rFonts w:hint="eastAsia" w:ascii="宋体" w:hAnsi="宋体" w:cs="宋体"/>
          <w:color w:val="auto"/>
          <w:highlight w:val="none"/>
        </w:rPr>
      </w:pPr>
    </w:p>
    <w:p w14:paraId="37899BA7">
      <w:pPr>
        <w:wordWrap w:val="0"/>
        <w:jc w:val="center"/>
        <w:rPr>
          <w:rFonts w:hint="eastAsia" w:ascii="宋体" w:hAnsi="宋体" w:cs="宋体"/>
          <w:color w:val="auto"/>
          <w:kern w:val="0"/>
          <w:sz w:val="24"/>
          <w:szCs w:val="24"/>
          <w:highlight w:val="none"/>
        </w:rPr>
      </w:pPr>
      <w:r>
        <w:rPr>
          <w:rFonts w:hint="eastAsia" w:ascii="宋体" w:hAnsi="宋体" w:cs="宋体"/>
          <w:b/>
          <w:bCs/>
          <w:color w:val="auto"/>
          <w:kern w:val="0"/>
          <w:sz w:val="52"/>
          <w:szCs w:val="52"/>
          <w:highlight w:val="none"/>
        </w:rPr>
        <w:t>政府采购合同书</w:t>
      </w:r>
    </w:p>
    <w:p w14:paraId="3AB51A70">
      <w:pPr>
        <w:wordWrap w:val="0"/>
        <w:jc w:val="left"/>
        <w:rPr>
          <w:rFonts w:hint="eastAsia" w:ascii="宋体" w:hAnsi="宋体" w:cs="宋体"/>
          <w:b/>
          <w:bCs/>
          <w:color w:val="auto"/>
          <w:kern w:val="0"/>
          <w:sz w:val="28"/>
          <w:szCs w:val="28"/>
          <w:highlight w:val="none"/>
        </w:rPr>
      </w:pPr>
    </w:p>
    <w:p w14:paraId="44981FEC">
      <w:pPr>
        <w:wordWrap w:val="0"/>
        <w:jc w:val="left"/>
        <w:rPr>
          <w:rFonts w:hint="eastAsia" w:ascii="宋体" w:hAnsi="宋体" w:cs="宋体"/>
          <w:b/>
          <w:bCs/>
          <w:color w:val="auto"/>
          <w:kern w:val="0"/>
          <w:sz w:val="28"/>
          <w:szCs w:val="28"/>
          <w:highlight w:val="none"/>
        </w:rPr>
      </w:pPr>
    </w:p>
    <w:p w14:paraId="33E8A16E">
      <w:pPr>
        <w:wordWrap w:val="0"/>
        <w:jc w:val="left"/>
        <w:rPr>
          <w:rFonts w:hint="eastAsia" w:ascii="宋体" w:hAnsi="宋体" w:cs="宋体"/>
          <w:b/>
          <w:bCs/>
          <w:color w:val="auto"/>
          <w:kern w:val="0"/>
          <w:sz w:val="28"/>
          <w:szCs w:val="28"/>
          <w:highlight w:val="none"/>
        </w:rPr>
      </w:pPr>
    </w:p>
    <w:p w14:paraId="63D167BC">
      <w:pPr>
        <w:wordWrap w:val="0"/>
        <w:jc w:val="left"/>
        <w:rPr>
          <w:rFonts w:hint="eastAsia" w:ascii="宋体" w:hAnsi="宋体" w:cs="宋体"/>
          <w:b/>
          <w:bCs/>
          <w:color w:val="auto"/>
          <w:kern w:val="0"/>
          <w:sz w:val="28"/>
          <w:szCs w:val="28"/>
          <w:highlight w:val="none"/>
        </w:rPr>
      </w:pPr>
    </w:p>
    <w:p w14:paraId="187D8137">
      <w:pPr>
        <w:wordWrap w:val="0"/>
        <w:jc w:val="left"/>
        <w:rPr>
          <w:rFonts w:hint="eastAsia" w:ascii="宋体" w:hAnsi="宋体" w:cs="宋体"/>
          <w:b/>
          <w:bCs/>
          <w:color w:val="auto"/>
          <w:kern w:val="0"/>
          <w:sz w:val="28"/>
          <w:szCs w:val="28"/>
          <w:highlight w:val="none"/>
        </w:rPr>
      </w:pPr>
    </w:p>
    <w:p w14:paraId="194BCCE3">
      <w:pPr>
        <w:wordWrap w:val="0"/>
        <w:jc w:val="left"/>
        <w:rPr>
          <w:rFonts w:hint="eastAsia" w:ascii="宋体" w:hAnsi="宋体" w:cs="宋体"/>
          <w:b/>
          <w:bCs/>
          <w:color w:val="auto"/>
          <w:kern w:val="0"/>
          <w:sz w:val="28"/>
          <w:szCs w:val="28"/>
          <w:highlight w:val="none"/>
        </w:rPr>
      </w:pPr>
    </w:p>
    <w:p w14:paraId="624DC987">
      <w:pPr>
        <w:pStyle w:val="18"/>
        <w:wordWrap w:val="0"/>
        <w:rPr>
          <w:rFonts w:hint="eastAsia" w:ascii="宋体" w:hAnsi="宋体" w:cs="宋体"/>
          <w:b/>
          <w:bCs/>
          <w:color w:val="auto"/>
          <w:sz w:val="28"/>
          <w:szCs w:val="28"/>
          <w:highlight w:val="none"/>
        </w:rPr>
      </w:pPr>
    </w:p>
    <w:p w14:paraId="4D960944">
      <w:pPr>
        <w:pStyle w:val="18"/>
        <w:wordWrap w:val="0"/>
        <w:rPr>
          <w:rFonts w:hint="eastAsia" w:ascii="宋体" w:hAnsi="宋体" w:cs="宋体"/>
          <w:b/>
          <w:bCs/>
          <w:color w:val="auto"/>
          <w:sz w:val="28"/>
          <w:szCs w:val="28"/>
          <w:highlight w:val="none"/>
        </w:rPr>
      </w:pPr>
    </w:p>
    <w:p w14:paraId="2365DE75">
      <w:pPr>
        <w:pStyle w:val="18"/>
        <w:wordWrap w:val="0"/>
        <w:rPr>
          <w:rFonts w:hint="eastAsia" w:ascii="宋体" w:hAnsi="宋体" w:cs="宋体"/>
          <w:b/>
          <w:bCs/>
          <w:color w:val="auto"/>
          <w:sz w:val="28"/>
          <w:szCs w:val="28"/>
          <w:highlight w:val="none"/>
        </w:rPr>
      </w:pPr>
    </w:p>
    <w:p w14:paraId="6333B9D7">
      <w:pPr>
        <w:pStyle w:val="18"/>
        <w:wordWrap w:val="0"/>
        <w:rPr>
          <w:rFonts w:hint="eastAsia" w:ascii="宋体" w:hAnsi="宋体" w:cs="宋体"/>
          <w:b/>
          <w:bCs/>
          <w:color w:val="auto"/>
          <w:sz w:val="28"/>
          <w:szCs w:val="28"/>
          <w:highlight w:val="none"/>
        </w:rPr>
      </w:pPr>
    </w:p>
    <w:p w14:paraId="2651B9D7">
      <w:pPr>
        <w:pStyle w:val="18"/>
        <w:wordWrap w:val="0"/>
        <w:rPr>
          <w:rFonts w:hint="eastAsia" w:ascii="宋体" w:hAnsi="宋体" w:cs="宋体"/>
          <w:b/>
          <w:bCs/>
          <w:color w:val="auto"/>
          <w:sz w:val="28"/>
          <w:szCs w:val="28"/>
          <w:highlight w:val="none"/>
        </w:rPr>
      </w:pPr>
    </w:p>
    <w:p w14:paraId="16ED746D">
      <w:pPr>
        <w:pStyle w:val="18"/>
        <w:wordWrap w:val="0"/>
        <w:rPr>
          <w:rFonts w:hint="eastAsia" w:ascii="宋体" w:hAnsi="宋体" w:cs="宋体"/>
          <w:b/>
          <w:bCs/>
          <w:color w:val="auto"/>
          <w:sz w:val="28"/>
          <w:szCs w:val="28"/>
          <w:highlight w:val="none"/>
        </w:rPr>
      </w:pPr>
    </w:p>
    <w:p w14:paraId="2DD1780B">
      <w:pPr>
        <w:wordWrap w:val="0"/>
        <w:jc w:val="left"/>
        <w:rPr>
          <w:rFonts w:hint="eastAsia" w:ascii="宋体" w:hAnsi="宋体" w:cs="宋体"/>
          <w:b/>
          <w:bCs/>
          <w:color w:val="auto"/>
          <w:kern w:val="0"/>
          <w:sz w:val="28"/>
          <w:szCs w:val="28"/>
          <w:highlight w:val="none"/>
        </w:rPr>
      </w:pPr>
    </w:p>
    <w:p w14:paraId="4B74C467">
      <w:pPr>
        <w:pStyle w:val="18"/>
        <w:wordWrap w:val="0"/>
        <w:rPr>
          <w:rFonts w:hint="eastAsia" w:ascii="宋体" w:hAnsi="宋体" w:cs="宋体"/>
          <w:b/>
          <w:bCs/>
          <w:color w:val="auto"/>
          <w:sz w:val="28"/>
          <w:szCs w:val="28"/>
          <w:highlight w:val="none"/>
        </w:rPr>
      </w:pPr>
    </w:p>
    <w:p w14:paraId="0D1F0F36">
      <w:pPr>
        <w:wordWrap w:val="0"/>
        <w:jc w:val="left"/>
        <w:rPr>
          <w:rFonts w:hint="eastAsia" w:ascii="宋体" w:hAnsi="宋体" w:cs="宋体"/>
          <w:color w:val="auto"/>
          <w:kern w:val="0"/>
          <w:sz w:val="24"/>
          <w:szCs w:val="24"/>
          <w:highlight w:val="none"/>
        </w:rPr>
      </w:pPr>
      <w:r>
        <w:rPr>
          <w:rFonts w:hint="eastAsia" w:ascii="宋体" w:hAnsi="宋体" w:cs="宋体"/>
          <w:b/>
          <w:bCs/>
          <w:color w:val="auto"/>
          <w:kern w:val="0"/>
          <w:sz w:val="28"/>
          <w:szCs w:val="28"/>
          <w:highlight w:val="none"/>
        </w:rPr>
        <w:t>需方：</w:t>
      </w:r>
      <w:r>
        <w:rPr>
          <w:rFonts w:hint="eastAsia" w:ascii="宋体" w:hAnsi="宋体" w:cs="宋体"/>
          <w:color w:val="auto"/>
          <w:sz w:val="24"/>
          <w:szCs w:val="24"/>
          <w:highlight w:val="none"/>
          <w:u w:val="single"/>
          <w:lang w:val="zh-CN"/>
        </w:rPr>
        <w:t xml:space="preserve">                 </w:t>
      </w:r>
      <w:r>
        <w:rPr>
          <w:rFonts w:hint="eastAsia" w:ascii="宋体" w:hAnsi="宋体" w:cs="宋体"/>
          <w:b/>
          <w:bCs/>
          <w:color w:val="auto"/>
          <w:kern w:val="0"/>
          <w:sz w:val="28"/>
          <w:szCs w:val="28"/>
          <w:highlight w:val="none"/>
          <w:u w:val="single"/>
        </w:rPr>
        <w:t xml:space="preserve"> </w:t>
      </w:r>
      <w:r>
        <w:rPr>
          <w:rFonts w:hint="eastAsia" w:ascii="宋体" w:hAnsi="宋体" w:cs="宋体"/>
          <w:color w:val="auto"/>
          <w:sz w:val="24"/>
          <w:szCs w:val="21"/>
          <w:highlight w:val="none"/>
          <w:u w:val="single"/>
        </w:rPr>
        <w:t xml:space="preserve">                 </w:t>
      </w:r>
    </w:p>
    <w:p w14:paraId="5A142760">
      <w:pPr>
        <w:wordWrap w:val="0"/>
        <w:jc w:val="left"/>
        <w:rPr>
          <w:rFonts w:hint="eastAsia" w:ascii="宋体" w:hAnsi="宋体" w:cs="宋体"/>
          <w:color w:val="auto"/>
          <w:kern w:val="0"/>
          <w:sz w:val="24"/>
          <w:szCs w:val="24"/>
          <w:highlight w:val="none"/>
        </w:rPr>
      </w:pPr>
      <w:r>
        <w:rPr>
          <w:rFonts w:hint="eastAsia" w:ascii="宋体" w:hAnsi="宋体" w:cs="宋体"/>
          <w:b/>
          <w:bCs/>
          <w:color w:val="auto"/>
          <w:kern w:val="0"/>
          <w:sz w:val="28"/>
          <w:szCs w:val="28"/>
          <w:highlight w:val="none"/>
        </w:rPr>
        <w:t xml:space="preserve">供方： </w:t>
      </w:r>
      <w:r>
        <w:rPr>
          <w:rFonts w:hint="eastAsia" w:ascii="宋体" w:hAnsi="宋体" w:cs="宋体"/>
          <w:color w:val="auto"/>
          <w:sz w:val="24"/>
          <w:szCs w:val="21"/>
          <w:highlight w:val="none"/>
          <w:u w:val="single"/>
        </w:rPr>
        <w:t xml:space="preserve">                                  </w:t>
      </w:r>
    </w:p>
    <w:p w14:paraId="4E3F89DB">
      <w:pPr>
        <w:wordWrap w:val="0"/>
        <w:rPr>
          <w:rFonts w:hint="eastAsia" w:ascii="宋体" w:hAnsi="宋体" w:cs="宋体"/>
          <w:color w:val="auto"/>
          <w:highlight w:val="none"/>
        </w:rPr>
      </w:pPr>
      <w:r>
        <w:rPr>
          <w:rFonts w:hint="eastAsia" w:ascii="宋体" w:hAnsi="宋体" w:cs="宋体"/>
          <w:b/>
          <w:bCs/>
          <w:color w:val="auto"/>
          <w:kern w:val="0"/>
          <w:sz w:val="28"/>
          <w:szCs w:val="28"/>
          <w:highlight w:val="none"/>
        </w:rPr>
        <w:t>签订日期：</w:t>
      </w:r>
      <w:r>
        <w:rPr>
          <w:rFonts w:hint="eastAsia" w:ascii="宋体" w:hAnsi="宋体" w:cs="宋体"/>
          <w:color w:val="auto"/>
          <w:sz w:val="24"/>
          <w:szCs w:val="21"/>
          <w:highlight w:val="none"/>
          <w:u w:val="single"/>
        </w:rPr>
        <w:t xml:space="preserve">         </w:t>
      </w:r>
      <w:r>
        <w:rPr>
          <w:rFonts w:hint="eastAsia" w:ascii="宋体" w:hAnsi="宋体" w:cs="宋体"/>
          <w:b/>
          <w:bCs/>
          <w:color w:val="auto"/>
          <w:kern w:val="0"/>
          <w:sz w:val="28"/>
          <w:szCs w:val="28"/>
          <w:highlight w:val="none"/>
        </w:rPr>
        <w:t>年</w:t>
      </w:r>
      <w:r>
        <w:rPr>
          <w:rFonts w:hint="eastAsia" w:ascii="宋体" w:hAnsi="宋体" w:cs="宋体"/>
          <w:color w:val="auto"/>
          <w:sz w:val="24"/>
          <w:szCs w:val="21"/>
          <w:highlight w:val="none"/>
          <w:u w:val="single"/>
        </w:rPr>
        <w:t xml:space="preserve">       </w:t>
      </w:r>
      <w:r>
        <w:rPr>
          <w:rFonts w:hint="eastAsia" w:ascii="宋体" w:hAnsi="宋体" w:cs="宋体"/>
          <w:b/>
          <w:bCs/>
          <w:color w:val="auto"/>
          <w:kern w:val="0"/>
          <w:sz w:val="28"/>
          <w:szCs w:val="28"/>
          <w:highlight w:val="none"/>
        </w:rPr>
        <w:t>月</w:t>
      </w:r>
      <w:r>
        <w:rPr>
          <w:rFonts w:hint="eastAsia" w:ascii="宋体" w:hAnsi="宋体" w:cs="宋体"/>
          <w:color w:val="auto"/>
          <w:sz w:val="24"/>
          <w:szCs w:val="21"/>
          <w:highlight w:val="none"/>
          <w:u w:val="single"/>
        </w:rPr>
        <w:t xml:space="preserve">       </w:t>
      </w:r>
      <w:r>
        <w:rPr>
          <w:rFonts w:hint="eastAsia" w:ascii="宋体" w:hAnsi="宋体" w:cs="宋体"/>
          <w:b/>
          <w:bCs/>
          <w:color w:val="auto"/>
          <w:kern w:val="0"/>
          <w:sz w:val="28"/>
          <w:szCs w:val="28"/>
          <w:highlight w:val="none"/>
        </w:rPr>
        <w:t>日</w:t>
      </w:r>
    </w:p>
    <w:p w14:paraId="600EDA88">
      <w:pPr>
        <w:wordWrap w:val="0"/>
        <w:jc w:val="center"/>
        <w:rPr>
          <w:rFonts w:hint="eastAsia" w:ascii="宋体" w:hAnsi="宋体" w:cs="宋体"/>
          <w:b/>
          <w:bCs/>
          <w:color w:val="auto"/>
          <w:sz w:val="44"/>
          <w:szCs w:val="44"/>
          <w:highlight w:val="none"/>
          <w:lang w:val="zh-CN"/>
        </w:rPr>
      </w:pPr>
      <w:bookmarkStart w:id="51" w:name="_Toc16666379"/>
      <w:bookmarkStart w:id="52" w:name="_Toc2862"/>
      <w:bookmarkStart w:id="53" w:name="_Toc21587"/>
      <w:bookmarkStart w:id="54" w:name="_Toc8918"/>
      <w:bookmarkStart w:id="55" w:name="_Toc16858212"/>
      <w:bookmarkStart w:id="56" w:name="_Toc492451831"/>
      <w:bookmarkStart w:id="57" w:name="_Toc14304"/>
      <w:bookmarkStart w:id="58" w:name="_Toc19882"/>
      <w:r>
        <w:rPr>
          <w:rFonts w:hint="eastAsia" w:ascii="宋体" w:hAnsi="宋体" w:cs="宋体"/>
          <w:color w:val="auto"/>
          <w:highlight w:val="none"/>
          <w:lang w:val="zh-CN"/>
        </w:rPr>
        <w:br w:type="page"/>
      </w:r>
      <w:r>
        <w:rPr>
          <w:rFonts w:hint="eastAsia" w:ascii="宋体" w:hAnsi="宋体" w:cs="宋体"/>
          <w:b/>
          <w:bCs/>
          <w:color w:val="auto"/>
          <w:sz w:val="44"/>
          <w:szCs w:val="44"/>
          <w:highlight w:val="none"/>
          <w:lang w:val="zh-CN"/>
        </w:rPr>
        <w:t>政府采购合同通用条款</w:t>
      </w:r>
      <w:bookmarkEnd w:id="51"/>
      <w:bookmarkEnd w:id="52"/>
      <w:bookmarkEnd w:id="53"/>
      <w:bookmarkEnd w:id="54"/>
      <w:bookmarkEnd w:id="55"/>
      <w:bookmarkEnd w:id="56"/>
      <w:bookmarkEnd w:id="57"/>
    </w:p>
    <w:p w14:paraId="25F9577F">
      <w:pPr>
        <w:wordWrap w:val="0"/>
        <w:adjustRightInd w:val="0"/>
        <w:spacing w:line="500" w:lineRule="exact"/>
        <w:ind w:firstLine="482"/>
        <w:rPr>
          <w:rFonts w:hint="eastAsia" w:ascii="宋体" w:hAnsi="宋体" w:cs="宋体"/>
          <w:b/>
          <w:color w:val="auto"/>
          <w:sz w:val="24"/>
          <w:szCs w:val="24"/>
          <w:highlight w:val="none"/>
          <w:lang w:val="zh-CN"/>
        </w:rPr>
      </w:pPr>
      <w:bookmarkStart w:id="59" w:name="_Toc19213"/>
      <w:bookmarkStart w:id="60" w:name="_Toc7308"/>
      <w:bookmarkStart w:id="61" w:name="_Toc492451832"/>
      <w:bookmarkStart w:id="62" w:name="_Toc29176"/>
      <w:bookmarkStart w:id="63" w:name="_Toc16858213"/>
      <w:bookmarkStart w:id="64" w:name="_Toc16666380"/>
      <w:bookmarkStart w:id="65" w:name="_Toc16652"/>
      <w:r>
        <w:rPr>
          <w:rFonts w:hint="eastAsia" w:ascii="宋体" w:hAnsi="宋体" w:cs="宋体"/>
          <w:b/>
          <w:color w:val="auto"/>
          <w:sz w:val="24"/>
          <w:szCs w:val="24"/>
          <w:highlight w:val="none"/>
          <w:lang w:val="zh-CN"/>
        </w:rPr>
        <w:t>1．定义：除非另有约定，在本合同下列术语按如下定义进行解释：</w:t>
      </w:r>
      <w:bookmarkEnd w:id="58"/>
      <w:bookmarkEnd w:id="59"/>
      <w:bookmarkEnd w:id="60"/>
      <w:bookmarkEnd w:id="61"/>
      <w:bookmarkEnd w:id="62"/>
      <w:bookmarkEnd w:id="63"/>
      <w:bookmarkEnd w:id="64"/>
      <w:bookmarkEnd w:id="65"/>
    </w:p>
    <w:p w14:paraId="78307C66">
      <w:pPr>
        <w:wordWrap w:val="0"/>
        <w:adjustRightInd w:val="0"/>
        <w:spacing w:line="500" w:lineRule="exact"/>
        <w:ind w:firstLine="480"/>
        <w:rPr>
          <w:rFonts w:hint="eastAsia" w:ascii="宋体" w:hAnsi="宋体" w:cs="宋体"/>
          <w:color w:val="auto"/>
          <w:sz w:val="24"/>
          <w:szCs w:val="24"/>
          <w:highlight w:val="none"/>
          <w:lang w:val="zh-CN"/>
        </w:rPr>
      </w:pPr>
      <w:bookmarkStart w:id="66" w:name="_Toc3207"/>
      <w:bookmarkStart w:id="67" w:name="_Toc16858214"/>
      <w:bookmarkStart w:id="68" w:name="_Toc31103"/>
      <w:bookmarkStart w:id="69" w:name="_Toc3861"/>
      <w:bookmarkStart w:id="70" w:name="_Toc3481"/>
      <w:bookmarkStart w:id="71" w:name="_Toc492451833"/>
      <w:bookmarkStart w:id="72" w:name="_Toc16666381"/>
      <w:bookmarkStart w:id="73" w:name="_Toc9892"/>
      <w:r>
        <w:rPr>
          <w:rFonts w:hint="eastAsia" w:ascii="宋体" w:hAnsi="宋体" w:cs="宋体"/>
          <w:color w:val="auto"/>
          <w:sz w:val="24"/>
          <w:szCs w:val="24"/>
          <w:highlight w:val="none"/>
          <w:lang w:val="zh-CN"/>
        </w:rPr>
        <w:t>（1）“合同”指供需双方签署的、在合同中载明的合同各方所达成的协议，包括构成合同的所有附件、附录和其他文件。</w:t>
      </w:r>
      <w:bookmarkEnd w:id="66"/>
      <w:bookmarkEnd w:id="67"/>
      <w:bookmarkEnd w:id="68"/>
      <w:bookmarkEnd w:id="69"/>
      <w:bookmarkEnd w:id="70"/>
      <w:bookmarkEnd w:id="71"/>
      <w:bookmarkEnd w:id="72"/>
      <w:bookmarkEnd w:id="73"/>
    </w:p>
    <w:p w14:paraId="5C94F6D3">
      <w:pPr>
        <w:wordWrap w:val="0"/>
        <w:adjustRightInd w:val="0"/>
        <w:spacing w:line="50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附件、附录</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指与本合同的订立、履行有关的，经供需双方认可的，对本合同约定内容进行细化、补充、修改、变更等的文件资料。</w:t>
      </w:r>
    </w:p>
    <w:p w14:paraId="050D7609">
      <w:pPr>
        <w:wordWrap w:val="0"/>
        <w:adjustRightInd w:val="0"/>
        <w:spacing w:line="50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合同价格</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指根据合同规定供方正确地完全履行合同义务后需方应支付给供方的价格。</w:t>
      </w:r>
    </w:p>
    <w:p w14:paraId="4F6C6D9D">
      <w:pPr>
        <w:wordWrap w:val="0"/>
        <w:adjustRightInd w:val="0"/>
        <w:spacing w:line="50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服务</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指根据合同规定供方承担的与供货和履行合同有关的辅助服务。</w:t>
      </w:r>
    </w:p>
    <w:p w14:paraId="3173DD2A">
      <w:pPr>
        <w:wordWrap w:val="0"/>
        <w:adjustRightInd w:val="0"/>
        <w:spacing w:line="50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需方</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指政府采购服务的使用单位。</w:t>
      </w:r>
    </w:p>
    <w:p w14:paraId="03B5758E">
      <w:pPr>
        <w:wordWrap w:val="0"/>
        <w:adjustRightInd w:val="0"/>
        <w:spacing w:line="50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供方</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指按照合同规定向需方提供服务的公司或实体。</w:t>
      </w:r>
    </w:p>
    <w:p w14:paraId="716C4A8E">
      <w:pPr>
        <w:wordWrap w:val="0"/>
        <w:adjustRightInd w:val="0"/>
        <w:spacing w:line="50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第三方</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指本合同以外的任何中国境内、境外的法人、自然人或其他组织。</w:t>
      </w:r>
    </w:p>
    <w:p w14:paraId="4E22A23E">
      <w:pPr>
        <w:wordWrap w:val="0"/>
        <w:adjustRightInd w:val="0"/>
        <w:spacing w:line="50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8</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日、天</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均指日历天数。</w:t>
      </w:r>
    </w:p>
    <w:p w14:paraId="150C6000">
      <w:pPr>
        <w:wordWrap w:val="0"/>
        <w:adjustRightInd w:val="0"/>
        <w:spacing w:line="50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工作日</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指扣除公休日和国家法定节假日以外的日历日。</w:t>
      </w:r>
    </w:p>
    <w:p w14:paraId="02493752">
      <w:pPr>
        <w:wordWrap w:val="0"/>
        <w:adjustRightInd w:val="0"/>
        <w:spacing w:line="500" w:lineRule="exact"/>
        <w:ind w:firstLine="482"/>
        <w:rPr>
          <w:rFonts w:hint="eastAsia" w:ascii="宋体" w:hAnsi="宋体" w:cs="宋体"/>
          <w:color w:val="auto"/>
          <w:sz w:val="24"/>
          <w:szCs w:val="24"/>
          <w:highlight w:val="none"/>
          <w:u w:val="single"/>
        </w:rPr>
      </w:pPr>
      <w:r>
        <w:rPr>
          <w:rFonts w:hint="eastAsia" w:ascii="宋体" w:hAnsi="宋体" w:cs="宋体"/>
          <w:b/>
          <w:color w:val="auto"/>
          <w:sz w:val="24"/>
          <w:szCs w:val="24"/>
          <w:highlight w:val="none"/>
          <w:lang w:val="zh-CN"/>
        </w:rPr>
        <w:t>2．适用范围：</w:t>
      </w:r>
      <w:r>
        <w:rPr>
          <w:rFonts w:hint="eastAsia" w:ascii="宋体" w:hAnsi="宋体" w:cs="宋体"/>
          <w:color w:val="auto"/>
          <w:sz w:val="24"/>
          <w:szCs w:val="24"/>
          <w:highlight w:val="none"/>
          <w:lang w:val="zh-CN"/>
        </w:rPr>
        <w:t>本合同条款仅适用</w:t>
      </w:r>
      <w:r>
        <w:rPr>
          <w:rFonts w:hint="eastAsia" w:ascii="宋体" w:hAnsi="宋体" w:cs="宋体"/>
          <w:color w:val="auto"/>
          <w:sz w:val="24"/>
          <w:szCs w:val="24"/>
          <w:highlight w:val="none"/>
          <w:u w:val="single"/>
        </w:rPr>
        <w:t xml:space="preserve">                （项目名称）。</w:t>
      </w:r>
    </w:p>
    <w:p w14:paraId="464548FA">
      <w:pPr>
        <w:wordWrap w:val="0"/>
        <w:adjustRightInd w:val="0"/>
        <w:spacing w:line="500" w:lineRule="exact"/>
        <w:ind w:firstLine="482"/>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3．合同内容：</w:t>
      </w:r>
      <w:r>
        <w:rPr>
          <w:rFonts w:hint="eastAsia" w:ascii="宋体" w:hAnsi="宋体" w:cs="宋体"/>
          <w:color w:val="auto"/>
          <w:sz w:val="24"/>
          <w:szCs w:val="24"/>
          <w:highlight w:val="none"/>
          <w:lang w:val="zh-CN"/>
        </w:rPr>
        <w:t>详见磋商文件</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服务需求</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及供方的响应文件。未尽事宜在</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政府采购合同书中</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约定。</w:t>
      </w:r>
    </w:p>
    <w:p w14:paraId="2DBC349F">
      <w:pPr>
        <w:wordWrap w:val="0"/>
        <w:adjustRightInd w:val="0"/>
        <w:spacing w:line="500" w:lineRule="exact"/>
        <w:ind w:firstLine="482"/>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4．合同价格、服务时间及服务地点、付款方式及条件：</w:t>
      </w:r>
      <w:r>
        <w:rPr>
          <w:rFonts w:hint="eastAsia" w:ascii="宋体" w:hAnsi="宋体" w:cs="宋体"/>
          <w:color w:val="auto"/>
          <w:sz w:val="24"/>
          <w:szCs w:val="24"/>
          <w:highlight w:val="none"/>
          <w:lang w:val="zh-CN"/>
        </w:rPr>
        <w:t>在</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政府采购合同书</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中约定。</w:t>
      </w:r>
    </w:p>
    <w:p w14:paraId="38B2B8B6">
      <w:pPr>
        <w:wordWrap w:val="0"/>
        <w:adjustRightInd w:val="0"/>
        <w:spacing w:line="500" w:lineRule="exact"/>
        <w:ind w:firstLine="482"/>
        <w:rPr>
          <w:rFonts w:hint="eastAsia" w:ascii="宋体" w:hAnsi="宋体" w:cs="宋体"/>
          <w:color w:val="auto"/>
          <w:sz w:val="24"/>
          <w:szCs w:val="24"/>
          <w:highlight w:val="none"/>
          <w:lang w:val="zh-CN"/>
        </w:rPr>
      </w:pPr>
      <w:r>
        <w:rPr>
          <w:rFonts w:hint="eastAsia" w:ascii="宋体" w:hAnsi="宋体" w:cs="宋体"/>
          <w:b/>
          <w:color w:val="auto"/>
          <w:sz w:val="24"/>
          <w:szCs w:val="24"/>
          <w:highlight w:val="none"/>
          <w:lang w:val="zh-CN"/>
        </w:rPr>
        <w:t>5．知识产权及有关规定：</w:t>
      </w:r>
      <w:r>
        <w:rPr>
          <w:rFonts w:hint="eastAsia" w:ascii="宋体" w:hAnsi="宋体" w:cs="宋体"/>
          <w:color w:val="auto"/>
          <w:sz w:val="24"/>
          <w:szCs w:val="24"/>
          <w:highlight w:val="none"/>
          <w:lang w:val="zh-CN"/>
        </w:rPr>
        <w:t>供方应保证需方在使用本合同项下的服务或其任何一部分时免受第三方提出侵犯其知识产权、商标权或工业设计权的起诉。如果发生此类问题，供方应负责交涉并承担一切费用和责任。</w:t>
      </w:r>
    </w:p>
    <w:p w14:paraId="4FE0A794">
      <w:pPr>
        <w:wordWrap w:val="0"/>
        <w:adjustRightInd w:val="0"/>
        <w:spacing w:line="500" w:lineRule="exact"/>
        <w:ind w:firstLine="482"/>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6．保密条款</w:t>
      </w:r>
    </w:p>
    <w:p w14:paraId="1FE8D65D">
      <w:pPr>
        <w:wordWrap w:val="0"/>
        <w:adjustRightInd w:val="0"/>
        <w:spacing w:line="50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6.1</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任何一方对其获知的本合同涉及的所有有形、无形的信息及资料（包括但不限于供需双方的往来书面文字文件、电子邮件等）中另一方的商业秘密或国家秘密负有保密义务。</w:t>
      </w:r>
    </w:p>
    <w:p w14:paraId="00023613">
      <w:pPr>
        <w:wordWrap w:val="0"/>
        <w:adjustRightInd w:val="0"/>
        <w:spacing w:line="50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6.2</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6A927AE1">
      <w:pPr>
        <w:wordWrap w:val="0"/>
        <w:adjustRightInd w:val="0"/>
        <w:spacing w:line="500" w:lineRule="exact"/>
        <w:ind w:firstLine="482"/>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7.合同的解释</w:t>
      </w:r>
    </w:p>
    <w:p w14:paraId="5DF0679B">
      <w:pPr>
        <w:wordWrap w:val="0"/>
        <w:adjustRightInd w:val="0"/>
        <w:spacing w:line="50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7.1</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任何一方对本合同及其附件的解释均应遵循诚实信用原则，依照本合同签订时有效的中华人民共和国的法律、法规以及人们通常的理解进行。</w:t>
      </w:r>
    </w:p>
    <w:p w14:paraId="648AD437">
      <w:pPr>
        <w:wordWrap w:val="0"/>
        <w:adjustRightInd w:val="0"/>
        <w:spacing w:line="50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7.2</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本合同中以日（天）表述的时间期限均指公历日。</w:t>
      </w:r>
    </w:p>
    <w:p w14:paraId="586168D4">
      <w:pPr>
        <w:wordWrap w:val="0"/>
        <w:adjustRightInd w:val="0"/>
        <w:spacing w:line="50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7.3</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对本合同的任何解释均应以书面做出。</w:t>
      </w:r>
    </w:p>
    <w:p w14:paraId="647D5652">
      <w:pPr>
        <w:wordWrap w:val="0"/>
        <w:adjustRightInd w:val="0"/>
        <w:spacing w:line="500" w:lineRule="exact"/>
        <w:ind w:firstLine="482"/>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8．伴随服务</w:t>
      </w:r>
    </w:p>
    <w:p w14:paraId="22E093FA">
      <w:pPr>
        <w:wordWrap w:val="0"/>
        <w:adjustRightInd w:val="0"/>
        <w:spacing w:line="50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供方应提供所服务项目服务手册、服务指南以及相关技术参考信息等。</w:t>
      </w:r>
    </w:p>
    <w:p w14:paraId="55375E1F">
      <w:pPr>
        <w:wordWrap w:val="0"/>
        <w:adjustRightInd w:val="0"/>
        <w:spacing w:line="50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伴随服务的费用应包含在合同总价中，需方不单独进行支付。</w:t>
      </w:r>
    </w:p>
    <w:p w14:paraId="57F0037B">
      <w:pPr>
        <w:wordWrap w:val="0"/>
        <w:adjustRightInd w:val="0"/>
        <w:spacing w:line="500" w:lineRule="exact"/>
        <w:ind w:firstLine="482"/>
        <w:rPr>
          <w:rFonts w:hint="eastAsia" w:ascii="宋体" w:hAnsi="宋体" w:cs="宋体"/>
          <w:color w:val="auto"/>
          <w:sz w:val="24"/>
          <w:szCs w:val="24"/>
          <w:highlight w:val="none"/>
          <w:lang w:val="zh-CN"/>
        </w:rPr>
      </w:pP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．具备履行合同所必需的设备和专业技术能力：</w:t>
      </w:r>
      <w:r>
        <w:rPr>
          <w:rFonts w:hint="eastAsia" w:ascii="宋体" w:hAnsi="宋体" w:cs="宋体"/>
          <w:color w:val="auto"/>
          <w:sz w:val="24"/>
          <w:szCs w:val="24"/>
          <w:highlight w:val="none"/>
          <w:lang w:val="zh-CN"/>
        </w:rPr>
        <w:t>详见磋商文件的要求，供方提交的具备履行合同所必需的设备和专业技术能力的证明材料中的相关文件，如果上述文件有不一致之处，以对需方有利的为准。</w:t>
      </w:r>
    </w:p>
    <w:p w14:paraId="294F84FC">
      <w:pPr>
        <w:wordWrap w:val="0"/>
        <w:adjustRightInd w:val="0"/>
        <w:spacing w:line="500" w:lineRule="exact"/>
        <w:ind w:firstLine="482"/>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0</w:t>
      </w:r>
      <w:r>
        <w:rPr>
          <w:rFonts w:hint="eastAsia" w:ascii="宋体" w:hAnsi="宋体" w:cs="宋体"/>
          <w:b/>
          <w:color w:val="auto"/>
          <w:sz w:val="24"/>
          <w:szCs w:val="24"/>
          <w:highlight w:val="none"/>
          <w:lang w:val="zh-CN"/>
        </w:rPr>
        <w:t>．履约延误</w:t>
      </w:r>
    </w:p>
    <w:p w14:paraId="74B9FE16">
      <w:pPr>
        <w:wordWrap w:val="0"/>
        <w:adjustRightInd w:val="0"/>
        <w:spacing w:line="50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0</w:t>
      </w:r>
      <w:r>
        <w:rPr>
          <w:rFonts w:hint="eastAsia" w:ascii="宋体" w:hAnsi="宋体" w:cs="宋体"/>
          <w:color w:val="auto"/>
          <w:sz w:val="24"/>
          <w:szCs w:val="24"/>
          <w:highlight w:val="none"/>
          <w:lang w:val="zh-CN"/>
        </w:rPr>
        <w:t>.1 供方应按照合同规定的时间、地点提供服务；需方应按照合同规定的时间、地点接受服务。</w:t>
      </w:r>
    </w:p>
    <w:p w14:paraId="3C6A4698">
      <w:pPr>
        <w:wordWrap w:val="0"/>
        <w:adjustRightInd w:val="0"/>
        <w:spacing w:line="50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0</w:t>
      </w:r>
      <w:r>
        <w:rPr>
          <w:rFonts w:hint="eastAsia" w:ascii="宋体" w:hAnsi="宋体" w:cs="宋体"/>
          <w:color w:val="auto"/>
          <w:sz w:val="24"/>
          <w:szCs w:val="24"/>
          <w:highlight w:val="none"/>
          <w:lang w:val="zh-CN"/>
        </w:rPr>
        <w:t>.2 如果供方无正当理由拖延，将受到以下制裁：没收履约保证金、加收误期赔偿和／或违约终止合同；如果需方无正当理由拖延和接受服务，应承担相应的违约责任。</w:t>
      </w:r>
    </w:p>
    <w:p w14:paraId="2D52CF9C">
      <w:pPr>
        <w:wordWrap w:val="0"/>
        <w:adjustRightInd w:val="0"/>
        <w:spacing w:line="50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0</w:t>
      </w:r>
      <w:r>
        <w:rPr>
          <w:rFonts w:hint="eastAsia" w:ascii="宋体" w:hAnsi="宋体" w:cs="宋体"/>
          <w:color w:val="auto"/>
          <w:sz w:val="24"/>
          <w:szCs w:val="24"/>
          <w:highlight w:val="none"/>
          <w:lang w:val="zh-CN"/>
        </w:rPr>
        <w:t>.3 在履行合同过程中，如果供方遇到可能妨碍其按时提供服务的情况，或者需方遇到可能妨碍其按时接受服务的情况，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2AF26C01">
      <w:pPr>
        <w:wordWrap w:val="0"/>
        <w:adjustRightInd w:val="0"/>
        <w:spacing w:line="500" w:lineRule="exact"/>
        <w:ind w:firstLine="482"/>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zh-CN"/>
        </w:rPr>
        <w:t>．误期赔偿</w:t>
      </w:r>
    </w:p>
    <w:p w14:paraId="084FC1F7">
      <w:pPr>
        <w:wordWrap w:val="0"/>
        <w:adjustRightInd w:val="0"/>
        <w:spacing w:line="500" w:lineRule="exact"/>
        <w:ind w:firstLine="48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除本合同条款</w:t>
      </w:r>
      <w:r>
        <w:rPr>
          <w:rFonts w:hint="eastAsia" w:ascii="宋体" w:hAnsi="宋体" w:cs="宋体"/>
          <w:b/>
          <w:color w:val="auto"/>
          <w:sz w:val="24"/>
          <w:szCs w:val="24"/>
          <w:highlight w:val="none"/>
          <w:lang w:val="zh-CN"/>
        </w:rPr>
        <w:t>第1</w:t>
      </w:r>
      <w:r>
        <w:rPr>
          <w:rFonts w:hint="eastAsia" w:ascii="宋体" w:hAnsi="宋体" w:cs="宋体"/>
          <w:b/>
          <w:color w:val="auto"/>
          <w:sz w:val="24"/>
          <w:szCs w:val="24"/>
          <w:highlight w:val="none"/>
        </w:rPr>
        <w:t>6</w:t>
      </w:r>
      <w:r>
        <w:rPr>
          <w:rFonts w:hint="eastAsia" w:ascii="宋体" w:hAnsi="宋体" w:cs="宋体"/>
          <w:b/>
          <w:color w:val="auto"/>
          <w:sz w:val="24"/>
          <w:szCs w:val="24"/>
          <w:highlight w:val="none"/>
          <w:lang w:val="zh-CN"/>
        </w:rPr>
        <w:t>条</w:t>
      </w:r>
      <w:r>
        <w:rPr>
          <w:rFonts w:hint="eastAsia" w:ascii="宋体" w:hAnsi="宋体" w:cs="宋体"/>
          <w:color w:val="auto"/>
          <w:sz w:val="24"/>
          <w:szCs w:val="24"/>
          <w:highlight w:val="none"/>
          <w:lang w:val="zh-CN"/>
        </w:rPr>
        <w:t>规定的情形外，如果供方没有按照合同规定的时间提供服务，供方应向需方支付误期赔偿费。误期赔偿费每周按延期服务的服务费用的百分之一（1%）计收，直至提供服务为止。一周按七天计算，不足七天按一周计算。但误期赔偿费的最高限额不超过合同价的百分之五（5%）。</w:t>
      </w:r>
    </w:p>
    <w:p w14:paraId="60EF97C9">
      <w:pPr>
        <w:wordWrap w:val="0"/>
        <w:adjustRightInd w:val="0"/>
        <w:spacing w:line="500" w:lineRule="exact"/>
        <w:ind w:firstLine="48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误期赔偿费可从应付款和/或履约保证金中扣除。</w:t>
      </w:r>
    </w:p>
    <w:p w14:paraId="40E6EB66">
      <w:pPr>
        <w:wordWrap w:val="0"/>
        <w:adjustRightInd w:val="0"/>
        <w:spacing w:line="500" w:lineRule="exact"/>
        <w:ind w:firstLine="48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11</w:t>
      </w:r>
      <w:r>
        <w:rPr>
          <w:rFonts w:hint="eastAsia" w:ascii="宋体" w:hAnsi="宋体" w:cs="宋体"/>
          <w:color w:val="auto"/>
          <w:sz w:val="24"/>
          <w:szCs w:val="24"/>
          <w:highlight w:val="none"/>
          <w:lang w:val="zh-CN"/>
        </w:rPr>
        <w:t>.3</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收取误期赔偿费不影响需方采取合同规定的其他补救措施的权利。</w:t>
      </w:r>
    </w:p>
    <w:p w14:paraId="507FE289">
      <w:pPr>
        <w:wordWrap w:val="0"/>
        <w:adjustRightInd w:val="0"/>
        <w:spacing w:line="500" w:lineRule="exact"/>
        <w:ind w:firstLine="48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11</w:t>
      </w:r>
      <w:r>
        <w:rPr>
          <w:rFonts w:hint="eastAsia" w:ascii="宋体" w:hAnsi="宋体" w:cs="宋体"/>
          <w:color w:val="auto"/>
          <w:sz w:val="24"/>
          <w:szCs w:val="24"/>
          <w:highlight w:val="none"/>
          <w:lang w:val="zh-CN"/>
        </w:rPr>
        <w:t>.4</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在收取误期赔偿费期间，需方有权决定是否终止合同。</w:t>
      </w:r>
    </w:p>
    <w:p w14:paraId="368BAE2A">
      <w:pPr>
        <w:wordWrap w:val="0"/>
        <w:adjustRightInd w:val="0"/>
        <w:spacing w:line="500" w:lineRule="exact"/>
        <w:ind w:firstLine="48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11.</w:t>
      </w:r>
      <w:r>
        <w:rPr>
          <w:rFonts w:hint="eastAsia" w:ascii="宋体" w:hAnsi="宋体" w:cs="宋体"/>
          <w:color w:val="auto"/>
          <w:sz w:val="24"/>
          <w:szCs w:val="24"/>
          <w:highlight w:val="none"/>
          <w:lang w:val="zh-CN"/>
        </w:rPr>
        <w:t>5</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如果需方违约，应承担相应的违约责任。</w:t>
      </w:r>
    </w:p>
    <w:p w14:paraId="7737947B">
      <w:pPr>
        <w:wordWrap w:val="0"/>
        <w:adjustRightInd w:val="0"/>
        <w:spacing w:line="500" w:lineRule="exact"/>
        <w:ind w:firstLine="482"/>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12</w:t>
      </w:r>
      <w:r>
        <w:rPr>
          <w:rFonts w:hint="eastAsia" w:ascii="宋体" w:hAnsi="宋体" w:cs="宋体"/>
          <w:b/>
          <w:color w:val="auto"/>
          <w:sz w:val="24"/>
          <w:szCs w:val="24"/>
          <w:highlight w:val="none"/>
          <w:lang w:val="zh-CN"/>
        </w:rPr>
        <w:t>．履约保证金和质量保证金：在政府采购合同书中约定。</w:t>
      </w:r>
    </w:p>
    <w:p w14:paraId="342067CD">
      <w:pPr>
        <w:wordWrap w:val="0"/>
        <w:adjustRightInd w:val="0"/>
        <w:spacing w:line="500" w:lineRule="exact"/>
        <w:ind w:firstLine="482"/>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13</w:t>
      </w:r>
      <w:r>
        <w:rPr>
          <w:rFonts w:hint="eastAsia" w:ascii="宋体" w:hAnsi="宋体" w:cs="宋体"/>
          <w:b/>
          <w:color w:val="auto"/>
          <w:sz w:val="24"/>
          <w:szCs w:val="24"/>
          <w:highlight w:val="none"/>
          <w:lang w:val="zh-CN"/>
        </w:rPr>
        <w:t>．不可抗力</w:t>
      </w:r>
    </w:p>
    <w:p w14:paraId="02E61B17">
      <w:pPr>
        <w:wordWrap w:val="0"/>
        <w:adjustRightInd w:val="0"/>
        <w:spacing w:line="50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13</w:t>
      </w:r>
      <w:r>
        <w:rPr>
          <w:rFonts w:hint="eastAsia" w:ascii="宋体" w:hAnsi="宋体" w:cs="宋体"/>
          <w:color w:val="auto"/>
          <w:sz w:val="24"/>
          <w:szCs w:val="24"/>
          <w:highlight w:val="none"/>
          <w:lang w:val="zh-CN"/>
        </w:rPr>
        <w:t>.1 如果供方和需方因不可抗力导致合同实施延误或不能履行合同义务，不应该承担误期赔偿或不能履行合同义务的责任。但因供方或需方先延误或不能履行合同而后遇不可抗力的情形除外。</w:t>
      </w:r>
    </w:p>
    <w:p w14:paraId="760172EB">
      <w:pPr>
        <w:wordWrap w:val="0"/>
        <w:adjustRightInd w:val="0"/>
        <w:spacing w:line="50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13</w:t>
      </w:r>
      <w:r>
        <w:rPr>
          <w:rFonts w:hint="eastAsia" w:ascii="宋体" w:hAnsi="宋体" w:cs="宋体"/>
          <w:color w:val="auto"/>
          <w:sz w:val="24"/>
          <w:szCs w:val="24"/>
          <w:highlight w:val="none"/>
          <w:lang w:val="zh-CN"/>
        </w:rPr>
        <w:t>.2 本条所述的</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不可抗力</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系指那些双方无法控制，不可预见的事件，但不包括双方的违约或疏忽。这些事件包括但不限于：战争、严重火灾、洪水、台风、地震以及其它双方商定的事件。</w:t>
      </w:r>
    </w:p>
    <w:p w14:paraId="33A725A8">
      <w:pPr>
        <w:wordWrap w:val="0"/>
        <w:adjustRightInd w:val="0"/>
        <w:spacing w:line="50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13</w:t>
      </w:r>
      <w:r>
        <w:rPr>
          <w:rFonts w:hint="eastAsia" w:ascii="宋体" w:hAnsi="宋体" w:cs="宋体"/>
          <w:color w:val="auto"/>
          <w:sz w:val="24"/>
          <w:szCs w:val="24"/>
          <w:highlight w:val="none"/>
          <w:lang w:val="zh-CN"/>
        </w:rPr>
        <w:t>.3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2A36A5E5">
      <w:pPr>
        <w:wordWrap w:val="0"/>
        <w:adjustRightInd w:val="0"/>
        <w:spacing w:line="500" w:lineRule="exact"/>
        <w:ind w:firstLine="482"/>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14</w:t>
      </w:r>
      <w:r>
        <w:rPr>
          <w:rFonts w:hint="eastAsia" w:ascii="宋体" w:hAnsi="宋体" w:cs="宋体"/>
          <w:b/>
          <w:color w:val="auto"/>
          <w:sz w:val="24"/>
          <w:szCs w:val="24"/>
          <w:highlight w:val="none"/>
          <w:lang w:val="zh-CN"/>
        </w:rPr>
        <w:t>．税费</w:t>
      </w:r>
    </w:p>
    <w:p w14:paraId="2CF68F3A">
      <w:pPr>
        <w:wordWrap w:val="0"/>
        <w:adjustRightInd w:val="0"/>
        <w:spacing w:line="50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.1 根据现行法律规定对需方征收的与本合同有关的一切税费均由需方负担。</w:t>
      </w:r>
    </w:p>
    <w:p w14:paraId="3C9FE5D0">
      <w:pPr>
        <w:wordWrap w:val="0"/>
        <w:adjustRightInd w:val="0"/>
        <w:spacing w:line="50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.2 根据现行法律规定对供方征收的与本合同有关的一切税费均由供方负担。</w:t>
      </w:r>
    </w:p>
    <w:p w14:paraId="7F7E5EE8">
      <w:pPr>
        <w:wordWrap w:val="0"/>
        <w:adjustRightInd w:val="0"/>
        <w:spacing w:line="50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.3 在中国境外发生的与执行本合同有关的一切税费均由供方负担。</w:t>
      </w:r>
    </w:p>
    <w:p w14:paraId="532067B9">
      <w:pPr>
        <w:wordWrap w:val="0"/>
        <w:adjustRightInd w:val="0"/>
        <w:spacing w:line="500" w:lineRule="exact"/>
        <w:ind w:firstLine="482"/>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15</w:t>
      </w:r>
      <w:r>
        <w:rPr>
          <w:rFonts w:hint="eastAsia" w:ascii="宋体" w:hAnsi="宋体" w:cs="宋体"/>
          <w:b/>
          <w:color w:val="auto"/>
          <w:sz w:val="24"/>
          <w:szCs w:val="24"/>
          <w:highlight w:val="none"/>
          <w:lang w:val="zh-CN"/>
        </w:rPr>
        <w:t>．争议解决方式</w:t>
      </w:r>
    </w:p>
    <w:p w14:paraId="28176510">
      <w:pPr>
        <w:wordWrap w:val="0"/>
        <w:adjustRightInd w:val="0"/>
        <w:spacing w:line="500" w:lineRule="exact"/>
        <w:ind w:firstLine="482"/>
        <w:rPr>
          <w:rFonts w:hint="eastAsia" w:ascii="宋体" w:hAnsi="宋体" w:cs="宋体"/>
          <w:b/>
          <w:color w:val="auto"/>
          <w:sz w:val="24"/>
          <w:szCs w:val="24"/>
          <w:highlight w:val="none"/>
          <w:lang w:val="zh-CN"/>
        </w:rPr>
      </w:pPr>
      <w:r>
        <w:rPr>
          <w:rFonts w:hint="eastAsia" w:ascii="宋体" w:hAnsi="宋体" w:cs="宋体"/>
          <w:color w:val="auto"/>
          <w:sz w:val="24"/>
          <w:szCs w:val="24"/>
          <w:highlight w:val="none"/>
        </w:rPr>
        <w:t>15</w:t>
      </w: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color w:val="auto"/>
          <w:sz w:val="24"/>
          <w:szCs w:val="24"/>
          <w:highlight w:val="none"/>
          <w:lang w:val="zh-CN"/>
        </w:rPr>
        <w:t>政府采购合同书</w:t>
      </w:r>
      <w:r>
        <w:rPr>
          <w:rFonts w:hint="eastAsia" w:ascii="宋体" w:hAnsi="宋体" w:cs="宋体"/>
          <w:color w:val="auto"/>
          <w:sz w:val="24"/>
          <w:szCs w:val="24"/>
          <w:highlight w:val="none"/>
          <w:lang w:val="zh-CN"/>
        </w:rPr>
        <w:t>内约定以下一种方式解决争议：</w:t>
      </w:r>
    </w:p>
    <w:p w14:paraId="2A262E0F">
      <w:pPr>
        <w:wordWrap w:val="0"/>
        <w:adjustRightInd w:val="0"/>
        <w:spacing w:line="50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第一种方式：双方达成仲裁协议，向约定的仲裁机构申请仲裁；</w:t>
      </w:r>
    </w:p>
    <w:p w14:paraId="11F62749">
      <w:pPr>
        <w:wordWrap w:val="0"/>
        <w:adjustRightInd w:val="0"/>
        <w:spacing w:line="50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第二种方式：向有管辖权的人民法院提起诉讼。</w:t>
      </w:r>
    </w:p>
    <w:p w14:paraId="277982CB">
      <w:pPr>
        <w:wordWrap w:val="0"/>
        <w:adjustRightInd w:val="0"/>
        <w:spacing w:line="50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15</w:t>
      </w:r>
      <w:r>
        <w:rPr>
          <w:rFonts w:hint="eastAsia" w:ascii="宋体" w:hAnsi="宋体" w:cs="宋体"/>
          <w:color w:val="auto"/>
          <w:sz w:val="24"/>
          <w:szCs w:val="24"/>
          <w:highlight w:val="none"/>
          <w:lang w:val="zh-CN"/>
        </w:rPr>
        <w:t>.2 因合同部分履行引发仲裁（诉讼）的，在仲裁（诉讼）期间，除正在进行仲裁（诉讼）的部分外，本合同的其它部分应继续执行。</w:t>
      </w:r>
    </w:p>
    <w:p w14:paraId="7EBA151A">
      <w:pPr>
        <w:wordWrap w:val="0"/>
        <w:adjustRightInd w:val="0"/>
        <w:spacing w:line="500" w:lineRule="exact"/>
        <w:ind w:firstLine="482"/>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16</w:t>
      </w:r>
      <w:r>
        <w:rPr>
          <w:rFonts w:hint="eastAsia" w:ascii="宋体" w:hAnsi="宋体" w:cs="宋体"/>
          <w:b/>
          <w:color w:val="auto"/>
          <w:sz w:val="24"/>
          <w:szCs w:val="24"/>
          <w:highlight w:val="none"/>
          <w:lang w:val="zh-CN"/>
        </w:rPr>
        <w:t>．违约终止合同</w:t>
      </w:r>
    </w:p>
    <w:p w14:paraId="5047176F">
      <w:pPr>
        <w:wordWrap w:val="0"/>
        <w:adjustRightInd w:val="0"/>
        <w:spacing w:line="50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16</w:t>
      </w:r>
      <w:r>
        <w:rPr>
          <w:rFonts w:hint="eastAsia" w:ascii="宋体" w:hAnsi="宋体" w:cs="宋体"/>
          <w:color w:val="auto"/>
          <w:sz w:val="24"/>
          <w:szCs w:val="24"/>
          <w:highlight w:val="none"/>
          <w:lang w:val="zh-CN"/>
        </w:rPr>
        <w:t>.1 在需方因供方违约而按合同约定采取的任何补救措施不受影响的情况下，需方可在下列情况下向供方发出书面通知，提出终止部分或全部合同。</w:t>
      </w:r>
    </w:p>
    <w:p w14:paraId="64FA966D">
      <w:pPr>
        <w:wordWrap w:val="0"/>
        <w:adjustRightInd w:val="0"/>
        <w:spacing w:line="50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（1）如果供方未能在合同规定的限期或需方同意延长的限期内提供部分或全部服务。</w:t>
      </w:r>
    </w:p>
    <w:p w14:paraId="4441DACF">
      <w:pPr>
        <w:wordWrap w:val="0"/>
        <w:adjustRightInd w:val="0"/>
        <w:spacing w:line="50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（2）如果供方未能履行合同规定的其它任何义务。</w:t>
      </w:r>
    </w:p>
    <w:p w14:paraId="649CC562">
      <w:pPr>
        <w:wordWrap w:val="0"/>
        <w:adjustRightInd w:val="0"/>
        <w:spacing w:line="50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（3）如果供方在本合同订立和履行过程中采取了任何</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不正当竞争行为</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，危害到国家利益、社会公共利益和需方的合法权益。</w:t>
      </w:r>
    </w:p>
    <w:p w14:paraId="4F160879">
      <w:pPr>
        <w:wordWrap w:val="0"/>
        <w:adjustRightInd w:val="0"/>
        <w:spacing w:line="50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16</w:t>
      </w:r>
      <w:r>
        <w:rPr>
          <w:rFonts w:hint="eastAsia" w:ascii="宋体" w:hAnsi="宋体" w:cs="宋体"/>
          <w:color w:val="auto"/>
          <w:sz w:val="24"/>
          <w:szCs w:val="24"/>
          <w:highlight w:val="none"/>
          <w:lang w:val="zh-CN"/>
        </w:rPr>
        <w:t>.2 如果需方违约，应承担相应的违约责任。</w:t>
      </w:r>
    </w:p>
    <w:p w14:paraId="50E3765D">
      <w:pPr>
        <w:wordWrap w:val="0"/>
        <w:adjustRightInd w:val="0"/>
        <w:spacing w:line="500" w:lineRule="exact"/>
        <w:ind w:firstLine="482"/>
        <w:rPr>
          <w:rFonts w:hint="eastAsia" w:ascii="宋体" w:hAnsi="宋体" w:cs="宋体"/>
          <w:color w:val="auto"/>
          <w:sz w:val="24"/>
          <w:szCs w:val="24"/>
          <w:highlight w:val="none"/>
          <w:lang w:val="zh-CN"/>
        </w:rPr>
      </w:pPr>
      <w:r>
        <w:rPr>
          <w:rFonts w:hint="eastAsia" w:ascii="宋体" w:hAnsi="宋体" w:cs="宋体"/>
          <w:b/>
          <w:color w:val="auto"/>
          <w:sz w:val="24"/>
          <w:szCs w:val="24"/>
          <w:highlight w:val="none"/>
        </w:rPr>
        <w:t>17</w:t>
      </w:r>
      <w:r>
        <w:rPr>
          <w:rFonts w:hint="eastAsia" w:ascii="宋体" w:hAnsi="宋体" w:cs="宋体"/>
          <w:b/>
          <w:color w:val="auto"/>
          <w:sz w:val="24"/>
          <w:szCs w:val="24"/>
          <w:highlight w:val="none"/>
          <w:lang w:val="zh-CN"/>
        </w:rPr>
        <w:t>．破产终止合同：</w:t>
      </w:r>
      <w:r>
        <w:rPr>
          <w:rFonts w:hint="eastAsia" w:ascii="宋体" w:hAnsi="宋体" w:cs="宋体"/>
          <w:color w:val="auto"/>
          <w:sz w:val="24"/>
          <w:szCs w:val="24"/>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495F2C34">
      <w:pPr>
        <w:wordWrap w:val="0"/>
        <w:adjustRightInd w:val="0"/>
        <w:spacing w:line="500" w:lineRule="exact"/>
        <w:ind w:firstLine="482"/>
        <w:rPr>
          <w:rFonts w:hint="eastAsia" w:ascii="宋体" w:hAnsi="宋体" w:cs="宋体"/>
          <w:color w:val="auto"/>
          <w:sz w:val="24"/>
          <w:szCs w:val="24"/>
          <w:highlight w:val="none"/>
          <w:lang w:val="zh-CN"/>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zh-CN"/>
        </w:rPr>
        <w:t>．合同转让和分包：</w:t>
      </w:r>
      <w:r>
        <w:rPr>
          <w:rFonts w:hint="eastAsia" w:ascii="宋体" w:hAnsi="宋体" w:cs="宋体"/>
          <w:color w:val="auto"/>
          <w:sz w:val="24"/>
          <w:szCs w:val="24"/>
          <w:highlight w:val="none"/>
          <w:lang w:val="zh-CN"/>
        </w:rPr>
        <w:t>本合同不得转让或分包。</w:t>
      </w:r>
    </w:p>
    <w:p w14:paraId="591B4EFB">
      <w:pPr>
        <w:wordWrap w:val="0"/>
        <w:adjustRightInd w:val="0"/>
        <w:spacing w:line="500" w:lineRule="exact"/>
        <w:ind w:firstLine="482"/>
        <w:rPr>
          <w:rFonts w:hint="eastAsia" w:ascii="宋体" w:hAnsi="宋体" w:cs="宋体"/>
          <w:color w:val="auto"/>
          <w:sz w:val="24"/>
          <w:szCs w:val="24"/>
          <w:highlight w:val="none"/>
          <w:lang w:val="zh-CN"/>
        </w:rPr>
      </w:pPr>
      <w:r>
        <w:rPr>
          <w:rFonts w:hint="eastAsia" w:ascii="宋体" w:hAnsi="宋体" w:cs="宋体"/>
          <w:b/>
          <w:color w:val="auto"/>
          <w:sz w:val="24"/>
          <w:szCs w:val="24"/>
          <w:highlight w:val="none"/>
        </w:rPr>
        <w:t>19</w:t>
      </w:r>
      <w:r>
        <w:rPr>
          <w:rFonts w:hint="eastAsia" w:ascii="宋体" w:hAnsi="宋体" w:cs="宋体"/>
          <w:b/>
          <w:color w:val="auto"/>
          <w:sz w:val="24"/>
          <w:szCs w:val="24"/>
          <w:highlight w:val="none"/>
          <w:lang w:val="zh-CN"/>
        </w:rPr>
        <w:t>．需要补充的合同条款：</w:t>
      </w:r>
      <w:r>
        <w:rPr>
          <w:rFonts w:hint="eastAsia" w:ascii="宋体" w:hAnsi="宋体" w:cs="宋体"/>
          <w:color w:val="auto"/>
          <w:sz w:val="24"/>
          <w:szCs w:val="24"/>
          <w:highlight w:val="none"/>
          <w:lang w:val="zh-CN"/>
        </w:rPr>
        <w:t>在政府采购合同书中约定。</w:t>
      </w:r>
    </w:p>
    <w:p w14:paraId="7ED2E4AC">
      <w:pPr>
        <w:wordWrap w:val="0"/>
        <w:adjustRightInd w:val="0"/>
        <w:spacing w:line="500" w:lineRule="exact"/>
        <w:ind w:firstLine="482"/>
        <w:rPr>
          <w:rFonts w:hint="eastAsia" w:ascii="宋体" w:hAnsi="宋体" w:cs="宋体"/>
          <w:color w:val="auto"/>
          <w:sz w:val="24"/>
          <w:szCs w:val="24"/>
          <w:highlight w:val="none"/>
          <w:lang w:val="zh-CN"/>
        </w:rPr>
      </w:pPr>
      <w:r>
        <w:rPr>
          <w:rFonts w:hint="eastAsia" w:ascii="宋体" w:hAnsi="宋体" w:cs="宋体"/>
          <w:b/>
          <w:color w:val="auto"/>
          <w:sz w:val="24"/>
          <w:szCs w:val="24"/>
          <w:highlight w:val="none"/>
        </w:rPr>
        <w:t>20</w:t>
      </w:r>
      <w:r>
        <w:rPr>
          <w:rFonts w:hint="eastAsia" w:ascii="宋体" w:hAnsi="宋体" w:cs="宋体"/>
          <w:b/>
          <w:color w:val="auto"/>
          <w:sz w:val="24"/>
          <w:szCs w:val="24"/>
          <w:highlight w:val="none"/>
          <w:lang w:val="zh-CN"/>
        </w:rPr>
        <w:t>．适用法律：</w:t>
      </w:r>
      <w:r>
        <w:rPr>
          <w:rFonts w:hint="eastAsia" w:ascii="宋体" w:hAnsi="宋体" w:cs="宋体"/>
          <w:color w:val="auto"/>
          <w:sz w:val="24"/>
          <w:szCs w:val="24"/>
          <w:highlight w:val="none"/>
          <w:lang w:val="zh-CN"/>
        </w:rPr>
        <w:t>本合同及附件的订立、效力、解释、履行、争议的解决等适用本合同签订时有效的中华人民共和国法律、法规的有关规定。</w:t>
      </w:r>
    </w:p>
    <w:p w14:paraId="233CFB93">
      <w:pPr>
        <w:wordWrap w:val="0"/>
        <w:adjustRightInd w:val="0"/>
        <w:spacing w:line="500" w:lineRule="exact"/>
        <w:ind w:firstLine="482"/>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21</w:t>
      </w:r>
      <w:r>
        <w:rPr>
          <w:rFonts w:hint="eastAsia" w:ascii="宋体" w:hAnsi="宋体" w:cs="宋体"/>
          <w:b/>
          <w:color w:val="auto"/>
          <w:sz w:val="24"/>
          <w:szCs w:val="24"/>
          <w:highlight w:val="none"/>
          <w:lang w:val="zh-CN"/>
        </w:rPr>
        <w:t>.主导语言与计量单位</w:t>
      </w:r>
    </w:p>
    <w:p w14:paraId="0576B35D">
      <w:pPr>
        <w:wordWrap w:val="0"/>
        <w:adjustRightInd w:val="0"/>
        <w:spacing w:line="50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21</w:t>
      </w: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合同应用中文书写。供需双方所有来往信函，以及合同有关的文件均应以中文书写。</w:t>
      </w:r>
    </w:p>
    <w:p w14:paraId="3447F46F">
      <w:pPr>
        <w:wordWrap w:val="0"/>
        <w:adjustRightInd w:val="0"/>
        <w:spacing w:line="50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21</w:t>
      </w: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除合同另有规定外，计量单位均使用中华人民共和国法定计量单位。</w:t>
      </w:r>
    </w:p>
    <w:p w14:paraId="03D670AE">
      <w:pPr>
        <w:wordWrap w:val="0"/>
        <w:adjustRightInd w:val="0"/>
        <w:spacing w:line="500" w:lineRule="exact"/>
        <w:ind w:firstLine="482"/>
        <w:rPr>
          <w:rFonts w:hint="eastAsia" w:ascii="宋体" w:hAnsi="宋体" w:cs="宋体"/>
          <w:color w:val="auto"/>
          <w:sz w:val="24"/>
          <w:szCs w:val="24"/>
          <w:highlight w:val="none"/>
        </w:rPr>
      </w:pPr>
      <w:r>
        <w:rPr>
          <w:rFonts w:hint="eastAsia" w:ascii="宋体" w:hAnsi="宋体" w:cs="宋体"/>
          <w:b/>
          <w:color w:val="auto"/>
          <w:sz w:val="24"/>
          <w:szCs w:val="24"/>
          <w:highlight w:val="none"/>
        </w:rPr>
        <w:t>22</w:t>
      </w:r>
      <w:r>
        <w:rPr>
          <w:rFonts w:hint="eastAsia" w:ascii="宋体" w:hAnsi="宋体" w:cs="宋体"/>
          <w:b/>
          <w:color w:val="auto"/>
          <w:sz w:val="24"/>
          <w:szCs w:val="24"/>
          <w:highlight w:val="none"/>
          <w:lang w:val="zh-CN"/>
        </w:rPr>
        <w:t>．《中华人民共和国政府采购法》对政府采购合同变更、终止的规定：</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hint="eastAsia" w:ascii="宋体" w:hAnsi="宋体" w:cs="宋体"/>
          <w:color w:val="auto"/>
          <w:sz w:val="24"/>
          <w:szCs w:val="24"/>
          <w:highlight w:val="none"/>
        </w:rPr>
        <w:t>”</w:t>
      </w:r>
    </w:p>
    <w:p w14:paraId="741E672E">
      <w:pPr>
        <w:wordWrap w:val="0"/>
        <w:adjustRightInd w:val="0"/>
        <w:spacing w:line="500" w:lineRule="exact"/>
        <w:ind w:firstLine="482"/>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23</w:t>
      </w:r>
      <w:r>
        <w:rPr>
          <w:rFonts w:hint="eastAsia" w:ascii="宋体" w:hAnsi="宋体" w:cs="宋体"/>
          <w:b/>
          <w:color w:val="auto"/>
          <w:sz w:val="24"/>
          <w:szCs w:val="24"/>
          <w:highlight w:val="none"/>
          <w:lang w:val="zh-CN"/>
        </w:rPr>
        <w:t xml:space="preserve">.其他 </w:t>
      </w:r>
    </w:p>
    <w:p w14:paraId="1D2C8D37">
      <w:pPr>
        <w:wordWrap w:val="0"/>
        <w:adjustRightInd w:val="0"/>
        <w:spacing w:line="50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23</w:t>
      </w: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此合同文本仅为通用参考合同文本，在确定成交供应商后，双方将对商务、技术、承诺等内容签订更加详细的内容，采购人保留对合同条款修改的权利。</w:t>
      </w:r>
    </w:p>
    <w:p w14:paraId="6798075F">
      <w:pPr>
        <w:wordWrap w:val="0"/>
        <w:spacing w:line="500" w:lineRule="exact"/>
        <w:jc w:val="center"/>
        <w:rPr>
          <w:rFonts w:hint="eastAsia" w:ascii="宋体" w:hAnsi="宋体" w:cs="宋体"/>
          <w:b/>
          <w:color w:val="auto"/>
          <w:kern w:val="0"/>
          <w:sz w:val="44"/>
          <w:szCs w:val="44"/>
          <w:highlight w:val="none"/>
        </w:rPr>
      </w:pPr>
      <w:r>
        <w:rPr>
          <w:rFonts w:hint="eastAsia" w:ascii="宋体" w:hAnsi="宋体" w:cs="宋体"/>
          <w:color w:val="auto"/>
          <w:sz w:val="24"/>
          <w:szCs w:val="24"/>
          <w:highlight w:val="none"/>
          <w:lang w:val="zh-CN"/>
        </w:rPr>
        <w:br w:type="page"/>
      </w:r>
      <w:r>
        <w:rPr>
          <w:rFonts w:hint="eastAsia" w:ascii="宋体" w:hAnsi="宋体" w:cs="宋体"/>
          <w:b/>
          <w:color w:val="auto"/>
          <w:kern w:val="0"/>
          <w:sz w:val="44"/>
          <w:szCs w:val="44"/>
          <w:highlight w:val="none"/>
        </w:rPr>
        <w:t>政府采购合同书格式</w:t>
      </w:r>
    </w:p>
    <w:p w14:paraId="3BB4BCA4">
      <w:pPr>
        <w:wordWrap w:val="0"/>
        <w:adjustRightInd w:val="0"/>
        <w:spacing w:line="44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合同编号：</w:t>
      </w:r>
      <w:r>
        <w:rPr>
          <w:rFonts w:hint="eastAsia" w:ascii="宋体" w:hAnsi="宋体" w:cs="宋体"/>
          <w:color w:val="auto"/>
          <w:sz w:val="24"/>
          <w:szCs w:val="21"/>
          <w:highlight w:val="none"/>
          <w:u w:val="single"/>
        </w:rPr>
        <w:t xml:space="preserve">                                  </w:t>
      </w:r>
    </w:p>
    <w:p w14:paraId="768BB9CB">
      <w:pPr>
        <w:wordWrap w:val="0"/>
        <w:adjustRightInd w:val="0"/>
        <w:spacing w:line="44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签订地点：</w:t>
      </w:r>
      <w:r>
        <w:rPr>
          <w:rFonts w:hint="eastAsia" w:ascii="宋体" w:hAnsi="宋体" w:cs="宋体"/>
          <w:color w:val="auto"/>
          <w:sz w:val="24"/>
          <w:szCs w:val="21"/>
          <w:highlight w:val="none"/>
          <w:u w:val="single"/>
        </w:rPr>
        <w:t xml:space="preserve">                                  </w:t>
      </w:r>
    </w:p>
    <w:p w14:paraId="35E4D8C3">
      <w:pPr>
        <w:wordWrap w:val="0"/>
        <w:adjustRightInd w:val="0"/>
        <w:spacing w:line="44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签订日期：</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4"/>
          <w:highlight w:val="none"/>
          <w:lang w:val="zh-CN"/>
        </w:rPr>
        <w:t>年</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4"/>
          <w:highlight w:val="none"/>
          <w:lang w:val="zh-CN"/>
        </w:rPr>
        <w:t>月</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4"/>
          <w:highlight w:val="none"/>
          <w:lang w:val="zh-CN"/>
        </w:rPr>
        <w:t xml:space="preserve">日 </w:t>
      </w:r>
    </w:p>
    <w:p w14:paraId="4FB83273">
      <w:pPr>
        <w:wordWrap w:val="0"/>
        <w:adjustRightInd w:val="0"/>
        <w:spacing w:line="44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采购任务通知书编号：</w:t>
      </w:r>
      <w:r>
        <w:rPr>
          <w:rFonts w:hint="eastAsia" w:ascii="宋体" w:hAnsi="宋体" w:cs="宋体"/>
          <w:color w:val="auto"/>
          <w:sz w:val="24"/>
          <w:szCs w:val="21"/>
          <w:highlight w:val="none"/>
          <w:u w:val="single"/>
        </w:rPr>
        <w:t xml:space="preserve">                        </w:t>
      </w:r>
    </w:p>
    <w:p w14:paraId="72772BE8">
      <w:pPr>
        <w:wordWrap w:val="0"/>
        <w:adjustRightInd w:val="0"/>
        <w:spacing w:line="4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（需方）需求的</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（项目名称）经代理机构以编号为</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的磋商文件在国内招标，磋商小组评定</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（供方）为成交供应商。供需双方按照《中华人民共和国民法典》、《中华人民共和国政府采购法》和有关法律法规，遵循平等、自愿、公平和诚实信用原则，同意按照下面的条款和条件订立本合同，共同信守。</w:t>
      </w:r>
    </w:p>
    <w:p w14:paraId="2F1347A2">
      <w:pPr>
        <w:wordWrap w:val="0"/>
        <w:adjustRightInd w:val="0"/>
        <w:spacing w:line="440" w:lineRule="exact"/>
        <w:ind w:firstLine="482" w:firstLineChars="200"/>
        <w:rPr>
          <w:rFonts w:hint="eastAsia" w:ascii="宋体" w:hAnsi="宋体" w:cs="宋体"/>
          <w:color w:val="auto"/>
          <w:sz w:val="24"/>
          <w:szCs w:val="24"/>
          <w:highlight w:val="none"/>
          <w:lang w:val="zh-CN"/>
        </w:rPr>
      </w:pPr>
      <w:r>
        <w:rPr>
          <w:rFonts w:hint="eastAsia" w:ascii="宋体" w:hAnsi="宋体" w:cs="宋体"/>
          <w:b/>
          <w:color w:val="auto"/>
          <w:sz w:val="24"/>
          <w:szCs w:val="24"/>
          <w:highlight w:val="none"/>
          <w:lang w:val="zh-CN"/>
        </w:rPr>
        <w:t>1.合同标的</w:t>
      </w:r>
      <w:r>
        <w:rPr>
          <w:rFonts w:hint="eastAsia" w:ascii="宋体" w:hAnsi="宋体" w:cs="宋体"/>
          <w:color w:val="auto"/>
          <w:sz w:val="24"/>
          <w:szCs w:val="24"/>
          <w:highlight w:val="none"/>
          <w:lang w:val="zh-CN"/>
        </w:rPr>
        <w:t>：</w:t>
      </w:r>
    </w:p>
    <w:p w14:paraId="4F7FEE4F">
      <w:pPr>
        <w:wordWrap w:val="0"/>
        <w:adjustRightInd w:val="0"/>
        <w:spacing w:line="440" w:lineRule="exact"/>
        <w:ind w:firstLine="482" w:firstLineChars="20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2.服务期限：</w:t>
      </w:r>
    </w:p>
    <w:p w14:paraId="1F6FE42D">
      <w:pPr>
        <w:wordWrap w:val="0"/>
        <w:adjustRightInd w:val="0"/>
        <w:spacing w:line="440" w:lineRule="exact"/>
        <w:ind w:firstLine="482" w:firstLineChars="20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3.</w:t>
      </w:r>
      <w:r>
        <w:rPr>
          <w:rFonts w:hint="eastAsia" w:ascii="宋体" w:hAnsi="宋体" w:cs="宋体"/>
          <w:b/>
          <w:color w:val="auto"/>
          <w:sz w:val="24"/>
          <w:szCs w:val="24"/>
          <w:highlight w:val="none"/>
          <w:lang w:val="zh-CN"/>
        </w:rPr>
        <w:t>服务地点：</w:t>
      </w:r>
    </w:p>
    <w:p w14:paraId="23756D62">
      <w:pPr>
        <w:wordWrap w:val="0"/>
        <w:adjustRightInd w:val="0"/>
        <w:spacing w:line="440" w:lineRule="exact"/>
        <w:ind w:firstLine="482" w:firstLineChars="20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4</w:t>
      </w:r>
      <w:r>
        <w:rPr>
          <w:rFonts w:hint="eastAsia" w:ascii="宋体" w:hAnsi="宋体" w:cs="宋体"/>
          <w:b/>
          <w:color w:val="auto"/>
          <w:sz w:val="24"/>
          <w:szCs w:val="24"/>
          <w:highlight w:val="none"/>
          <w:lang w:val="zh-CN"/>
        </w:rPr>
        <w:t>.付款方式：</w:t>
      </w:r>
    </w:p>
    <w:p w14:paraId="78997C79">
      <w:pPr>
        <w:wordWrap w:val="0"/>
        <w:adjustRightInd w:val="0"/>
        <w:spacing w:line="440" w:lineRule="exact"/>
        <w:ind w:firstLine="482" w:firstLineChars="20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5.</w:t>
      </w:r>
      <w:r>
        <w:rPr>
          <w:rFonts w:hint="eastAsia" w:ascii="宋体" w:hAnsi="宋体" w:cs="宋体"/>
          <w:b/>
          <w:color w:val="auto"/>
          <w:sz w:val="24"/>
          <w:szCs w:val="24"/>
          <w:highlight w:val="none"/>
          <w:lang w:val="zh-CN"/>
        </w:rPr>
        <w:t>履约保证金</w:t>
      </w:r>
    </w:p>
    <w:p w14:paraId="6EEF6324">
      <w:pPr>
        <w:wordWrap w:val="0"/>
        <w:adjustRightInd w:val="0"/>
        <w:spacing w:line="44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 xml:space="preserve">5.1 </w:t>
      </w:r>
      <w:r>
        <w:rPr>
          <w:rFonts w:hint="eastAsia" w:ascii="宋体" w:hAnsi="宋体" w:cs="宋体"/>
          <w:color w:val="auto"/>
          <w:sz w:val="24"/>
          <w:szCs w:val="24"/>
          <w:highlight w:val="none"/>
          <w:lang w:val="zh-CN"/>
        </w:rPr>
        <w:t>（如采购人要求）在签署本合同之前，供方应向需方提交履约保证金人民币：</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zh-CN"/>
        </w:rPr>
        <w:t>元整（成交总价款的</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zh-CN"/>
        </w:rPr>
        <w:t>%）。履约保证金可以采用银行转帐、现金或保函担保的方式提交。</w:t>
      </w:r>
    </w:p>
    <w:p w14:paraId="341422FA">
      <w:pPr>
        <w:wordWrap w:val="0"/>
        <w:adjustRightInd w:val="0"/>
        <w:spacing w:line="4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5.2 履约保证金的有效期到供方服务项目完成交付给需方之日止，予以退还（无利息）。供方若不能按需方要求的时间交付服务，需方有权没收供方所缴纳的履约保证金。并向需方每日偿付货款总额万分之五的赔偿金。</w:t>
      </w:r>
    </w:p>
    <w:p w14:paraId="691E6F7B">
      <w:pPr>
        <w:wordWrap w:val="0"/>
        <w:adjustRightInd w:val="0"/>
        <w:spacing w:line="440" w:lineRule="exact"/>
        <w:ind w:firstLine="482" w:firstLineChars="20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6</w:t>
      </w:r>
      <w:r>
        <w:rPr>
          <w:rFonts w:hint="eastAsia" w:ascii="宋体" w:hAnsi="宋体" w:cs="宋体"/>
          <w:b/>
          <w:color w:val="auto"/>
          <w:sz w:val="24"/>
          <w:szCs w:val="24"/>
          <w:highlight w:val="none"/>
          <w:lang w:val="zh-CN"/>
        </w:rPr>
        <w:t>.质量保证金</w:t>
      </w:r>
    </w:p>
    <w:p w14:paraId="16C7D9AD">
      <w:pPr>
        <w:wordWrap w:val="0"/>
        <w:adjustRightIn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6.1 </w:t>
      </w:r>
      <w:r>
        <w:rPr>
          <w:rFonts w:hint="eastAsia" w:ascii="宋体" w:hAnsi="宋体" w:cs="宋体"/>
          <w:color w:val="auto"/>
          <w:sz w:val="24"/>
          <w:szCs w:val="24"/>
          <w:highlight w:val="none"/>
          <w:lang w:val="zh-CN"/>
        </w:rPr>
        <w:t>（如采购方要求）供方应向需方提交质量保证金人民币：</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元整（成交总价款的</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%）质量保证金为合同总价款的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zh-CN"/>
        </w:rPr>
        <w:t>%，在货款中扣留。</w:t>
      </w:r>
    </w:p>
    <w:p w14:paraId="00940654">
      <w:pPr>
        <w:wordWrap w:val="0"/>
        <w:adjustRightIn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6.2 供方提交的履约保证金到期后转作质量保证金。</w:t>
      </w:r>
    </w:p>
    <w:p w14:paraId="169888ED">
      <w:pPr>
        <w:wordWrap w:val="0"/>
        <w:adjustRightInd w:val="0"/>
        <w:spacing w:line="4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6.3 质量保证金的有效期到合同规定的质量保证期期满之日止，扣除供方承担质量保证责任的费用后，剩余部分在质量保证期期满后20个工作日内返还，不计利息。如乙方不履行售后服务的有关义务，甲方有权没收质量保证金；对甲方造成损失的，甲方有权要求乙方继续赔偿损失。</w:t>
      </w:r>
    </w:p>
    <w:p w14:paraId="5919AFF3">
      <w:pPr>
        <w:wordWrap w:val="0"/>
        <w:adjustRightInd w:val="0"/>
        <w:spacing w:line="440" w:lineRule="exact"/>
        <w:ind w:firstLine="482" w:firstLineChars="20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7</w:t>
      </w:r>
      <w:r>
        <w:rPr>
          <w:rFonts w:hint="eastAsia" w:ascii="宋体" w:hAnsi="宋体" w:cs="宋体"/>
          <w:b/>
          <w:color w:val="auto"/>
          <w:sz w:val="24"/>
          <w:szCs w:val="24"/>
          <w:highlight w:val="none"/>
          <w:lang w:val="zh-CN"/>
        </w:rPr>
        <w:t>.合同补充条款：</w:t>
      </w:r>
    </w:p>
    <w:p w14:paraId="7FB0855C">
      <w:pPr>
        <w:wordWrap w:val="0"/>
        <w:adjustRightInd w:val="0"/>
        <w:spacing w:line="440" w:lineRule="exact"/>
        <w:ind w:firstLine="482" w:firstLineChars="20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8</w:t>
      </w:r>
      <w:r>
        <w:rPr>
          <w:rFonts w:hint="eastAsia" w:ascii="宋体" w:hAnsi="宋体" w:cs="宋体"/>
          <w:b/>
          <w:color w:val="auto"/>
          <w:sz w:val="24"/>
          <w:szCs w:val="24"/>
          <w:highlight w:val="none"/>
          <w:lang w:val="zh-CN"/>
        </w:rPr>
        <w:t>.争议解决方式：</w:t>
      </w:r>
      <w:r>
        <w:rPr>
          <w:rFonts w:hint="eastAsia" w:ascii="宋体" w:hAnsi="宋体" w:cs="宋体"/>
          <w:color w:val="auto"/>
          <w:sz w:val="24"/>
          <w:szCs w:val="24"/>
          <w:highlight w:val="none"/>
          <w:lang w:val="zh-CN"/>
        </w:rPr>
        <w:t>供需双方达成仲裁协议，向仲裁委员会申请仲裁（向合同签定地人民法院提起诉讼）。</w:t>
      </w:r>
    </w:p>
    <w:p w14:paraId="376AC07E">
      <w:pPr>
        <w:wordWrap w:val="0"/>
        <w:adjustRightInd w:val="0"/>
        <w:spacing w:line="440" w:lineRule="exact"/>
        <w:ind w:firstLine="482" w:firstLineChars="200"/>
        <w:rPr>
          <w:rFonts w:hint="eastAsia" w:ascii="宋体" w:hAnsi="宋体" w:cs="宋体"/>
          <w:color w:val="auto"/>
          <w:sz w:val="24"/>
          <w:szCs w:val="24"/>
          <w:highlight w:val="none"/>
          <w:lang w:val="zh-CN"/>
        </w:rPr>
      </w:pP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．合同构成：</w:t>
      </w:r>
      <w:r>
        <w:rPr>
          <w:rFonts w:hint="eastAsia" w:ascii="宋体" w:hAnsi="宋体" w:cs="宋体"/>
          <w:color w:val="auto"/>
          <w:sz w:val="24"/>
          <w:szCs w:val="24"/>
          <w:highlight w:val="none"/>
          <w:lang w:val="zh-CN"/>
        </w:rPr>
        <w:t>下列文件构成本合同不可分割的组成部分，与本合同具有同等法律效力：</w:t>
      </w:r>
    </w:p>
    <w:p w14:paraId="33E4A303">
      <w:pPr>
        <w:wordWrap w:val="0"/>
        <w:adjustRightInd w:val="0"/>
        <w:spacing w:line="4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本合同书；</w:t>
      </w:r>
    </w:p>
    <w:p w14:paraId="4F026776">
      <w:pPr>
        <w:wordWrap w:val="0"/>
        <w:adjustRightInd w:val="0"/>
        <w:spacing w:line="4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成交通知书；</w:t>
      </w:r>
    </w:p>
    <w:p w14:paraId="7DF1F6CD">
      <w:pPr>
        <w:wordWrap w:val="0"/>
        <w:adjustRightInd w:val="0"/>
        <w:spacing w:line="4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.3</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磋商文件及澄清、修改、补遗文件；</w:t>
      </w:r>
    </w:p>
    <w:p w14:paraId="2731A737">
      <w:pPr>
        <w:wordWrap w:val="0"/>
        <w:adjustRightInd w:val="0"/>
        <w:spacing w:line="4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.4</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供方的响应文件及书面澄清、说明、补正文件；</w:t>
      </w:r>
    </w:p>
    <w:p w14:paraId="456215CB">
      <w:pPr>
        <w:wordWrap w:val="0"/>
        <w:adjustRightInd w:val="0"/>
        <w:spacing w:line="4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 xml:space="preserve">9.5 </w:t>
      </w:r>
      <w:r>
        <w:rPr>
          <w:rFonts w:hint="eastAsia" w:ascii="宋体" w:hAnsi="宋体" w:cs="宋体"/>
          <w:color w:val="auto"/>
          <w:sz w:val="24"/>
          <w:szCs w:val="24"/>
          <w:highlight w:val="none"/>
          <w:lang w:val="zh-CN"/>
        </w:rPr>
        <w:t>合同的其它附件。</w:t>
      </w:r>
    </w:p>
    <w:p w14:paraId="275A200E">
      <w:pPr>
        <w:wordWrap w:val="0"/>
        <w:adjustRightInd w:val="0"/>
        <w:spacing w:line="4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上述组成合同的文件如有不一致之处，以日期在后的为准。</w:t>
      </w:r>
    </w:p>
    <w:p w14:paraId="5BF3846E">
      <w:pPr>
        <w:wordWrap w:val="0"/>
        <w:adjustRightInd w:val="0"/>
        <w:spacing w:line="440" w:lineRule="exact"/>
        <w:ind w:firstLine="482" w:firstLineChars="200"/>
        <w:rPr>
          <w:rFonts w:hint="eastAsia" w:ascii="宋体" w:hAnsi="宋体" w:cs="宋体"/>
          <w:color w:val="auto"/>
          <w:kern w:val="10"/>
          <w:sz w:val="24"/>
          <w:szCs w:val="24"/>
          <w:highlight w:val="none"/>
          <w:lang w:val="zh-CN"/>
        </w:rPr>
      </w:pPr>
      <w:r>
        <w:rPr>
          <w:rFonts w:hint="eastAsia" w:ascii="宋体" w:hAnsi="宋体" w:cs="宋体"/>
          <w:b/>
          <w:color w:val="auto"/>
          <w:sz w:val="24"/>
          <w:szCs w:val="24"/>
          <w:highlight w:val="none"/>
        </w:rPr>
        <w:t>10</w:t>
      </w:r>
      <w:r>
        <w:rPr>
          <w:rFonts w:hint="eastAsia" w:ascii="宋体" w:hAnsi="宋体" w:cs="宋体"/>
          <w:b/>
          <w:color w:val="auto"/>
          <w:sz w:val="24"/>
          <w:szCs w:val="24"/>
          <w:highlight w:val="none"/>
          <w:lang w:val="zh-CN"/>
        </w:rPr>
        <w:t>.</w:t>
      </w:r>
      <w:r>
        <w:rPr>
          <w:rFonts w:hint="eastAsia" w:ascii="宋体" w:hAnsi="宋体" w:cs="宋体"/>
          <w:b/>
          <w:color w:val="auto"/>
          <w:spacing w:val="-20"/>
          <w:sz w:val="24"/>
          <w:szCs w:val="24"/>
          <w:highlight w:val="none"/>
          <w:lang w:val="zh-CN"/>
        </w:rPr>
        <w:t>合同份数</w:t>
      </w:r>
      <w:r>
        <w:rPr>
          <w:rFonts w:hint="eastAsia" w:ascii="宋体" w:hAnsi="宋体" w:cs="宋体"/>
          <w:b/>
          <w:color w:val="auto"/>
          <w:sz w:val="24"/>
          <w:szCs w:val="24"/>
          <w:highlight w:val="none"/>
          <w:lang w:val="zh-CN"/>
        </w:rPr>
        <w:t>：</w:t>
      </w:r>
      <w:r>
        <w:rPr>
          <w:rFonts w:hint="eastAsia" w:ascii="宋体" w:hAnsi="宋体" w:cs="宋体"/>
          <w:color w:val="auto"/>
          <w:kern w:val="10"/>
          <w:sz w:val="24"/>
          <w:szCs w:val="24"/>
          <w:highlight w:val="none"/>
          <w:lang w:val="zh-CN"/>
        </w:rPr>
        <w:t>本合同一式</w:t>
      </w:r>
      <w:r>
        <w:rPr>
          <w:rFonts w:hint="eastAsia" w:ascii="宋体" w:hAnsi="宋体" w:cs="宋体"/>
          <w:color w:val="auto"/>
          <w:kern w:val="10"/>
          <w:sz w:val="24"/>
          <w:szCs w:val="24"/>
          <w:highlight w:val="none"/>
          <w:u w:val="single"/>
          <w:lang w:val="zh-CN"/>
        </w:rPr>
        <w:t xml:space="preserve">            </w:t>
      </w:r>
      <w:r>
        <w:rPr>
          <w:rFonts w:hint="eastAsia" w:ascii="宋体" w:hAnsi="宋体" w:cs="宋体"/>
          <w:color w:val="auto"/>
          <w:kern w:val="10"/>
          <w:sz w:val="24"/>
          <w:szCs w:val="24"/>
          <w:highlight w:val="none"/>
          <w:lang w:val="zh-CN"/>
        </w:rPr>
        <w:t>份，供需双方和相关机构各执一份，另一份作为需方向</w:t>
      </w:r>
      <w:r>
        <w:rPr>
          <w:rFonts w:hint="eastAsia" w:ascii="宋体" w:hAnsi="宋体" w:cs="宋体"/>
          <w:color w:val="auto"/>
          <w:kern w:val="10"/>
          <w:sz w:val="24"/>
          <w:szCs w:val="24"/>
          <w:highlight w:val="none"/>
          <w:u w:val="single"/>
          <w:lang w:val="zh-CN"/>
        </w:rPr>
        <w:t xml:space="preserve">         </w:t>
      </w:r>
      <w:r>
        <w:rPr>
          <w:rFonts w:hint="eastAsia" w:ascii="宋体" w:hAnsi="宋体" w:cs="宋体"/>
          <w:color w:val="auto"/>
          <w:kern w:val="10"/>
          <w:sz w:val="24"/>
          <w:szCs w:val="24"/>
          <w:highlight w:val="none"/>
          <w:lang w:val="zh-CN"/>
        </w:rPr>
        <w:t>提请付款的凭证。</w:t>
      </w:r>
    </w:p>
    <w:p w14:paraId="367E1EF5">
      <w:pPr>
        <w:wordWrap w:val="0"/>
        <w:adjustRightInd w:val="0"/>
        <w:spacing w:line="440" w:lineRule="exact"/>
        <w:ind w:firstLine="482" w:firstLineChars="200"/>
        <w:rPr>
          <w:rFonts w:hint="eastAsia"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zh-CN"/>
        </w:rPr>
        <w:t>.合同生效：</w:t>
      </w:r>
      <w:r>
        <w:rPr>
          <w:rFonts w:hint="eastAsia" w:ascii="宋体" w:hAnsi="宋体" w:cs="宋体"/>
          <w:color w:val="auto"/>
          <w:sz w:val="24"/>
          <w:szCs w:val="24"/>
          <w:highlight w:val="none"/>
          <w:lang w:val="zh-CN"/>
        </w:rPr>
        <w:t>本合同在供需双方法定代表人或其委托代理人签字、加盖公章或者合同专用章后生效，要求提交履约保证金的应在需方收到供方提交的履约保证金后生效。</w:t>
      </w:r>
    </w:p>
    <w:p w14:paraId="08966158">
      <w:pPr>
        <w:wordWrap w:val="0"/>
        <w:adjustRightInd w:val="0"/>
        <w:spacing w:line="440" w:lineRule="exact"/>
        <w:ind w:firstLine="482" w:firstLineChars="200"/>
        <w:rPr>
          <w:rFonts w:hint="eastAsia"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2</w:t>
      </w:r>
      <w:r>
        <w:rPr>
          <w:rFonts w:hint="eastAsia" w:ascii="宋体" w:hAnsi="宋体" w:cs="宋体"/>
          <w:b/>
          <w:color w:val="auto"/>
          <w:sz w:val="24"/>
          <w:szCs w:val="24"/>
          <w:highlight w:val="none"/>
          <w:lang w:val="zh-CN"/>
        </w:rPr>
        <w:t>.合同修改：</w:t>
      </w:r>
      <w:r>
        <w:rPr>
          <w:rFonts w:hint="eastAsia" w:ascii="宋体" w:hAnsi="宋体" w:cs="宋体"/>
          <w:color w:val="auto"/>
          <w:sz w:val="24"/>
          <w:szCs w:val="24"/>
          <w:highlight w:val="none"/>
          <w:lang w:val="zh-CN"/>
        </w:rPr>
        <w:t>除供需双方签署书面修改、补充协议外，本合同条件不得有任何变化或修改。</w:t>
      </w:r>
    </w:p>
    <w:p w14:paraId="67E6D320">
      <w:pPr>
        <w:wordWrap w:val="0"/>
        <w:adjustRightInd w:val="0"/>
        <w:spacing w:line="44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需方：（加盖公章或合同专用章）             </w:t>
      </w:r>
    </w:p>
    <w:p w14:paraId="25655BB7">
      <w:pPr>
        <w:wordWrap w:val="0"/>
        <w:adjustRightInd w:val="0"/>
        <w:spacing w:line="44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地址：                                     </w:t>
      </w:r>
    </w:p>
    <w:p w14:paraId="65D978DD">
      <w:pPr>
        <w:wordWrap w:val="0"/>
        <w:adjustRightInd w:val="0"/>
        <w:spacing w:line="44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 xml:space="preserve">法定代表人或委托代理人：（签字或盖章）     </w:t>
      </w:r>
    </w:p>
    <w:p w14:paraId="3F31B5E4">
      <w:pPr>
        <w:wordWrap w:val="0"/>
        <w:adjustRightIn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联系电话：                                 </w:t>
      </w:r>
    </w:p>
    <w:p w14:paraId="61EA9C0D">
      <w:pPr>
        <w:wordWrap w:val="0"/>
        <w:adjustRightInd w:val="0"/>
        <w:spacing w:after="120" w:afterLines="50" w:line="44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邮政编码：                                 </w:t>
      </w:r>
    </w:p>
    <w:p w14:paraId="08C3235A">
      <w:pPr>
        <w:wordWrap w:val="0"/>
        <w:adjustRightInd w:val="0"/>
        <w:spacing w:line="44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供方：（加盖公章或合同专用章）             </w:t>
      </w:r>
    </w:p>
    <w:p w14:paraId="340AC0E8">
      <w:pPr>
        <w:wordWrap w:val="0"/>
        <w:adjustRightInd w:val="0"/>
        <w:spacing w:line="44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地址：                                     </w:t>
      </w:r>
    </w:p>
    <w:p w14:paraId="1E6C7EC7">
      <w:pPr>
        <w:wordWrap w:val="0"/>
        <w:adjustRightInd w:val="0"/>
        <w:spacing w:line="44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法定代表人或委托代理人：（签字或盖章）      </w:t>
      </w:r>
    </w:p>
    <w:p w14:paraId="05BCE063">
      <w:pPr>
        <w:wordWrap w:val="0"/>
        <w:adjustRightInd w:val="0"/>
        <w:spacing w:line="440" w:lineRule="exact"/>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联系电话：                                 </w:t>
      </w:r>
    </w:p>
    <w:p w14:paraId="0A52A298">
      <w:pPr>
        <w:wordWrap w:val="0"/>
        <w:adjustRightInd w:val="0"/>
        <w:spacing w:line="44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邮政编码：                                 </w:t>
      </w:r>
    </w:p>
    <w:p w14:paraId="4FFE1AAE">
      <w:pPr>
        <w:wordWrap w:val="0"/>
        <w:adjustRightInd w:val="0"/>
        <w:spacing w:line="4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传    真：                                 </w:t>
      </w:r>
    </w:p>
    <w:p w14:paraId="35C4600B">
      <w:pPr>
        <w:wordWrap w:val="0"/>
        <w:adjustRightInd w:val="0"/>
        <w:spacing w:line="44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帐户名称：                                 </w:t>
      </w:r>
    </w:p>
    <w:p w14:paraId="5FBDF932">
      <w:pPr>
        <w:wordWrap w:val="0"/>
        <w:adjustRightInd w:val="0"/>
        <w:spacing w:line="44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开户银行：                                 </w:t>
      </w:r>
    </w:p>
    <w:p w14:paraId="5C36DADD">
      <w:pPr>
        <w:wordWrap w:val="0"/>
        <w:adjustRightInd w:val="0"/>
        <w:spacing w:line="44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帐    号：                                 </w:t>
      </w:r>
    </w:p>
    <w:p w14:paraId="41E96A6C">
      <w:pPr>
        <w:wordWrap w:val="0"/>
        <w:adjustRightInd w:val="0"/>
        <w:spacing w:line="440" w:lineRule="exact"/>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联 系 人：                                 </w:t>
      </w:r>
    </w:p>
    <w:p w14:paraId="4865924F">
      <w:pPr>
        <w:pStyle w:val="18"/>
        <w:wordWrap w:val="0"/>
        <w:rPr>
          <w:rFonts w:hint="eastAsia" w:ascii="宋体" w:hAnsi="宋体" w:cs="宋体"/>
          <w:color w:val="auto"/>
          <w:highlight w:val="none"/>
          <w:lang w:val="zh-CN"/>
        </w:rPr>
      </w:pPr>
    </w:p>
    <w:p w14:paraId="1E698F1B">
      <w:pPr>
        <w:wordWrap w:val="0"/>
        <w:adjustRightInd w:val="0"/>
        <w:spacing w:line="440" w:lineRule="exact"/>
        <w:ind w:firstLine="482"/>
        <w:jc w:val="right"/>
        <w:rPr>
          <w:rFonts w:hint="eastAsia" w:ascii="宋体" w:hAnsi="宋体" w:cs="宋体"/>
          <w:b/>
          <w:color w:val="auto"/>
          <w:sz w:val="24"/>
          <w:szCs w:val="28"/>
          <w:highlight w:val="none"/>
        </w:rPr>
      </w:pPr>
      <w:r>
        <w:rPr>
          <w:rFonts w:hint="eastAsia" w:ascii="宋体" w:hAnsi="宋体" w:cs="宋体"/>
          <w:color w:val="auto"/>
          <w:sz w:val="24"/>
          <w:szCs w:val="24"/>
          <w:highlight w:val="none"/>
          <w:lang w:val="zh-CN"/>
        </w:rPr>
        <w:t>签约时间：   年   月   日</w:t>
      </w:r>
    </w:p>
    <w:p w14:paraId="1361C824">
      <w:pPr>
        <w:pStyle w:val="18"/>
        <w:wordWrap w:val="0"/>
        <w:spacing w:after="0" w:line="440" w:lineRule="exact"/>
        <w:rPr>
          <w:rFonts w:hint="eastAsia" w:ascii="宋体" w:hAnsi="宋体" w:cs="宋体"/>
          <w:color w:val="auto"/>
          <w:sz w:val="24"/>
          <w:szCs w:val="24"/>
          <w:highlight w:val="none"/>
          <w:lang w:val="zh-CN"/>
        </w:rPr>
      </w:pPr>
      <w:r>
        <w:rPr>
          <w:rFonts w:hint="eastAsia" w:ascii="宋体" w:hAnsi="宋体" w:cs="宋体"/>
          <w:b/>
          <w:color w:val="auto"/>
          <w:sz w:val="24"/>
          <w:szCs w:val="28"/>
          <w:highlight w:val="none"/>
        </w:rPr>
        <w:t>注：本合同条款仅供参考，最终以甲方提供的样本并经甲乙双方协商一致的合同为准。</w:t>
      </w:r>
    </w:p>
    <w:p w14:paraId="22D65760">
      <w:pPr>
        <w:pStyle w:val="18"/>
        <w:wordWrap w:val="0"/>
        <w:spacing w:afterLines="50"/>
        <w:jc w:val="center"/>
        <w:rPr>
          <w:rFonts w:hint="eastAsia" w:ascii="宋体" w:hAnsi="宋体" w:cs="宋体"/>
          <w:color w:val="auto"/>
          <w:highlight w:val="none"/>
        </w:rPr>
      </w:pPr>
      <w:r>
        <w:rPr>
          <w:rFonts w:hint="eastAsia" w:ascii="宋体" w:hAnsi="宋体" w:cs="宋体"/>
          <w:color w:val="auto"/>
          <w:sz w:val="24"/>
          <w:szCs w:val="24"/>
          <w:highlight w:val="none"/>
          <w:lang w:val="zh-CN"/>
        </w:rPr>
        <w:br w:type="page"/>
      </w:r>
      <w:bookmarkStart w:id="74" w:name="_Toc5702"/>
      <w:bookmarkStart w:id="75" w:name="_Toc15759"/>
      <w:bookmarkStart w:id="76" w:name="_Toc25346"/>
      <w:bookmarkStart w:id="77" w:name="_Toc5808"/>
      <w:bookmarkStart w:id="78" w:name="_Toc22093"/>
      <w:bookmarkStart w:id="79" w:name="_Toc26328"/>
      <w:bookmarkStart w:id="80" w:name="_Toc18337"/>
      <w:r>
        <w:rPr>
          <w:rStyle w:val="65"/>
          <w:rFonts w:hint="eastAsia" w:ascii="宋体" w:hAnsi="宋体" w:cs="宋体"/>
          <w:color w:val="auto"/>
          <w:highlight w:val="none"/>
        </w:rPr>
        <w:t xml:space="preserve">第六章  </w:t>
      </w:r>
      <w:r>
        <w:rPr>
          <w:rStyle w:val="65"/>
          <w:rFonts w:hint="eastAsia" w:ascii="宋体" w:hAnsi="宋体" w:cs="宋体"/>
          <w:color w:val="auto"/>
          <w:highlight w:val="none"/>
          <w:lang w:eastAsia="zh-CN"/>
        </w:rPr>
        <w:t>响应文件</w:t>
      </w:r>
      <w:r>
        <w:rPr>
          <w:rStyle w:val="65"/>
          <w:rFonts w:hint="eastAsia" w:ascii="宋体" w:hAnsi="宋体" w:cs="宋体"/>
          <w:color w:val="auto"/>
          <w:highlight w:val="none"/>
        </w:rPr>
        <w:t>格式</w:t>
      </w:r>
      <w:bookmarkEnd w:id="74"/>
      <w:bookmarkEnd w:id="75"/>
      <w:bookmarkEnd w:id="76"/>
      <w:bookmarkEnd w:id="77"/>
      <w:bookmarkEnd w:id="78"/>
      <w:bookmarkEnd w:id="79"/>
      <w:bookmarkEnd w:id="80"/>
    </w:p>
    <w:p w14:paraId="10FE204D">
      <w:pPr>
        <w:wordWrap w:val="0"/>
        <w:ind w:right="960"/>
        <w:rPr>
          <w:rFonts w:hint="eastAsia" w:ascii="宋体" w:hAnsi="宋体" w:cs="宋体"/>
          <w:color w:val="auto"/>
          <w:sz w:val="48"/>
          <w:highlight w:val="none"/>
        </w:rPr>
      </w:pPr>
    </w:p>
    <w:p w14:paraId="0164E30D">
      <w:pPr>
        <w:pStyle w:val="18"/>
        <w:wordWrap w:val="0"/>
        <w:rPr>
          <w:rFonts w:hint="eastAsia" w:ascii="宋体" w:hAnsi="宋体" w:cs="宋体"/>
          <w:color w:val="auto"/>
          <w:highlight w:val="none"/>
        </w:rPr>
      </w:pPr>
    </w:p>
    <w:p w14:paraId="74BD9C00">
      <w:pPr>
        <w:wordWrap w:val="0"/>
        <w:jc w:val="center"/>
        <w:rPr>
          <w:rFonts w:hint="eastAsia" w:ascii="宋体" w:hAnsi="宋体" w:cs="宋体"/>
          <w:b/>
          <w:color w:val="auto"/>
          <w:sz w:val="44"/>
          <w:szCs w:val="36"/>
          <w:highlight w:val="none"/>
        </w:rPr>
      </w:pPr>
      <w:r>
        <w:rPr>
          <w:rFonts w:hint="eastAsia" w:ascii="宋体" w:hAnsi="宋体" w:cs="宋体"/>
          <w:b/>
          <w:color w:val="auto"/>
          <w:sz w:val="44"/>
          <w:szCs w:val="36"/>
          <w:highlight w:val="none"/>
          <w:u w:val="single"/>
        </w:rPr>
        <w:t xml:space="preserve">                        </w:t>
      </w:r>
      <w:r>
        <w:rPr>
          <w:rFonts w:hint="eastAsia" w:ascii="宋体" w:hAnsi="宋体" w:cs="宋体"/>
          <w:b/>
          <w:color w:val="auto"/>
          <w:sz w:val="44"/>
          <w:szCs w:val="36"/>
          <w:highlight w:val="none"/>
        </w:rPr>
        <w:t>（项目名称）</w:t>
      </w:r>
    </w:p>
    <w:p w14:paraId="56049343">
      <w:pPr>
        <w:wordWrap w:val="0"/>
        <w:rPr>
          <w:rFonts w:hint="eastAsia" w:ascii="宋体" w:hAnsi="宋体" w:cs="宋体"/>
          <w:b/>
          <w:color w:val="auto"/>
          <w:sz w:val="36"/>
          <w:szCs w:val="36"/>
          <w:highlight w:val="none"/>
        </w:rPr>
      </w:pPr>
    </w:p>
    <w:p w14:paraId="6A367E98">
      <w:pPr>
        <w:pStyle w:val="18"/>
        <w:wordWrap w:val="0"/>
        <w:rPr>
          <w:rFonts w:hint="eastAsia" w:ascii="宋体" w:hAnsi="宋体" w:cs="宋体"/>
          <w:color w:val="auto"/>
          <w:highlight w:val="none"/>
        </w:rPr>
      </w:pPr>
    </w:p>
    <w:p w14:paraId="26C6074D">
      <w:pPr>
        <w:pStyle w:val="18"/>
        <w:wordWrap w:val="0"/>
        <w:spacing w:before="13"/>
        <w:rPr>
          <w:rFonts w:hint="eastAsia" w:ascii="宋体" w:hAnsi="宋体" w:cs="宋体"/>
          <w:color w:val="auto"/>
          <w:sz w:val="25"/>
          <w:highlight w:val="none"/>
        </w:rPr>
      </w:pPr>
    </w:p>
    <w:p w14:paraId="1A9C5E48">
      <w:pPr>
        <w:pStyle w:val="18"/>
        <w:wordWrap w:val="0"/>
        <w:spacing w:before="13"/>
        <w:rPr>
          <w:rFonts w:hint="eastAsia" w:ascii="宋体" w:hAnsi="宋体" w:cs="宋体"/>
          <w:color w:val="auto"/>
          <w:sz w:val="25"/>
          <w:highlight w:val="none"/>
        </w:rPr>
      </w:pPr>
    </w:p>
    <w:p w14:paraId="54CE9AF2">
      <w:pPr>
        <w:wordWrap w:val="0"/>
        <w:rPr>
          <w:rFonts w:hint="eastAsia" w:ascii="宋体" w:hAnsi="宋体" w:cs="宋体"/>
          <w:b/>
          <w:color w:val="auto"/>
          <w:sz w:val="84"/>
          <w:szCs w:val="84"/>
          <w:highlight w:val="none"/>
        </w:rPr>
      </w:pPr>
    </w:p>
    <w:p w14:paraId="0DF332ED">
      <w:pPr>
        <w:wordWrap w:val="0"/>
        <w:jc w:val="center"/>
        <w:rPr>
          <w:rFonts w:hint="eastAsia" w:ascii="宋体" w:hAnsi="宋体" w:cs="宋体"/>
          <w:b/>
          <w:color w:val="auto"/>
          <w:sz w:val="84"/>
          <w:szCs w:val="84"/>
          <w:highlight w:val="none"/>
        </w:rPr>
      </w:pPr>
      <w:r>
        <w:rPr>
          <w:rFonts w:hint="eastAsia" w:ascii="宋体" w:hAnsi="宋体" w:cs="宋体"/>
          <w:b/>
          <w:color w:val="auto"/>
          <w:sz w:val="84"/>
          <w:szCs w:val="84"/>
          <w:highlight w:val="none"/>
        </w:rPr>
        <w:t>响 应 文 件</w:t>
      </w:r>
    </w:p>
    <w:p w14:paraId="1BD9A970">
      <w:pPr>
        <w:wordWrap w:val="0"/>
        <w:rPr>
          <w:rFonts w:hint="eastAsia" w:ascii="宋体" w:hAnsi="宋体" w:cs="宋体"/>
          <w:color w:val="auto"/>
          <w:sz w:val="36"/>
          <w:highlight w:val="none"/>
        </w:rPr>
      </w:pPr>
    </w:p>
    <w:p w14:paraId="2CA51628">
      <w:pPr>
        <w:wordWrap w:val="0"/>
        <w:ind w:firstLine="2783" w:firstLineChars="990"/>
        <w:rPr>
          <w:rFonts w:hint="eastAsia" w:ascii="宋体" w:hAnsi="宋体" w:cs="宋体"/>
          <w:b/>
          <w:color w:val="auto"/>
          <w:sz w:val="28"/>
          <w:szCs w:val="28"/>
          <w:highlight w:val="none"/>
        </w:rPr>
      </w:pPr>
      <w:r>
        <w:rPr>
          <w:rFonts w:hint="eastAsia" w:ascii="宋体" w:hAnsi="宋体" w:cs="宋体"/>
          <w:b/>
          <w:color w:val="auto"/>
          <w:sz w:val="28"/>
          <w:szCs w:val="28"/>
          <w:highlight w:val="none"/>
        </w:rPr>
        <w:t>项目编号：</w:t>
      </w:r>
    </w:p>
    <w:p w14:paraId="29DF7520">
      <w:pPr>
        <w:wordWrap w:val="0"/>
        <w:rPr>
          <w:rFonts w:hint="eastAsia" w:ascii="宋体" w:hAnsi="宋体" w:cs="宋体"/>
          <w:color w:val="auto"/>
          <w:sz w:val="32"/>
          <w:highlight w:val="none"/>
        </w:rPr>
      </w:pPr>
    </w:p>
    <w:p w14:paraId="72FC38E4">
      <w:pPr>
        <w:pStyle w:val="18"/>
        <w:wordWrap w:val="0"/>
        <w:rPr>
          <w:rFonts w:hint="eastAsia" w:ascii="宋体" w:hAnsi="宋体" w:cs="宋体"/>
          <w:color w:val="auto"/>
          <w:highlight w:val="none"/>
        </w:rPr>
      </w:pPr>
    </w:p>
    <w:p w14:paraId="3EED7828">
      <w:pPr>
        <w:pStyle w:val="18"/>
        <w:wordWrap w:val="0"/>
        <w:rPr>
          <w:rFonts w:hint="eastAsia" w:ascii="宋体" w:hAnsi="宋体" w:cs="宋体"/>
          <w:color w:val="auto"/>
          <w:sz w:val="32"/>
          <w:highlight w:val="none"/>
        </w:rPr>
      </w:pPr>
    </w:p>
    <w:p w14:paraId="68CDA189">
      <w:pPr>
        <w:pStyle w:val="18"/>
        <w:wordWrap w:val="0"/>
        <w:rPr>
          <w:rFonts w:hint="eastAsia" w:ascii="宋体" w:hAnsi="宋体" w:cs="宋体"/>
          <w:color w:val="auto"/>
          <w:sz w:val="32"/>
          <w:highlight w:val="none"/>
        </w:rPr>
      </w:pPr>
    </w:p>
    <w:p w14:paraId="53C02B5F">
      <w:pPr>
        <w:pStyle w:val="18"/>
        <w:wordWrap w:val="0"/>
        <w:rPr>
          <w:rFonts w:hint="eastAsia" w:ascii="宋体" w:hAnsi="宋体" w:cs="宋体"/>
          <w:color w:val="auto"/>
          <w:sz w:val="32"/>
          <w:highlight w:val="none"/>
        </w:rPr>
      </w:pPr>
    </w:p>
    <w:p w14:paraId="7E0A5FA1">
      <w:pPr>
        <w:wordWrap w:val="0"/>
        <w:rPr>
          <w:rFonts w:hint="eastAsia" w:ascii="宋体" w:hAnsi="宋体" w:cs="宋体"/>
          <w:color w:val="auto"/>
          <w:sz w:val="32"/>
          <w:highlight w:val="none"/>
        </w:rPr>
      </w:pPr>
    </w:p>
    <w:p w14:paraId="54E045C6">
      <w:pPr>
        <w:wordWrap w:val="0"/>
        <w:spacing w:line="360" w:lineRule="auto"/>
        <w:jc w:val="center"/>
        <w:rPr>
          <w:rFonts w:hint="eastAsia" w:ascii="宋体" w:hAnsi="宋体" w:cs="宋体"/>
          <w:color w:val="auto"/>
          <w:kern w:val="0"/>
          <w:sz w:val="32"/>
          <w:szCs w:val="32"/>
          <w:highlight w:val="none"/>
        </w:rPr>
      </w:pPr>
    </w:p>
    <w:p w14:paraId="25641B77">
      <w:pPr>
        <w:wordWrap w:val="0"/>
        <w:spacing w:line="480" w:lineRule="auto"/>
        <w:ind w:firstLine="400"/>
        <w:rPr>
          <w:rFonts w:hint="eastAsia" w:ascii="宋体" w:hAnsi="宋体" w:cs="宋体"/>
          <w:b/>
          <w:bCs/>
          <w:color w:val="auto"/>
          <w:kern w:val="0"/>
          <w:sz w:val="32"/>
          <w:szCs w:val="32"/>
          <w:highlight w:val="none"/>
          <w:u w:val="single"/>
        </w:rPr>
      </w:pPr>
      <w:r>
        <w:rPr>
          <w:rFonts w:hint="eastAsia" w:ascii="宋体" w:hAnsi="宋体" w:cs="宋体"/>
          <w:b/>
          <w:bCs/>
          <w:color w:val="auto"/>
          <w:kern w:val="0"/>
          <w:sz w:val="32"/>
          <w:szCs w:val="32"/>
          <w:highlight w:val="none"/>
        </w:rPr>
        <w:t>供应商：</w:t>
      </w:r>
      <w:r>
        <w:rPr>
          <w:rFonts w:hint="eastAsia" w:ascii="宋体" w:hAnsi="宋体" w:cs="宋体"/>
          <w:b/>
          <w:bCs/>
          <w:color w:val="auto"/>
          <w:kern w:val="0"/>
          <w:sz w:val="32"/>
          <w:szCs w:val="32"/>
          <w:highlight w:val="none"/>
          <w:u w:val="single"/>
        </w:rPr>
        <w:t xml:space="preserve">                            </w:t>
      </w:r>
      <w:r>
        <w:rPr>
          <w:rFonts w:hint="eastAsia" w:ascii="宋体" w:hAnsi="宋体" w:cs="宋体"/>
          <w:b/>
          <w:bCs/>
          <w:color w:val="auto"/>
          <w:kern w:val="0"/>
          <w:sz w:val="32"/>
          <w:szCs w:val="32"/>
          <w:highlight w:val="none"/>
        </w:rPr>
        <w:t>（盖单位章）</w:t>
      </w:r>
    </w:p>
    <w:p w14:paraId="203A5144">
      <w:pPr>
        <w:wordWrap w:val="0"/>
        <w:spacing w:line="480" w:lineRule="auto"/>
        <w:ind w:firstLine="400"/>
        <w:jc w:val="left"/>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法定代表人或其委托代理人：</w:t>
      </w:r>
      <w:r>
        <w:rPr>
          <w:rFonts w:hint="eastAsia" w:ascii="宋体" w:hAnsi="宋体" w:cs="宋体"/>
          <w:b/>
          <w:bCs/>
          <w:color w:val="auto"/>
          <w:kern w:val="0"/>
          <w:sz w:val="32"/>
          <w:szCs w:val="32"/>
          <w:highlight w:val="none"/>
          <w:u w:val="single"/>
        </w:rPr>
        <w:t xml:space="preserve">              </w:t>
      </w:r>
      <w:r>
        <w:rPr>
          <w:rFonts w:hint="eastAsia" w:ascii="宋体" w:hAnsi="宋体" w:cs="宋体"/>
          <w:b/>
          <w:bCs/>
          <w:color w:val="auto"/>
          <w:kern w:val="0"/>
          <w:sz w:val="32"/>
          <w:szCs w:val="32"/>
          <w:highlight w:val="none"/>
        </w:rPr>
        <w:t>（签字）</w:t>
      </w:r>
    </w:p>
    <w:p w14:paraId="7DCB44F4">
      <w:pPr>
        <w:tabs>
          <w:tab w:val="left" w:pos="1365"/>
        </w:tabs>
        <w:wordWrap w:val="0"/>
        <w:spacing w:line="360" w:lineRule="auto"/>
        <w:jc w:val="center"/>
        <w:rPr>
          <w:rFonts w:hint="eastAsia" w:ascii="宋体" w:hAnsi="宋体" w:cs="宋体"/>
          <w:color w:val="auto"/>
          <w:highlight w:val="none"/>
        </w:rPr>
      </w:pPr>
      <w:r>
        <w:rPr>
          <w:rFonts w:hint="eastAsia" w:ascii="宋体" w:hAnsi="宋体" w:cs="宋体"/>
          <w:b/>
          <w:bCs/>
          <w:color w:val="auto"/>
          <w:kern w:val="0"/>
          <w:sz w:val="32"/>
          <w:szCs w:val="32"/>
          <w:highlight w:val="none"/>
          <w:u w:val="single"/>
        </w:rPr>
        <w:t xml:space="preserve">        </w:t>
      </w:r>
      <w:r>
        <w:rPr>
          <w:rFonts w:hint="eastAsia" w:ascii="宋体" w:hAnsi="宋体" w:cs="宋体"/>
          <w:b/>
          <w:bCs/>
          <w:color w:val="auto"/>
          <w:kern w:val="0"/>
          <w:sz w:val="32"/>
          <w:szCs w:val="32"/>
          <w:highlight w:val="none"/>
        </w:rPr>
        <w:t>年</w:t>
      </w:r>
      <w:r>
        <w:rPr>
          <w:rFonts w:hint="eastAsia" w:ascii="宋体" w:hAnsi="宋体" w:cs="宋体"/>
          <w:b/>
          <w:bCs/>
          <w:color w:val="auto"/>
          <w:kern w:val="0"/>
          <w:sz w:val="32"/>
          <w:szCs w:val="32"/>
          <w:highlight w:val="none"/>
          <w:u w:val="single"/>
        </w:rPr>
        <w:t xml:space="preserve">       </w:t>
      </w:r>
      <w:r>
        <w:rPr>
          <w:rFonts w:hint="eastAsia" w:ascii="宋体" w:hAnsi="宋体" w:cs="宋体"/>
          <w:b/>
          <w:bCs/>
          <w:color w:val="auto"/>
          <w:kern w:val="0"/>
          <w:sz w:val="32"/>
          <w:szCs w:val="32"/>
          <w:highlight w:val="none"/>
        </w:rPr>
        <w:t>月</w:t>
      </w:r>
      <w:r>
        <w:rPr>
          <w:rFonts w:hint="eastAsia" w:ascii="宋体" w:hAnsi="宋体" w:cs="宋体"/>
          <w:b/>
          <w:bCs/>
          <w:color w:val="auto"/>
          <w:kern w:val="0"/>
          <w:sz w:val="32"/>
          <w:szCs w:val="32"/>
          <w:highlight w:val="none"/>
          <w:u w:val="single"/>
        </w:rPr>
        <w:t xml:space="preserve">       </w:t>
      </w:r>
      <w:r>
        <w:rPr>
          <w:rFonts w:hint="eastAsia" w:ascii="宋体" w:hAnsi="宋体" w:cs="宋体"/>
          <w:b/>
          <w:bCs/>
          <w:color w:val="auto"/>
          <w:kern w:val="0"/>
          <w:sz w:val="32"/>
          <w:szCs w:val="32"/>
          <w:highlight w:val="none"/>
        </w:rPr>
        <w:t>日</w:t>
      </w:r>
    </w:p>
    <w:p w14:paraId="7D2B2247">
      <w:pPr>
        <w:tabs>
          <w:tab w:val="left" w:pos="1365"/>
        </w:tabs>
        <w:wordWrap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r>
        <w:rPr>
          <w:rFonts w:hint="eastAsia" w:ascii="宋体" w:hAnsi="宋体" w:cs="宋体"/>
          <w:b/>
          <w:color w:val="auto"/>
          <w:sz w:val="36"/>
          <w:szCs w:val="36"/>
          <w:highlight w:val="none"/>
        </w:rPr>
        <w:t>目  录</w:t>
      </w:r>
    </w:p>
    <w:p w14:paraId="5708975C">
      <w:pPr>
        <w:tabs>
          <w:tab w:val="left" w:pos="1365"/>
        </w:tabs>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一、投标函及投标函附录</w:t>
      </w:r>
    </w:p>
    <w:p w14:paraId="26E3D258">
      <w:pPr>
        <w:tabs>
          <w:tab w:val="left" w:pos="1365"/>
        </w:tabs>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二、法定代表人身份证明</w:t>
      </w:r>
    </w:p>
    <w:p w14:paraId="183ADD63">
      <w:pPr>
        <w:tabs>
          <w:tab w:val="left" w:pos="1365"/>
        </w:tabs>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三、授权委托书</w:t>
      </w:r>
    </w:p>
    <w:p w14:paraId="7987934F">
      <w:pPr>
        <w:tabs>
          <w:tab w:val="left" w:pos="1365"/>
        </w:tabs>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四、开标一览表</w:t>
      </w:r>
    </w:p>
    <w:p w14:paraId="47C35A65">
      <w:pPr>
        <w:tabs>
          <w:tab w:val="left" w:pos="1365"/>
        </w:tabs>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五、投标报价明细表</w:t>
      </w:r>
    </w:p>
    <w:p w14:paraId="42E6B347">
      <w:pPr>
        <w:tabs>
          <w:tab w:val="left" w:pos="1365"/>
        </w:tabs>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六、商务条款偏离表</w:t>
      </w:r>
    </w:p>
    <w:p w14:paraId="5BA92A88">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七、服务响应及偏离表</w:t>
      </w:r>
    </w:p>
    <w:p w14:paraId="0F9820B2">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八、供应商资格证明文件</w:t>
      </w:r>
    </w:p>
    <w:p w14:paraId="1C51245E">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九、供应商基本情况</w:t>
      </w:r>
    </w:p>
    <w:p w14:paraId="7382D2F1">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十、确保服务质量承诺书</w:t>
      </w:r>
    </w:p>
    <w:p w14:paraId="56ACCCE0">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十</w:t>
      </w:r>
      <w:r>
        <w:rPr>
          <w:rFonts w:hint="eastAsia" w:ascii="宋体" w:hAnsi="宋体" w:cs="宋体"/>
          <w:color w:val="auto"/>
          <w:sz w:val="24"/>
          <w:szCs w:val="24"/>
          <w:highlight w:val="none"/>
          <w:lang w:eastAsia="zh-CN"/>
        </w:rPr>
        <w:t>一</w:t>
      </w:r>
      <w:r>
        <w:rPr>
          <w:rFonts w:hint="eastAsia" w:ascii="宋体" w:hAnsi="宋体" w:cs="宋体"/>
          <w:color w:val="auto"/>
          <w:sz w:val="24"/>
          <w:szCs w:val="24"/>
          <w:highlight w:val="none"/>
        </w:rPr>
        <w:t>、中小企业声明函（服务）</w:t>
      </w:r>
    </w:p>
    <w:p w14:paraId="3681FF1B">
      <w:pPr>
        <w:wordWrap w:val="0"/>
        <w:spacing w:line="360" w:lineRule="auto"/>
        <w:rPr>
          <w:rFonts w:hint="eastAsia" w:ascii="宋体" w:hAnsi="宋体" w:cs="宋体"/>
          <w:b/>
          <w:color w:val="auto"/>
          <w:sz w:val="32"/>
          <w:szCs w:val="32"/>
          <w:highlight w:val="none"/>
        </w:rPr>
      </w:pPr>
      <w:r>
        <w:rPr>
          <w:rFonts w:hint="eastAsia" w:ascii="宋体" w:hAnsi="宋体" w:cs="宋体"/>
          <w:color w:val="auto"/>
          <w:sz w:val="24"/>
          <w:szCs w:val="24"/>
          <w:highlight w:val="none"/>
        </w:rPr>
        <w:t>十</w:t>
      </w:r>
      <w:r>
        <w:rPr>
          <w:rFonts w:hint="eastAsia" w:ascii="宋体" w:hAnsi="宋体" w:cs="宋体"/>
          <w:color w:val="auto"/>
          <w:sz w:val="24"/>
          <w:szCs w:val="24"/>
          <w:highlight w:val="none"/>
          <w:lang w:eastAsia="zh-CN"/>
        </w:rPr>
        <w:t>二</w:t>
      </w:r>
      <w:r>
        <w:rPr>
          <w:rFonts w:hint="eastAsia" w:ascii="宋体" w:hAnsi="宋体" w:cs="宋体"/>
          <w:color w:val="auto"/>
          <w:sz w:val="24"/>
          <w:szCs w:val="24"/>
          <w:highlight w:val="none"/>
        </w:rPr>
        <w:t>、供应商认为需要提供的其他材料</w:t>
      </w:r>
    </w:p>
    <w:p w14:paraId="6FA568BD">
      <w:pPr>
        <w:wordWrap w:val="0"/>
        <w:spacing w:line="360" w:lineRule="auto"/>
        <w:rPr>
          <w:rFonts w:hint="eastAsia" w:ascii="宋体" w:hAnsi="宋体" w:cs="宋体"/>
          <w:b/>
          <w:color w:val="auto"/>
          <w:sz w:val="32"/>
          <w:szCs w:val="32"/>
          <w:highlight w:val="none"/>
        </w:rPr>
      </w:pPr>
    </w:p>
    <w:p w14:paraId="46034A42">
      <w:pPr>
        <w:tabs>
          <w:tab w:val="left" w:pos="1365"/>
        </w:tabs>
        <w:wordWrap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一、投标函及投标函附表</w:t>
      </w:r>
    </w:p>
    <w:p w14:paraId="05FED620">
      <w:pPr>
        <w:tabs>
          <w:tab w:val="left" w:pos="1365"/>
        </w:tabs>
        <w:wordWrap w:val="0"/>
        <w:spacing w:line="360" w:lineRule="auto"/>
        <w:jc w:val="left"/>
        <w:rPr>
          <w:rFonts w:hint="eastAsia" w:ascii="宋体" w:hAnsi="宋体" w:cs="宋体"/>
          <w:b/>
          <w:color w:val="auto"/>
          <w:sz w:val="32"/>
          <w:szCs w:val="32"/>
          <w:highlight w:val="none"/>
        </w:rPr>
      </w:pPr>
      <w:r>
        <w:rPr>
          <w:rFonts w:hint="eastAsia" w:ascii="宋体" w:hAnsi="宋体" w:cs="宋体"/>
          <w:b/>
          <w:color w:val="auto"/>
          <w:sz w:val="28"/>
          <w:szCs w:val="28"/>
          <w:highlight w:val="none"/>
        </w:rPr>
        <w:t>（一）投标函</w:t>
      </w:r>
    </w:p>
    <w:p w14:paraId="1148533C">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（采购人名称）</w:t>
      </w:r>
    </w:p>
    <w:p w14:paraId="1C8EDD01">
      <w:pPr>
        <w:wordWrap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（供应商名称）正式授权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（姓名和职务）为我方代表，参加贵方组织的招标的有关活动，并对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（项目名称及项目编号）进行投标，现已按磋商文件要求上传提交响应文件，</w:t>
      </w:r>
      <w:r>
        <w:rPr>
          <w:rFonts w:hint="eastAsia" w:ascii="宋体" w:hAnsi="宋体" w:cs="宋体"/>
          <w:color w:val="auto"/>
          <w:sz w:val="24"/>
          <w:szCs w:val="24"/>
          <w:highlight w:val="none"/>
          <w:lang w:val="zh-CN"/>
        </w:rPr>
        <w:t>并保证所提供的全部文件是真实的、有效的和准确的</w:t>
      </w:r>
      <w:r>
        <w:rPr>
          <w:rFonts w:hint="eastAsia" w:ascii="宋体" w:hAnsi="宋体" w:cs="宋体"/>
          <w:color w:val="auto"/>
          <w:sz w:val="24"/>
          <w:szCs w:val="24"/>
          <w:highlight w:val="none"/>
        </w:rPr>
        <w:t>。</w:t>
      </w:r>
    </w:p>
    <w:p w14:paraId="282A8E49">
      <w:pPr>
        <w:wordWrap w:val="0"/>
        <w:adjustRightInd w:val="0"/>
        <w:spacing w:line="360" w:lineRule="auto"/>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为此</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我方</w:t>
      </w:r>
      <w:r>
        <w:rPr>
          <w:rFonts w:hint="eastAsia" w:ascii="宋体" w:hAnsi="宋体" w:cs="宋体"/>
          <w:color w:val="auto"/>
          <w:sz w:val="24"/>
          <w:szCs w:val="24"/>
          <w:highlight w:val="none"/>
          <w:lang w:val="zh-CN"/>
        </w:rPr>
        <w:t>同意如下：</w:t>
      </w:r>
    </w:p>
    <w:p w14:paraId="60E57282">
      <w:pPr>
        <w:tabs>
          <w:tab w:val="left" w:pos="8175"/>
        </w:tabs>
        <w:wordWrap w:val="0"/>
        <w:adjustRightInd w:val="0"/>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color w:val="auto"/>
          <w:highlight w:val="none"/>
        </w:rPr>
        <w:t xml:space="preserve"> </w:t>
      </w:r>
      <w:r>
        <w:rPr>
          <w:rFonts w:hint="eastAsia" w:ascii="宋体" w:hAnsi="宋体" w:cs="宋体"/>
          <w:color w:val="auto"/>
          <w:sz w:val="24"/>
          <w:szCs w:val="24"/>
          <w:highlight w:val="none"/>
          <w:lang w:val="zh-CN"/>
        </w:rPr>
        <w:t>按招标文件规定提供服务的投标报价：</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。服务期限</w:t>
      </w:r>
      <w:r>
        <w:rPr>
          <w:rFonts w:hint="eastAsia" w:ascii="宋体" w:hAnsi="宋体" w:cs="宋体"/>
          <w:color w:val="auto"/>
          <w:sz w:val="24"/>
          <w:szCs w:val="24"/>
          <w:highlight w:val="none"/>
        </w:rPr>
        <w:t>为</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zh-CN"/>
        </w:rPr>
        <w:t>。</w:t>
      </w:r>
    </w:p>
    <w:p w14:paraId="59A5CC4E">
      <w:pPr>
        <w:tabs>
          <w:tab w:val="left" w:pos="8175"/>
        </w:tabs>
        <w:wordWrap w:val="0"/>
        <w:adjustRightInd w:val="0"/>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2.如果我方中标，我</w:t>
      </w:r>
      <w:r>
        <w:rPr>
          <w:rFonts w:hint="eastAsia" w:ascii="宋体" w:hAnsi="宋体" w:cs="宋体"/>
          <w:color w:val="auto"/>
          <w:sz w:val="24"/>
          <w:szCs w:val="24"/>
          <w:highlight w:val="none"/>
        </w:rPr>
        <w:t>方</w:t>
      </w:r>
      <w:r>
        <w:rPr>
          <w:rFonts w:hint="eastAsia" w:ascii="宋体" w:hAnsi="宋体" w:cs="宋体"/>
          <w:color w:val="auto"/>
          <w:sz w:val="24"/>
          <w:szCs w:val="24"/>
          <w:highlight w:val="none"/>
          <w:lang w:val="zh-CN"/>
        </w:rPr>
        <w:t>保证</w:t>
      </w:r>
      <w:r>
        <w:rPr>
          <w:rFonts w:hint="eastAsia" w:ascii="宋体" w:hAnsi="宋体" w:cs="宋体"/>
          <w:color w:val="auto"/>
          <w:sz w:val="24"/>
          <w:szCs w:val="24"/>
          <w:highlight w:val="none"/>
        </w:rPr>
        <w:t>忠诚地执行双方所签订的合同，并承担合同规定的责任和义务。</w:t>
      </w:r>
    </w:p>
    <w:p w14:paraId="6E678ADC">
      <w:pPr>
        <w:wordWrap w:val="0"/>
        <w:adjustRightInd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rPr>
        <w:t>.如果我方中标，我方保证按照磋商文件规定提交履约保证金，承担履约责任，</w:t>
      </w:r>
      <w:r>
        <w:rPr>
          <w:rFonts w:hint="eastAsia" w:ascii="宋体" w:hAnsi="宋体" w:cs="宋体"/>
          <w:color w:val="auto"/>
          <w:sz w:val="24"/>
          <w:szCs w:val="24"/>
          <w:highlight w:val="none"/>
        </w:rPr>
        <w:t>保证按时签定合同并于合同签字生效后立即开始依合同要求履行相关义务。</w:t>
      </w:r>
    </w:p>
    <w:p w14:paraId="21915A0B">
      <w:pPr>
        <w:wordWrap w:val="0"/>
        <w:adjustRightInd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rPr>
        <w:t>.我们已详细阅读了全部磋商文件，包括磋商文件的修改、补充文件、参考资料及有关的附件，我们接受磋商文件的全部条款和条件，</w:t>
      </w:r>
      <w:r>
        <w:rPr>
          <w:rFonts w:hint="eastAsia" w:ascii="宋体" w:hAnsi="宋体" w:cs="宋体"/>
          <w:color w:val="auto"/>
          <w:sz w:val="24"/>
          <w:szCs w:val="24"/>
          <w:highlight w:val="none"/>
        </w:rPr>
        <w:t>并严格按照磋商文件要求编制投标书和履行一切必要手续，如因未实质性响应磋商文件造成无效投标的后果愿自行承担。</w:t>
      </w:r>
    </w:p>
    <w:p w14:paraId="2246CD23">
      <w:pPr>
        <w:wordWrap w:val="0"/>
        <w:adjustRightInd w:val="0"/>
        <w:spacing w:line="360" w:lineRule="auto"/>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rPr>
        <w:t>.我们对磋商文件关于时限、程序方面的规定没有异议，保证按照磋商文件规定的时限和程序参加投标活动。</w:t>
      </w:r>
    </w:p>
    <w:p w14:paraId="0B337876">
      <w:pPr>
        <w:wordWrap w:val="0"/>
        <w:adjustRightInd w:val="0"/>
        <w:spacing w:line="360" w:lineRule="auto"/>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zh-CN"/>
        </w:rPr>
        <w:t>.我们同意在供应商须知规定的</w:t>
      </w:r>
      <w:r>
        <w:rPr>
          <w:rFonts w:hint="eastAsia" w:ascii="宋体" w:hAnsi="宋体" w:cs="宋体"/>
          <w:color w:val="auto"/>
          <w:sz w:val="24"/>
          <w:szCs w:val="24"/>
          <w:highlight w:val="none"/>
        </w:rPr>
        <w:t>开标时间及上传递交响应文件截止时间</w:t>
      </w:r>
      <w:r>
        <w:rPr>
          <w:rFonts w:hint="eastAsia" w:ascii="宋体" w:hAnsi="宋体" w:cs="宋体"/>
          <w:color w:val="auto"/>
          <w:sz w:val="24"/>
          <w:szCs w:val="24"/>
          <w:highlight w:val="none"/>
          <w:lang w:val="zh-CN"/>
        </w:rPr>
        <w:t>起遵循本投标书，并在供应商须知规定的投标有效期满之前均具有约束力。</w:t>
      </w:r>
    </w:p>
    <w:p w14:paraId="5D5EC806">
      <w:pPr>
        <w:wordWrap w:val="0"/>
        <w:adjustRightInd w:val="0"/>
        <w:spacing w:line="360" w:lineRule="auto"/>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val="zh-CN"/>
        </w:rPr>
        <w:t>我们保证向你方提供你方可能要求的与本投标有关的任何证据或证明资料真实有效，投标有效期内如发现提供虚假证明资料，我方承诺愿意承担因此导致的废标、被列入政府采购黑名单，并承担相应的法律责任。</w:t>
      </w:r>
    </w:p>
    <w:p w14:paraId="646D9FB4">
      <w:pPr>
        <w:wordWrap w:val="0"/>
        <w:adjustRightInd w:val="0"/>
        <w:spacing w:line="360" w:lineRule="auto"/>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10.我们完全理解你方不一定要接受最低报价的投标或收到的任何投标。</w:t>
      </w:r>
    </w:p>
    <w:p w14:paraId="5C593761">
      <w:pPr>
        <w:wordWrap w:val="0"/>
        <w:adjustRightInd w:val="0"/>
        <w:spacing w:line="360" w:lineRule="auto"/>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11.本投标自开标之日起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zh-CN"/>
        </w:rPr>
        <w:t>天内有效。</w:t>
      </w:r>
    </w:p>
    <w:p w14:paraId="1E889F90">
      <w:pPr>
        <w:tabs>
          <w:tab w:val="left" w:pos="709"/>
        </w:tabs>
        <w:wordWrap w:val="0"/>
        <w:adjustRightInd w:val="0"/>
        <w:spacing w:line="360" w:lineRule="auto"/>
        <w:ind w:firstLine="482"/>
        <w:rPr>
          <w:rFonts w:hint="eastAsia"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12</w:t>
      </w:r>
      <w:r>
        <w:rPr>
          <w:rFonts w:hint="eastAsia" w:ascii="宋体" w:hAnsi="宋体" w:cs="宋体"/>
          <w:bCs/>
          <w:color w:val="auto"/>
          <w:kern w:val="0"/>
          <w:sz w:val="24"/>
          <w:szCs w:val="24"/>
          <w:highlight w:val="none"/>
        </w:rPr>
        <w:t>.</w:t>
      </w:r>
      <w:r>
        <w:rPr>
          <w:rFonts w:hint="eastAsia" w:ascii="宋体" w:hAnsi="宋体" w:cs="宋体"/>
          <w:bCs/>
          <w:color w:val="auto"/>
          <w:kern w:val="0"/>
          <w:sz w:val="24"/>
          <w:szCs w:val="24"/>
          <w:highlight w:val="none"/>
          <w:lang w:val="zh-CN"/>
        </w:rPr>
        <w:t>我方保证严格遵守《中华人民共和国政府采购法》的有关规定，若有下列情形之一的，我方将被列入不良行为记录名单，在一至三年内禁止参加政府采购活动，并予以公告：</w:t>
      </w:r>
    </w:p>
    <w:p w14:paraId="4BBC8A2B">
      <w:pPr>
        <w:wordWrap w:val="0"/>
        <w:adjustRightInd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）提供虚假材料谋取中标、成交的；</w:t>
      </w:r>
    </w:p>
    <w:p w14:paraId="02D07BF0">
      <w:pPr>
        <w:wordWrap w:val="0"/>
        <w:adjustRightInd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）采取不正当手段诋毁、排挤其他供应商的；</w:t>
      </w:r>
    </w:p>
    <w:p w14:paraId="18D69F1C">
      <w:pPr>
        <w:wordWrap w:val="0"/>
        <w:adjustRightInd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）与其他供应商、招标机构或者采购单位人员或者其他有关人员恶意串通的；</w:t>
      </w:r>
    </w:p>
    <w:p w14:paraId="61FA7ED9">
      <w:pPr>
        <w:wordWrap w:val="0"/>
        <w:adjustRightInd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）向磋商小组成员、招标机构或者采购单位人员或者其他有关人员行贿或者提供其他不正当利益的；</w:t>
      </w:r>
    </w:p>
    <w:p w14:paraId="4B81F4AB">
      <w:pPr>
        <w:wordWrap w:val="0"/>
        <w:adjustRightInd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）被评定中标后无正当理由不与采购人或者采购代理机构订立合同，或者中标后不按磋商文件和成交供应商的响应文件订立合同，或者与采购人另行订立背离合同实质性内容的协议的；</w:t>
      </w:r>
    </w:p>
    <w:p w14:paraId="651DC0AE">
      <w:pPr>
        <w:wordWrap w:val="0"/>
        <w:adjustRightInd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）将中标项目转让给他人或者将中标项目分包给他人的；</w:t>
      </w:r>
    </w:p>
    <w:p w14:paraId="3059274A">
      <w:pPr>
        <w:wordWrap w:val="0"/>
        <w:adjustRightInd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）签订合同后拒绝履行合同义务的；</w:t>
      </w:r>
    </w:p>
    <w:p w14:paraId="5D606769">
      <w:pPr>
        <w:wordWrap w:val="0"/>
        <w:adjustRightInd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8</w:t>
      </w:r>
      <w:r>
        <w:rPr>
          <w:rFonts w:hint="eastAsia" w:ascii="宋体" w:hAnsi="宋体" w:cs="宋体"/>
          <w:color w:val="auto"/>
          <w:sz w:val="24"/>
          <w:szCs w:val="24"/>
          <w:highlight w:val="none"/>
          <w:lang w:val="zh-CN"/>
        </w:rPr>
        <w:t>）拒绝有关部门监督检查或提供虚假情况的。</w:t>
      </w:r>
    </w:p>
    <w:p w14:paraId="6FFBACAF">
      <w:pPr>
        <w:wordWrap w:val="0"/>
        <w:spacing w:line="480" w:lineRule="auto"/>
        <w:rPr>
          <w:rFonts w:hint="eastAsia" w:ascii="宋体" w:hAnsi="宋体" w:cs="宋体"/>
          <w:color w:val="auto"/>
          <w:sz w:val="24"/>
          <w:szCs w:val="24"/>
          <w:highlight w:val="none"/>
        </w:rPr>
      </w:pPr>
    </w:p>
    <w:p w14:paraId="49F3E02B">
      <w:pPr>
        <w:wordWrap w:val="0"/>
        <w:spacing w:line="480" w:lineRule="auto"/>
        <w:ind w:firstLine="2760" w:firstLineChars="115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供 应 商：</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（盖单位章）</w:t>
      </w:r>
    </w:p>
    <w:p w14:paraId="7A41C6F4">
      <w:pPr>
        <w:wordWrap w:val="0"/>
        <w:spacing w:line="480" w:lineRule="auto"/>
        <w:ind w:firstLine="2760" w:firstLineChars="115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（签字）</w:t>
      </w:r>
    </w:p>
    <w:p w14:paraId="4E6D63EB">
      <w:pPr>
        <w:wordWrap w:val="0"/>
        <w:spacing w:line="480" w:lineRule="auto"/>
        <w:ind w:firstLine="2760" w:firstLineChars="115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地    址：</w:t>
      </w:r>
      <w:r>
        <w:rPr>
          <w:rFonts w:hint="eastAsia" w:ascii="宋体" w:hAnsi="宋体" w:cs="宋体"/>
          <w:color w:val="auto"/>
          <w:kern w:val="0"/>
          <w:sz w:val="24"/>
          <w:szCs w:val="24"/>
          <w:highlight w:val="none"/>
          <w:u w:val="single"/>
        </w:rPr>
        <w:t xml:space="preserve">                                   </w:t>
      </w:r>
    </w:p>
    <w:p w14:paraId="7BBBC30F">
      <w:pPr>
        <w:wordWrap w:val="0"/>
        <w:spacing w:line="480" w:lineRule="auto"/>
        <w:ind w:firstLine="2760" w:firstLineChars="115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话：</w:t>
      </w:r>
      <w:r>
        <w:rPr>
          <w:rFonts w:hint="eastAsia" w:ascii="宋体" w:hAnsi="宋体" w:cs="宋体"/>
          <w:color w:val="auto"/>
          <w:kern w:val="0"/>
          <w:sz w:val="24"/>
          <w:szCs w:val="24"/>
          <w:highlight w:val="none"/>
          <w:u w:val="single"/>
        </w:rPr>
        <w:t xml:space="preserve">                                   </w:t>
      </w:r>
    </w:p>
    <w:p w14:paraId="379A85E8">
      <w:pPr>
        <w:wordWrap w:val="0"/>
        <w:spacing w:line="480" w:lineRule="auto"/>
        <w:ind w:firstLine="2760" w:firstLineChars="115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传    真：</w:t>
      </w:r>
      <w:r>
        <w:rPr>
          <w:rFonts w:hint="eastAsia" w:ascii="宋体" w:hAnsi="宋体" w:cs="宋体"/>
          <w:color w:val="auto"/>
          <w:kern w:val="0"/>
          <w:sz w:val="24"/>
          <w:szCs w:val="24"/>
          <w:highlight w:val="none"/>
          <w:u w:val="single"/>
        </w:rPr>
        <w:t xml:space="preserve">                                   </w:t>
      </w:r>
    </w:p>
    <w:p w14:paraId="0D75AEFE">
      <w:pPr>
        <w:wordWrap w:val="0"/>
        <w:spacing w:line="480" w:lineRule="auto"/>
        <w:ind w:firstLine="2760" w:firstLineChars="115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邮政编码：</w:t>
      </w:r>
      <w:r>
        <w:rPr>
          <w:rFonts w:hint="eastAsia" w:ascii="宋体" w:hAnsi="宋体" w:cs="宋体"/>
          <w:color w:val="auto"/>
          <w:kern w:val="0"/>
          <w:sz w:val="24"/>
          <w:szCs w:val="24"/>
          <w:highlight w:val="none"/>
          <w:u w:val="single"/>
        </w:rPr>
        <w:t xml:space="preserve">                                   </w:t>
      </w:r>
    </w:p>
    <w:p w14:paraId="575E90E4">
      <w:pPr>
        <w:wordWrap w:val="0"/>
        <w:spacing w:line="480" w:lineRule="auto"/>
        <w:ind w:firstLine="2250"/>
        <w:jc w:val="right"/>
        <w:rPr>
          <w:rFonts w:hint="eastAsia" w:ascii="宋体" w:hAnsi="宋体" w:cs="宋体"/>
          <w:b/>
          <w:color w:val="auto"/>
          <w:sz w:val="32"/>
          <w:szCs w:val="32"/>
          <w:highlight w:val="none"/>
        </w:rPr>
      </w:pP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14:paraId="0E5B02E5">
      <w:pPr>
        <w:tabs>
          <w:tab w:val="left" w:pos="1365"/>
        </w:tabs>
        <w:wordWrap w:val="0"/>
        <w:spacing w:line="360" w:lineRule="auto"/>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28"/>
          <w:szCs w:val="28"/>
          <w:highlight w:val="none"/>
        </w:rPr>
        <w:t>（二）投标函附录</w:t>
      </w:r>
    </w:p>
    <w:tbl>
      <w:tblPr>
        <w:tblStyle w:val="4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784"/>
        <w:gridCol w:w="4794"/>
      </w:tblGrid>
      <w:tr w14:paraId="0A278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56B470B5">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2784" w:type="dxa"/>
            <w:noWrap w:val="0"/>
            <w:vAlign w:val="center"/>
          </w:tcPr>
          <w:p w14:paraId="64777AF3">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4794" w:type="dxa"/>
            <w:noWrap w:val="0"/>
            <w:vAlign w:val="center"/>
          </w:tcPr>
          <w:p w14:paraId="0C96DEEA">
            <w:pPr>
              <w:wordWrap w:val="0"/>
              <w:spacing w:line="440" w:lineRule="exact"/>
              <w:jc w:val="center"/>
              <w:rPr>
                <w:rFonts w:hint="eastAsia" w:ascii="宋体" w:hAnsi="宋体" w:cs="宋体"/>
                <w:b/>
                <w:color w:val="auto"/>
                <w:sz w:val="24"/>
                <w:szCs w:val="24"/>
                <w:highlight w:val="none"/>
              </w:rPr>
            </w:pPr>
          </w:p>
        </w:tc>
      </w:tr>
      <w:tr w14:paraId="4049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1F33F606">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2784" w:type="dxa"/>
            <w:noWrap w:val="0"/>
            <w:vAlign w:val="center"/>
          </w:tcPr>
          <w:p w14:paraId="57BECF3E">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4794" w:type="dxa"/>
            <w:noWrap w:val="0"/>
            <w:vAlign w:val="center"/>
          </w:tcPr>
          <w:p w14:paraId="2C8A276E">
            <w:pPr>
              <w:wordWrap w:val="0"/>
              <w:spacing w:line="440" w:lineRule="exact"/>
              <w:jc w:val="center"/>
              <w:rPr>
                <w:rFonts w:hint="eastAsia" w:ascii="宋体" w:hAnsi="宋体" w:cs="宋体"/>
                <w:b/>
                <w:color w:val="auto"/>
                <w:sz w:val="24"/>
                <w:szCs w:val="24"/>
                <w:highlight w:val="none"/>
              </w:rPr>
            </w:pPr>
          </w:p>
        </w:tc>
      </w:tr>
      <w:tr w14:paraId="609F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5BFD963D">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2784" w:type="dxa"/>
            <w:noWrap w:val="0"/>
            <w:vAlign w:val="center"/>
          </w:tcPr>
          <w:p w14:paraId="29BD27A7">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服务期限</w:t>
            </w:r>
          </w:p>
        </w:tc>
        <w:tc>
          <w:tcPr>
            <w:tcW w:w="4794" w:type="dxa"/>
            <w:noWrap w:val="0"/>
            <w:vAlign w:val="center"/>
          </w:tcPr>
          <w:p w14:paraId="67D130B7">
            <w:pPr>
              <w:wordWrap w:val="0"/>
              <w:spacing w:line="440" w:lineRule="exact"/>
              <w:jc w:val="center"/>
              <w:rPr>
                <w:rFonts w:hint="eastAsia" w:ascii="宋体" w:hAnsi="宋体" w:cs="宋体"/>
                <w:color w:val="auto"/>
                <w:sz w:val="24"/>
                <w:szCs w:val="24"/>
                <w:highlight w:val="none"/>
              </w:rPr>
            </w:pPr>
          </w:p>
        </w:tc>
      </w:tr>
      <w:tr w14:paraId="7A3D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67654543">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2784" w:type="dxa"/>
            <w:noWrap w:val="0"/>
            <w:vAlign w:val="center"/>
          </w:tcPr>
          <w:p w14:paraId="6FFA8989">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服务地点</w:t>
            </w:r>
          </w:p>
        </w:tc>
        <w:tc>
          <w:tcPr>
            <w:tcW w:w="4794" w:type="dxa"/>
            <w:noWrap w:val="0"/>
            <w:vAlign w:val="center"/>
          </w:tcPr>
          <w:p w14:paraId="0D3789BA">
            <w:pPr>
              <w:wordWrap w:val="0"/>
              <w:spacing w:line="440" w:lineRule="exact"/>
              <w:jc w:val="center"/>
              <w:rPr>
                <w:rFonts w:hint="eastAsia" w:ascii="宋体" w:hAnsi="宋体" w:cs="宋体"/>
                <w:color w:val="auto"/>
                <w:sz w:val="24"/>
                <w:szCs w:val="24"/>
                <w:highlight w:val="none"/>
              </w:rPr>
            </w:pPr>
          </w:p>
        </w:tc>
      </w:tr>
      <w:tr w14:paraId="7D68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3BF06F47">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2784" w:type="dxa"/>
            <w:noWrap w:val="0"/>
            <w:vAlign w:val="center"/>
          </w:tcPr>
          <w:p w14:paraId="21CCC08E">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质量标准</w:t>
            </w:r>
          </w:p>
        </w:tc>
        <w:tc>
          <w:tcPr>
            <w:tcW w:w="4794" w:type="dxa"/>
            <w:noWrap w:val="0"/>
            <w:vAlign w:val="center"/>
          </w:tcPr>
          <w:p w14:paraId="47ED91F3">
            <w:pPr>
              <w:wordWrap w:val="0"/>
              <w:spacing w:line="440" w:lineRule="exact"/>
              <w:rPr>
                <w:rFonts w:hint="eastAsia" w:ascii="宋体" w:hAnsi="宋体" w:cs="宋体"/>
                <w:color w:val="auto"/>
                <w:sz w:val="24"/>
                <w:szCs w:val="24"/>
                <w:highlight w:val="none"/>
              </w:rPr>
            </w:pPr>
          </w:p>
        </w:tc>
      </w:tr>
      <w:tr w14:paraId="1264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980" w:type="dxa"/>
            <w:noWrap w:val="0"/>
            <w:vAlign w:val="center"/>
          </w:tcPr>
          <w:p w14:paraId="61138B98">
            <w:pPr>
              <w:wordWrap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2784" w:type="dxa"/>
            <w:noWrap w:val="0"/>
            <w:vAlign w:val="center"/>
          </w:tcPr>
          <w:p w14:paraId="7F57E2B5">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磋商报价</w:t>
            </w:r>
          </w:p>
        </w:tc>
        <w:tc>
          <w:tcPr>
            <w:tcW w:w="4794" w:type="dxa"/>
            <w:noWrap w:val="0"/>
            <w:vAlign w:val="center"/>
          </w:tcPr>
          <w:p w14:paraId="6AC410B9">
            <w:pPr>
              <w:wordWrap w:val="0"/>
              <w:spacing w:line="440" w:lineRule="exact"/>
              <w:jc w:val="left"/>
              <w:rPr>
                <w:color w:val="auto"/>
                <w:highlight w:val="none"/>
              </w:rPr>
            </w:pPr>
          </w:p>
        </w:tc>
      </w:tr>
      <w:tr w14:paraId="6806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3C91EF9F">
            <w:pPr>
              <w:wordWrap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2784" w:type="dxa"/>
            <w:noWrap w:val="0"/>
            <w:vAlign w:val="center"/>
          </w:tcPr>
          <w:p w14:paraId="7630F303">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4794" w:type="dxa"/>
            <w:noWrap w:val="0"/>
            <w:vAlign w:val="center"/>
          </w:tcPr>
          <w:p w14:paraId="3F8F1DF1">
            <w:pPr>
              <w:wordWrap w:val="0"/>
              <w:spacing w:line="440" w:lineRule="exact"/>
              <w:jc w:val="center"/>
              <w:rPr>
                <w:rFonts w:hint="eastAsia" w:ascii="宋体" w:hAnsi="宋体" w:cs="宋体"/>
                <w:color w:val="auto"/>
                <w:sz w:val="24"/>
                <w:szCs w:val="24"/>
                <w:highlight w:val="none"/>
              </w:rPr>
            </w:pPr>
          </w:p>
        </w:tc>
      </w:tr>
      <w:tr w14:paraId="234F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74328656">
            <w:pPr>
              <w:wordWrap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2784" w:type="dxa"/>
            <w:noWrap w:val="0"/>
            <w:vAlign w:val="center"/>
          </w:tcPr>
          <w:p w14:paraId="15EFEFBC">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c>
          <w:tcPr>
            <w:tcW w:w="4794" w:type="dxa"/>
            <w:noWrap w:val="0"/>
            <w:vAlign w:val="center"/>
          </w:tcPr>
          <w:p w14:paraId="2EC5EFD0">
            <w:pPr>
              <w:wordWrap w:val="0"/>
              <w:spacing w:line="440" w:lineRule="exact"/>
              <w:jc w:val="center"/>
              <w:rPr>
                <w:rFonts w:hint="eastAsia" w:ascii="宋体" w:hAnsi="宋体" w:cs="宋体"/>
                <w:color w:val="auto"/>
                <w:sz w:val="24"/>
                <w:szCs w:val="24"/>
                <w:highlight w:val="none"/>
              </w:rPr>
            </w:pPr>
          </w:p>
        </w:tc>
      </w:tr>
    </w:tbl>
    <w:p w14:paraId="33CEBE8A">
      <w:pPr>
        <w:wordWrap w:val="0"/>
        <w:spacing w:line="480" w:lineRule="exact"/>
        <w:rPr>
          <w:rFonts w:hint="eastAsia" w:ascii="宋体" w:hAnsi="宋体" w:cs="宋体"/>
          <w:b/>
          <w:color w:val="auto"/>
          <w:sz w:val="24"/>
          <w:szCs w:val="24"/>
          <w:highlight w:val="none"/>
        </w:rPr>
      </w:pPr>
    </w:p>
    <w:p w14:paraId="6CBC244F">
      <w:pPr>
        <w:wordWrap w:val="0"/>
        <w:spacing w:line="480" w:lineRule="exact"/>
        <w:rPr>
          <w:rFonts w:hint="eastAsia" w:ascii="宋体" w:hAnsi="宋体" w:cs="宋体"/>
          <w:color w:val="auto"/>
          <w:sz w:val="24"/>
          <w:szCs w:val="24"/>
          <w:highlight w:val="none"/>
        </w:rPr>
      </w:pPr>
    </w:p>
    <w:p w14:paraId="388D2E1F">
      <w:pPr>
        <w:wordWrap w:val="0"/>
        <w:spacing w:line="342" w:lineRule="exact"/>
        <w:rPr>
          <w:rFonts w:hint="eastAsia" w:ascii="宋体" w:hAnsi="宋体" w:cs="宋体"/>
          <w:color w:val="auto"/>
          <w:kern w:val="0"/>
          <w:szCs w:val="21"/>
          <w:highlight w:val="none"/>
        </w:rPr>
      </w:pPr>
    </w:p>
    <w:p w14:paraId="4741BEA9">
      <w:pPr>
        <w:wordWrap w:val="0"/>
        <w:spacing w:line="480" w:lineRule="auto"/>
        <w:ind w:firstLine="1200"/>
        <w:jc w:val="right"/>
        <w:rPr>
          <w:rFonts w:hint="eastAsia" w:ascii="宋体" w:hAnsi="宋体" w:cs="宋体"/>
          <w:color w:val="auto"/>
          <w:kern w:val="0"/>
          <w:sz w:val="24"/>
          <w:szCs w:val="24"/>
          <w:highlight w:val="none"/>
        </w:rPr>
      </w:pPr>
      <w:bookmarkStart w:id="81" w:name="_Toc107393598"/>
      <w:bookmarkStart w:id="82" w:name="_Toc112237131"/>
      <w:bookmarkStart w:id="83" w:name="_Toc45511005"/>
      <w:bookmarkStart w:id="84" w:name="_Toc107716842"/>
      <w:bookmarkStart w:id="85" w:name="_Toc30577828"/>
      <w:bookmarkStart w:id="86" w:name="_Toc45942979"/>
      <w:bookmarkStart w:id="87" w:name="_Toc139773320"/>
      <w:r>
        <w:rPr>
          <w:rFonts w:hint="eastAsia" w:ascii="宋体" w:hAnsi="宋体" w:cs="宋体"/>
          <w:color w:val="auto"/>
          <w:kern w:val="0"/>
          <w:sz w:val="24"/>
          <w:szCs w:val="24"/>
          <w:highlight w:val="none"/>
        </w:rPr>
        <w:t>供 应 商：</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（盖单位章）</w:t>
      </w:r>
    </w:p>
    <w:p w14:paraId="41A014BA">
      <w:pPr>
        <w:wordWrap w:val="0"/>
        <w:spacing w:line="48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（签字）</w:t>
      </w:r>
    </w:p>
    <w:p w14:paraId="7AC1BD96">
      <w:pPr>
        <w:wordWrap w:val="0"/>
        <w:spacing w:line="480" w:lineRule="auto"/>
        <w:ind w:firstLine="2250"/>
        <w:jc w:val="right"/>
        <w:rPr>
          <w:rFonts w:hint="eastAsia" w:ascii="宋体" w:hAnsi="宋体" w:cs="宋体"/>
          <w:b/>
          <w:color w:val="auto"/>
          <w:sz w:val="32"/>
          <w:szCs w:val="32"/>
          <w:highlight w:val="none"/>
        </w:rPr>
      </w:pP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14:paraId="587F6020">
      <w:pPr>
        <w:pStyle w:val="80"/>
        <w:wordWrap w:val="0"/>
        <w:autoSpaceDE/>
        <w:autoSpaceDN/>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二、法定代表人身份证明</w:t>
      </w:r>
    </w:p>
    <w:p w14:paraId="5D73B0AE">
      <w:pPr>
        <w:tabs>
          <w:tab w:val="left" w:pos="1710"/>
        </w:tabs>
        <w:wordWrap w:val="0"/>
        <w:spacing w:line="480" w:lineRule="auto"/>
        <w:rPr>
          <w:rFonts w:hint="eastAsia" w:ascii="宋体" w:hAnsi="宋体" w:cs="宋体"/>
          <w:color w:val="auto"/>
          <w:sz w:val="24"/>
          <w:szCs w:val="21"/>
          <w:highlight w:val="none"/>
        </w:rPr>
      </w:pPr>
      <w:r>
        <w:rPr>
          <w:rFonts w:hint="eastAsia" w:ascii="宋体" w:hAnsi="宋体" w:cs="宋体"/>
          <w:color w:val="auto"/>
          <w:sz w:val="24"/>
          <w:szCs w:val="21"/>
          <w:highlight w:val="none"/>
        </w:rPr>
        <w:t>供应商名称：</w:t>
      </w:r>
      <w:r>
        <w:rPr>
          <w:rFonts w:hint="eastAsia" w:ascii="宋体" w:hAnsi="宋体" w:cs="宋体"/>
          <w:color w:val="auto"/>
          <w:sz w:val="24"/>
          <w:szCs w:val="21"/>
          <w:highlight w:val="none"/>
          <w:u w:val="single"/>
        </w:rPr>
        <w:t xml:space="preserve">                                         </w:t>
      </w:r>
    </w:p>
    <w:p w14:paraId="2C2896EB">
      <w:pPr>
        <w:tabs>
          <w:tab w:val="left" w:pos="1710"/>
        </w:tabs>
        <w:wordWrap w:val="0"/>
        <w:spacing w:line="480" w:lineRule="auto"/>
        <w:rPr>
          <w:rFonts w:hint="eastAsia" w:ascii="宋体" w:hAnsi="宋体" w:cs="宋体"/>
          <w:color w:val="auto"/>
          <w:sz w:val="24"/>
          <w:szCs w:val="21"/>
          <w:highlight w:val="none"/>
        </w:rPr>
      </w:pPr>
      <w:r>
        <w:rPr>
          <w:rFonts w:hint="eastAsia" w:ascii="宋体" w:hAnsi="宋体" w:cs="宋体"/>
          <w:color w:val="auto"/>
          <w:sz w:val="24"/>
          <w:szCs w:val="21"/>
          <w:highlight w:val="none"/>
        </w:rPr>
        <w:t>单位性质:</w:t>
      </w:r>
      <w:r>
        <w:rPr>
          <w:rFonts w:hint="eastAsia" w:ascii="宋体" w:hAnsi="宋体" w:cs="宋体"/>
          <w:color w:val="auto"/>
          <w:sz w:val="24"/>
          <w:szCs w:val="21"/>
          <w:highlight w:val="none"/>
          <w:u w:val="single"/>
        </w:rPr>
        <w:t xml:space="preserve">                                            </w:t>
      </w:r>
    </w:p>
    <w:p w14:paraId="0EE12A93">
      <w:pPr>
        <w:tabs>
          <w:tab w:val="left" w:pos="1710"/>
        </w:tabs>
        <w:wordWrap w:val="0"/>
        <w:spacing w:line="480" w:lineRule="auto"/>
        <w:rPr>
          <w:rFonts w:hint="eastAsia" w:ascii="宋体" w:hAnsi="宋体" w:cs="宋体"/>
          <w:color w:val="auto"/>
          <w:sz w:val="24"/>
          <w:szCs w:val="21"/>
          <w:highlight w:val="none"/>
        </w:rPr>
      </w:pPr>
      <w:r>
        <w:rPr>
          <w:rFonts w:hint="eastAsia" w:ascii="宋体" w:hAnsi="宋体" w:cs="宋体"/>
          <w:color w:val="auto"/>
          <w:sz w:val="24"/>
          <w:szCs w:val="21"/>
          <w:highlight w:val="none"/>
        </w:rPr>
        <w:t>地    址：</w:t>
      </w:r>
      <w:r>
        <w:rPr>
          <w:rFonts w:hint="eastAsia" w:ascii="宋体" w:hAnsi="宋体" w:cs="宋体"/>
          <w:color w:val="auto"/>
          <w:sz w:val="24"/>
          <w:szCs w:val="21"/>
          <w:highlight w:val="none"/>
          <w:u w:val="single"/>
        </w:rPr>
        <w:t xml:space="preserve">                                          </w:t>
      </w:r>
    </w:p>
    <w:p w14:paraId="0776F99F">
      <w:pPr>
        <w:tabs>
          <w:tab w:val="left" w:pos="1710"/>
        </w:tabs>
        <w:wordWrap w:val="0"/>
        <w:spacing w:line="480" w:lineRule="auto"/>
        <w:rPr>
          <w:rFonts w:hint="eastAsia" w:ascii="宋体" w:hAnsi="宋体" w:cs="宋体"/>
          <w:color w:val="auto"/>
          <w:sz w:val="24"/>
          <w:szCs w:val="21"/>
          <w:highlight w:val="none"/>
        </w:rPr>
      </w:pPr>
      <w:r>
        <w:rPr>
          <w:rFonts w:hint="eastAsia" w:ascii="宋体" w:hAnsi="宋体" w:cs="宋体"/>
          <w:color w:val="auto"/>
          <w:sz w:val="24"/>
          <w:szCs w:val="21"/>
          <w:highlight w:val="none"/>
        </w:rPr>
        <w:t>成立时间：</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年</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月</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日</w:t>
      </w:r>
    </w:p>
    <w:p w14:paraId="32096DCF">
      <w:pPr>
        <w:tabs>
          <w:tab w:val="left" w:pos="1710"/>
        </w:tabs>
        <w:wordWrap w:val="0"/>
        <w:spacing w:line="480" w:lineRule="auto"/>
        <w:rPr>
          <w:rFonts w:hint="eastAsia" w:ascii="宋体" w:hAnsi="宋体" w:cs="宋体"/>
          <w:color w:val="auto"/>
          <w:sz w:val="24"/>
          <w:szCs w:val="21"/>
          <w:highlight w:val="none"/>
        </w:rPr>
      </w:pPr>
      <w:r>
        <w:rPr>
          <w:rFonts w:hint="eastAsia" w:ascii="宋体" w:hAnsi="宋体" w:cs="宋体"/>
          <w:color w:val="auto"/>
          <w:sz w:val="24"/>
          <w:szCs w:val="21"/>
          <w:highlight w:val="none"/>
        </w:rPr>
        <w:t>经营期限：</w:t>
      </w:r>
      <w:r>
        <w:rPr>
          <w:rFonts w:hint="eastAsia" w:ascii="宋体" w:hAnsi="宋体" w:cs="宋体"/>
          <w:color w:val="auto"/>
          <w:sz w:val="24"/>
          <w:szCs w:val="21"/>
          <w:highlight w:val="none"/>
          <w:u w:val="single"/>
        </w:rPr>
        <w:t xml:space="preserve">                                          </w:t>
      </w:r>
    </w:p>
    <w:p w14:paraId="5E027F92">
      <w:pPr>
        <w:tabs>
          <w:tab w:val="left" w:pos="1710"/>
        </w:tabs>
        <w:wordWrap w:val="0"/>
        <w:spacing w:line="480" w:lineRule="auto"/>
        <w:rPr>
          <w:rFonts w:hint="eastAsia" w:ascii="宋体" w:hAnsi="宋体" w:cs="宋体"/>
          <w:color w:val="auto"/>
          <w:sz w:val="24"/>
          <w:szCs w:val="21"/>
          <w:highlight w:val="none"/>
          <w:u w:val="single"/>
        </w:rPr>
      </w:pPr>
      <w:r>
        <w:rPr>
          <w:rFonts w:hint="eastAsia" w:ascii="宋体" w:hAnsi="宋体" w:cs="宋体"/>
          <w:color w:val="auto"/>
          <w:sz w:val="24"/>
          <w:szCs w:val="21"/>
          <w:highlight w:val="none"/>
        </w:rPr>
        <w:t>姓    名：</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性     别：</w:t>
      </w:r>
      <w:r>
        <w:rPr>
          <w:rFonts w:hint="eastAsia" w:ascii="宋体" w:hAnsi="宋体" w:cs="宋体"/>
          <w:color w:val="auto"/>
          <w:sz w:val="24"/>
          <w:szCs w:val="21"/>
          <w:highlight w:val="none"/>
          <w:u w:val="single"/>
        </w:rPr>
        <w:t xml:space="preserve">              </w:t>
      </w:r>
    </w:p>
    <w:p w14:paraId="1076F825">
      <w:pPr>
        <w:tabs>
          <w:tab w:val="left" w:pos="1710"/>
        </w:tabs>
        <w:wordWrap w:val="0"/>
        <w:spacing w:line="480" w:lineRule="auto"/>
        <w:rPr>
          <w:rFonts w:hint="eastAsia" w:ascii="宋体" w:hAnsi="宋体" w:cs="宋体"/>
          <w:color w:val="auto"/>
          <w:sz w:val="24"/>
          <w:szCs w:val="21"/>
          <w:highlight w:val="none"/>
          <w:u w:val="single"/>
        </w:rPr>
      </w:pPr>
      <w:r>
        <w:rPr>
          <w:rFonts w:hint="eastAsia" w:ascii="宋体" w:hAnsi="宋体" w:cs="宋体"/>
          <w:color w:val="auto"/>
          <w:sz w:val="24"/>
          <w:szCs w:val="21"/>
          <w:highlight w:val="none"/>
        </w:rPr>
        <w:t>年    龄：</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职     务：</w:t>
      </w:r>
      <w:r>
        <w:rPr>
          <w:rFonts w:hint="eastAsia" w:ascii="宋体" w:hAnsi="宋体" w:cs="宋体"/>
          <w:color w:val="auto"/>
          <w:sz w:val="24"/>
          <w:szCs w:val="21"/>
          <w:highlight w:val="none"/>
          <w:u w:val="single"/>
        </w:rPr>
        <w:t xml:space="preserve">              </w:t>
      </w:r>
    </w:p>
    <w:p w14:paraId="7EBA5B6B">
      <w:pPr>
        <w:tabs>
          <w:tab w:val="left" w:pos="1710"/>
        </w:tabs>
        <w:wordWrap w:val="0"/>
        <w:spacing w:line="480" w:lineRule="auto"/>
        <w:rPr>
          <w:rFonts w:hint="eastAsia" w:ascii="宋体" w:hAnsi="宋体" w:cs="宋体"/>
          <w:color w:val="auto"/>
          <w:sz w:val="24"/>
          <w:szCs w:val="21"/>
          <w:highlight w:val="none"/>
        </w:rPr>
      </w:pPr>
      <w:r>
        <w:rPr>
          <w:rFonts w:hint="eastAsia" w:ascii="宋体" w:hAnsi="宋体" w:cs="宋体"/>
          <w:color w:val="auto"/>
          <w:sz w:val="24"/>
          <w:szCs w:val="21"/>
          <w:highlight w:val="none"/>
        </w:rPr>
        <w:t>系</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（供应商名称）的法定代表人。</w:t>
      </w:r>
    </w:p>
    <w:p w14:paraId="00F945CB">
      <w:pPr>
        <w:tabs>
          <w:tab w:val="left" w:pos="1710"/>
        </w:tabs>
        <w:wordWrap w:val="0"/>
        <w:spacing w:line="480" w:lineRule="auto"/>
        <w:rPr>
          <w:rFonts w:hint="eastAsia" w:ascii="宋体" w:hAnsi="宋体" w:cs="宋体"/>
          <w:color w:val="auto"/>
          <w:sz w:val="24"/>
          <w:szCs w:val="21"/>
          <w:highlight w:val="none"/>
        </w:rPr>
      </w:pPr>
      <w:r>
        <w:rPr>
          <w:rFonts w:hint="eastAsia" w:ascii="宋体" w:hAnsi="宋体" w:cs="宋体"/>
          <w:color w:val="auto"/>
          <w:sz w:val="24"/>
          <w:szCs w:val="21"/>
          <w:highlight w:val="none"/>
        </w:rPr>
        <w:t>特此证明。</w:t>
      </w:r>
    </w:p>
    <w:p w14:paraId="40B83779">
      <w:pPr>
        <w:pStyle w:val="18"/>
        <w:rPr>
          <w:rFonts w:hint="eastAsia" w:ascii="宋体" w:hAnsi="宋体" w:cs="宋体"/>
          <w:color w:val="auto"/>
          <w:sz w:val="24"/>
          <w:szCs w:val="21"/>
          <w:highlight w:val="none"/>
        </w:rPr>
      </w:pPr>
    </w:p>
    <w:p w14:paraId="503E57AF">
      <w:pPr>
        <w:wordWrap w:val="0"/>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附：法定代表人身份证复印件</w:t>
      </w:r>
      <w:r>
        <w:rPr>
          <w:rFonts w:hint="eastAsia" w:ascii="宋体" w:hAnsi="宋体" w:cs="宋体"/>
          <w:color w:val="auto"/>
          <w:sz w:val="24"/>
          <w:highlight w:val="none"/>
        </w:rPr>
        <w:t>正反面</w:t>
      </w:r>
      <w:r>
        <w:rPr>
          <w:rFonts w:hint="eastAsia" w:ascii="宋体" w:hAnsi="宋体" w:cs="宋体"/>
          <w:color w:val="auto"/>
          <w:sz w:val="24"/>
          <w:szCs w:val="24"/>
          <w:highlight w:val="none"/>
        </w:rPr>
        <w:t>。</w:t>
      </w:r>
    </w:p>
    <w:p w14:paraId="674B04F4">
      <w:pPr>
        <w:pStyle w:val="18"/>
        <w:rPr>
          <w:rFonts w:hint="eastAsia" w:ascii="宋体" w:hAnsi="宋体" w:cs="宋体"/>
          <w:color w:val="auto"/>
          <w:sz w:val="24"/>
          <w:szCs w:val="21"/>
          <w:highlight w:val="none"/>
        </w:rPr>
      </w:pPr>
    </w:p>
    <w:p w14:paraId="751DB930">
      <w:pPr>
        <w:wordWrap w:val="0"/>
        <w:spacing w:line="360" w:lineRule="auto"/>
        <w:rPr>
          <w:rFonts w:hint="eastAsia" w:ascii="宋体" w:hAnsi="宋体" w:cs="宋体"/>
          <w:color w:val="auto"/>
          <w:sz w:val="24"/>
          <w:szCs w:val="24"/>
          <w:highlight w:val="none"/>
        </w:rPr>
      </w:pPr>
    </w:p>
    <w:p w14:paraId="1210DAEC">
      <w:pPr>
        <w:pStyle w:val="18"/>
        <w:wordWrap w:val="0"/>
        <w:rPr>
          <w:rFonts w:hint="eastAsia" w:ascii="宋体" w:hAnsi="宋体" w:cs="宋体"/>
          <w:color w:val="auto"/>
          <w:highlight w:val="none"/>
        </w:rPr>
      </w:pPr>
    </w:p>
    <w:p w14:paraId="24A566E4">
      <w:pPr>
        <w:wordWrap w:val="0"/>
        <w:spacing w:line="48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供应商：</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（盖单位章）</w:t>
      </w:r>
    </w:p>
    <w:p w14:paraId="4E3E7557">
      <w:pPr>
        <w:wordWrap w:val="0"/>
        <w:spacing w:line="480" w:lineRule="auto"/>
        <w:jc w:val="right"/>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法定代表人：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1"/>
          <w:highlight w:val="none"/>
        </w:rPr>
        <w:t>（签字）</w:t>
      </w:r>
    </w:p>
    <w:p w14:paraId="5035BE25">
      <w:pPr>
        <w:wordWrap w:val="0"/>
        <w:spacing w:line="480" w:lineRule="auto"/>
        <w:ind w:firstLine="5148" w:firstLineChars="2145"/>
        <w:rPr>
          <w:rFonts w:hint="eastAsia" w:ascii="宋体" w:hAnsi="宋体" w:cs="宋体"/>
          <w:b/>
          <w:color w:val="auto"/>
          <w:sz w:val="24"/>
          <w:szCs w:val="24"/>
          <w:highlight w:val="none"/>
        </w:rPr>
      </w:pP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14:paraId="53487C6A">
      <w:pPr>
        <w:tabs>
          <w:tab w:val="left" w:pos="1365"/>
        </w:tabs>
        <w:wordWrap w:val="0"/>
        <w:spacing w:line="360" w:lineRule="auto"/>
        <w:jc w:val="center"/>
        <w:rPr>
          <w:rFonts w:hint="eastAsia" w:ascii="宋体" w:hAnsi="宋体" w:cs="宋体"/>
          <w:b/>
          <w:color w:val="auto"/>
          <w:sz w:val="32"/>
          <w:szCs w:val="32"/>
          <w:highlight w:val="none"/>
        </w:rPr>
      </w:pPr>
      <w:bookmarkStart w:id="88" w:name="_Toc16858217"/>
      <w:bookmarkStart w:id="89" w:name="_Toc7795"/>
      <w:bookmarkStart w:id="90" w:name="_Toc492451836"/>
      <w:bookmarkStart w:id="91" w:name="_Toc16666384"/>
      <w:r>
        <w:rPr>
          <w:rFonts w:hint="eastAsia" w:ascii="宋体" w:hAnsi="宋体" w:cs="宋体"/>
          <w:bCs/>
          <w:color w:val="auto"/>
          <w:sz w:val="24"/>
          <w:szCs w:val="24"/>
          <w:highlight w:val="none"/>
        </w:rPr>
        <w:br w:type="page"/>
      </w:r>
      <w:bookmarkStart w:id="92" w:name="_Toc8197"/>
      <w:bookmarkStart w:id="93" w:name="_Toc21804"/>
      <w:bookmarkStart w:id="94" w:name="_Toc11637"/>
      <w:r>
        <w:rPr>
          <w:rFonts w:hint="eastAsia" w:ascii="宋体" w:hAnsi="宋体" w:cs="宋体"/>
          <w:b/>
          <w:color w:val="auto"/>
          <w:kern w:val="0"/>
          <w:sz w:val="32"/>
          <w:szCs w:val="32"/>
          <w:highlight w:val="none"/>
        </w:rPr>
        <w:t>三、授权委托书</w:t>
      </w:r>
      <w:bookmarkEnd w:id="88"/>
      <w:bookmarkEnd w:id="89"/>
      <w:bookmarkEnd w:id="90"/>
      <w:bookmarkEnd w:id="91"/>
      <w:bookmarkEnd w:id="92"/>
      <w:bookmarkEnd w:id="93"/>
      <w:bookmarkEnd w:id="94"/>
    </w:p>
    <w:p w14:paraId="2C33B6F7">
      <w:pPr>
        <w:wordWrap w:val="0"/>
        <w:adjustRightInd w:val="0"/>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（供应商名称）的法定代表人，现委托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（姓名）为我方代理人，代理人根据授权，以我方名义签署、澄清、说明、补正、递交、撤回、修改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（项目名称）响应文件、签订合同和处理有关事宜，其法律后果由我方承担。</w:t>
      </w:r>
    </w:p>
    <w:p w14:paraId="3CC4A9E4">
      <w:pPr>
        <w:wordWrap w:val="0"/>
        <w:adjustRightInd w:val="0"/>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737D855">
      <w:pPr>
        <w:wordWrap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代理人无转委托权。</w:t>
      </w:r>
    </w:p>
    <w:p w14:paraId="6AA6C43E">
      <w:pPr>
        <w:pStyle w:val="18"/>
        <w:rPr>
          <w:rFonts w:hint="eastAsia"/>
          <w:color w:val="auto"/>
          <w:highlight w:val="none"/>
        </w:rPr>
      </w:pPr>
    </w:p>
    <w:p w14:paraId="54C2EDA6">
      <w:pPr>
        <w:wordWrap w:val="0"/>
        <w:spacing w:line="480" w:lineRule="auto"/>
        <w:ind w:firstLine="480" w:firstLineChars="200"/>
        <w:rPr>
          <w:rFonts w:hint="eastAsia" w:ascii="宋体" w:hAnsi="宋体" w:cs="宋体"/>
          <w:color w:val="auto"/>
          <w:sz w:val="24"/>
          <w:szCs w:val="24"/>
          <w:highlight w:val="none"/>
        </w:rPr>
      </w:pPr>
    </w:p>
    <w:p w14:paraId="3840EDFD">
      <w:pPr>
        <w:wordWrap w:val="0"/>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附：法定代表人及委托代理人身份证复印件正反面。</w:t>
      </w:r>
    </w:p>
    <w:p w14:paraId="44719970">
      <w:pPr>
        <w:pStyle w:val="18"/>
        <w:rPr>
          <w:rFonts w:hint="eastAsia"/>
          <w:color w:val="auto"/>
          <w:highlight w:val="none"/>
        </w:rPr>
      </w:pPr>
    </w:p>
    <w:p w14:paraId="2961D75D">
      <w:pPr>
        <w:pStyle w:val="18"/>
        <w:rPr>
          <w:rFonts w:hint="eastAsia" w:ascii="宋体" w:hAnsi="宋体" w:cs="宋体"/>
          <w:color w:val="auto"/>
          <w:sz w:val="24"/>
          <w:szCs w:val="24"/>
          <w:highlight w:val="none"/>
        </w:rPr>
      </w:pPr>
    </w:p>
    <w:p w14:paraId="3BC048E5">
      <w:pPr>
        <w:wordWrap w:val="0"/>
        <w:spacing w:line="440" w:lineRule="exact"/>
        <w:rPr>
          <w:rFonts w:hint="eastAsia" w:ascii="宋体" w:hAnsi="宋体" w:cs="宋体"/>
          <w:color w:val="auto"/>
          <w:sz w:val="24"/>
          <w:szCs w:val="24"/>
          <w:highlight w:val="none"/>
        </w:rPr>
      </w:pPr>
    </w:p>
    <w:p w14:paraId="79DE8923">
      <w:pPr>
        <w:wordWrap w:val="0"/>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注：本授权委托书需由供应商加盖单位公章并由其法定代表人和委托代理人签字。</w:t>
      </w:r>
    </w:p>
    <w:p w14:paraId="4A7F4D42">
      <w:pPr>
        <w:pStyle w:val="18"/>
        <w:rPr>
          <w:rFonts w:hint="eastAsia"/>
          <w:color w:val="auto"/>
          <w:highlight w:val="none"/>
        </w:rPr>
      </w:pPr>
    </w:p>
    <w:p w14:paraId="4BDD4816">
      <w:pPr>
        <w:wordWrap w:val="0"/>
        <w:spacing w:line="480" w:lineRule="auto"/>
        <w:ind w:firstLine="3360" w:firstLineChars="14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供应商：</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（盖单位章）</w:t>
      </w:r>
    </w:p>
    <w:p w14:paraId="266A2800">
      <w:pPr>
        <w:wordWrap w:val="0"/>
        <w:spacing w:line="480" w:lineRule="auto"/>
        <w:ind w:firstLine="3360" w:firstLineChars="14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（签字）</w:t>
      </w:r>
    </w:p>
    <w:p w14:paraId="5685CB50">
      <w:pPr>
        <w:wordWrap w:val="0"/>
        <w:spacing w:line="480" w:lineRule="auto"/>
        <w:ind w:firstLine="3360" w:firstLineChars="140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身份证号码：</w:t>
      </w:r>
      <w:r>
        <w:rPr>
          <w:rFonts w:hint="eastAsia" w:ascii="宋体" w:hAnsi="宋体" w:cs="宋体"/>
          <w:color w:val="auto"/>
          <w:kern w:val="0"/>
          <w:sz w:val="24"/>
          <w:szCs w:val="24"/>
          <w:highlight w:val="none"/>
          <w:u w:val="single"/>
        </w:rPr>
        <w:t xml:space="preserve">                            </w:t>
      </w:r>
    </w:p>
    <w:p w14:paraId="2DAFAF7F">
      <w:pPr>
        <w:wordWrap w:val="0"/>
        <w:spacing w:line="480" w:lineRule="auto"/>
        <w:ind w:firstLine="3360" w:firstLineChars="14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（签字）</w:t>
      </w:r>
    </w:p>
    <w:p w14:paraId="58CB11AA">
      <w:pPr>
        <w:wordWrap w:val="0"/>
        <w:spacing w:line="480" w:lineRule="auto"/>
        <w:ind w:firstLine="3360" w:firstLineChars="14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身份证号码：</w:t>
      </w:r>
      <w:r>
        <w:rPr>
          <w:rFonts w:hint="eastAsia" w:ascii="宋体" w:hAnsi="宋体" w:cs="宋体"/>
          <w:color w:val="auto"/>
          <w:kern w:val="0"/>
          <w:sz w:val="24"/>
          <w:szCs w:val="24"/>
          <w:highlight w:val="none"/>
          <w:u w:val="single"/>
        </w:rPr>
        <w:t xml:space="preserve">                            </w:t>
      </w:r>
    </w:p>
    <w:p w14:paraId="2B1EC38D">
      <w:pPr>
        <w:tabs>
          <w:tab w:val="left" w:pos="1365"/>
        </w:tabs>
        <w:wordWrap w:val="0"/>
        <w:spacing w:line="480" w:lineRule="auto"/>
        <w:jc w:val="right"/>
        <w:rPr>
          <w:rFonts w:hint="eastAsia" w:ascii="宋体" w:hAnsi="宋体" w:cs="宋体"/>
          <w:b/>
          <w:bCs/>
          <w:color w:val="auto"/>
          <w:sz w:val="32"/>
          <w:szCs w:val="32"/>
          <w:highlight w:val="none"/>
        </w:rPr>
      </w:pP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14:paraId="3F5EBF9B">
      <w:pPr>
        <w:wordWrap w:val="0"/>
        <w:spacing w:line="360" w:lineRule="auto"/>
        <w:jc w:val="center"/>
        <w:rPr>
          <w:rFonts w:hint="eastAsia" w:ascii="宋体" w:hAnsi="宋体" w:cs="宋体"/>
          <w:b/>
          <w:color w:val="auto"/>
          <w:sz w:val="24"/>
          <w:szCs w:val="24"/>
          <w:highlight w:val="none"/>
        </w:rPr>
      </w:pPr>
      <w:r>
        <w:rPr>
          <w:rFonts w:hint="eastAsia" w:ascii="宋体" w:hAnsi="宋体" w:cs="宋体"/>
          <w:b/>
          <w:bCs/>
          <w:color w:val="auto"/>
          <w:sz w:val="32"/>
          <w:szCs w:val="32"/>
          <w:highlight w:val="none"/>
        </w:rPr>
        <w:br w:type="page"/>
      </w:r>
      <w:bookmarkEnd w:id="81"/>
      <w:bookmarkEnd w:id="82"/>
      <w:bookmarkEnd w:id="83"/>
      <w:bookmarkEnd w:id="84"/>
      <w:bookmarkEnd w:id="85"/>
      <w:bookmarkEnd w:id="86"/>
      <w:bookmarkEnd w:id="87"/>
      <w:r>
        <w:rPr>
          <w:rFonts w:hint="eastAsia" w:ascii="宋体" w:hAnsi="宋体" w:cs="宋体"/>
          <w:b/>
          <w:bCs/>
          <w:color w:val="auto"/>
          <w:sz w:val="32"/>
          <w:szCs w:val="32"/>
          <w:highlight w:val="none"/>
        </w:rPr>
        <w:t>四、</w:t>
      </w:r>
      <w:r>
        <w:rPr>
          <w:rFonts w:hint="eastAsia" w:ascii="宋体" w:hAnsi="宋体" w:cs="宋体"/>
          <w:b/>
          <w:color w:val="auto"/>
          <w:sz w:val="32"/>
          <w:szCs w:val="32"/>
          <w:highlight w:val="none"/>
        </w:rPr>
        <w:t>开标一览表</w:t>
      </w:r>
    </w:p>
    <w:p w14:paraId="5BB5B71F">
      <w:pPr>
        <w:wordWrap w:val="0"/>
        <w:spacing w:line="440" w:lineRule="exact"/>
        <w:rPr>
          <w:rFonts w:hint="eastAsia" w:ascii="宋体" w:hAnsi="宋体" w:cs="宋体"/>
          <w:bCs/>
          <w:color w:val="auto"/>
          <w:sz w:val="24"/>
          <w:szCs w:val="24"/>
          <w:highlight w:val="none"/>
        </w:rPr>
      </w:pPr>
      <w:r>
        <w:rPr>
          <w:rFonts w:hint="eastAsia" w:ascii="宋体" w:hAnsi="宋体" w:cs="宋体"/>
          <w:b/>
          <w:color w:val="auto"/>
          <w:sz w:val="24"/>
          <w:szCs w:val="24"/>
          <w:highlight w:val="none"/>
        </w:rPr>
        <w:t>说明：</w:t>
      </w:r>
    </w:p>
    <w:p w14:paraId="651CFECD">
      <w:pPr>
        <w:numPr>
          <w:ilvl w:val="0"/>
          <w:numId w:val="4"/>
        </w:numPr>
        <w:wordWrap w:val="0"/>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“开标一览表”以电子响应文件中的格式进行填写，开标时唱标使用解密后的“开标一览表”。</w:t>
      </w:r>
    </w:p>
    <w:p w14:paraId="577001E5">
      <w:pPr>
        <w:numPr>
          <w:ilvl w:val="0"/>
          <w:numId w:val="4"/>
        </w:numPr>
        <w:wordWrap w:val="0"/>
        <w:spacing w:line="440" w:lineRule="exact"/>
        <w:rPr>
          <w:rFonts w:hint="eastAsia" w:ascii="宋体" w:hAnsi="宋体" w:cs="宋体"/>
          <w:bCs/>
          <w:color w:val="auto"/>
          <w:sz w:val="24"/>
          <w:szCs w:val="24"/>
          <w:highlight w:val="none"/>
        </w:rPr>
      </w:pPr>
      <w:r>
        <w:rPr>
          <w:rFonts w:hint="eastAsia" w:ascii="宋体" w:hAnsi="宋体" w:cs="宋体"/>
          <w:color w:val="auto"/>
          <w:sz w:val="24"/>
          <w:szCs w:val="24"/>
          <w:highlight w:val="none"/>
        </w:rPr>
        <w:t>“开标一览表”的内容应与“投标报价明细表”以及响应文件的其他相关内容一致。</w:t>
      </w:r>
      <w:r>
        <w:rPr>
          <w:rFonts w:hint="eastAsia" w:ascii="宋体" w:hAnsi="宋体" w:cs="宋体"/>
          <w:bCs/>
          <w:color w:val="auto"/>
          <w:sz w:val="24"/>
          <w:szCs w:val="24"/>
          <w:highlight w:val="none"/>
        </w:rPr>
        <w:t>如果“开标一览表”的内容与“投标报价明细表”以及响应文件的其他相关内容不一致，则以“开标一览表”的内容为准。</w:t>
      </w:r>
    </w:p>
    <w:p w14:paraId="00AE75E7">
      <w:pPr>
        <w:wordWrap w:val="0"/>
        <w:spacing w:line="440" w:lineRule="exact"/>
        <w:rPr>
          <w:rFonts w:hint="eastAsia" w:ascii="宋体" w:hAnsi="宋体" w:cs="宋体"/>
          <w:bCs/>
          <w:color w:val="auto"/>
          <w:sz w:val="24"/>
          <w:szCs w:val="24"/>
          <w:highlight w:val="none"/>
        </w:rPr>
      </w:pPr>
      <w:r>
        <w:rPr>
          <w:rFonts w:hint="eastAsia" w:ascii="宋体" w:hAnsi="宋体" w:cs="宋体"/>
          <w:color w:val="auto"/>
          <w:sz w:val="24"/>
          <w:szCs w:val="24"/>
          <w:highlight w:val="none"/>
        </w:rPr>
        <w:t>3、“开标一览表”中各个栏目都必须完整、准确填写。</w:t>
      </w:r>
      <w:r>
        <w:rPr>
          <w:rFonts w:hint="eastAsia" w:ascii="宋体" w:hAnsi="宋体" w:cs="宋体"/>
          <w:bCs/>
          <w:color w:val="auto"/>
          <w:sz w:val="24"/>
          <w:szCs w:val="24"/>
          <w:highlight w:val="none"/>
        </w:rPr>
        <w:t>开标时，“开标一览表”的所有内容都不允许补充或者修改。</w:t>
      </w:r>
    </w:p>
    <w:p w14:paraId="23F935DA">
      <w:pPr>
        <w:wordWrap w:val="0"/>
        <w:spacing w:line="440" w:lineRule="exact"/>
        <w:rPr>
          <w:rFonts w:hint="eastAsia" w:ascii="宋体" w:hAnsi="宋体" w:cs="宋体"/>
          <w:b/>
          <w:color w:val="auto"/>
          <w:sz w:val="24"/>
          <w:szCs w:val="24"/>
          <w:highlight w:val="none"/>
        </w:rPr>
      </w:pPr>
      <w:r>
        <w:rPr>
          <w:rFonts w:hint="eastAsia" w:ascii="宋体" w:hAnsi="宋体" w:cs="宋体"/>
          <w:bCs/>
          <w:color w:val="auto"/>
          <w:sz w:val="24"/>
          <w:szCs w:val="24"/>
          <w:highlight w:val="none"/>
        </w:rPr>
        <w:t>4、“开标一览表”是响应文件的组成部分，必须在生成的“开标一览表”空白处签字和加盖公章，否则为无效投标。</w:t>
      </w:r>
    </w:p>
    <w:p w14:paraId="361FBA44">
      <w:pPr>
        <w:tabs>
          <w:tab w:val="left" w:pos="1365"/>
        </w:tabs>
        <w:wordWrap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五、投标报价明细表</w:t>
      </w:r>
    </w:p>
    <w:p w14:paraId="782F637C">
      <w:pPr>
        <w:tabs>
          <w:tab w:val="left" w:pos="1365"/>
        </w:tabs>
        <w:wordWrap w:val="0"/>
        <w:ind w:left="-2" w:leftChars="-1" w:firstLine="2"/>
        <w:rPr>
          <w:rFonts w:hint="eastAsia" w:ascii="宋体" w:hAnsi="宋体" w:cs="宋体"/>
          <w:b/>
          <w:color w:val="auto"/>
          <w:sz w:val="44"/>
          <w:szCs w:val="44"/>
          <w:highlight w:val="none"/>
        </w:rPr>
      </w:pPr>
      <w:r>
        <w:rPr>
          <w:rFonts w:hint="eastAsia" w:ascii="宋体" w:hAnsi="宋体" w:cs="宋体"/>
          <w:b/>
          <w:color w:val="auto"/>
          <w:sz w:val="32"/>
          <w:highlight w:val="none"/>
        </w:rPr>
        <w:t>说明：</w:t>
      </w:r>
    </w:p>
    <w:p w14:paraId="3D8DAB2C">
      <w:pPr>
        <w:pStyle w:val="108"/>
        <w:wordWrap w:val="0"/>
        <w:spacing w:line="440" w:lineRule="exact"/>
        <w:ind w:firstLine="0" w:firstLineChars="0"/>
        <w:rPr>
          <w:rFonts w:hint="eastAsia" w:ascii="宋体" w:hAnsi="宋体" w:cs="宋体"/>
          <w:color w:val="auto"/>
          <w:sz w:val="24"/>
          <w:szCs w:val="28"/>
          <w:highlight w:val="none"/>
        </w:rPr>
      </w:pPr>
      <w:r>
        <w:rPr>
          <w:rFonts w:hint="eastAsia" w:ascii="宋体" w:hAnsi="宋体" w:cs="宋体"/>
          <w:color w:val="auto"/>
          <w:sz w:val="24"/>
          <w:szCs w:val="28"/>
          <w:highlight w:val="none"/>
        </w:rPr>
        <w:t>一、报价方式：本项目采用总报价方式进行计价。</w:t>
      </w:r>
    </w:p>
    <w:p w14:paraId="1D8F6ADD">
      <w:pPr>
        <w:pStyle w:val="108"/>
        <w:wordWrap w:val="0"/>
        <w:spacing w:line="440" w:lineRule="exact"/>
        <w:ind w:firstLine="0" w:firstLineChars="0"/>
        <w:rPr>
          <w:rFonts w:hint="eastAsia" w:ascii="宋体" w:hAnsi="宋体" w:cs="宋体"/>
          <w:color w:val="auto"/>
          <w:sz w:val="24"/>
          <w:szCs w:val="28"/>
          <w:highlight w:val="none"/>
        </w:rPr>
      </w:pPr>
      <w:r>
        <w:rPr>
          <w:rFonts w:hint="eastAsia" w:ascii="宋体" w:hAnsi="宋体" w:cs="宋体"/>
          <w:color w:val="auto"/>
          <w:sz w:val="24"/>
          <w:szCs w:val="28"/>
          <w:highlight w:val="none"/>
        </w:rPr>
        <w:t>二、报价说明：投标报价应是生产检测、运输、卸货（业主指定地点）、保险、国家及地方规定的任何收费（包括但不限于登记费，手续费）、税金、因要符合政府有关单位部门规定而必须改善或替换的任何费用、装卸费（必须使用大型机械而现场又不具备）、办理相关手续、抽样检测、特种设备检测 （如果有）、现场安装调试、设备调试费和质保期内保修等完成本合同工作所需的一切费用，除合同条件另有说明外，金额不得以任何方法调整或变更。任何计算承包金额的错误皆由供应商承担并视为已被双方接受。</w:t>
      </w:r>
    </w:p>
    <w:p w14:paraId="4B12AF69">
      <w:pPr>
        <w:wordWrap w:val="0"/>
        <w:jc w:val="center"/>
        <w:rPr>
          <w:rFonts w:hint="eastAsia" w:ascii="宋体" w:hAnsi="宋体" w:cs="宋体"/>
          <w:color w:val="auto"/>
          <w:sz w:val="32"/>
          <w:szCs w:val="30"/>
          <w:highlight w:val="none"/>
        </w:rPr>
      </w:pPr>
      <w:r>
        <w:rPr>
          <w:rFonts w:hint="eastAsia" w:ascii="宋体" w:hAnsi="宋体" w:cs="宋体"/>
          <w:b/>
          <w:bCs/>
          <w:color w:val="auto"/>
          <w:sz w:val="30"/>
          <w:szCs w:val="30"/>
          <w:highlight w:val="none"/>
        </w:rPr>
        <w:br w:type="page"/>
      </w:r>
      <w:r>
        <w:rPr>
          <w:rFonts w:hint="eastAsia" w:ascii="宋体" w:hAnsi="宋体" w:cs="宋体"/>
          <w:b/>
          <w:bCs/>
          <w:color w:val="auto"/>
          <w:sz w:val="32"/>
          <w:szCs w:val="30"/>
          <w:highlight w:val="none"/>
        </w:rPr>
        <w:t>投标报价明细表</w:t>
      </w:r>
    </w:p>
    <w:p w14:paraId="468B1DCF">
      <w:pPr>
        <w:wordWrap w:val="0"/>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p>
    <w:p w14:paraId="32C922D3">
      <w:pPr>
        <w:wordWrap w:val="0"/>
        <w:spacing w:after="120" w:afterLines="50"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u w:val="single"/>
        </w:rPr>
        <w:t xml:space="preserve">                </w:t>
      </w:r>
    </w:p>
    <w:tbl>
      <w:tblPr>
        <w:tblStyle w:val="47"/>
        <w:tblW w:w="8661"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2"/>
        <w:gridCol w:w="1737"/>
        <w:gridCol w:w="1469"/>
        <w:gridCol w:w="1341"/>
        <w:gridCol w:w="1322"/>
      </w:tblGrid>
      <w:tr w14:paraId="1DB2CAA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2792" w:type="dxa"/>
            <w:tcBorders>
              <w:top w:val="single" w:color="auto" w:sz="4" w:space="0"/>
              <w:left w:val="single" w:color="auto" w:sz="4" w:space="0"/>
              <w:bottom w:val="single" w:color="auto" w:sz="4" w:space="0"/>
              <w:right w:val="single" w:color="auto" w:sz="4" w:space="0"/>
            </w:tcBorders>
            <w:noWrap w:val="0"/>
            <w:vAlign w:val="center"/>
          </w:tcPr>
          <w:p w14:paraId="36F69813">
            <w:pPr>
              <w:wordWrap w:val="0"/>
              <w:spacing w:line="400" w:lineRule="exact"/>
              <w:jc w:val="center"/>
              <w:rPr>
                <w:rFonts w:hint="eastAsia" w:ascii="宋体" w:hAnsi="宋体"/>
                <w:b/>
                <w:color w:val="auto"/>
                <w:sz w:val="24"/>
                <w:szCs w:val="28"/>
                <w:highlight w:val="none"/>
              </w:rPr>
            </w:pPr>
            <w:r>
              <w:rPr>
                <w:rFonts w:hint="eastAsia" w:ascii="宋体" w:hAnsi="宋体"/>
                <w:b/>
                <w:color w:val="auto"/>
                <w:sz w:val="24"/>
                <w:szCs w:val="28"/>
                <w:highlight w:val="none"/>
              </w:rPr>
              <w:t>服务内容</w:t>
            </w:r>
          </w:p>
        </w:tc>
        <w:tc>
          <w:tcPr>
            <w:tcW w:w="1737" w:type="dxa"/>
            <w:tcBorders>
              <w:top w:val="single" w:color="auto" w:sz="4" w:space="0"/>
              <w:left w:val="single" w:color="auto" w:sz="4" w:space="0"/>
              <w:bottom w:val="single" w:color="auto" w:sz="4" w:space="0"/>
              <w:right w:val="single" w:color="auto" w:sz="4" w:space="0"/>
            </w:tcBorders>
            <w:noWrap w:val="0"/>
            <w:vAlign w:val="center"/>
          </w:tcPr>
          <w:p w14:paraId="4D1DF528">
            <w:pPr>
              <w:spacing w:line="400" w:lineRule="exact"/>
              <w:jc w:val="center"/>
              <w:rPr>
                <w:rFonts w:hint="eastAsia" w:ascii="宋体" w:hAnsi="宋体"/>
                <w:b/>
                <w:color w:val="auto"/>
                <w:sz w:val="24"/>
                <w:szCs w:val="28"/>
                <w:highlight w:val="none"/>
              </w:rPr>
            </w:pPr>
            <w:r>
              <w:rPr>
                <w:rFonts w:hint="eastAsia" w:ascii="宋体" w:hAnsi="宋体"/>
                <w:b/>
                <w:color w:val="auto"/>
                <w:sz w:val="24"/>
                <w:szCs w:val="28"/>
                <w:highlight w:val="none"/>
              </w:rPr>
              <w:t>投标总价</w:t>
            </w:r>
          </w:p>
          <w:p w14:paraId="47723F0F">
            <w:pPr>
              <w:wordWrap w:val="0"/>
              <w:spacing w:line="400" w:lineRule="exact"/>
              <w:jc w:val="center"/>
              <w:rPr>
                <w:rFonts w:ascii="宋体" w:hAnsi="宋体"/>
                <w:b/>
                <w:color w:val="auto"/>
                <w:sz w:val="24"/>
                <w:szCs w:val="28"/>
                <w:highlight w:val="none"/>
              </w:rPr>
            </w:pPr>
            <w:r>
              <w:rPr>
                <w:rFonts w:hint="eastAsia" w:ascii="宋体" w:hAnsi="宋体"/>
                <w:b/>
                <w:color w:val="auto"/>
                <w:sz w:val="24"/>
                <w:szCs w:val="28"/>
                <w:highlight w:val="none"/>
              </w:rPr>
              <w:t>（元）</w:t>
            </w:r>
          </w:p>
        </w:tc>
        <w:tc>
          <w:tcPr>
            <w:tcW w:w="1469" w:type="dxa"/>
            <w:tcBorders>
              <w:top w:val="single" w:color="auto" w:sz="4" w:space="0"/>
              <w:left w:val="single" w:color="auto" w:sz="4" w:space="0"/>
              <w:bottom w:val="single" w:color="auto" w:sz="4" w:space="0"/>
              <w:right w:val="single" w:color="auto" w:sz="4" w:space="0"/>
            </w:tcBorders>
            <w:noWrap w:val="0"/>
            <w:vAlign w:val="center"/>
          </w:tcPr>
          <w:p w14:paraId="0CBB867C">
            <w:pPr>
              <w:wordWrap w:val="0"/>
              <w:spacing w:line="400" w:lineRule="exact"/>
              <w:jc w:val="center"/>
              <w:rPr>
                <w:rFonts w:ascii="宋体" w:hAnsi="宋体"/>
                <w:b/>
                <w:color w:val="auto"/>
                <w:sz w:val="24"/>
                <w:szCs w:val="28"/>
                <w:highlight w:val="none"/>
              </w:rPr>
            </w:pPr>
            <w:r>
              <w:rPr>
                <w:rFonts w:hint="eastAsia" w:ascii="宋体" w:hAnsi="宋体"/>
                <w:b/>
                <w:color w:val="auto"/>
                <w:sz w:val="24"/>
                <w:szCs w:val="28"/>
                <w:highlight w:val="none"/>
              </w:rPr>
              <w:t>服务期限</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6D1DAB7">
            <w:pPr>
              <w:wordWrap w:val="0"/>
              <w:spacing w:line="400" w:lineRule="exact"/>
              <w:jc w:val="center"/>
              <w:rPr>
                <w:rFonts w:ascii="宋体" w:hAnsi="宋体"/>
                <w:b/>
                <w:color w:val="auto"/>
                <w:sz w:val="24"/>
                <w:szCs w:val="28"/>
                <w:highlight w:val="none"/>
              </w:rPr>
            </w:pPr>
            <w:r>
              <w:rPr>
                <w:rFonts w:hint="eastAsia" w:ascii="宋体" w:hAnsi="宋体"/>
                <w:b/>
                <w:color w:val="auto"/>
                <w:sz w:val="24"/>
                <w:szCs w:val="28"/>
                <w:highlight w:val="none"/>
                <w:lang w:val="en-US" w:eastAsia="zh-CN"/>
              </w:rPr>
              <w:t>质量</w:t>
            </w:r>
            <w:r>
              <w:rPr>
                <w:rFonts w:hint="eastAsia" w:ascii="宋体" w:hAnsi="宋体"/>
                <w:b/>
                <w:color w:val="auto"/>
                <w:sz w:val="24"/>
                <w:szCs w:val="28"/>
                <w:highlight w:val="none"/>
              </w:rPr>
              <w:t>标准</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4DE58817">
            <w:pPr>
              <w:wordWrap w:val="0"/>
              <w:spacing w:line="400" w:lineRule="exact"/>
              <w:jc w:val="center"/>
              <w:rPr>
                <w:rFonts w:hint="eastAsia" w:ascii="宋体" w:hAnsi="宋体"/>
                <w:b/>
                <w:color w:val="auto"/>
                <w:sz w:val="24"/>
                <w:szCs w:val="28"/>
                <w:highlight w:val="none"/>
              </w:rPr>
            </w:pPr>
            <w:r>
              <w:rPr>
                <w:rFonts w:hint="eastAsia" w:ascii="宋体" w:hAnsi="宋体"/>
                <w:b/>
                <w:color w:val="auto"/>
                <w:sz w:val="24"/>
                <w:szCs w:val="28"/>
                <w:highlight w:val="none"/>
              </w:rPr>
              <w:t>备注</w:t>
            </w:r>
          </w:p>
        </w:tc>
      </w:tr>
      <w:tr w14:paraId="7F8632B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2792" w:type="dxa"/>
            <w:tcBorders>
              <w:top w:val="single" w:color="auto" w:sz="4" w:space="0"/>
              <w:left w:val="single" w:color="auto" w:sz="4" w:space="0"/>
              <w:bottom w:val="single" w:color="auto" w:sz="4" w:space="0"/>
              <w:right w:val="single" w:color="auto" w:sz="4" w:space="0"/>
            </w:tcBorders>
            <w:noWrap w:val="0"/>
            <w:vAlign w:val="center"/>
          </w:tcPr>
          <w:p w14:paraId="4B4113BF">
            <w:pPr>
              <w:wordWrap w:val="0"/>
              <w:jc w:val="center"/>
              <w:rPr>
                <w:rFonts w:ascii="宋体" w:hAnsi="宋体"/>
                <w:color w:val="auto"/>
                <w:sz w:val="24"/>
                <w:szCs w:val="28"/>
                <w:highlight w:val="none"/>
              </w:rPr>
            </w:pPr>
          </w:p>
        </w:tc>
        <w:tc>
          <w:tcPr>
            <w:tcW w:w="1737" w:type="dxa"/>
            <w:tcBorders>
              <w:top w:val="single" w:color="auto" w:sz="4" w:space="0"/>
              <w:left w:val="single" w:color="auto" w:sz="4" w:space="0"/>
              <w:bottom w:val="single" w:color="auto" w:sz="4" w:space="0"/>
              <w:right w:val="single" w:color="auto" w:sz="4" w:space="0"/>
            </w:tcBorders>
            <w:noWrap w:val="0"/>
            <w:vAlign w:val="center"/>
          </w:tcPr>
          <w:p w14:paraId="613E6727">
            <w:pPr>
              <w:rPr>
                <w:rFonts w:ascii="宋体" w:hAnsi="宋体"/>
                <w:b/>
                <w:color w:val="auto"/>
                <w:sz w:val="24"/>
                <w:szCs w:val="28"/>
                <w:highlight w:val="none"/>
              </w:rPr>
            </w:pPr>
            <w:r>
              <w:rPr>
                <w:rFonts w:hint="eastAsia" w:ascii="宋体" w:hAnsi="宋体"/>
                <w:b/>
                <w:color w:val="auto"/>
                <w:sz w:val="24"/>
                <w:szCs w:val="28"/>
                <w:highlight w:val="none"/>
              </w:rPr>
              <w:t>大写：</w:t>
            </w:r>
          </w:p>
          <w:p w14:paraId="39EFE987">
            <w:pPr>
              <w:wordWrap w:val="0"/>
              <w:jc w:val="left"/>
              <w:rPr>
                <w:rFonts w:ascii="宋体" w:hAnsi="宋体"/>
                <w:color w:val="auto"/>
                <w:sz w:val="24"/>
                <w:szCs w:val="28"/>
                <w:highlight w:val="none"/>
              </w:rPr>
            </w:pPr>
            <w:r>
              <w:rPr>
                <w:rFonts w:hint="eastAsia" w:ascii="宋体" w:hAnsi="宋体"/>
                <w:b/>
                <w:color w:val="auto"/>
                <w:sz w:val="24"/>
                <w:szCs w:val="28"/>
                <w:highlight w:val="none"/>
              </w:rPr>
              <w:t>小写：</w:t>
            </w:r>
          </w:p>
        </w:tc>
        <w:tc>
          <w:tcPr>
            <w:tcW w:w="1469" w:type="dxa"/>
            <w:tcBorders>
              <w:top w:val="single" w:color="auto" w:sz="4" w:space="0"/>
              <w:left w:val="single" w:color="auto" w:sz="4" w:space="0"/>
              <w:bottom w:val="single" w:color="auto" w:sz="4" w:space="0"/>
              <w:right w:val="single" w:color="auto" w:sz="4" w:space="0"/>
            </w:tcBorders>
            <w:noWrap w:val="0"/>
            <w:vAlign w:val="center"/>
          </w:tcPr>
          <w:p w14:paraId="52777619">
            <w:pPr>
              <w:wordWrap w:val="0"/>
              <w:jc w:val="center"/>
              <w:rPr>
                <w:rFonts w:ascii="宋体" w:hAnsi="宋体"/>
                <w:color w:val="auto"/>
                <w:sz w:val="24"/>
                <w:szCs w:val="28"/>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A85FD8D">
            <w:pPr>
              <w:wordWrap w:val="0"/>
              <w:jc w:val="center"/>
              <w:rPr>
                <w:rFonts w:ascii="宋体" w:hAnsi="宋体"/>
                <w:color w:val="auto"/>
                <w:sz w:val="24"/>
                <w:szCs w:val="28"/>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14:paraId="1C94CF25">
            <w:pPr>
              <w:wordWrap w:val="0"/>
              <w:jc w:val="center"/>
              <w:rPr>
                <w:rFonts w:ascii="宋体" w:hAnsi="宋体"/>
                <w:color w:val="auto"/>
                <w:sz w:val="24"/>
                <w:szCs w:val="28"/>
                <w:highlight w:val="none"/>
              </w:rPr>
            </w:pPr>
          </w:p>
        </w:tc>
      </w:tr>
    </w:tbl>
    <w:p w14:paraId="7F43A745">
      <w:pPr>
        <w:wordWrap w:val="0"/>
        <w:spacing w:line="480" w:lineRule="auto"/>
        <w:rPr>
          <w:rFonts w:hint="eastAsia" w:ascii="宋体" w:hAnsi="宋体" w:cs="宋体"/>
          <w:color w:val="auto"/>
          <w:sz w:val="28"/>
          <w:szCs w:val="28"/>
          <w:highlight w:val="none"/>
        </w:rPr>
      </w:pPr>
    </w:p>
    <w:p w14:paraId="34DD6A5D">
      <w:pPr>
        <w:wordWrap w:val="0"/>
        <w:spacing w:line="480" w:lineRule="auto"/>
        <w:ind w:firstLine="2880" w:firstLineChars="1200"/>
        <w:rPr>
          <w:rFonts w:hint="eastAsia" w:ascii="宋体" w:hAnsi="宋体" w:cs="宋体"/>
          <w:color w:val="auto"/>
          <w:sz w:val="24"/>
          <w:szCs w:val="24"/>
          <w:highlight w:val="none"/>
        </w:rPr>
      </w:pPr>
      <w:r>
        <w:rPr>
          <w:rFonts w:hint="eastAsia" w:ascii="宋体" w:hAnsi="宋体" w:cs="宋体"/>
          <w:color w:val="auto"/>
          <w:sz w:val="24"/>
          <w:szCs w:val="24"/>
          <w:highlight w:val="none"/>
        </w:rPr>
        <w:t>供应商：</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4"/>
          <w:highlight w:val="none"/>
        </w:rPr>
        <w:t>（盖单位公章）</w:t>
      </w:r>
    </w:p>
    <w:p w14:paraId="728A1A8C">
      <w:pPr>
        <w:wordWrap w:val="0"/>
        <w:spacing w:line="480" w:lineRule="auto"/>
        <w:ind w:firstLine="2880" w:firstLineChars="1200"/>
        <w:rPr>
          <w:rFonts w:hint="eastAsia" w:ascii="宋体" w:hAnsi="宋体" w:cs="宋体"/>
          <w:color w:val="auto"/>
          <w:sz w:val="24"/>
          <w:szCs w:val="24"/>
          <w:highlight w:val="none"/>
        </w:rPr>
      </w:pPr>
      <w:r>
        <w:rPr>
          <w:rFonts w:hint="eastAsia" w:ascii="宋体" w:hAnsi="宋体" w:cs="宋体"/>
          <w:bCs/>
          <w:color w:val="auto"/>
          <w:sz w:val="24"/>
          <w:szCs w:val="24"/>
          <w:highlight w:val="none"/>
        </w:rPr>
        <w:t>法定代表人或委托代理人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14:paraId="51E220AE">
      <w:pPr>
        <w:wordWrap w:val="0"/>
        <w:spacing w:line="480" w:lineRule="auto"/>
        <w:ind w:firstLine="4800" w:firstLineChars="20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0EBD49FB">
      <w:pPr>
        <w:wordWrap w:val="0"/>
        <w:spacing w:line="360" w:lineRule="auto"/>
        <w:jc w:val="left"/>
        <w:rPr>
          <w:rFonts w:hint="eastAsia" w:ascii="宋体" w:hAnsi="宋体" w:cs="宋体"/>
          <w:b/>
          <w:bCs/>
          <w:color w:val="auto"/>
          <w:sz w:val="24"/>
          <w:szCs w:val="24"/>
          <w:highlight w:val="none"/>
        </w:rPr>
      </w:pPr>
    </w:p>
    <w:p w14:paraId="13A9ED7D">
      <w:pPr>
        <w:wordWrap w:val="0"/>
        <w:spacing w:line="440" w:lineRule="exact"/>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注：</w:t>
      </w:r>
      <w:r>
        <w:rPr>
          <w:rFonts w:hint="eastAsia" w:ascii="宋体" w:hAnsi="宋体" w:cs="宋体"/>
          <w:color w:val="auto"/>
          <w:sz w:val="24"/>
          <w:szCs w:val="24"/>
          <w:highlight w:val="none"/>
        </w:rPr>
        <w:t>1. 供应商须根据采购人提出的具体服务需求的工作内容逐项进行分项报价（可自行补充修改）。</w:t>
      </w:r>
    </w:p>
    <w:p w14:paraId="59948ADE">
      <w:pPr>
        <w:wordWrap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 如果按单价计算的结果与总价不一致，以单价为准修正总价。</w:t>
      </w:r>
    </w:p>
    <w:p w14:paraId="150ED6CA">
      <w:pPr>
        <w:wordWrap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 如果不提供详细分项报价将视为没有实质性响应磋商文件。</w:t>
      </w:r>
    </w:p>
    <w:p w14:paraId="791FB543">
      <w:pPr>
        <w:wordWrap w:val="0"/>
        <w:adjustRightInd w:val="0"/>
        <w:spacing w:line="440" w:lineRule="exact"/>
        <w:ind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 xml:space="preserve">4. </w:t>
      </w:r>
      <w:r>
        <w:rPr>
          <w:rFonts w:hint="eastAsia" w:ascii="宋体" w:hAnsi="宋体" w:cs="宋体"/>
          <w:color w:val="auto"/>
          <w:sz w:val="24"/>
          <w:szCs w:val="24"/>
          <w:highlight w:val="none"/>
          <w:lang w:val="zh-CN"/>
        </w:rPr>
        <w:t>与完成本项目有关的各种费用均应包含在总报价中，并按磋商文件第四章服务需求写明投标服务的数量及单位等，否则将视为没有实质性响应磋商文件。</w:t>
      </w:r>
    </w:p>
    <w:p w14:paraId="372081CB">
      <w:pPr>
        <w:tabs>
          <w:tab w:val="left" w:pos="1365"/>
        </w:tabs>
        <w:wordWrap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六、商务条款偏离表</w:t>
      </w:r>
    </w:p>
    <w:p w14:paraId="04C6082B">
      <w:pPr>
        <w:wordWrap w:val="0"/>
        <w:spacing w:line="44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p>
    <w:p w14:paraId="27C89653">
      <w:pPr>
        <w:wordWrap w:val="0"/>
        <w:spacing w:line="44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u w:val="single"/>
        </w:rPr>
        <w:t xml:space="preserve">                </w:t>
      </w:r>
    </w:p>
    <w:p w14:paraId="611FF4E4">
      <w:pPr>
        <w:pStyle w:val="18"/>
        <w:wordWrap w:val="0"/>
        <w:rPr>
          <w:rFonts w:hint="eastAsia" w:ascii="宋体" w:hAnsi="宋体" w:cs="宋体"/>
          <w:color w:val="auto"/>
          <w:highlight w:val="none"/>
        </w:rPr>
      </w:pPr>
    </w:p>
    <w:tbl>
      <w:tblPr>
        <w:tblStyle w:val="47"/>
        <w:tblW w:w="98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1"/>
        <w:gridCol w:w="1200"/>
        <w:gridCol w:w="2893"/>
        <w:gridCol w:w="2936"/>
        <w:gridCol w:w="2060"/>
      </w:tblGrid>
      <w:tr w14:paraId="1BF31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3E9662D1">
            <w:pPr>
              <w:wordWrap w:val="0"/>
              <w:spacing w:line="440" w:lineRule="exact"/>
              <w:jc w:val="center"/>
              <w:rPr>
                <w:rFonts w:hint="eastAsia" w:ascii="宋体" w:hAnsi="宋体" w:cs="宋体"/>
                <w:b/>
                <w:color w:val="auto"/>
                <w:sz w:val="24"/>
                <w:szCs w:val="24"/>
                <w:highlight w:val="none"/>
              </w:rPr>
            </w:pPr>
            <w:bookmarkStart w:id="95" w:name="_Toc11340"/>
            <w:bookmarkStart w:id="96" w:name="_Toc16666392"/>
            <w:bookmarkStart w:id="97" w:name="_Toc10451"/>
            <w:bookmarkStart w:id="98" w:name="_Toc492451841"/>
            <w:bookmarkStart w:id="99" w:name="_Toc23541"/>
            <w:bookmarkStart w:id="100" w:name="_Toc16858225"/>
            <w:bookmarkStart w:id="101" w:name="_Toc9156"/>
            <w:r>
              <w:rPr>
                <w:rFonts w:hint="eastAsia" w:ascii="宋体" w:hAnsi="宋体" w:cs="宋体"/>
                <w:b/>
                <w:color w:val="auto"/>
                <w:sz w:val="24"/>
                <w:szCs w:val="24"/>
                <w:highlight w:val="none"/>
              </w:rPr>
              <w:t>序号</w:t>
            </w:r>
            <w:bookmarkEnd w:id="95"/>
            <w:bookmarkEnd w:id="96"/>
            <w:bookmarkEnd w:id="97"/>
            <w:bookmarkEnd w:id="98"/>
            <w:bookmarkEnd w:id="99"/>
            <w:bookmarkEnd w:id="100"/>
            <w:bookmarkEnd w:id="101"/>
          </w:p>
        </w:tc>
        <w:tc>
          <w:tcPr>
            <w:tcW w:w="1200" w:type="dxa"/>
            <w:tcBorders>
              <w:top w:val="single" w:color="auto" w:sz="4" w:space="0"/>
              <w:left w:val="single" w:color="auto" w:sz="4" w:space="0"/>
              <w:bottom w:val="single" w:color="auto" w:sz="4" w:space="0"/>
              <w:right w:val="single" w:color="auto" w:sz="4" w:space="0"/>
            </w:tcBorders>
            <w:noWrap w:val="0"/>
            <w:vAlign w:val="center"/>
          </w:tcPr>
          <w:p w14:paraId="709655EE">
            <w:pPr>
              <w:wordWrap w:val="0"/>
              <w:spacing w:line="440" w:lineRule="exact"/>
              <w:jc w:val="center"/>
              <w:rPr>
                <w:rFonts w:hint="eastAsia" w:ascii="宋体" w:hAnsi="宋体" w:cs="宋体"/>
                <w:b/>
                <w:color w:val="auto"/>
                <w:sz w:val="24"/>
                <w:szCs w:val="24"/>
                <w:highlight w:val="none"/>
              </w:rPr>
            </w:pPr>
            <w:bookmarkStart w:id="102" w:name="_Toc16858226"/>
            <w:bookmarkStart w:id="103" w:name="_Toc7422"/>
            <w:bookmarkStart w:id="104" w:name="_Toc16666393"/>
            <w:bookmarkStart w:id="105" w:name="_Toc4669"/>
            <w:bookmarkStart w:id="106" w:name="_Toc26098"/>
            <w:bookmarkStart w:id="107" w:name="_Toc492451842"/>
            <w:bookmarkStart w:id="108" w:name="_Toc15409"/>
            <w:r>
              <w:rPr>
                <w:rFonts w:hint="eastAsia" w:ascii="宋体" w:hAnsi="宋体" w:cs="宋体"/>
                <w:b/>
                <w:color w:val="auto"/>
                <w:sz w:val="24"/>
                <w:szCs w:val="24"/>
                <w:highlight w:val="none"/>
              </w:rPr>
              <w:t>项目名称</w:t>
            </w:r>
            <w:bookmarkEnd w:id="102"/>
            <w:bookmarkEnd w:id="103"/>
            <w:bookmarkEnd w:id="104"/>
            <w:bookmarkEnd w:id="105"/>
            <w:bookmarkEnd w:id="106"/>
            <w:bookmarkEnd w:id="107"/>
            <w:bookmarkEnd w:id="108"/>
          </w:p>
        </w:tc>
        <w:tc>
          <w:tcPr>
            <w:tcW w:w="2893" w:type="dxa"/>
            <w:tcBorders>
              <w:top w:val="single" w:color="auto" w:sz="4" w:space="0"/>
              <w:left w:val="single" w:color="auto" w:sz="4" w:space="0"/>
              <w:bottom w:val="single" w:color="auto" w:sz="4" w:space="0"/>
              <w:right w:val="single" w:color="auto" w:sz="4" w:space="0"/>
            </w:tcBorders>
            <w:noWrap w:val="0"/>
            <w:vAlign w:val="center"/>
          </w:tcPr>
          <w:p w14:paraId="698F9A5A">
            <w:pPr>
              <w:wordWrap w:val="0"/>
              <w:spacing w:line="440" w:lineRule="exact"/>
              <w:jc w:val="center"/>
              <w:rPr>
                <w:rFonts w:hint="eastAsia" w:ascii="宋体" w:hAnsi="宋体" w:cs="宋体"/>
                <w:b/>
                <w:color w:val="auto"/>
                <w:sz w:val="24"/>
                <w:szCs w:val="24"/>
                <w:highlight w:val="none"/>
              </w:rPr>
            </w:pPr>
            <w:bookmarkStart w:id="109" w:name="_Toc16666394"/>
            <w:bookmarkStart w:id="110" w:name="_Toc10148"/>
            <w:bookmarkStart w:id="111" w:name="_Toc19811"/>
            <w:bookmarkStart w:id="112" w:name="_Toc16858227"/>
            <w:bookmarkStart w:id="113" w:name="_Toc25441"/>
            <w:bookmarkStart w:id="114" w:name="_Toc492451843"/>
            <w:bookmarkStart w:id="115" w:name="_Toc6174"/>
            <w:bookmarkStart w:id="116" w:name="_Toc3291"/>
            <w:r>
              <w:rPr>
                <w:rFonts w:hint="eastAsia" w:ascii="宋体" w:hAnsi="宋体" w:cs="宋体"/>
                <w:b/>
                <w:color w:val="auto"/>
                <w:sz w:val="24"/>
                <w:szCs w:val="24"/>
                <w:highlight w:val="none"/>
              </w:rPr>
              <w:t>磋商文件规定的商务条款</w:t>
            </w:r>
            <w:bookmarkEnd w:id="109"/>
            <w:bookmarkEnd w:id="110"/>
            <w:bookmarkEnd w:id="111"/>
            <w:bookmarkEnd w:id="112"/>
            <w:bookmarkEnd w:id="113"/>
            <w:bookmarkEnd w:id="114"/>
            <w:bookmarkEnd w:id="115"/>
            <w:bookmarkEnd w:id="116"/>
          </w:p>
        </w:tc>
        <w:tc>
          <w:tcPr>
            <w:tcW w:w="2936" w:type="dxa"/>
            <w:tcBorders>
              <w:top w:val="single" w:color="auto" w:sz="4" w:space="0"/>
              <w:left w:val="single" w:color="auto" w:sz="4" w:space="0"/>
              <w:bottom w:val="single" w:color="auto" w:sz="4" w:space="0"/>
              <w:right w:val="single" w:color="auto" w:sz="4" w:space="0"/>
            </w:tcBorders>
            <w:noWrap w:val="0"/>
            <w:vAlign w:val="center"/>
          </w:tcPr>
          <w:p w14:paraId="767428CB">
            <w:pPr>
              <w:wordWrap w:val="0"/>
              <w:spacing w:line="440" w:lineRule="exact"/>
              <w:jc w:val="center"/>
              <w:rPr>
                <w:rFonts w:hint="eastAsia" w:ascii="宋体" w:hAnsi="宋体" w:cs="宋体"/>
                <w:b/>
                <w:color w:val="auto"/>
                <w:sz w:val="24"/>
                <w:szCs w:val="24"/>
                <w:highlight w:val="none"/>
              </w:rPr>
            </w:pPr>
            <w:bookmarkStart w:id="117" w:name="_Toc16666395"/>
            <w:bookmarkStart w:id="118" w:name="_Toc343"/>
            <w:bookmarkStart w:id="119" w:name="_Toc21331"/>
            <w:bookmarkStart w:id="120" w:name="_Toc30914"/>
            <w:bookmarkStart w:id="121" w:name="_Toc18316"/>
            <w:bookmarkStart w:id="122" w:name="_Toc16858228"/>
            <w:bookmarkStart w:id="123" w:name="_Toc492451844"/>
            <w:bookmarkStart w:id="124" w:name="_Toc6683"/>
            <w:r>
              <w:rPr>
                <w:rFonts w:hint="eastAsia" w:ascii="宋体" w:hAnsi="宋体" w:cs="宋体"/>
                <w:b/>
                <w:color w:val="auto"/>
                <w:sz w:val="24"/>
                <w:szCs w:val="24"/>
                <w:highlight w:val="none"/>
              </w:rPr>
              <w:t>响应文件对应的商务条款</w:t>
            </w:r>
            <w:bookmarkEnd w:id="117"/>
            <w:bookmarkEnd w:id="118"/>
            <w:bookmarkEnd w:id="119"/>
            <w:bookmarkEnd w:id="120"/>
            <w:bookmarkEnd w:id="121"/>
            <w:bookmarkEnd w:id="122"/>
            <w:bookmarkEnd w:id="123"/>
            <w:bookmarkEnd w:id="124"/>
          </w:p>
        </w:tc>
        <w:tc>
          <w:tcPr>
            <w:tcW w:w="2060" w:type="dxa"/>
            <w:tcBorders>
              <w:top w:val="single" w:color="auto" w:sz="4" w:space="0"/>
              <w:left w:val="single" w:color="auto" w:sz="4" w:space="0"/>
              <w:bottom w:val="single" w:color="auto" w:sz="4" w:space="0"/>
              <w:right w:val="single" w:color="auto" w:sz="4" w:space="0"/>
            </w:tcBorders>
            <w:noWrap w:val="0"/>
            <w:vAlign w:val="center"/>
          </w:tcPr>
          <w:p w14:paraId="478D5A2A">
            <w:pPr>
              <w:wordWrap w:val="0"/>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偏离（正/无/负）情况说明</w:t>
            </w:r>
          </w:p>
        </w:tc>
      </w:tr>
      <w:tr w14:paraId="53ACF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09596224">
            <w:pPr>
              <w:wordWrap w:val="0"/>
              <w:spacing w:line="440" w:lineRule="exact"/>
              <w:jc w:val="center"/>
              <w:rPr>
                <w:rFonts w:hint="eastAsia" w:ascii="宋体" w:hAnsi="宋体" w:cs="宋体"/>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792FB59">
            <w:pPr>
              <w:pStyle w:val="27"/>
              <w:wordWrap w:val="0"/>
              <w:spacing w:line="440" w:lineRule="exact"/>
              <w:jc w:val="center"/>
              <w:rPr>
                <w:rFonts w:hint="eastAsia" w:ascii="宋体" w:hAnsi="宋体" w:eastAsia="宋体" w:cs="宋体"/>
                <w:color w:val="auto"/>
                <w:sz w:val="24"/>
                <w:szCs w:val="24"/>
                <w:highlight w:val="none"/>
                <w:lang w:val="en-US" w:eastAsia="zh-CN"/>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0C60B886">
            <w:pPr>
              <w:wordWrap w:val="0"/>
              <w:spacing w:line="440" w:lineRule="exact"/>
              <w:jc w:val="center"/>
              <w:rPr>
                <w:rFonts w:hint="eastAsia" w:ascii="宋体" w:hAnsi="宋体" w:cs="宋体"/>
                <w:color w:val="auto"/>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37B7C261">
            <w:pPr>
              <w:wordWrap w:val="0"/>
              <w:spacing w:line="440" w:lineRule="exact"/>
              <w:jc w:val="center"/>
              <w:rPr>
                <w:rFonts w:hint="eastAsia" w:ascii="宋体" w:hAnsi="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29FFA539">
            <w:pPr>
              <w:wordWrap w:val="0"/>
              <w:spacing w:line="440" w:lineRule="exact"/>
              <w:jc w:val="center"/>
              <w:rPr>
                <w:rFonts w:hint="eastAsia" w:ascii="宋体" w:hAnsi="宋体" w:cs="宋体"/>
                <w:color w:val="auto"/>
                <w:sz w:val="24"/>
                <w:szCs w:val="24"/>
                <w:highlight w:val="none"/>
              </w:rPr>
            </w:pPr>
          </w:p>
        </w:tc>
      </w:tr>
      <w:tr w14:paraId="66519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42261F8E">
            <w:pPr>
              <w:wordWrap w:val="0"/>
              <w:spacing w:line="440" w:lineRule="exact"/>
              <w:jc w:val="center"/>
              <w:rPr>
                <w:rFonts w:hint="eastAsia" w:ascii="宋体" w:hAnsi="宋体" w:cs="宋体"/>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5F9BA75">
            <w:pPr>
              <w:wordWrap w:val="0"/>
              <w:spacing w:line="440" w:lineRule="exact"/>
              <w:jc w:val="center"/>
              <w:rPr>
                <w:rFonts w:hint="eastAsia" w:ascii="宋体" w:hAnsi="宋体" w:cs="宋体"/>
                <w:color w:val="auto"/>
                <w:sz w:val="24"/>
                <w:szCs w:val="24"/>
                <w:highlight w:val="none"/>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5F30514C">
            <w:pPr>
              <w:wordWrap w:val="0"/>
              <w:spacing w:line="440" w:lineRule="exact"/>
              <w:jc w:val="center"/>
              <w:rPr>
                <w:rFonts w:hint="eastAsia" w:ascii="宋体" w:hAnsi="宋体" w:cs="宋体"/>
                <w:color w:val="auto"/>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0E6AD2BA">
            <w:pPr>
              <w:wordWrap w:val="0"/>
              <w:spacing w:line="440" w:lineRule="exact"/>
              <w:jc w:val="center"/>
              <w:rPr>
                <w:rFonts w:hint="eastAsia" w:ascii="宋体" w:hAnsi="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6F8CF592">
            <w:pPr>
              <w:wordWrap w:val="0"/>
              <w:spacing w:line="440" w:lineRule="exact"/>
              <w:jc w:val="center"/>
              <w:rPr>
                <w:rFonts w:hint="eastAsia" w:ascii="宋体" w:hAnsi="宋体" w:cs="宋体"/>
                <w:color w:val="auto"/>
                <w:sz w:val="24"/>
                <w:szCs w:val="24"/>
                <w:highlight w:val="none"/>
              </w:rPr>
            </w:pPr>
          </w:p>
        </w:tc>
      </w:tr>
      <w:tr w14:paraId="4D85A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1F63E3F9">
            <w:pPr>
              <w:wordWrap w:val="0"/>
              <w:spacing w:line="440" w:lineRule="exact"/>
              <w:jc w:val="center"/>
              <w:rPr>
                <w:rFonts w:hint="eastAsia" w:ascii="宋体" w:hAnsi="宋体" w:cs="宋体"/>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D0255DC">
            <w:pPr>
              <w:wordWrap w:val="0"/>
              <w:spacing w:line="440" w:lineRule="exact"/>
              <w:jc w:val="center"/>
              <w:rPr>
                <w:rFonts w:hint="eastAsia" w:ascii="宋体" w:hAnsi="宋体" w:cs="宋体"/>
                <w:color w:val="auto"/>
                <w:sz w:val="24"/>
                <w:szCs w:val="24"/>
                <w:highlight w:val="none"/>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01622596">
            <w:pPr>
              <w:wordWrap w:val="0"/>
              <w:spacing w:line="440" w:lineRule="exact"/>
              <w:jc w:val="center"/>
              <w:rPr>
                <w:rFonts w:hint="eastAsia" w:ascii="宋体" w:hAnsi="宋体" w:cs="宋体"/>
                <w:color w:val="auto"/>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6B9E6716">
            <w:pPr>
              <w:wordWrap w:val="0"/>
              <w:spacing w:line="440" w:lineRule="exact"/>
              <w:jc w:val="center"/>
              <w:rPr>
                <w:rFonts w:hint="eastAsia" w:ascii="宋体" w:hAnsi="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08AC4D11">
            <w:pPr>
              <w:wordWrap w:val="0"/>
              <w:spacing w:line="440" w:lineRule="exact"/>
              <w:jc w:val="center"/>
              <w:rPr>
                <w:rFonts w:hint="eastAsia" w:ascii="宋体" w:hAnsi="宋体" w:cs="宋体"/>
                <w:color w:val="auto"/>
                <w:sz w:val="24"/>
                <w:szCs w:val="24"/>
                <w:highlight w:val="none"/>
              </w:rPr>
            </w:pPr>
          </w:p>
        </w:tc>
      </w:tr>
      <w:tr w14:paraId="03A49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76CDCF19">
            <w:pPr>
              <w:wordWrap w:val="0"/>
              <w:spacing w:line="440" w:lineRule="exact"/>
              <w:jc w:val="center"/>
              <w:rPr>
                <w:rFonts w:hint="eastAsia" w:ascii="宋体" w:hAnsi="宋体" w:cs="宋体"/>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0CC6DD9">
            <w:pPr>
              <w:wordWrap w:val="0"/>
              <w:spacing w:line="440" w:lineRule="exact"/>
              <w:jc w:val="center"/>
              <w:rPr>
                <w:rFonts w:hint="eastAsia" w:ascii="宋体" w:hAnsi="宋体" w:cs="宋体"/>
                <w:color w:val="auto"/>
                <w:sz w:val="24"/>
                <w:szCs w:val="24"/>
                <w:highlight w:val="none"/>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7372897D">
            <w:pPr>
              <w:wordWrap w:val="0"/>
              <w:spacing w:line="440" w:lineRule="exact"/>
              <w:jc w:val="center"/>
              <w:rPr>
                <w:rFonts w:hint="eastAsia" w:ascii="宋体" w:hAnsi="宋体" w:cs="宋体"/>
                <w:color w:val="auto"/>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30DDF86B">
            <w:pPr>
              <w:wordWrap w:val="0"/>
              <w:spacing w:line="440" w:lineRule="exact"/>
              <w:jc w:val="center"/>
              <w:rPr>
                <w:rFonts w:hint="eastAsia" w:ascii="宋体" w:hAnsi="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3A48DCAE">
            <w:pPr>
              <w:wordWrap w:val="0"/>
              <w:spacing w:line="440" w:lineRule="exact"/>
              <w:jc w:val="center"/>
              <w:rPr>
                <w:rFonts w:hint="eastAsia" w:ascii="宋体" w:hAnsi="宋体" w:cs="宋体"/>
                <w:color w:val="auto"/>
                <w:sz w:val="24"/>
                <w:szCs w:val="24"/>
                <w:highlight w:val="none"/>
              </w:rPr>
            </w:pPr>
          </w:p>
        </w:tc>
      </w:tr>
      <w:tr w14:paraId="73BC0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334862EA">
            <w:pPr>
              <w:wordWrap w:val="0"/>
              <w:spacing w:line="440" w:lineRule="exact"/>
              <w:jc w:val="center"/>
              <w:rPr>
                <w:rFonts w:hint="eastAsia" w:ascii="宋体" w:hAnsi="宋体" w:cs="宋体"/>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0A04E27">
            <w:pPr>
              <w:wordWrap w:val="0"/>
              <w:spacing w:line="440" w:lineRule="exact"/>
              <w:jc w:val="center"/>
              <w:rPr>
                <w:rFonts w:hint="eastAsia" w:ascii="宋体" w:hAnsi="宋体" w:cs="宋体"/>
                <w:color w:val="auto"/>
                <w:sz w:val="24"/>
                <w:szCs w:val="24"/>
                <w:highlight w:val="none"/>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25384C22">
            <w:pPr>
              <w:wordWrap w:val="0"/>
              <w:spacing w:line="440" w:lineRule="exact"/>
              <w:jc w:val="center"/>
              <w:rPr>
                <w:rFonts w:hint="eastAsia" w:ascii="宋体" w:hAnsi="宋体" w:cs="宋体"/>
                <w:color w:val="auto"/>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470EF175">
            <w:pPr>
              <w:wordWrap w:val="0"/>
              <w:spacing w:line="440" w:lineRule="exact"/>
              <w:jc w:val="center"/>
              <w:rPr>
                <w:rFonts w:hint="eastAsia" w:ascii="宋体" w:hAnsi="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6283CF62">
            <w:pPr>
              <w:wordWrap w:val="0"/>
              <w:spacing w:line="440" w:lineRule="exact"/>
              <w:jc w:val="center"/>
              <w:rPr>
                <w:rFonts w:hint="eastAsia" w:ascii="宋体" w:hAnsi="宋体" w:cs="宋体"/>
                <w:color w:val="auto"/>
                <w:sz w:val="24"/>
                <w:szCs w:val="24"/>
                <w:highlight w:val="none"/>
              </w:rPr>
            </w:pPr>
          </w:p>
        </w:tc>
      </w:tr>
    </w:tbl>
    <w:p w14:paraId="12B9AFD8">
      <w:pPr>
        <w:wordWrap w:val="0"/>
        <w:rPr>
          <w:rFonts w:hint="eastAsia" w:ascii="宋体" w:hAnsi="宋体" w:cs="宋体"/>
          <w:color w:val="auto"/>
          <w:sz w:val="24"/>
          <w:szCs w:val="24"/>
          <w:highlight w:val="none"/>
        </w:rPr>
      </w:pPr>
    </w:p>
    <w:p w14:paraId="31AD7B0A">
      <w:pPr>
        <w:wordWrap w:val="0"/>
        <w:rPr>
          <w:rFonts w:hint="eastAsia" w:ascii="宋体" w:hAnsi="宋体" w:cs="宋体"/>
          <w:color w:val="auto"/>
          <w:sz w:val="24"/>
          <w:szCs w:val="24"/>
          <w:highlight w:val="none"/>
        </w:rPr>
      </w:pPr>
    </w:p>
    <w:p w14:paraId="5564FB7D">
      <w:pPr>
        <w:wordWrap w:val="0"/>
        <w:spacing w:line="480" w:lineRule="auto"/>
        <w:ind w:firstLine="2880" w:firstLineChars="1200"/>
        <w:rPr>
          <w:rFonts w:hint="eastAsia" w:ascii="宋体" w:hAnsi="宋体" w:cs="宋体"/>
          <w:color w:val="auto"/>
          <w:sz w:val="24"/>
          <w:szCs w:val="24"/>
          <w:highlight w:val="none"/>
        </w:rPr>
      </w:pPr>
      <w:r>
        <w:rPr>
          <w:rFonts w:hint="eastAsia" w:ascii="宋体" w:hAnsi="宋体" w:cs="宋体"/>
          <w:color w:val="auto"/>
          <w:sz w:val="24"/>
          <w:szCs w:val="24"/>
          <w:highlight w:val="none"/>
        </w:rPr>
        <w:t>供应商：</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4"/>
          <w:highlight w:val="none"/>
        </w:rPr>
        <w:t>（盖单位公章）</w:t>
      </w:r>
    </w:p>
    <w:p w14:paraId="20745E64">
      <w:pPr>
        <w:wordWrap w:val="0"/>
        <w:spacing w:line="480" w:lineRule="auto"/>
        <w:ind w:firstLine="2880" w:firstLineChars="1200"/>
        <w:rPr>
          <w:rFonts w:hint="eastAsia" w:ascii="宋体" w:hAnsi="宋体" w:cs="宋体"/>
          <w:color w:val="auto"/>
          <w:sz w:val="24"/>
          <w:szCs w:val="24"/>
          <w:highlight w:val="none"/>
        </w:rPr>
      </w:pPr>
      <w:r>
        <w:rPr>
          <w:rFonts w:hint="eastAsia" w:ascii="宋体" w:hAnsi="宋体" w:cs="宋体"/>
          <w:bCs/>
          <w:color w:val="auto"/>
          <w:sz w:val="24"/>
          <w:szCs w:val="24"/>
          <w:highlight w:val="none"/>
        </w:rPr>
        <w:t>法定代表人或委托代理人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14:paraId="7EF64EE3">
      <w:pPr>
        <w:wordWrap w:val="0"/>
        <w:spacing w:line="480" w:lineRule="auto"/>
        <w:ind w:firstLine="4800" w:firstLineChars="20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67DB692C">
      <w:pPr>
        <w:wordWrap w:val="0"/>
        <w:rPr>
          <w:rFonts w:hint="eastAsia" w:ascii="宋体" w:hAnsi="宋体" w:cs="宋体"/>
          <w:color w:val="auto"/>
          <w:sz w:val="24"/>
          <w:szCs w:val="24"/>
          <w:highlight w:val="none"/>
        </w:rPr>
      </w:pPr>
    </w:p>
    <w:p w14:paraId="7B6BC1C2">
      <w:pPr>
        <w:wordWrap w:val="0"/>
        <w:spacing w:line="360" w:lineRule="auto"/>
        <w:rPr>
          <w:rFonts w:hint="eastAsia" w:ascii="宋体" w:hAnsi="宋体" w:cs="宋体"/>
          <w:color w:val="auto"/>
          <w:sz w:val="24"/>
          <w:szCs w:val="24"/>
          <w:highlight w:val="none"/>
        </w:rPr>
      </w:pPr>
    </w:p>
    <w:p w14:paraId="7C9A8225">
      <w:pPr>
        <w:wordWrap w:val="0"/>
        <w:spacing w:line="44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注：</w:t>
      </w:r>
    </w:p>
    <w:p w14:paraId="104E111E">
      <w:pPr>
        <w:wordWrap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1.商务条款偏离表应根据磋商文件的要求对商务条款偏离情况如实填列。</w:t>
      </w:r>
    </w:p>
    <w:p w14:paraId="67FDBC37">
      <w:pPr>
        <w:wordWrap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2.商务条款主要填列付款方式、服务期限、服务地点等重要条款方面的偏离情况。</w:t>
      </w:r>
    </w:p>
    <w:p w14:paraId="17E6B30D">
      <w:pPr>
        <w:wordWrap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3．“投标服务商务条款偏离表”是评审的重要依据，无论所提供的服务与磋商文件的要求是否有偏离，供应商均须详细填报“商务条款偏离表”。</w:t>
      </w:r>
    </w:p>
    <w:p w14:paraId="31471493">
      <w:pPr>
        <w:wordWrap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4.表内如果填列不全，可另外附页说明并按规定签字和加盖公章。</w:t>
      </w:r>
    </w:p>
    <w:p w14:paraId="088346AB">
      <w:pPr>
        <w:wordWrap w:val="0"/>
        <w:spacing w:line="440" w:lineRule="exact"/>
        <w:ind w:firstLine="480" w:firstLineChars="200"/>
        <w:rPr>
          <w:rFonts w:hint="eastAsia" w:ascii="宋体" w:hAnsi="宋体" w:cs="宋体"/>
          <w:color w:val="auto"/>
          <w:highlight w:val="none"/>
        </w:rPr>
      </w:pPr>
      <w:bookmarkStart w:id="125" w:name="_Toc26039"/>
      <w:bookmarkStart w:id="126" w:name="_Toc16858230"/>
      <w:bookmarkStart w:id="127" w:name="_Toc16666397"/>
      <w:bookmarkStart w:id="128" w:name="_Toc9118"/>
      <w:bookmarkStart w:id="129" w:name="_Toc18836"/>
      <w:bookmarkStart w:id="130" w:name="_Toc25931"/>
      <w:bookmarkStart w:id="131" w:name="_Toc27161"/>
      <w:bookmarkStart w:id="132" w:name="_Toc492451846"/>
      <w:r>
        <w:rPr>
          <w:rFonts w:hint="eastAsia" w:ascii="宋体" w:hAnsi="宋体" w:cs="宋体"/>
          <w:color w:val="auto"/>
          <w:sz w:val="24"/>
          <w:szCs w:val="24"/>
          <w:highlight w:val="none"/>
        </w:rPr>
        <w:t>5.此表可根据需要自行拉长加宽。</w:t>
      </w:r>
      <w:bookmarkEnd w:id="125"/>
      <w:bookmarkEnd w:id="126"/>
      <w:bookmarkEnd w:id="127"/>
      <w:bookmarkEnd w:id="128"/>
      <w:bookmarkEnd w:id="129"/>
      <w:bookmarkEnd w:id="130"/>
      <w:bookmarkEnd w:id="131"/>
      <w:bookmarkEnd w:id="132"/>
    </w:p>
    <w:p w14:paraId="6CFC3628">
      <w:pPr>
        <w:tabs>
          <w:tab w:val="left" w:pos="1365"/>
        </w:tabs>
        <w:wordWrap w:val="0"/>
        <w:spacing w:line="360" w:lineRule="auto"/>
        <w:jc w:val="center"/>
        <w:rPr>
          <w:rFonts w:hint="eastAsia" w:ascii="宋体" w:hAnsi="宋体" w:cs="宋体"/>
          <w:b/>
          <w:color w:val="auto"/>
          <w:sz w:val="32"/>
          <w:szCs w:val="32"/>
          <w:highlight w:val="none"/>
        </w:rPr>
      </w:pPr>
      <w:r>
        <w:rPr>
          <w:rFonts w:hint="eastAsia" w:ascii="宋体" w:hAnsi="宋体" w:cs="宋体"/>
          <w:color w:val="auto"/>
          <w:highlight w:val="none"/>
        </w:rPr>
        <w:br w:type="page"/>
      </w:r>
      <w:r>
        <w:rPr>
          <w:rFonts w:hint="eastAsia" w:ascii="宋体" w:hAnsi="宋体" w:cs="宋体"/>
          <w:b/>
          <w:color w:val="auto"/>
          <w:sz w:val="32"/>
          <w:szCs w:val="32"/>
          <w:highlight w:val="none"/>
        </w:rPr>
        <w:t>七、服务响应及偏离表</w:t>
      </w:r>
    </w:p>
    <w:p w14:paraId="00A85044">
      <w:pPr>
        <w:wordWrap w:val="0"/>
        <w:spacing w:line="440" w:lineRule="exact"/>
        <w:rPr>
          <w:rFonts w:hint="eastAsia" w:ascii="宋体" w:hAnsi="宋体" w:cs="宋体"/>
          <w:color w:val="auto"/>
          <w:sz w:val="24"/>
          <w:szCs w:val="24"/>
          <w:highlight w:val="none"/>
        </w:rPr>
      </w:pPr>
      <w:r>
        <w:rPr>
          <w:rFonts w:hint="eastAsia" w:ascii="宋体" w:hAnsi="宋体" w:cs="宋体"/>
          <w:b/>
          <w:bCs/>
          <w:color w:val="auto"/>
          <w:sz w:val="28"/>
          <w:szCs w:val="28"/>
          <w:highlight w:val="none"/>
          <w:lang w:val="zh-CN"/>
        </w:rPr>
        <w:t>（</w:t>
      </w:r>
      <w:r>
        <w:rPr>
          <w:rFonts w:hint="eastAsia" w:ascii="宋体" w:hAnsi="宋体" w:cs="宋体"/>
          <w:b/>
          <w:bCs/>
          <w:color w:val="auto"/>
          <w:sz w:val="28"/>
          <w:szCs w:val="28"/>
          <w:highlight w:val="none"/>
        </w:rPr>
        <w:t>一</w:t>
      </w:r>
      <w:r>
        <w:rPr>
          <w:rFonts w:hint="eastAsia" w:ascii="宋体" w:hAnsi="宋体" w:cs="宋体"/>
          <w:b/>
          <w:bCs/>
          <w:color w:val="auto"/>
          <w:sz w:val="28"/>
          <w:szCs w:val="28"/>
          <w:highlight w:val="none"/>
          <w:lang w:val="zh-CN"/>
        </w:rPr>
        <w:t>）</w:t>
      </w:r>
      <w:r>
        <w:rPr>
          <w:rFonts w:hint="eastAsia" w:ascii="宋体" w:hAnsi="宋体" w:cs="宋体"/>
          <w:b/>
          <w:bCs/>
          <w:color w:val="auto"/>
          <w:sz w:val="28"/>
          <w:szCs w:val="28"/>
          <w:highlight w:val="none"/>
        </w:rPr>
        <w:t>服务响应</w:t>
      </w:r>
      <w:r>
        <w:rPr>
          <w:rFonts w:hint="eastAsia" w:ascii="宋体" w:hAnsi="宋体" w:cs="宋体"/>
          <w:b/>
          <w:bCs/>
          <w:color w:val="auto"/>
          <w:sz w:val="28"/>
          <w:szCs w:val="28"/>
          <w:highlight w:val="none"/>
          <w:lang w:val="zh-CN"/>
        </w:rPr>
        <w:t>偏离表</w:t>
      </w:r>
    </w:p>
    <w:p w14:paraId="6B18B4C9">
      <w:pPr>
        <w:wordWrap w:val="0"/>
        <w:spacing w:line="44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p>
    <w:p w14:paraId="332C16FC">
      <w:pPr>
        <w:wordWrap w:val="0"/>
        <w:spacing w:line="44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u w:val="single"/>
        </w:rPr>
        <w:t xml:space="preserve">                </w:t>
      </w:r>
    </w:p>
    <w:tbl>
      <w:tblPr>
        <w:tblStyle w:val="47"/>
        <w:tblW w:w="99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1590"/>
        <w:gridCol w:w="2079"/>
        <w:gridCol w:w="2075"/>
        <w:gridCol w:w="2444"/>
        <w:gridCol w:w="872"/>
      </w:tblGrid>
      <w:tr w14:paraId="0E2B9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3E9F1159">
            <w:pPr>
              <w:wordWrap w:val="0"/>
              <w:spacing w:line="440" w:lineRule="exact"/>
              <w:jc w:val="center"/>
              <w:rPr>
                <w:rFonts w:hint="eastAsia" w:ascii="宋体" w:hAnsi="宋体" w:cs="宋体"/>
                <w:b/>
                <w:bCs/>
                <w:color w:val="auto"/>
                <w:sz w:val="24"/>
                <w:szCs w:val="24"/>
                <w:highlight w:val="none"/>
              </w:rPr>
            </w:pPr>
            <w:bookmarkStart w:id="133" w:name="_Toc21933"/>
            <w:bookmarkStart w:id="134" w:name="_Toc10809"/>
            <w:bookmarkStart w:id="135" w:name="_Toc16858231"/>
            <w:bookmarkStart w:id="136" w:name="_Toc11797"/>
            <w:bookmarkStart w:id="137" w:name="_Toc24288"/>
            <w:bookmarkStart w:id="138" w:name="_Toc11"/>
            <w:bookmarkStart w:id="139" w:name="_Toc16666398"/>
            <w:bookmarkStart w:id="140" w:name="_Toc492451847"/>
            <w:bookmarkStart w:id="141" w:name="_Toc420593292"/>
            <w:r>
              <w:rPr>
                <w:rFonts w:hint="eastAsia" w:ascii="宋体" w:hAnsi="宋体" w:cs="宋体"/>
                <w:b/>
                <w:bCs/>
                <w:color w:val="auto"/>
                <w:sz w:val="24"/>
                <w:szCs w:val="24"/>
                <w:highlight w:val="none"/>
              </w:rPr>
              <w:t>序号</w:t>
            </w:r>
            <w:bookmarkEnd w:id="133"/>
            <w:bookmarkEnd w:id="134"/>
            <w:bookmarkEnd w:id="135"/>
            <w:bookmarkEnd w:id="136"/>
            <w:bookmarkEnd w:id="137"/>
            <w:bookmarkEnd w:id="138"/>
            <w:bookmarkEnd w:id="139"/>
            <w:bookmarkEnd w:id="140"/>
            <w:bookmarkEnd w:id="141"/>
          </w:p>
        </w:tc>
        <w:tc>
          <w:tcPr>
            <w:tcW w:w="1590" w:type="dxa"/>
            <w:tcBorders>
              <w:top w:val="single" w:color="auto" w:sz="4" w:space="0"/>
              <w:left w:val="single" w:color="auto" w:sz="4" w:space="0"/>
              <w:bottom w:val="single" w:color="auto" w:sz="4" w:space="0"/>
              <w:right w:val="single" w:color="auto" w:sz="4" w:space="0"/>
            </w:tcBorders>
            <w:noWrap w:val="0"/>
            <w:vAlign w:val="center"/>
          </w:tcPr>
          <w:p w14:paraId="7545F7CD">
            <w:pPr>
              <w:wordWrap w:val="0"/>
              <w:spacing w:line="44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服务内容</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27914EB6">
            <w:pPr>
              <w:wordWrap w:val="0"/>
              <w:spacing w:line="440" w:lineRule="exact"/>
              <w:jc w:val="center"/>
              <w:rPr>
                <w:rFonts w:hint="eastAsia" w:ascii="宋体" w:hAnsi="宋体" w:cs="宋体"/>
                <w:b/>
                <w:bCs/>
                <w:color w:val="auto"/>
                <w:sz w:val="24"/>
                <w:szCs w:val="24"/>
                <w:highlight w:val="none"/>
              </w:rPr>
            </w:pPr>
            <w:bookmarkStart w:id="142" w:name="_Toc420593294"/>
            <w:bookmarkStart w:id="143" w:name="_Toc12732"/>
            <w:bookmarkStart w:id="144" w:name="_Toc2647"/>
            <w:bookmarkStart w:id="145" w:name="_Toc18583"/>
            <w:bookmarkStart w:id="146" w:name="_Toc492451849"/>
            <w:bookmarkStart w:id="147" w:name="_Toc16858233"/>
            <w:bookmarkStart w:id="148" w:name="_Toc16666400"/>
            <w:bookmarkStart w:id="149" w:name="_Toc4729"/>
            <w:bookmarkStart w:id="150" w:name="_Toc5005"/>
            <w:r>
              <w:rPr>
                <w:rFonts w:hint="eastAsia" w:ascii="宋体" w:hAnsi="宋体" w:cs="宋体"/>
                <w:b/>
                <w:bCs/>
                <w:color w:val="auto"/>
                <w:sz w:val="24"/>
                <w:szCs w:val="24"/>
                <w:highlight w:val="none"/>
              </w:rPr>
              <w:t>磋商文件规定的</w:t>
            </w:r>
            <w:bookmarkEnd w:id="142"/>
            <w:bookmarkEnd w:id="143"/>
            <w:bookmarkEnd w:id="144"/>
            <w:bookmarkEnd w:id="145"/>
            <w:bookmarkEnd w:id="146"/>
            <w:bookmarkEnd w:id="147"/>
            <w:bookmarkEnd w:id="148"/>
            <w:bookmarkEnd w:id="149"/>
            <w:bookmarkEnd w:id="150"/>
            <w:r>
              <w:rPr>
                <w:rFonts w:hint="eastAsia" w:ascii="宋体" w:hAnsi="宋体" w:cs="宋体"/>
                <w:b/>
                <w:bCs/>
                <w:color w:val="auto"/>
                <w:sz w:val="24"/>
                <w:szCs w:val="24"/>
                <w:highlight w:val="none"/>
              </w:rPr>
              <w:t>服务需求</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2BAAAC72">
            <w:pPr>
              <w:wordWrap w:val="0"/>
              <w:spacing w:line="440" w:lineRule="exact"/>
              <w:jc w:val="center"/>
              <w:rPr>
                <w:rFonts w:hint="eastAsia" w:ascii="宋体" w:hAnsi="宋体" w:cs="宋体"/>
                <w:b/>
                <w:bCs/>
                <w:color w:val="auto"/>
                <w:sz w:val="24"/>
                <w:szCs w:val="24"/>
                <w:highlight w:val="none"/>
              </w:rPr>
            </w:pPr>
            <w:bookmarkStart w:id="151" w:name="_Toc492451850"/>
            <w:bookmarkStart w:id="152" w:name="_Toc420593295"/>
            <w:bookmarkStart w:id="153" w:name="_Toc2807"/>
            <w:bookmarkStart w:id="154" w:name="_Toc31317"/>
            <w:bookmarkStart w:id="155" w:name="_Toc16258"/>
            <w:bookmarkStart w:id="156" w:name="_Toc23866"/>
            <w:bookmarkStart w:id="157" w:name="_Toc16858234"/>
            <w:bookmarkStart w:id="158" w:name="_Toc12680"/>
            <w:bookmarkStart w:id="159" w:name="_Toc16666401"/>
            <w:r>
              <w:rPr>
                <w:rFonts w:hint="eastAsia" w:ascii="宋体" w:hAnsi="宋体" w:cs="宋体"/>
                <w:b/>
                <w:bCs/>
                <w:color w:val="auto"/>
                <w:sz w:val="24"/>
                <w:szCs w:val="24"/>
                <w:highlight w:val="none"/>
              </w:rPr>
              <w:t>响应文件对应的</w:t>
            </w:r>
            <w:bookmarkEnd w:id="151"/>
            <w:bookmarkEnd w:id="152"/>
            <w:bookmarkEnd w:id="153"/>
            <w:bookmarkEnd w:id="154"/>
            <w:bookmarkEnd w:id="155"/>
            <w:bookmarkEnd w:id="156"/>
            <w:bookmarkEnd w:id="157"/>
            <w:bookmarkEnd w:id="158"/>
            <w:bookmarkEnd w:id="159"/>
            <w:r>
              <w:rPr>
                <w:rFonts w:hint="eastAsia" w:ascii="宋体" w:hAnsi="宋体" w:cs="宋体"/>
                <w:b/>
                <w:bCs/>
                <w:color w:val="auto"/>
                <w:sz w:val="24"/>
                <w:szCs w:val="24"/>
                <w:highlight w:val="none"/>
              </w:rPr>
              <w:t>服务需求</w:t>
            </w:r>
          </w:p>
        </w:tc>
        <w:tc>
          <w:tcPr>
            <w:tcW w:w="2444" w:type="dxa"/>
            <w:tcBorders>
              <w:top w:val="single" w:color="auto" w:sz="4" w:space="0"/>
              <w:left w:val="single" w:color="auto" w:sz="4" w:space="0"/>
              <w:bottom w:val="single" w:color="auto" w:sz="4" w:space="0"/>
              <w:right w:val="single" w:color="auto" w:sz="4" w:space="0"/>
            </w:tcBorders>
            <w:noWrap w:val="0"/>
            <w:vAlign w:val="center"/>
          </w:tcPr>
          <w:p w14:paraId="17F63F58">
            <w:pPr>
              <w:wordWrap w:val="0"/>
              <w:spacing w:line="440" w:lineRule="exact"/>
              <w:jc w:val="center"/>
              <w:rPr>
                <w:rFonts w:hint="eastAsia" w:ascii="宋体" w:hAnsi="宋体" w:cs="宋体"/>
                <w:b/>
                <w:bCs/>
                <w:color w:val="auto"/>
                <w:sz w:val="24"/>
                <w:szCs w:val="24"/>
                <w:highlight w:val="none"/>
              </w:rPr>
            </w:pPr>
            <w:bookmarkStart w:id="160" w:name="_Toc492451851"/>
            <w:bookmarkStart w:id="161" w:name="_Toc420593296"/>
            <w:bookmarkStart w:id="162" w:name="_Toc3951"/>
            <w:bookmarkStart w:id="163" w:name="_Toc27957"/>
            <w:bookmarkStart w:id="164" w:name="_Toc23363"/>
            <w:bookmarkStart w:id="165" w:name="_Toc16858235"/>
            <w:bookmarkStart w:id="166" w:name="_Toc22555"/>
            <w:bookmarkStart w:id="167" w:name="_Toc20300"/>
            <w:bookmarkStart w:id="168" w:name="_Toc16666402"/>
            <w:r>
              <w:rPr>
                <w:rFonts w:hint="eastAsia" w:ascii="宋体" w:hAnsi="宋体" w:cs="宋体"/>
                <w:b/>
                <w:bCs/>
                <w:color w:val="auto"/>
                <w:sz w:val="24"/>
                <w:szCs w:val="24"/>
                <w:highlight w:val="none"/>
              </w:rPr>
              <w:t>偏离</w:t>
            </w:r>
            <w:bookmarkEnd w:id="160"/>
            <w:bookmarkEnd w:id="161"/>
            <w:bookmarkEnd w:id="162"/>
            <w:r>
              <w:rPr>
                <w:rFonts w:hint="eastAsia" w:ascii="宋体" w:hAnsi="宋体" w:cs="宋体"/>
                <w:b/>
                <w:bCs/>
                <w:color w:val="auto"/>
                <w:sz w:val="24"/>
                <w:szCs w:val="24"/>
                <w:highlight w:val="none"/>
              </w:rPr>
              <w:t>（正/无/负）情况说明</w:t>
            </w:r>
            <w:bookmarkEnd w:id="163"/>
            <w:bookmarkEnd w:id="164"/>
            <w:bookmarkEnd w:id="165"/>
            <w:bookmarkEnd w:id="166"/>
            <w:bookmarkEnd w:id="167"/>
            <w:bookmarkEnd w:id="168"/>
          </w:p>
        </w:tc>
        <w:tc>
          <w:tcPr>
            <w:tcW w:w="872" w:type="dxa"/>
            <w:tcBorders>
              <w:top w:val="single" w:color="auto" w:sz="4" w:space="0"/>
              <w:left w:val="single" w:color="auto" w:sz="4" w:space="0"/>
              <w:bottom w:val="single" w:color="auto" w:sz="4" w:space="0"/>
              <w:right w:val="single" w:color="auto" w:sz="4" w:space="0"/>
            </w:tcBorders>
            <w:noWrap w:val="0"/>
            <w:vAlign w:val="center"/>
          </w:tcPr>
          <w:p w14:paraId="6A17DA85">
            <w:pPr>
              <w:wordWrap w:val="0"/>
              <w:spacing w:line="440" w:lineRule="exact"/>
              <w:jc w:val="center"/>
              <w:rPr>
                <w:rFonts w:hint="eastAsia" w:ascii="宋体" w:hAnsi="宋体" w:cs="宋体"/>
                <w:b/>
                <w:bCs/>
                <w:color w:val="auto"/>
                <w:sz w:val="24"/>
                <w:szCs w:val="24"/>
                <w:highlight w:val="none"/>
              </w:rPr>
            </w:pPr>
            <w:bookmarkStart w:id="169" w:name="_Toc492451852"/>
            <w:bookmarkStart w:id="170" w:name="_Toc17610"/>
            <w:bookmarkStart w:id="171" w:name="_Toc7508"/>
            <w:bookmarkStart w:id="172" w:name="_Toc31068"/>
            <w:bookmarkStart w:id="173" w:name="_Toc19619"/>
            <w:bookmarkStart w:id="174" w:name="_Toc16858236"/>
            <w:bookmarkStart w:id="175" w:name="_Toc3290"/>
            <w:bookmarkStart w:id="176" w:name="_Toc420593297"/>
            <w:bookmarkStart w:id="177" w:name="_Toc16666403"/>
            <w:r>
              <w:rPr>
                <w:rFonts w:hint="eastAsia" w:ascii="宋体" w:hAnsi="宋体" w:cs="宋体"/>
                <w:b/>
                <w:bCs/>
                <w:color w:val="auto"/>
                <w:sz w:val="24"/>
                <w:szCs w:val="24"/>
                <w:highlight w:val="none"/>
              </w:rPr>
              <w:t>备注</w:t>
            </w:r>
            <w:bookmarkEnd w:id="169"/>
            <w:bookmarkEnd w:id="170"/>
            <w:bookmarkEnd w:id="171"/>
            <w:bookmarkEnd w:id="172"/>
            <w:bookmarkEnd w:id="173"/>
            <w:bookmarkEnd w:id="174"/>
            <w:bookmarkEnd w:id="175"/>
            <w:bookmarkEnd w:id="176"/>
            <w:bookmarkEnd w:id="177"/>
          </w:p>
        </w:tc>
      </w:tr>
      <w:tr w14:paraId="3964D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164A8343">
            <w:pPr>
              <w:wordWrap w:val="0"/>
              <w:spacing w:line="440" w:lineRule="exact"/>
              <w:jc w:val="center"/>
              <w:rPr>
                <w:rFonts w:hint="eastAsia" w:ascii="宋体" w:hAnsi="宋体" w:cs="宋体"/>
                <w:color w:val="auto"/>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3AAAED86">
            <w:pPr>
              <w:pStyle w:val="27"/>
              <w:wordWrap w:val="0"/>
              <w:spacing w:line="440" w:lineRule="exact"/>
              <w:jc w:val="center"/>
              <w:rPr>
                <w:rFonts w:hint="eastAsia" w:ascii="宋体" w:hAnsi="宋体" w:eastAsia="宋体" w:cs="宋体"/>
                <w:color w:val="auto"/>
                <w:sz w:val="24"/>
                <w:szCs w:val="24"/>
                <w:highlight w:val="none"/>
                <w:lang w:val="en-US" w:eastAsia="zh-CN"/>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14:paraId="0EB59F13">
            <w:pPr>
              <w:wordWrap w:val="0"/>
              <w:spacing w:line="440" w:lineRule="exact"/>
              <w:jc w:val="center"/>
              <w:rPr>
                <w:rFonts w:hint="eastAsia" w:ascii="宋体" w:hAnsi="宋体" w:cs="宋体"/>
                <w:color w:val="auto"/>
                <w:sz w:val="24"/>
                <w:szCs w:val="24"/>
                <w:highlight w:val="none"/>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14:paraId="1D119CEA">
            <w:pPr>
              <w:wordWrap w:val="0"/>
              <w:spacing w:line="440" w:lineRule="exact"/>
              <w:jc w:val="center"/>
              <w:rPr>
                <w:rFonts w:hint="eastAsia" w:ascii="宋体" w:hAnsi="宋体" w:cs="宋体"/>
                <w:color w:val="auto"/>
                <w:sz w:val="24"/>
                <w:szCs w:val="24"/>
                <w:highlight w:val="none"/>
              </w:rPr>
            </w:pPr>
          </w:p>
        </w:tc>
        <w:tc>
          <w:tcPr>
            <w:tcW w:w="2444" w:type="dxa"/>
            <w:tcBorders>
              <w:top w:val="single" w:color="auto" w:sz="4" w:space="0"/>
              <w:left w:val="single" w:color="auto" w:sz="4" w:space="0"/>
              <w:bottom w:val="single" w:color="auto" w:sz="4" w:space="0"/>
              <w:right w:val="single" w:color="auto" w:sz="4" w:space="0"/>
            </w:tcBorders>
            <w:noWrap w:val="0"/>
            <w:vAlign w:val="center"/>
          </w:tcPr>
          <w:p w14:paraId="63862FEB">
            <w:pPr>
              <w:wordWrap w:val="0"/>
              <w:spacing w:line="440" w:lineRule="exact"/>
              <w:jc w:val="center"/>
              <w:rPr>
                <w:rFonts w:hint="eastAsia" w:ascii="宋体" w:hAnsi="宋体" w:cs="宋体"/>
                <w:color w:val="auto"/>
                <w:sz w:val="24"/>
                <w:szCs w:val="24"/>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43FF986D">
            <w:pPr>
              <w:wordWrap w:val="0"/>
              <w:spacing w:line="440" w:lineRule="exact"/>
              <w:jc w:val="center"/>
              <w:rPr>
                <w:rFonts w:hint="eastAsia" w:ascii="宋体" w:hAnsi="宋体" w:cs="宋体"/>
                <w:color w:val="auto"/>
                <w:sz w:val="24"/>
                <w:szCs w:val="24"/>
                <w:highlight w:val="none"/>
              </w:rPr>
            </w:pPr>
          </w:p>
        </w:tc>
      </w:tr>
      <w:tr w14:paraId="013EE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7DF6F2D1">
            <w:pPr>
              <w:wordWrap w:val="0"/>
              <w:spacing w:line="440" w:lineRule="exact"/>
              <w:jc w:val="center"/>
              <w:rPr>
                <w:rFonts w:hint="eastAsia" w:ascii="宋体" w:hAnsi="宋体" w:cs="宋体"/>
                <w:color w:val="auto"/>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250EE1EA">
            <w:pPr>
              <w:wordWrap w:val="0"/>
              <w:spacing w:line="440" w:lineRule="exact"/>
              <w:jc w:val="center"/>
              <w:rPr>
                <w:rFonts w:hint="eastAsia" w:ascii="宋体" w:hAnsi="宋体" w:cs="宋体"/>
                <w:color w:val="auto"/>
                <w:sz w:val="24"/>
                <w:szCs w:val="24"/>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14:paraId="3E29CC75">
            <w:pPr>
              <w:wordWrap w:val="0"/>
              <w:spacing w:line="440" w:lineRule="exact"/>
              <w:jc w:val="center"/>
              <w:rPr>
                <w:rFonts w:hint="eastAsia" w:ascii="宋体" w:hAnsi="宋体" w:cs="宋体"/>
                <w:color w:val="auto"/>
                <w:sz w:val="24"/>
                <w:szCs w:val="24"/>
                <w:highlight w:val="none"/>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14:paraId="1643FB8E">
            <w:pPr>
              <w:wordWrap w:val="0"/>
              <w:spacing w:line="440" w:lineRule="exact"/>
              <w:jc w:val="center"/>
              <w:rPr>
                <w:rFonts w:hint="eastAsia" w:ascii="宋体" w:hAnsi="宋体" w:cs="宋体"/>
                <w:color w:val="auto"/>
                <w:sz w:val="24"/>
                <w:szCs w:val="24"/>
                <w:highlight w:val="none"/>
              </w:rPr>
            </w:pPr>
          </w:p>
        </w:tc>
        <w:tc>
          <w:tcPr>
            <w:tcW w:w="2444" w:type="dxa"/>
            <w:tcBorders>
              <w:top w:val="single" w:color="auto" w:sz="4" w:space="0"/>
              <w:left w:val="single" w:color="auto" w:sz="4" w:space="0"/>
              <w:bottom w:val="single" w:color="auto" w:sz="4" w:space="0"/>
              <w:right w:val="single" w:color="auto" w:sz="4" w:space="0"/>
            </w:tcBorders>
            <w:noWrap w:val="0"/>
            <w:vAlign w:val="center"/>
          </w:tcPr>
          <w:p w14:paraId="01F138FD">
            <w:pPr>
              <w:wordWrap w:val="0"/>
              <w:spacing w:line="440" w:lineRule="exact"/>
              <w:jc w:val="center"/>
              <w:rPr>
                <w:rFonts w:hint="eastAsia" w:ascii="宋体" w:hAnsi="宋体" w:cs="宋体"/>
                <w:color w:val="auto"/>
                <w:sz w:val="24"/>
                <w:szCs w:val="24"/>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0E3317DF">
            <w:pPr>
              <w:wordWrap w:val="0"/>
              <w:spacing w:line="440" w:lineRule="exact"/>
              <w:jc w:val="center"/>
              <w:rPr>
                <w:rFonts w:hint="eastAsia" w:ascii="宋体" w:hAnsi="宋体" w:cs="宋体"/>
                <w:color w:val="auto"/>
                <w:sz w:val="24"/>
                <w:szCs w:val="24"/>
                <w:highlight w:val="none"/>
              </w:rPr>
            </w:pPr>
          </w:p>
        </w:tc>
      </w:tr>
      <w:tr w14:paraId="72CBA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792F352F">
            <w:pPr>
              <w:wordWrap w:val="0"/>
              <w:spacing w:line="440" w:lineRule="exact"/>
              <w:jc w:val="center"/>
              <w:rPr>
                <w:rFonts w:hint="eastAsia" w:ascii="宋体" w:hAnsi="宋体" w:cs="宋体"/>
                <w:color w:val="auto"/>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5B6E9CDE">
            <w:pPr>
              <w:wordWrap w:val="0"/>
              <w:spacing w:line="440" w:lineRule="exact"/>
              <w:jc w:val="center"/>
              <w:rPr>
                <w:rFonts w:hint="eastAsia" w:ascii="宋体" w:hAnsi="宋体" w:cs="宋体"/>
                <w:color w:val="auto"/>
                <w:sz w:val="24"/>
                <w:szCs w:val="24"/>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14:paraId="3883248A">
            <w:pPr>
              <w:wordWrap w:val="0"/>
              <w:spacing w:line="440" w:lineRule="exact"/>
              <w:jc w:val="center"/>
              <w:rPr>
                <w:rFonts w:hint="eastAsia" w:ascii="宋体" w:hAnsi="宋体" w:cs="宋体"/>
                <w:color w:val="auto"/>
                <w:sz w:val="24"/>
                <w:szCs w:val="24"/>
                <w:highlight w:val="none"/>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14:paraId="08411F48">
            <w:pPr>
              <w:wordWrap w:val="0"/>
              <w:spacing w:line="440" w:lineRule="exact"/>
              <w:jc w:val="center"/>
              <w:rPr>
                <w:rFonts w:hint="eastAsia" w:ascii="宋体" w:hAnsi="宋体" w:cs="宋体"/>
                <w:color w:val="auto"/>
                <w:sz w:val="24"/>
                <w:szCs w:val="24"/>
                <w:highlight w:val="none"/>
              </w:rPr>
            </w:pPr>
          </w:p>
        </w:tc>
        <w:tc>
          <w:tcPr>
            <w:tcW w:w="2444" w:type="dxa"/>
            <w:tcBorders>
              <w:top w:val="single" w:color="auto" w:sz="4" w:space="0"/>
              <w:left w:val="single" w:color="auto" w:sz="4" w:space="0"/>
              <w:bottom w:val="single" w:color="auto" w:sz="4" w:space="0"/>
              <w:right w:val="single" w:color="auto" w:sz="4" w:space="0"/>
            </w:tcBorders>
            <w:noWrap w:val="0"/>
            <w:vAlign w:val="center"/>
          </w:tcPr>
          <w:p w14:paraId="7B3D288A">
            <w:pPr>
              <w:wordWrap w:val="0"/>
              <w:spacing w:line="440" w:lineRule="exact"/>
              <w:jc w:val="center"/>
              <w:rPr>
                <w:rFonts w:hint="eastAsia" w:ascii="宋体" w:hAnsi="宋体" w:cs="宋体"/>
                <w:color w:val="auto"/>
                <w:sz w:val="24"/>
                <w:szCs w:val="24"/>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63C25432">
            <w:pPr>
              <w:wordWrap w:val="0"/>
              <w:spacing w:line="440" w:lineRule="exact"/>
              <w:jc w:val="center"/>
              <w:rPr>
                <w:rFonts w:hint="eastAsia" w:ascii="宋体" w:hAnsi="宋体" w:cs="宋体"/>
                <w:color w:val="auto"/>
                <w:sz w:val="24"/>
                <w:szCs w:val="24"/>
                <w:highlight w:val="none"/>
              </w:rPr>
            </w:pPr>
          </w:p>
        </w:tc>
      </w:tr>
      <w:tr w14:paraId="1D2C1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422C4290">
            <w:pPr>
              <w:wordWrap w:val="0"/>
              <w:spacing w:line="440" w:lineRule="exact"/>
              <w:jc w:val="center"/>
              <w:rPr>
                <w:rFonts w:hint="eastAsia" w:ascii="宋体" w:hAnsi="宋体" w:cs="宋体"/>
                <w:color w:val="auto"/>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2D2A9FFD">
            <w:pPr>
              <w:wordWrap w:val="0"/>
              <w:spacing w:line="440" w:lineRule="exact"/>
              <w:jc w:val="center"/>
              <w:rPr>
                <w:rFonts w:hint="eastAsia" w:ascii="宋体" w:hAnsi="宋体" w:cs="宋体"/>
                <w:color w:val="auto"/>
                <w:sz w:val="24"/>
                <w:szCs w:val="24"/>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14:paraId="4E7A61D0">
            <w:pPr>
              <w:wordWrap w:val="0"/>
              <w:spacing w:line="440" w:lineRule="exact"/>
              <w:jc w:val="center"/>
              <w:rPr>
                <w:rFonts w:hint="eastAsia" w:ascii="宋体" w:hAnsi="宋体" w:cs="宋体"/>
                <w:color w:val="auto"/>
                <w:sz w:val="24"/>
                <w:szCs w:val="24"/>
                <w:highlight w:val="none"/>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14:paraId="3F5EC549">
            <w:pPr>
              <w:wordWrap w:val="0"/>
              <w:spacing w:line="440" w:lineRule="exact"/>
              <w:jc w:val="center"/>
              <w:rPr>
                <w:rFonts w:hint="eastAsia" w:ascii="宋体" w:hAnsi="宋体" w:cs="宋体"/>
                <w:color w:val="auto"/>
                <w:sz w:val="24"/>
                <w:szCs w:val="24"/>
                <w:highlight w:val="none"/>
              </w:rPr>
            </w:pPr>
          </w:p>
        </w:tc>
        <w:tc>
          <w:tcPr>
            <w:tcW w:w="2444" w:type="dxa"/>
            <w:tcBorders>
              <w:top w:val="single" w:color="auto" w:sz="4" w:space="0"/>
              <w:left w:val="single" w:color="auto" w:sz="4" w:space="0"/>
              <w:bottom w:val="single" w:color="auto" w:sz="4" w:space="0"/>
              <w:right w:val="single" w:color="auto" w:sz="4" w:space="0"/>
            </w:tcBorders>
            <w:noWrap w:val="0"/>
            <w:vAlign w:val="center"/>
          </w:tcPr>
          <w:p w14:paraId="4EF97F9D">
            <w:pPr>
              <w:wordWrap w:val="0"/>
              <w:spacing w:line="440" w:lineRule="exact"/>
              <w:jc w:val="center"/>
              <w:rPr>
                <w:rFonts w:hint="eastAsia" w:ascii="宋体" w:hAnsi="宋体" w:cs="宋体"/>
                <w:color w:val="auto"/>
                <w:sz w:val="24"/>
                <w:szCs w:val="24"/>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7C3160F5">
            <w:pPr>
              <w:wordWrap w:val="0"/>
              <w:spacing w:line="440" w:lineRule="exact"/>
              <w:jc w:val="center"/>
              <w:rPr>
                <w:rFonts w:hint="eastAsia" w:ascii="宋体" w:hAnsi="宋体" w:cs="宋体"/>
                <w:color w:val="auto"/>
                <w:sz w:val="24"/>
                <w:szCs w:val="24"/>
                <w:highlight w:val="none"/>
              </w:rPr>
            </w:pPr>
          </w:p>
        </w:tc>
      </w:tr>
      <w:tr w14:paraId="3CFBA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79A9FB7F">
            <w:pPr>
              <w:wordWrap w:val="0"/>
              <w:spacing w:line="440" w:lineRule="exact"/>
              <w:jc w:val="center"/>
              <w:rPr>
                <w:rFonts w:hint="eastAsia" w:ascii="宋体" w:hAnsi="宋体" w:cs="宋体"/>
                <w:color w:val="auto"/>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2FBC9DB7">
            <w:pPr>
              <w:wordWrap w:val="0"/>
              <w:spacing w:line="440" w:lineRule="exact"/>
              <w:jc w:val="center"/>
              <w:rPr>
                <w:rFonts w:hint="eastAsia" w:ascii="宋体" w:hAnsi="宋体" w:cs="宋体"/>
                <w:color w:val="auto"/>
                <w:sz w:val="24"/>
                <w:szCs w:val="24"/>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14:paraId="287FA73F">
            <w:pPr>
              <w:wordWrap w:val="0"/>
              <w:spacing w:line="440" w:lineRule="exact"/>
              <w:jc w:val="center"/>
              <w:rPr>
                <w:rFonts w:hint="eastAsia" w:ascii="宋体" w:hAnsi="宋体" w:cs="宋体"/>
                <w:color w:val="auto"/>
                <w:sz w:val="24"/>
                <w:szCs w:val="24"/>
                <w:highlight w:val="none"/>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14:paraId="43A64C8B">
            <w:pPr>
              <w:wordWrap w:val="0"/>
              <w:spacing w:line="440" w:lineRule="exact"/>
              <w:jc w:val="center"/>
              <w:rPr>
                <w:rFonts w:hint="eastAsia" w:ascii="宋体" w:hAnsi="宋体" w:cs="宋体"/>
                <w:color w:val="auto"/>
                <w:sz w:val="24"/>
                <w:szCs w:val="24"/>
                <w:highlight w:val="none"/>
              </w:rPr>
            </w:pPr>
          </w:p>
        </w:tc>
        <w:tc>
          <w:tcPr>
            <w:tcW w:w="2444" w:type="dxa"/>
            <w:tcBorders>
              <w:top w:val="single" w:color="auto" w:sz="4" w:space="0"/>
              <w:left w:val="single" w:color="auto" w:sz="4" w:space="0"/>
              <w:bottom w:val="single" w:color="auto" w:sz="4" w:space="0"/>
              <w:right w:val="single" w:color="auto" w:sz="4" w:space="0"/>
            </w:tcBorders>
            <w:noWrap w:val="0"/>
            <w:vAlign w:val="center"/>
          </w:tcPr>
          <w:p w14:paraId="0A67BAF9">
            <w:pPr>
              <w:wordWrap w:val="0"/>
              <w:spacing w:line="440" w:lineRule="exact"/>
              <w:jc w:val="center"/>
              <w:rPr>
                <w:rFonts w:hint="eastAsia" w:ascii="宋体" w:hAnsi="宋体" w:cs="宋体"/>
                <w:color w:val="auto"/>
                <w:sz w:val="24"/>
                <w:szCs w:val="24"/>
                <w:highlight w:val="none"/>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3CE4D034">
            <w:pPr>
              <w:wordWrap w:val="0"/>
              <w:spacing w:line="440" w:lineRule="exact"/>
              <w:jc w:val="center"/>
              <w:rPr>
                <w:rFonts w:hint="eastAsia" w:ascii="宋体" w:hAnsi="宋体" w:cs="宋体"/>
                <w:color w:val="auto"/>
                <w:sz w:val="24"/>
                <w:szCs w:val="24"/>
                <w:highlight w:val="none"/>
              </w:rPr>
            </w:pPr>
          </w:p>
        </w:tc>
      </w:tr>
    </w:tbl>
    <w:p w14:paraId="5A9243E4">
      <w:pPr>
        <w:wordWrap w:val="0"/>
        <w:spacing w:line="480" w:lineRule="auto"/>
        <w:rPr>
          <w:rFonts w:hint="eastAsia" w:ascii="宋体" w:hAnsi="宋体" w:cs="宋体"/>
          <w:color w:val="auto"/>
          <w:sz w:val="24"/>
          <w:szCs w:val="24"/>
          <w:highlight w:val="none"/>
        </w:rPr>
      </w:pPr>
    </w:p>
    <w:p w14:paraId="5A1DC96C">
      <w:pPr>
        <w:wordWrap w:val="0"/>
        <w:spacing w:line="480" w:lineRule="auto"/>
        <w:ind w:firstLine="2880" w:firstLineChars="1200"/>
        <w:rPr>
          <w:rFonts w:hint="eastAsia" w:ascii="宋体" w:hAnsi="宋体" w:cs="宋体"/>
          <w:color w:val="auto"/>
          <w:sz w:val="24"/>
          <w:szCs w:val="24"/>
          <w:highlight w:val="none"/>
        </w:rPr>
      </w:pPr>
      <w:r>
        <w:rPr>
          <w:rFonts w:hint="eastAsia" w:ascii="宋体" w:hAnsi="宋体" w:cs="宋体"/>
          <w:color w:val="auto"/>
          <w:sz w:val="24"/>
          <w:szCs w:val="24"/>
          <w:highlight w:val="none"/>
        </w:rPr>
        <w:t>供应商：</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4"/>
          <w:highlight w:val="none"/>
        </w:rPr>
        <w:t>（盖单位公章）</w:t>
      </w:r>
    </w:p>
    <w:p w14:paraId="3C057D9B">
      <w:pPr>
        <w:wordWrap w:val="0"/>
        <w:spacing w:line="480" w:lineRule="auto"/>
        <w:ind w:firstLine="2880" w:firstLineChars="1200"/>
        <w:rPr>
          <w:rFonts w:hint="eastAsia" w:ascii="宋体" w:hAnsi="宋体" w:cs="宋体"/>
          <w:color w:val="auto"/>
          <w:sz w:val="24"/>
          <w:szCs w:val="24"/>
          <w:highlight w:val="none"/>
        </w:rPr>
      </w:pPr>
      <w:r>
        <w:rPr>
          <w:rFonts w:hint="eastAsia" w:ascii="宋体" w:hAnsi="宋体" w:cs="宋体"/>
          <w:bCs/>
          <w:color w:val="auto"/>
          <w:sz w:val="24"/>
          <w:szCs w:val="24"/>
          <w:highlight w:val="none"/>
        </w:rPr>
        <w:t>法定代表人或委托代理人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14:paraId="1A15B9C2">
      <w:pPr>
        <w:wordWrap w:val="0"/>
        <w:spacing w:line="480" w:lineRule="auto"/>
        <w:ind w:firstLine="4800" w:firstLineChars="20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4AC54E8C">
      <w:pPr>
        <w:wordWrap w:val="0"/>
        <w:spacing w:line="44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注：</w:t>
      </w:r>
    </w:p>
    <w:p w14:paraId="2A1859A4">
      <w:pPr>
        <w:wordWrap w:val="0"/>
        <w:spacing w:line="4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供应商必须仔细阅读文件中技术规格及要求的所有条款，并在“</w:t>
      </w:r>
      <w:r>
        <w:rPr>
          <w:rFonts w:hint="eastAsia" w:ascii="宋体" w:hAnsi="宋体" w:cs="宋体"/>
          <w:color w:val="auto"/>
          <w:sz w:val="24"/>
          <w:szCs w:val="24"/>
          <w:highlight w:val="none"/>
        </w:rPr>
        <w:t>服务响应及偏离表</w:t>
      </w:r>
      <w:r>
        <w:rPr>
          <w:rFonts w:hint="eastAsia" w:ascii="宋体" w:hAnsi="宋体" w:cs="宋体"/>
          <w:color w:val="auto"/>
          <w:sz w:val="24"/>
          <w:szCs w:val="24"/>
          <w:highlight w:val="none"/>
          <w:lang w:val="zh-CN"/>
        </w:rPr>
        <w:t>”中如实填写。</w:t>
      </w:r>
    </w:p>
    <w:p w14:paraId="61DF4F98">
      <w:pPr>
        <w:wordWrap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2.按照磋商文件要求提供相关的证明材料（或证明文件）。</w:t>
      </w:r>
    </w:p>
    <w:p w14:paraId="479118E6">
      <w:pPr>
        <w:wordWrap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3.此表可根据需要自行拉长加宽（或格式自拟）。</w:t>
      </w:r>
    </w:p>
    <w:p w14:paraId="4F37AD8C">
      <w:pPr>
        <w:pStyle w:val="18"/>
        <w:wordWrap w:val="0"/>
        <w:spacing w:after="0" w:line="360" w:lineRule="auto"/>
        <w:jc w:val="left"/>
        <w:rPr>
          <w:rFonts w:hint="eastAsia" w:ascii="宋体" w:hAnsi="宋体" w:cs="宋体"/>
          <w:b/>
          <w:color w:val="auto"/>
          <w:sz w:val="32"/>
          <w:szCs w:val="32"/>
          <w:highlight w:val="none"/>
        </w:rPr>
      </w:pPr>
      <w:r>
        <w:rPr>
          <w:rFonts w:hint="eastAsia" w:ascii="宋体" w:hAnsi="宋体" w:cs="宋体"/>
          <w:color w:val="auto"/>
          <w:sz w:val="24"/>
          <w:szCs w:val="24"/>
          <w:highlight w:val="none"/>
        </w:rPr>
        <w:br w:type="page"/>
      </w:r>
      <w:r>
        <w:rPr>
          <w:rFonts w:hint="eastAsia" w:ascii="宋体" w:hAnsi="宋体" w:cs="宋体"/>
          <w:b/>
          <w:bCs/>
          <w:color w:val="auto"/>
          <w:sz w:val="28"/>
          <w:szCs w:val="28"/>
          <w:highlight w:val="none"/>
          <w:lang w:val="zh-CN"/>
        </w:rPr>
        <w:t>（</w:t>
      </w:r>
      <w:r>
        <w:rPr>
          <w:rFonts w:hint="eastAsia" w:ascii="宋体" w:hAnsi="宋体" w:cs="宋体"/>
          <w:b/>
          <w:bCs/>
          <w:color w:val="auto"/>
          <w:sz w:val="28"/>
          <w:szCs w:val="28"/>
          <w:highlight w:val="none"/>
          <w:lang w:val="en-US" w:eastAsia="zh-CN"/>
        </w:rPr>
        <w:t>二</w:t>
      </w:r>
      <w:r>
        <w:rPr>
          <w:rFonts w:hint="eastAsia" w:ascii="宋体" w:hAnsi="宋体" w:cs="宋体"/>
          <w:b/>
          <w:bCs/>
          <w:color w:val="auto"/>
          <w:sz w:val="28"/>
          <w:szCs w:val="28"/>
          <w:highlight w:val="none"/>
          <w:lang w:val="zh-CN"/>
        </w:rPr>
        <w:t>）</w:t>
      </w:r>
      <w:r>
        <w:rPr>
          <w:rFonts w:hint="eastAsia" w:ascii="宋体" w:hAnsi="宋体" w:cs="宋体"/>
          <w:b/>
          <w:color w:val="auto"/>
          <w:sz w:val="28"/>
          <w:szCs w:val="28"/>
          <w:highlight w:val="none"/>
          <w:lang w:eastAsia="zh-CN"/>
        </w:rPr>
        <w:t>项目实施方案</w:t>
      </w:r>
    </w:p>
    <w:p w14:paraId="65784443">
      <w:pPr>
        <w:pStyle w:val="5"/>
        <w:wordWrap w:val="0"/>
        <w:spacing w:line="44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供应商应根据自身的实力以及经验，结合采购人需求编制科学、合理、可行性的项目</w:t>
      </w:r>
      <w:r>
        <w:rPr>
          <w:rFonts w:hint="eastAsia" w:ascii="宋体" w:hAnsi="宋体" w:cs="宋体"/>
          <w:b/>
          <w:color w:val="auto"/>
          <w:kern w:val="0"/>
          <w:sz w:val="24"/>
          <w:szCs w:val="24"/>
          <w:highlight w:val="none"/>
          <w:lang w:val="zh-CN"/>
        </w:rPr>
        <w:t>技术和实施方案、简介、服务质量保证措施等相关介绍</w:t>
      </w:r>
      <w:r>
        <w:rPr>
          <w:rFonts w:hint="eastAsia" w:ascii="宋体" w:hAnsi="宋体" w:cs="宋体"/>
          <w:b/>
          <w:color w:val="auto"/>
          <w:sz w:val="24"/>
          <w:szCs w:val="24"/>
          <w:highlight w:val="none"/>
        </w:rPr>
        <w:t>：</w:t>
      </w:r>
    </w:p>
    <w:p w14:paraId="38301044">
      <w:pPr>
        <w:tabs>
          <w:tab w:val="left" w:pos="1365"/>
        </w:tabs>
        <w:wordWrap w:val="0"/>
        <w:spacing w:line="440" w:lineRule="exact"/>
        <w:jc w:val="center"/>
        <w:rPr>
          <w:rFonts w:hint="eastAsia" w:ascii="宋体" w:hAnsi="宋体" w:cs="宋体"/>
          <w:color w:val="auto"/>
          <w:sz w:val="24"/>
          <w:szCs w:val="24"/>
          <w:highlight w:val="none"/>
        </w:rPr>
      </w:pPr>
    </w:p>
    <w:p w14:paraId="13D6BCDE">
      <w:pPr>
        <w:tabs>
          <w:tab w:val="left" w:pos="1365"/>
        </w:tabs>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格式自拟</w:t>
      </w:r>
    </w:p>
    <w:p w14:paraId="34A93A2C">
      <w:pPr>
        <w:wordWrap w:val="0"/>
        <w:spacing w:line="360" w:lineRule="auto"/>
        <w:jc w:val="center"/>
        <w:rPr>
          <w:rFonts w:hint="eastAsia" w:ascii="宋体" w:hAnsi="宋体" w:cs="宋体"/>
          <w:b/>
          <w:color w:val="auto"/>
          <w:sz w:val="32"/>
          <w:szCs w:val="32"/>
          <w:highlight w:val="none"/>
        </w:rPr>
      </w:pPr>
      <w:r>
        <w:rPr>
          <w:rFonts w:hint="eastAsia" w:ascii="宋体" w:hAnsi="宋体" w:cs="宋体"/>
          <w:color w:val="auto"/>
          <w:sz w:val="24"/>
          <w:szCs w:val="24"/>
          <w:highlight w:val="none"/>
        </w:rPr>
        <w:br w:type="page"/>
      </w:r>
      <w:r>
        <w:rPr>
          <w:rFonts w:hint="eastAsia" w:ascii="宋体" w:hAnsi="宋体" w:cs="宋体"/>
          <w:b/>
          <w:color w:val="auto"/>
          <w:sz w:val="32"/>
          <w:szCs w:val="32"/>
          <w:highlight w:val="none"/>
        </w:rPr>
        <w:t>八、供应商资格证明文件</w:t>
      </w:r>
    </w:p>
    <w:p w14:paraId="136A1F2B">
      <w:pPr>
        <w:wordWrap w:val="0"/>
        <w:spacing w:line="360" w:lineRule="auto"/>
        <w:jc w:val="left"/>
        <w:rPr>
          <w:rFonts w:hint="eastAsia" w:ascii="宋体" w:hAnsi="宋体" w:cs="宋体"/>
          <w:b/>
          <w:color w:val="auto"/>
          <w:sz w:val="32"/>
          <w:szCs w:val="32"/>
          <w:highlight w:val="none"/>
        </w:rPr>
      </w:pPr>
      <w:r>
        <w:rPr>
          <w:rFonts w:hint="eastAsia" w:ascii="宋体" w:hAnsi="宋体" w:cs="宋体"/>
          <w:b/>
          <w:bCs/>
          <w:color w:val="auto"/>
          <w:sz w:val="28"/>
          <w:szCs w:val="28"/>
          <w:highlight w:val="none"/>
          <w:lang w:val="zh-CN"/>
        </w:rPr>
        <w:t>（</w:t>
      </w:r>
      <w:r>
        <w:rPr>
          <w:rFonts w:hint="eastAsia" w:ascii="宋体" w:hAnsi="宋体" w:cs="宋体"/>
          <w:b/>
          <w:bCs/>
          <w:color w:val="auto"/>
          <w:sz w:val="28"/>
          <w:szCs w:val="28"/>
          <w:highlight w:val="none"/>
        </w:rPr>
        <w:t>一</w:t>
      </w:r>
      <w:r>
        <w:rPr>
          <w:rFonts w:hint="eastAsia" w:ascii="宋体" w:hAnsi="宋体" w:cs="宋体"/>
          <w:b/>
          <w:bCs/>
          <w:color w:val="auto"/>
          <w:sz w:val="28"/>
          <w:szCs w:val="28"/>
          <w:highlight w:val="none"/>
          <w:lang w:val="zh-CN"/>
        </w:rPr>
        <w:t>）</w:t>
      </w:r>
      <w:r>
        <w:rPr>
          <w:rFonts w:hint="eastAsia" w:ascii="宋体" w:hAnsi="宋体" w:cs="宋体"/>
          <w:b/>
          <w:bCs/>
          <w:color w:val="auto"/>
          <w:sz w:val="28"/>
          <w:szCs w:val="28"/>
          <w:highlight w:val="none"/>
        </w:rPr>
        <w:t>供应商资格声明</w:t>
      </w:r>
    </w:p>
    <w:p w14:paraId="42524C63">
      <w:pPr>
        <w:wordWrap w:val="0"/>
        <w:adjustRightInd w:val="0"/>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致：</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（采购人、采购代理机构）</w:t>
      </w:r>
    </w:p>
    <w:p w14:paraId="4911705E">
      <w:pPr>
        <w:wordWrap w:val="0"/>
        <w:adjustRightInd w:val="0"/>
        <w:spacing w:line="44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val="zh-CN"/>
        </w:rPr>
        <w:t>按照《中华人民共和国政府采购法》第</w:t>
      </w:r>
      <w:r>
        <w:rPr>
          <w:rFonts w:hint="eastAsia" w:ascii="宋体" w:hAnsi="宋体" w:cs="宋体"/>
          <w:color w:val="auto"/>
          <w:sz w:val="24"/>
          <w:szCs w:val="24"/>
          <w:highlight w:val="none"/>
        </w:rPr>
        <w:t>22</w:t>
      </w:r>
      <w:r>
        <w:rPr>
          <w:rFonts w:hint="eastAsia" w:ascii="宋体" w:hAnsi="宋体" w:cs="宋体"/>
          <w:color w:val="auto"/>
          <w:sz w:val="24"/>
          <w:szCs w:val="24"/>
          <w:highlight w:val="none"/>
          <w:lang w:val="zh-CN"/>
        </w:rPr>
        <w:t>条和你公司发布的</w:t>
      </w:r>
      <w:r>
        <w:rPr>
          <w:rFonts w:hint="eastAsia" w:ascii="宋体" w:hAnsi="宋体" w:cs="宋体"/>
          <w:color w:val="auto"/>
          <w:sz w:val="24"/>
          <w:szCs w:val="24"/>
          <w:highlight w:val="none"/>
          <w:u w:val="single"/>
          <w:lang w:val="zh-CN"/>
        </w:rPr>
        <w:t xml:space="preserve">     《项目名称、项目编号 </w:t>
      </w:r>
      <w:r>
        <w:rPr>
          <w:rFonts w:hint="eastAsia" w:ascii="宋体" w:hAnsi="宋体" w:cs="宋体"/>
          <w:color w:val="auto"/>
          <w:sz w:val="24"/>
          <w:szCs w:val="24"/>
          <w:highlight w:val="none"/>
          <w:lang w:val="zh-CN"/>
        </w:rPr>
        <w:t>磋商文件》的规定，我公司郑重声明如下：</w:t>
      </w:r>
    </w:p>
    <w:p w14:paraId="337419AE">
      <w:pPr>
        <w:wordWrap w:val="0"/>
        <w:adjustRightInd w:val="0"/>
        <w:spacing w:line="440" w:lineRule="exact"/>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、我公司是按照中华人民共和国法律在工商管理机关登记注册的企业法人，注册地点为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zh-CN"/>
        </w:rPr>
        <w:t>，公司全称为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zh-CN"/>
        </w:rPr>
        <w:t>，法定代表人为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zh-CN"/>
        </w:rPr>
        <w:t>，具有独立承担民事责任的能力。</w:t>
      </w:r>
    </w:p>
    <w:p w14:paraId="220521EB">
      <w:pPr>
        <w:wordWrap w:val="0"/>
        <w:adjustRightInd w:val="0"/>
        <w:spacing w:line="44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、我公司具有良好的商业信誉和健全的财务会计制度。</w:t>
      </w:r>
    </w:p>
    <w:p w14:paraId="415B7AC9">
      <w:pPr>
        <w:wordWrap w:val="0"/>
        <w:adjustRightInd w:val="0"/>
        <w:spacing w:line="44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、我公司具有履行本项目采购合同所必需的设备和专业技术能力。</w:t>
      </w:r>
    </w:p>
    <w:p w14:paraId="2A94D52A">
      <w:pPr>
        <w:wordWrap w:val="0"/>
        <w:adjustRightInd w:val="0"/>
        <w:spacing w:line="44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、我公司具有依法缴纳税收和社会保障资金的良好记录。</w:t>
      </w:r>
    </w:p>
    <w:p w14:paraId="1E2C9ECB">
      <w:pPr>
        <w:wordWrap w:val="0"/>
        <w:adjustRightInd w:val="0"/>
        <w:spacing w:line="44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、我公司在参与本次政府采购活动时未受到任何地方政府采购部门作出的暂停参加政府采购活动的处罚。</w:t>
      </w:r>
    </w:p>
    <w:p w14:paraId="76DC743C">
      <w:pPr>
        <w:wordWrap w:val="0"/>
        <w:adjustRightInd w:val="0"/>
        <w:spacing w:line="44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二、我公司保证上述声明的事项都是真实的，如有虚假，我公司承担相应的法律责任，并承担因此给你中心以及本项目采购人所造成的损失。</w:t>
      </w:r>
    </w:p>
    <w:p w14:paraId="428975EC">
      <w:pPr>
        <w:wordWrap w:val="0"/>
        <w:adjustRightInd w:val="0"/>
        <w:spacing w:line="44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val="zh-CN"/>
        </w:rPr>
        <w:t>我公司已经按照你公司磋商文件的要求提交了所要求提交的能够证明上述声明事项真实性的全部文件材料，并保证随时按照你公司的要求提供能够证明上述声明事项真实性的任何有效文件。</w:t>
      </w:r>
    </w:p>
    <w:p w14:paraId="304543A7">
      <w:pPr>
        <w:wordWrap w:val="0"/>
        <w:adjustRightInd w:val="0"/>
        <w:spacing w:line="360" w:lineRule="auto"/>
        <w:rPr>
          <w:rFonts w:hint="eastAsia" w:ascii="宋体" w:hAnsi="宋体" w:cs="宋体"/>
          <w:color w:val="auto"/>
          <w:sz w:val="24"/>
          <w:szCs w:val="24"/>
          <w:highlight w:val="none"/>
          <w:lang w:val="zh-CN"/>
        </w:rPr>
      </w:pPr>
    </w:p>
    <w:p w14:paraId="3B2512FE">
      <w:pPr>
        <w:wordWrap w:val="0"/>
        <w:spacing w:line="480" w:lineRule="auto"/>
        <w:rPr>
          <w:rFonts w:hint="eastAsia" w:ascii="宋体" w:hAnsi="宋体" w:cs="宋体"/>
          <w:color w:val="auto"/>
          <w:sz w:val="24"/>
          <w:szCs w:val="24"/>
          <w:highlight w:val="none"/>
        </w:rPr>
      </w:pPr>
    </w:p>
    <w:p w14:paraId="65DBC889">
      <w:pPr>
        <w:wordWrap w:val="0"/>
        <w:spacing w:line="480" w:lineRule="auto"/>
        <w:ind w:firstLine="2880" w:firstLineChars="1200"/>
        <w:rPr>
          <w:rFonts w:hint="eastAsia" w:ascii="宋体" w:hAnsi="宋体" w:cs="宋体"/>
          <w:color w:val="auto"/>
          <w:sz w:val="24"/>
          <w:szCs w:val="24"/>
          <w:highlight w:val="none"/>
        </w:rPr>
      </w:pPr>
      <w:r>
        <w:rPr>
          <w:rFonts w:hint="eastAsia" w:ascii="宋体" w:hAnsi="宋体" w:cs="宋体"/>
          <w:color w:val="auto"/>
          <w:sz w:val="24"/>
          <w:szCs w:val="24"/>
          <w:highlight w:val="none"/>
        </w:rPr>
        <w:t>供应商：</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4"/>
          <w:highlight w:val="none"/>
        </w:rPr>
        <w:t>（盖单位公章）</w:t>
      </w:r>
    </w:p>
    <w:p w14:paraId="3FEFEFEF">
      <w:pPr>
        <w:wordWrap w:val="0"/>
        <w:spacing w:line="480" w:lineRule="auto"/>
        <w:ind w:firstLine="2880" w:firstLineChars="1200"/>
        <w:rPr>
          <w:rFonts w:hint="eastAsia" w:ascii="宋体" w:hAnsi="宋体" w:cs="宋体"/>
          <w:color w:val="auto"/>
          <w:sz w:val="24"/>
          <w:szCs w:val="24"/>
          <w:highlight w:val="none"/>
        </w:rPr>
      </w:pPr>
      <w:r>
        <w:rPr>
          <w:rFonts w:hint="eastAsia" w:ascii="宋体" w:hAnsi="宋体" w:cs="宋体"/>
          <w:bCs/>
          <w:color w:val="auto"/>
          <w:sz w:val="24"/>
          <w:szCs w:val="24"/>
          <w:highlight w:val="none"/>
        </w:rPr>
        <w:t>法定代表人或委托代理人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14:paraId="1FDA1D48">
      <w:pPr>
        <w:wordWrap w:val="0"/>
        <w:spacing w:line="480" w:lineRule="auto"/>
        <w:ind w:firstLine="4800" w:firstLineChars="20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1916696B">
      <w:pPr>
        <w:tabs>
          <w:tab w:val="left" w:pos="0"/>
        </w:tabs>
        <w:wordWrap w:val="0"/>
        <w:spacing w:line="360" w:lineRule="auto"/>
        <w:jc w:val="left"/>
        <w:rPr>
          <w:rFonts w:ascii="宋体" w:hAnsi="宋体" w:cs="宋体"/>
          <w:color w:val="auto"/>
          <w:sz w:val="28"/>
          <w:szCs w:val="28"/>
          <w:highlight w:val="none"/>
        </w:rPr>
      </w:pPr>
      <w:r>
        <w:rPr>
          <w:rFonts w:hint="eastAsia" w:ascii="宋体" w:hAnsi="宋体" w:cs="宋体"/>
          <w:color w:val="auto"/>
          <w:sz w:val="24"/>
          <w:szCs w:val="24"/>
          <w:highlight w:val="none"/>
          <w:lang w:val="zh-CN"/>
        </w:rPr>
        <w:br w:type="page"/>
      </w:r>
      <w:r>
        <w:rPr>
          <w:rFonts w:hint="eastAsia" w:ascii="宋体" w:hAnsi="宋体" w:cs="宋体"/>
          <w:b/>
          <w:bCs/>
          <w:color w:val="auto"/>
          <w:sz w:val="28"/>
          <w:szCs w:val="28"/>
          <w:highlight w:val="none"/>
          <w:lang w:val="zh-CN"/>
        </w:rPr>
        <w:t>（</w:t>
      </w:r>
      <w:r>
        <w:rPr>
          <w:rFonts w:hint="eastAsia" w:ascii="宋体" w:hAnsi="宋体" w:cs="宋体"/>
          <w:b/>
          <w:bCs/>
          <w:color w:val="auto"/>
          <w:sz w:val="28"/>
          <w:szCs w:val="28"/>
          <w:highlight w:val="none"/>
        </w:rPr>
        <w:t>二</w:t>
      </w:r>
      <w:r>
        <w:rPr>
          <w:rFonts w:hint="eastAsia" w:ascii="宋体" w:hAnsi="宋体" w:cs="宋体"/>
          <w:b/>
          <w:bCs/>
          <w:color w:val="auto"/>
          <w:sz w:val="28"/>
          <w:szCs w:val="28"/>
          <w:highlight w:val="none"/>
          <w:lang w:val="zh-CN"/>
        </w:rPr>
        <w:t>）</w:t>
      </w:r>
      <w:r>
        <w:rPr>
          <w:rFonts w:hint="eastAsia" w:ascii="宋体" w:hAnsi="宋体" w:cs="宋体"/>
          <w:b/>
          <w:bCs/>
          <w:color w:val="auto"/>
          <w:sz w:val="28"/>
          <w:szCs w:val="28"/>
          <w:highlight w:val="none"/>
        </w:rPr>
        <w:t>本磋商文件要求提供的以及</w:t>
      </w:r>
      <w:r>
        <w:rPr>
          <w:rFonts w:hint="eastAsia" w:ascii="宋体" w:hAnsi="宋体" w:cs="宋体"/>
          <w:b/>
          <w:bCs/>
          <w:color w:val="auto"/>
          <w:sz w:val="28"/>
          <w:szCs w:val="28"/>
          <w:highlight w:val="none"/>
          <w:lang w:val="zh-CN"/>
        </w:rPr>
        <w:t>供应商</w:t>
      </w:r>
      <w:r>
        <w:rPr>
          <w:rFonts w:hint="eastAsia" w:ascii="宋体" w:hAnsi="宋体" w:cs="宋体"/>
          <w:b/>
          <w:bCs/>
          <w:color w:val="auto"/>
          <w:sz w:val="28"/>
          <w:szCs w:val="28"/>
          <w:highlight w:val="none"/>
        </w:rPr>
        <w:t>自认为应该提供的</w:t>
      </w:r>
      <w:r>
        <w:rPr>
          <w:rFonts w:hint="eastAsia" w:ascii="宋体" w:hAnsi="宋体" w:cs="宋体"/>
          <w:b/>
          <w:bCs/>
          <w:color w:val="auto"/>
          <w:sz w:val="28"/>
          <w:szCs w:val="28"/>
          <w:highlight w:val="none"/>
          <w:lang w:val="zh-CN"/>
        </w:rPr>
        <w:t>资格证明</w:t>
      </w:r>
      <w:r>
        <w:rPr>
          <w:rFonts w:hint="eastAsia" w:ascii="宋体" w:hAnsi="宋体" w:cs="宋体"/>
          <w:b/>
          <w:bCs/>
          <w:color w:val="auto"/>
          <w:sz w:val="28"/>
          <w:szCs w:val="28"/>
          <w:highlight w:val="none"/>
        </w:rPr>
        <w:t>材料</w:t>
      </w:r>
    </w:p>
    <w:p w14:paraId="5895C25E">
      <w:pPr>
        <w:tabs>
          <w:tab w:val="left" w:pos="0"/>
        </w:tabs>
        <w:wordWrap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资格证明材料应包括（但不限于）下列内容：</w:t>
      </w:r>
    </w:p>
    <w:p w14:paraId="6B2FEE02">
      <w:pPr>
        <w:numPr>
          <w:ilvl w:val="0"/>
          <w:numId w:val="5"/>
        </w:numPr>
        <w:tabs>
          <w:tab w:val="left" w:pos="1365"/>
        </w:tabs>
        <w:wordWrap w:val="0"/>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法人或者其他组织的营业执照等证明文件、自然人的身份证明；</w:t>
      </w:r>
    </w:p>
    <w:p w14:paraId="63294BFB">
      <w:pPr>
        <w:numPr>
          <w:ilvl w:val="0"/>
          <w:numId w:val="5"/>
        </w:numPr>
        <w:tabs>
          <w:tab w:val="left" w:pos="1365"/>
        </w:tabs>
        <w:wordWrap w:val="0"/>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财务状况报告，依法缴纳税收和社会保障资金的相关材料；</w:t>
      </w:r>
    </w:p>
    <w:p w14:paraId="4BE051B8">
      <w:pPr>
        <w:numPr>
          <w:ilvl w:val="0"/>
          <w:numId w:val="5"/>
        </w:numPr>
        <w:tabs>
          <w:tab w:val="left" w:pos="1365"/>
        </w:tabs>
        <w:wordWrap w:val="0"/>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具备履行合同所必需的设备和专业技术能力的证明材料；</w:t>
      </w:r>
    </w:p>
    <w:p w14:paraId="698F9BD3">
      <w:pPr>
        <w:numPr>
          <w:ilvl w:val="0"/>
          <w:numId w:val="5"/>
        </w:numPr>
        <w:tabs>
          <w:tab w:val="left" w:pos="1365"/>
        </w:tabs>
        <w:wordWrap w:val="0"/>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参加政府采购活动前3年内在经营活动中没有重大违法记录的书面声明；</w:t>
      </w:r>
    </w:p>
    <w:p w14:paraId="14ECBFEC">
      <w:pPr>
        <w:numPr>
          <w:ilvl w:val="0"/>
          <w:numId w:val="5"/>
        </w:numPr>
        <w:tabs>
          <w:tab w:val="left" w:pos="1365"/>
        </w:tabs>
        <w:wordWrap w:val="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具备法律、行政法规规定的其他条件的证明材料；</w:t>
      </w:r>
    </w:p>
    <w:p w14:paraId="732A65DA">
      <w:pPr>
        <w:numPr>
          <w:ilvl w:val="0"/>
          <w:numId w:val="5"/>
        </w:numPr>
        <w:tabs>
          <w:tab w:val="left" w:pos="1365"/>
        </w:tabs>
        <w:wordWrap w:val="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本项目的特定资格要求证明材料等。</w:t>
      </w:r>
    </w:p>
    <w:p w14:paraId="6EBFE8A0">
      <w:pPr>
        <w:tabs>
          <w:tab w:val="left" w:pos="1365"/>
        </w:tabs>
        <w:wordWrap w:val="0"/>
        <w:spacing w:line="440" w:lineRule="exact"/>
        <w:jc w:val="left"/>
        <w:rPr>
          <w:rFonts w:ascii="宋体" w:hAnsi="宋体" w:cs="宋体"/>
          <w:b/>
          <w:color w:val="auto"/>
          <w:sz w:val="24"/>
          <w:szCs w:val="24"/>
          <w:highlight w:val="none"/>
        </w:rPr>
      </w:pPr>
      <w:r>
        <w:rPr>
          <w:rFonts w:hint="eastAsia" w:ascii="宋体" w:hAnsi="宋体" w:cs="宋体"/>
          <w:b/>
          <w:color w:val="auto"/>
          <w:sz w:val="24"/>
          <w:szCs w:val="24"/>
          <w:highlight w:val="none"/>
        </w:rPr>
        <w:t>相关资格证明材料格式见附件，其他未提供的资格证明材料格式自拟</w:t>
      </w:r>
    </w:p>
    <w:p w14:paraId="17DD9D8F">
      <w:pPr>
        <w:tabs>
          <w:tab w:val="left" w:pos="1365"/>
        </w:tabs>
        <w:wordWrap w:val="0"/>
        <w:spacing w:line="440" w:lineRule="exact"/>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附件：一、公司财务状况</w:t>
      </w:r>
    </w:p>
    <w:p w14:paraId="27EE93FC">
      <w:pPr>
        <w:tabs>
          <w:tab w:val="left" w:pos="1365"/>
        </w:tabs>
        <w:wordWrap w:val="0"/>
        <w:spacing w:line="440" w:lineRule="exact"/>
        <w:ind w:firstLine="723" w:firstLineChars="300"/>
        <w:jc w:val="left"/>
        <w:rPr>
          <w:rFonts w:ascii="宋体" w:hAnsi="宋体" w:cs="宋体"/>
          <w:b/>
          <w:color w:val="auto"/>
          <w:sz w:val="24"/>
          <w:szCs w:val="24"/>
          <w:highlight w:val="none"/>
        </w:rPr>
      </w:pPr>
      <w:r>
        <w:rPr>
          <w:rFonts w:hint="eastAsia" w:ascii="宋体" w:hAnsi="宋体" w:cs="宋体"/>
          <w:b/>
          <w:color w:val="auto"/>
          <w:sz w:val="24"/>
          <w:szCs w:val="24"/>
          <w:highlight w:val="none"/>
        </w:rPr>
        <w:t>二、</w:t>
      </w:r>
      <w:r>
        <w:rPr>
          <w:rFonts w:ascii="宋体" w:hAnsi="宋体" w:cs="宋体"/>
          <w:b/>
          <w:color w:val="auto"/>
          <w:sz w:val="24"/>
          <w:szCs w:val="24"/>
          <w:highlight w:val="none"/>
        </w:rPr>
        <w:t>类似项目经验</w:t>
      </w:r>
      <w:r>
        <w:rPr>
          <w:rFonts w:hint="eastAsia" w:ascii="宋体" w:hAnsi="宋体" w:cs="宋体"/>
          <w:b/>
          <w:color w:val="auto"/>
          <w:sz w:val="24"/>
          <w:szCs w:val="24"/>
          <w:highlight w:val="none"/>
        </w:rPr>
        <w:t>（如有）</w:t>
      </w:r>
    </w:p>
    <w:p w14:paraId="64CE5E98">
      <w:pPr>
        <w:tabs>
          <w:tab w:val="left" w:pos="1365"/>
        </w:tabs>
        <w:wordWrap w:val="0"/>
        <w:spacing w:line="360" w:lineRule="auto"/>
        <w:jc w:val="left"/>
        <w:rPr>
          <w:rFonts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附件一：</w:t>
      </w:r>
    </w:p>
    <w:p w14:paraId="77EAA8F9">
      <w:pPr>
        <w:tabs>
          <w:tab w:val="left" w:pos="1365"/>
        </w:tabs>
        <w:wordWrap w:val="0"/>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公司财务状况</w:t>
      </w:r>
    </w:p>
    <w:p w14:paraId="79A88964">
      <w:pPr>
        <w:tabs>
          <w:tab w:val="left" w:pos="1365"/>
        </w:tabs>
        <w:wordWrap w:val="0"/>
        <w:spacing w:line="440" w:lineRule="exact"/>
        <w:ind w:firstLine="241" w:firstLineChars="1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一 、开户情况</w:t>
      </w:r>
    </w:p>
    <w:tbl>
      <w:tblPr>
        <w:tblStyle w:val="47"/>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4008"/>
        <w:gridCol w:w="3067"/>
      </w:tblGrid>
      <w:tr w14:paraId="28BC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124" w:type="dxa"/>
            <w:vMerge w:val="restart"/>
            <w:noWrap w:val="0"/>
            <w:vAlign w:val="center"/>
          </w:tcPr>
          <w:p w14:paraId="6D295576">
            <w:pPr>
              <w:tabs>
                <w:tab w:val="left" w:pos="1365"/>
              </w:tabs>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开户银行</w:t>
            </w:r>
          </w:p>
        </w:tc>
        <w:tc>
          <w:tcPr>
            <w:tcW w:w="7075" w:type="dxa"/>
            <w:gridSpan w:val="2"/>
            <w:noWrap w:val="0"/>
            <w:vAlign w:val="center"/>
          </w:tcPr>
          <w:p w14:paraId="3B5EDAB8">
            <w:pPr>
              <w:tabs>
                <w:tab w:val="left" w:pos="1365"/>
              </w:tabs>
              <w:wordWrap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银行名称：</w:t>
            </w:r>
          </w:p>
        </w:tc>
      </w:tr>
      <w:tr w14:paraId="42F7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24" w:type="dxa"/>
            <w:vMerge w:val="continue"/>
            <w:noWrap w:val="0"/>
            <w:vAlign w:val="center"/>
          </w:tcPr>
          <w:p w14:paraId="68297196">
            <w:pPr>
              <w:tabs>
                <w:tab w:val="left" w:pos="1365"/>
              </w:tabs>
              <w:wordWrap w:val="0"/>
              <w:spacing w:line="440" w:lineRule="exact"/>
              <w:jc w:val="center"/>
              <w:rPr>
                <w:rFonts w:hint="eastAsia" w:ascii="宋体" w:hAnsi="宋体" w:cs="宋体"/>
                <w:color w:val="auto"/>
                <w:sz w:val="24"/>
                <w:szCs w:val="24"/>
                <w:highlight w:val="none"/>
              </w:rPr>
            </w:pPr>
          </w:p>
        </w:tc>
        <w:tc>
          <w:tcPr>
            <w:tcW w:w="7075" w:type="dxa"/>
            <w:gridSpan w:val="2"/>
            <w:noWrap w:val="0"/>
            <w:vAlign w:val="center"/>
          </w:tcPr>
          <w:p w14:paraId="6E548352">
            <w:pPr>
              <w:tabs>
                <w:tab w:val="left" w:pos="1365"/>
              </w:tabs>
              <w:wordWrap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银行地址：</w:t>
            </w:r>
          </w:p>
        </w:tc>
      </w:tr>
      <w:tr w14:paraId="1E94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24" w:type="dxa"/>
            <w:vMerge w:val="continue"/>
            <w:noWrap w:val="0"/>
            <w:vAlign w:val="center"/>
          </w:tcPr>
          <w:p w14:paraId="248699A1">
            <w:pPr>
              <w:tabs>
                <w:tab w:val="left" w:pos="1365"/>
              </w:tabs>
              <w:wordWrap w:val="0"/>
              <w:spacing w:line="440" w:lineRule="exact"/>
              <w:jc w:val="center"/>
              <w:rPr>
                <w:rFonts w:hint="eastAsia" w:ascii="宋体" w:hAnsi="宋体" w:cs="宋体"/>
                <w:color w:val="auto"/>
                <w:sz w:val="24"/>
                <w:szCs w:val="24"/>
                <w:highlight w:val="none"/>
              </w:rPr>
            </w:pPr>
          </w:p>
        </w:tc>
        <w:tc>
          <w:tcPr>
            <w:tcW w:w="4008" w:type="dxa"/>
            <w:noWrap w:val="0"/>
            <w:vAlign w:val="center"/>
          </w:tcPr>
          <w:p w14:paraId="3B2EEB31">
            <w:pPr>
              <w:tabs>
                <w:tab w:val="left" w:pos="1365"/>
              </w:tabs>
              <w:wordWrap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电话：</w:t>
            </w:r>
          </w:p>
        </w:tc>
        <w:tc>
          <w:tcPr>
            <w:tcW w:w="3067" w:type="dxa"/>
            <w:noWrap w:val="0"/>
            <w:vAlign w:val="center"/>
          </w:tcPr>
          <w:p w14:paraId="7917C150">
            <w:pPr>
              <w:tabs>
                <w:tab w:val="left" w:pos="1365"/>
              </w:tabs>
              <w:wordWrap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联系人及职务：</w:t>
            </w:r>
          </w:p>
        </w:tc>
      </w:tr>
      <w:tr w14:paraId="3ECC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24" w:type="dxa"/>
            <w:vMerge w:val="continue"/>
            <w:noWrap w:val="0"/>
            <w:vAlign w:val="center"/>
          </w:tcPr>
          <w:p w14:paraId="6A1D59CA">
            <w:pPr>
              <w:tabs>
                <w:tab w:val="left" w:pos="1365"/>
              </w:tabs>
              <w:wordWrap w:val="0"/>
              <w:spacing w:line="440" w:lineRule="exact"/>
              <w:jc w:val="center"/>
              <w:rPr>
                <w:rFonts w:hint="eastAsia" w:ascii="宋体" w:hAnsi="宋体" w:cs="宋体"/>
                <w:color w:val="auto"/>
                <w:sz w:val="24"/>
                <w:szCs w:val="24"/>
                <w:highlight w:val="none"/>
              </w:rPr>
            </w:pPr>
          </w:p>
        </w:tc>
        <w:tc>
          <w:tcPr>
            <w:tcW w:w="4008" w:type="dxa"/>
            <w:noWrap w:val="0"/>
            <w:vAlign w:val="center"/>
          </w:tcPr>
          <w:p w14:paraId="612D1CEB">
            <w:pPr>
              <w:tabs>
                <w:tab w:val="left" w:pos="1365"/>
              </w:tabs>
              <w:wordWrap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传真：</w:t>
            </w:r>
          </w:p>
        </w:tc>
        <w:tc>
          <w:tcPr>
            <w:tcW w:w="3067" w:type="dxa"/>
            <w:noWrap w:val="0"/>
            <w:vAlign w:val="center"/>
          </w:tcPr>
          <w:p w14:paraId="403AB23B">
            <w:pPr>
              <w:tabs>
                <w:tab w:val="left" w:pos="1365"/>
              </w:tabs>
              <w:wordWrap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电传：</w:t>
            </w:r>
          </w:p>
        </w:tc>
      </w:tr>
    </w:tbl>
    <w:p w14:paraId="2BEAA521">
      <w:pPr>
        <w:tabs>
          <w:tab w:val="left" w:pos="1365"/>
        </w:tabs>
        <w:wordWrap w:val="0"/>
        <w:spacing w:line="440" w:lineRule="exact"/>
        <w:jc w:val="left"/>
        <w:rPr>
          <w:rFonts w:hint="eastAsia" w:ascii="宋体" w:hAnsi="宋体" w:cs="宋体"/>
          <w:color w:val="auto"/>
          <w:sz w:val="24"/>
          <w:szCs w:val="24"/>
          <w:highlight w:val="none"/>
        </w:rPr>
      </w:pPr>
    </w:p>
    <w:p w14:paraId="0DF9A14C">
      <w:pPr>
        <w:tabs>
          <w:tab w:val="left" w:pos="1365"/>
        </w:tabs>
        <w:wordWrap w:val="0"/>
        <w:spacing w:line="440" w:lineRule="exact"/>
        <w:ind w:firstLine="241" w:firstLineChars="1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二、近三年每年的资产负债情况</w:t>
      </w:r>
    </w:p>
    <w:tbl>
      <w:tblPr>
        <w:tblStyle w:val="47"/>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2304"/>
        <w:gridCol w:w="2305"/>
        <w:gridCol w:w="2306"/>
      </w:tblGrid>
      <w:tr w14:paraId="656D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vMerge w:val="restart"/>
            <w:noWrap w:val="0"/>
            <w:vAlign w:val="center"/>
          </w:tcPr>
          <w:p w14:paraId="1176FAAA">
            <w:pPr>
              <w:tabs>
                <w:tab w:val="left" w:pos="1365"/>
              </w:tabs>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财务状况</w:t>
            </w:r>
          </w:p>
          <w:p w14:paraId="0EB48897">
            <w:pPr>
              <w:tabs>
                <w:tab w:val="left" w:pos="1365"/>
              </w:tabs>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(单位：元)</w:t>
            </w:r>
          </w:p>
        </w:tc>
        <w:tc>
          <w:tcPr>
            <w:tcW w:w="6915" w:type="dxa"/>
            <w:gridSpan w:val="3"/>
            <w:noWrap w:val="0"/>
            <w:vAlign w:val="top"/>
          </w:tcPr>
          <w:p w14:paraId="6A539B95">
            <w:pPr>
              <w:tabs>
                <w:tab w:val="left" w:pos="1365"/>
              </w:tabs>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近三年</w:t>
            </w:r>
          </w:p>
        </w:tc>
      </w:tr>
      <w:tr w14:paraId="6C3F6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304" w:type="dxa"/>
            <w:vMerge w:val="continue"/>
            <w:noWrap w:val="0"/>
            <w:vAlign w:val="center"/>
          </w:tcPr>
          <w:p w14:paraId="681C581C">
            <w:pPr>
              <w:tabs>
                <w:tab w:val="left" w:pos="1365"/>
              </w:tabs>
              <w:wordWrap w:val="0"/>
              <w:spacing w:line="440" w:lineRule="exact"/>
              <w:jc w:val="center"/>
              <w:rPr>
                <w:rFonts w:hint="eastAsia" w:ascii="宋体" w:hAnsi="宋体" w:cs="宋体"/>
                <w:color w:val="auto"/>
                <w:sz w:val="24"/>
                <w:szCs w:val="24"/>
                <w:highlight w:val="none"/>
              </w:rPr>
            </w:pPr>
          </w:p>
        </w:tc>
        <w:tc>
          <w:tcPr>
            <w:tcW w:w="2304" w:type="dxa"/>
            <w:noWrap w:val="0"/>
            <w:vAlign w:val="top"/>
          </w:tcPr>
          <w:p w14:paraId="680366CD">
            <w:pPr>
              <w:tabs>
                <w:tab w:val="left" w:pos="1365"/>
              </w:tabs>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年</w:t>
            </w:r>
          </w:p>
        </w:tc>
        <w:tc>
          <w:tcPr>
            <w:tcW w:w="2305" w:type="dxa"/>
            <w:noWrap w:val="0"/>
            <w:vAlign w:val="top"/>
          </w:tcPr>
          <w:p w14:paraId="776FFA6F">
            <w:pPr>
              <w:tabs>
                <w:tab w:val="left" w:pos="1365"/>
              </w:tabs>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年</w:t>
            </w:r>
          </w:p>
        </w:tc>
        <w:tc>
          <w:tcPr>
            <w:tcW w:w="2306" w:type="dxa"/>
            <w:noWrap w:val="0"/>
            <w:vAlign w:val="top"/>
          </w:tcPr>
          <w:p w14:paraId="1453B700">
            <w:pPr>
              <w:tabs>
                <w:tab w:val="left" w:pos="1365"/>
              </w:tabs>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年</w:t>
            </w:r>
          </w:p>
        </w:tc>
      </w:tr>
      <w:tr w14:paraId="04C9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noWrap w:val="0"/>
            <w:vAlign w:val="center"/>
          </w:tcPr>
          <w:p w14:paraId="44B62760">
            <w:pPr>
              <w:tabs>
                <w:tab w:val="left" w:pos="1365"/>
              </w:tabs>
              <w:wordWrap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1、总资产</w:t>
            </w:r>
          </w:p>
        </w:tc>
        <w:tc>
          <w:tcPr>
            <w:tcW w:w="2304" w:type="dxa"/>
            <w:noWrap w:val="0"/>
            <w:vAlign w:val="top"/>
          </w:tcPr>
          <w:p w14:paraId="366B593B">
            <w:pPr>
              <w:tabs>
                <w:tab w:val="left" w:pos="1365"/>
              </w:tabs>
              <w:wordWrap w:val="0"/>
              <w:spacing w:line="440" w:lineRule="exact"/>
              <w:jc w:val="left"/>
              <w:rPr>
                <w:rFonts w:hint="eastAsia" w:ascii="宋体" w:hAnsi="宋体" w:cs="宋体"/>
                <w:color w:val="auto"/>
                <w:sz w:val="24"/>
                <w:szCs w:val="24"/>
                <w:highlight w:val="none"/>
              </w:rPr>
            </w:pPr>
          </w:p>
        </w:tc>
        <w:tc>
          <w:tcPr>
            <w:tcW w:w="2305" w:type="dxa"/>
            <w:noWrap w:val="0"/>
            <w:vAlign w:val="top"/>
          </w:tcPr>
          <w:p w14:paraId="756B4445">
            <w:pPr>
              <w:tabs>
                <w:tab w:val="left" w:pos="1365"/>
              </w:tabs>
              <w:wordWrap w:val="0"/>
              <w:spacing w:line="440" w:lineRule="exact"/>
              <w:jc w:val="left"/>
              <w:rPr>
                <w:rFonts w:hint="eastAsia" w:ascii="宋体" w:hAnsi="宋体" w:cs="宋体"/>
                <w:color w:val="auto"/>
                <w:sz w:val="24"/>
                <w:szCs w:val="24"/>
                <w:highlight w:val="none"/>
              </w:rPr>
            </w:pPr>
          </w:p>
        </w:tc>
        <w:tc>
          <w:tcPr>
            <w:tcW w:w="2306" w:type="dxa"/>
            <w:noWrap w:val="0"/>
            <w:vAlign w:val="top"/>
          </w:tcPr>
          <w:p w14:paraId="208C2A5D">
            <w:pPr>
              <w:tabs>
                <w:tab w:val="left" w:pos="1365"/>
              </w:tabs>
              <w:wordWrap w:val="0"/>
              <w:spacing w:line="440" w:lineRule="exact"/>
              <w:jc w:val="left"/>
              <w:rPr>
                <w:rFonts w:hint="eastAsia" w:ascii="宋体" w:hAnsi="宋体" w:cs="宋体"/>
                <w:color w:val="auto"/>
                <w:sz w:val="24"/>
                <w:szCs w:val="24"/>
                <w:highlight w:val="none"/>
              </w:rPr>
            </w:pPr>
          </w:p>
        </w:tc>
      </w:tr>
      <w:tr w14:paraId="6CD5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04" w:type="dxa"/>
            <w:noWrap w:val="0"/>
            <w:vAlign w:val="center"/>
          </w:tcPr>
          <w:p w14:paraId="1939970D">
            <w:pPr>
              <w:tabs>
                <w:tab w:val="left" w:pos="1365"/>
              </w:tabs>
              <w:wordWrap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2、流动资产</w:t>
            </w:r>
          </w:p>
        </w:tc>
        <w:tc>
          <w:tcPr>
            <w:tcW w:w="2304" w:type="dxa"/>
            <w:noWrap w:val="0"/>
            <w:vAlign w:val="top"/>
          </w:tcPr>
          <w:p w14:paraId="77E6C331">
            <w:pPr>
              <w:tabs>
                <w:tab w:val="left" w:pos="1365"/>
              </w:tabs>
              <w:wordWrap w:val="0"/>
              <w:spacing w:line="440" w:lineRule="exact"/>
              <w:jc w:val="left"/>
              <w:rPr>
                <w:rFonts w:hint="eastAsia" w:ascii="宋体" w:hAnsi="宋体" w:cs="宋体"/>
                <w:color w:val="auto"/>
                <w:sz w:val="24"/>
                <w:szCs w:val="24"/>
                <w:highlight w:val="none"/>
              </w:rPr>
            </w:pPr>
          </w:p>
        </w:tc>
        <w:tc>
          <w:tcPr>
            <w:tcW w:w="2305" w:type="dxa"/>
            <w:noWrap w:val="0"/>
            <w:vAlign w:val="top"/>
          </w:tcPr>
          <w:p w14:paraId="457C90CF">
            <w:pPr>
              <w:tabs>
                <w:tab w:val="left" w:pos="1365"/>
              </w:tabs>
              <w:wordWrap w:val="0"/>
              <w:spacing w:line="440" w:lineRule="exact"/>
              <w:jc w:val="left"/>
              <w:rPr>
                <w:rFonts w:hint="eastAsia" w:ascii="宋体" w:hAnsi="宋体" w:cs="宋体"/>
                <w:color w:val="auto"/>
                <w:sz w:val="24"/>
                <w:szCs w:val="24"/>
                <w:highlight w:val="none"/>
              </w:rPr>
            </w:pPr>
          </w:p>
        </w:tc>
        <w:tc>
          <w:tcPr>
            <w:tcW w:w="2306" w:type="dxa"/>
            <w:noWrap w:val="0"/>
            <w:vAlign w:val="top"/>
          </w:tcPr>
          <w:p w14:paraId="2CA988BE">
            <w:pPr>
              <w:tabs>
                <w:tab w:val="left" w:pos="1365"/>
              </w:tabs>
              <w:wordWrap w:val="0"/>
              <w:spacing w:line="440" w:lineRule="exact"/>
              <w:jc w:val="left"/>
              <w:rPr>
                <w:rFonts w:hint="eastAsia" w:ascii="宋体" w:hAnsi="宋体" w:cs="宋体"/>
                <w:color w:val="auto"/>
                <w:sz w:val="24"/>
                <w:szCs w:val="24"/>
                <w:highlight w:val="none"/>
              </w:rPr>
            </w:pPr>
          </w:p>
        </w:tc>
      </w:tr>
      <w:tr w14:paraId="209D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noWrap w:val="0"/>
            <w:vAlign w:val="center"/>
          </w:tcPr>
          <w:p w14:paraId="4890E50C">
            <w:pPr>
              <w:tabs>
                <w:tab w:val="left" w:pos="1365"/>
              </w:tabs>
              <w:wordWrap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3、总负债</w:t>
            </w:r>
          </w:p>
        </w:tc>
        <w:tc>
          <w:tcPr>
            <w:tcW w:w="2304" w:type="dxa"/>
            <w:noWrap w:val="0"/>
            <w:vAlign w:val="top"/>
          </w:tcPr>
          <w:p w14:paraId="507154E3">
            <w:pPr>
              <w:tabs>
                <w:tab w:val="left" w:pos="1365"/>
              </w:tabs>
              <w:wordWrap w:val="0"/>
              <w:spacing w:line="440" w:lineRule="exact"/>
              <w:jc w:val="left"/>
              <w:rPr>
                <w:rFonts w:hint="eastAsia" w:ascii="宋体" w:hAnsi="宋体" w:cs="宋体"/>
                <w:color w:val="auto"/>
                <w:sz w:val="24"/>
                <w:szCs w:val="24"/>
                <w:highlight w:val="none"/>
              </w:rPr>
            </w:pPr>
          </w:p>
        </w:tc>
        <w:tc>
          <w:tcPr>
            <w:tcW w:w="2305" w:type="dxa"/>
            <w:noWrap w:val="0"/>
            <w:vAlign w:val="top"/>
          </w:tcPr>
          <w:p w14:paraId="6DAB8495">
            <w:pPr>
              <w:tabs>
                <w:tab w:val="left" w:pos="1365"/>
              </w:tabs>
              <w:wordWrap w:val="0"/>
              <w:spacing w:line="440" w:lineRule="exact"/>
              <w:jc w:val="left"/>
              <w:rPr>
                <w:rFonts w:hint="eastAsia" w:ascii="宋体" w:hAnsi="宋体" w:cs="宋体"/>
                <w:color w:val="auto"/>
                <w:sz w:val="24"/>
                <w:szCs w:val="24"/>
                <w:highlight w:val="none"/>
              </w:rPr>
            </w:pPr>
          </w:p>
        </w:tc>
        <w:tc>
          <w:tcPr>
            <w:tcW w:w="2306" w:type="dxa"/>
            <w:noWrap w:val="0"/>
            <w:vAlign w:val="top"/>
          </w:tcPr>
          <w:p w14:paraId="40E8E73F">
            <w:pPr>
              <w:tabs>
                <w:tab w:val="left" w:pos="1365"/>
              </w:tabs>
              <w:wordWrap w:val="0"/>
              <w:spacing w:line="440" w:lineRule="exact"/>
              <w:jc w:val="left"/>
              <w:rPr>
                <w:rFonts w:hint="eastAsia" w:ascii="宋体" w:hAnsi="宋体" w:cs="宋体"/>
                <w:color w:val="auto"/>
                <w:sz w:val="24"/>
                <w:szCs w:val="24"/>
                <w:highlight w:val="none"/>
              </w:rPr>
            </w:pPr>
          </w:p>
        </w:tc>
      </w:tr>
      <w:tr w14:paraId="3900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04" w:type="dxa"/>
            <w:noWrap w:val="0"/>
            <w:vAlign w:val="center"/>
          </w:tcPr>
          <w:p w14:paraId="3D618E62">
            <w:pPr>
              <w:tabs>
                <w:tab w:val="left" w:pos="1365"/>
              </w:tabs>
              <w:wordWrap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4、流动负债</w:t>
            </w:r>
          </w:p>
        </w:tc>
        <w:tc>
          <w:tcPr>
            <w:tcW w:w="2304" w:type="dxa"/>
            <w:noWrap w:val="0"/>
            <w:vAlign w:val="top"/>
          </w:tcPr>
          <w:p w14:paraId="7296A0B0">
            <w:pPr>
              <w:tabs>
                <w:tab w:val="left" w:pos="1365"/>
              </w:tabs>
              <w:wordWrap w:val="0"/>
              <w:spacing w:line="440" w:lineRule="exact"/>
              <w:jc w:val="left"/>
              <w:rPr>
                <w:rFonts w:hint="eastAsia" w:ascii="宋体" w:hAnsi="宋体" w:cs="宋体"/>
                <w:color w:val="auto"/>
                <w:sz w:val="24"/>
                <w:szCs w:val="24"/>
                <w:highlight w:val="none"/>
              </w:rPr>
            </w:pPr>
          </w:p>
        </w:tc>
        <w:tc>
          <w:tcPr>
            <w:tcW w:w="2305" w:type="dxa"/>
            <w:noWrap w:val="0"/>
            <w:vAlign w:val="top"/>
          </w:tcPr>
          <w:p w14:paraId="4B4420C4">
            <w:pPr>
              <w:tabs>
                <w:tab w:val="left" w:pos="1365"/>
              </w:tabs>
              <w:wordWrap w:val="0"/>
              <w:spacing w:line="440" w:lineRule="exact"/>
              <w:jc w:val="left"/>
              <w:rPr>
                <w:rFonts w:hint="eastAsia" w:ascii="宋体" w:hAnsi="宋体" w:cs="宋体"/>
                <w:color w:val="auto"/>
                <w:sz w:val="24"/>
                <w:szCs w:val="24"/>
                <w:highlight w:val="none"/>
              </w:rPr>
            </w:pPr>
          </w:p>
        </w:tc>
        <w:tc>
          <w:tcPr>
            <w:tcW w:w="2306" w:type="dxa"/>
            <w:noWrap w:val="0"/>
            <w:vAlign w:val="top"/>
          </w:tcPr>
          <w:p w14:paraId="4F85B336">
            <w:pPr>
              <w:tabs>
                <w:tab w:val="left" w:pos="1365"/>
              </w:tabs>
              <w:wordWrap w:val="0"/>
              <w:spacing w:line="440" w:lineRule="exact"/>
              <w:jc w:val="left"/>
              <w:rPr>
                <w:rFonts w:hint="eastAsia" w:ascii="宋体" w:hAnsi="宋体" w:cs="宋体"/>
                <w:color w:val="auto"/>
                <w:sz w:val="24"/>
                <w:szCs w:val="24"/>
                <w:highlight w:val="none"/>
              </w:rPr>
            </w:pPr>
          </w:p>
        </w:tc>
      </w:tr>
      <w:tr w14:paraId="6A13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noWrap w:val="0"/>
            <w:vAlign w:val="center"/>
          </w:tcPr>
          <w:p w14:paraId="4888FF9E">
            <w:pPr>
              <w:tabs>
                <w:tab w:val="left" w:pos="1365"/>
              </w:tabs>
              <w:wordWrap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5、税前利润</w:t>
            </w:r>
          </w:p>
        </w:tc>
        <w:tc>
          <w:tcPr>
            <w:tcW w:w="2304" w:type="dxa"/>
            <w:noWrap w:val="0"/>
            <w:vAlign w:val="top"/>
          </w:tcPr>
          <w:p w14:paraId="30FDEA51">
            <w:pPr>
              <w:tabs>
                <w:tab w:val="left" w:pos="1365"/>
              </w:tabs>
              <w:wordWrap w:val="0"/>
              <w:spacing w:line="440" w:lineRule="exact"/>
              <w:jc w:val="left"/>
              <w:rPr>
                <w:rFonts w:hint="eastAsia" w:ascii="宋体" w:hAnsi="宋体" w:cs="宋体"/>
                <w:color w:val="auto"/>
                <w:sz w:val="24"/>
                <w:szCs w:val="24"/>
                <w:highlight w:val="none"/>
              </w:rPr>
            </w:pPr>
          </w:p>
        </w:tc>
        <w:tc>
          <w:tcPr>
            <w:tcW w:w="2305" w:type="dxa"/>
            <w:noWrap w:val="0"/>
            <w:vAlign w:val="top"/>
          </w:tcPr>
          <w:p w14:paraId="4FB32FC2">
            <w:pPr>
              <w:tabs>
                <w:tab w:val="left" w:pos="1365"/>
              </w:tabs>
              <w:wordWrap w:val="0"/>
              <w:spacing w:line="440" w:lineRule="exact"/>
              <w:jc w:val="left"/>
              <w:rPr>
                <w:rFonts w:hint="eastAsia" w:ascii="宋体" w:hAnsi="宋体" w:cs="宋体"/>
                <w:color w:val="auto"/>
                <w:sz w:val="24"/>
                <w:szCs w:val="24"/>
                <w:highlight w:val="none"/>
              </w:rPr>
            </w:pPr>
          </w:p>
        </w:tc>
        <w:tc>
          <w:tcPr>
            <w:tcW w:w="2306" w:type="dxa"/>
            <w:noWrap w:val="0"/>
            <w:vAlign w:val="top"/>
          </w:tcPr>
          <w:p w14:paraId="19CED911">
            <w:pPr>
              <w:tabs>
                <w:tab w:val="left" w:pos="1365"/>
              </w:tabs>
              <w:wordWrap w:val="0"/>
              <w:spacing w:line="440" w:lineRule="exact"/>
              <w:jc w:val="left"/>
              <w:rPr>
                <w:rFonts w:hint="eastAsia" w:ascii="宋体" w:hAnsi="宋体" w:cs="宋体"/>
                <w:color w:val="auto"/>
                <w:sz w:val="24"/>
                <w:szCs w:val="24"/>
                <w:highlight w:val="none"/>
              </w:rPr>
            </w:pPr>
          </w:p>
        </w:tc>
      </w:tr>
      <w:tr w14:paraId="0AC7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noWrap w:val="0"/>
            <w:vAlign w:val="center"/>
          </w:tcPr>
          <w:p w14:paraId="748367D6">
            <w:pPr>
              <w:tabs>
                <w:tab w:val="left" w:pos="1365"/>
              </w:tabs>
              <w:wordWrap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6、税后利润</w:t>
            </w:r>
          </w:p>
        </w:tc>
        <w:tc>
          <w:tcPr>
            <w:tcW w:w="2304" w:type="dxa"/>
            <w:noWrap w:val="0"/>
            <w:vAlign w:val="top"/>
          </w:tcPr>
          <w:p w14:paraId="27A8B686">
            <w:pPr>
              <w:tabs>
                <w:tab w:val="left" w:pos="1365"/>
              </w:tabs>
              <w:wordWrap w:val="0"/>
              <w:spacing w:line="440" w:lineRule="exact"/>
              <w:jc w:val="left"/>
              <w:rPr>
                <w:rFonts w:hint="eastAsia" w:ascii="宋体" w:hAnsi="宋体" w:cs="宋体"/>
                <w:color w:val="auto"/>
                <w:sz w:val="24"/>
                <w:szCs w:val="24"/>
                <w:highlight w:val="none"/>
              </w:rPr>
            </w:pPr>
          </w:p>
        </w:tc>
        <w:tc>
          <w:tcPr>
            <w:tcW w:w="2305" w:type="dxa"/>
            <w:noWrap w:val="0"/>
            <w:vAlign w:val="top"/>
          </w:tcPr>
          <w:p w14:paraId="3C1416D4">
            <w:pPr>
              <w:tabs>
                <w:tab w:val="left" w:pos="1365"/>
              </w:tabs>
              <w:wordWrap w:val="0"/>
              <w:spacing w:line="440" w:lineRule="exact"/>
              <w:jc w:val="left"/>
              <w:rPr>
                <w:rFonts w:hint="eastAsia" w:ascii="宋体" w:hAnsi="宋体" w:cs="宋体"/>
                <w:color w:val="auto"/>
                <w:sz w:val="24"/>
                <w:szCs w:val="24"/>
                <w:highlight w:val="none"/>
              </w:rPr>
            </w:pPr>
          </w:p>
        </w:tc>
        <w:tc>
          <w:tcPr>
            <w:tcW w:w="2306" w:type="dxa"/>
            <w:noWrap w:val="0"/>
            <w:vAlign w:val="top"/>
          </w:tcPr>
          <w:p w14:paraId="1C26650F">
            <w:pPr>
              <w:tabs>
                <w:tab w:val="left" w:pos="1365"/>
              </w:tabs>
              <w:wordWrap w:val="0"/>
              <w:spacing w:line="440" w:lineRule="exact"/>
              <w:jc w:val="left"/>
              <w:rPr>
                <w:rFonts w:hint="eastAsia" w:ascii="宋体" w:hAnsi="宋体" w:cs="宋体"/>
                <w:color w:val="auto"/>
                <w:sz w:val="24"/>
                <w:szCs w:val="24"/>
                <w:highlight w:val="none"/>
              </w:rPr>
            </w:pPr>
          </w:p>
        </w:tc>
      </w:tr>
      <w:tr w14:paraId="176A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04" w:type="dxa"/>
            <w:noWrap w:val="0"/>
            <w:vAlign w:val="center"/>
          </w:tcPr>
          <w:p w14:paraId="5A79A314">
            <w:pPr>
              <w:tabs>
                <w:tab w:val="left" w:pos="1365"/>
              </w:tabs>
              <w:wordWrap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7、固定资产</w:t>
            </w:r>
          </w:p>
        </w:tc>
        <w:tc>
          <w:tcPr>
            <w:tcW w:w="2304" w:type="dxa"/>
            <w:noWrap w:val="0"/>
            <w:vAlign w:val="top"/>
          </w:tcPr>
          <w:p w14:paraId="5EB85168">
            <w:pPr>
              <w:tabs>
                <w:tab w:val="left" w:pos="1365"/>
              </w:tabs>
              <w:wordWrap w:val="0"/>
              <w:spacing w:line="440" w:lineRule="exact"/>
              <w:jc w:val="left"/>
              <w:rPr>
                <w:rFonts w:hint="eastAsia" w:ascii="宋体" w:hAnsi="宋体" w:cs="宋体"/>
                <w:color w:val="auto"/>
                <w:sz w:val="24"/>
                <w:szCs w:val="24"/>
                <w:highlight w:val="none"/>
              </w:rPr>
            </w:pPr>
          </w:p>
        </w:tc>
        <w:tc>
          <w:tcPr>
            <w:tcW w:w="2305" w:type="dxa"/>
            <w:noWrap w:val="0"/>
            <w:vAlign w:val="top"/>
          </w:tcPr>
          <w:p w14:paraId="045940EC">
            <w:pPr>
              <w:tabs>
                <w:tab w:val="left" w:pos="1365"/>
              </w:tabs>
              <w:wordWrap w:val="0"/>
              <w:spacing w:line="440" w:lineRule="exact"/>
              <w:jc w:val="left"/>
              <w:rPr>
                <w:rFonts w:hint="eastAsia" w:ascii="宋体" w:hAnsi="宋体" w:cs="宋体"/>
                <w:color w:val="auto"/>
                <w:sz w:val="24"/>
                <w:szCs w:val="24"/>
                <w:highlight w:val="none"/>
              </w:rPr>
            </w:pPr>
          </w:p>
        </w:tc>
        <w:tc>
          <w:tcPr>
            <w:tcW w:w="2306" w:type="dxa"/>
            <w:noWrap w:val="0"/>
            <w:vAlign w:val="top"/>
          </w:tcPr>
          <w:p w14:paraId="7D7394D2">
            <w:pPr>
              <w:tabs>
                <w:tab w:val="left" w:pos="1365"/>
              </w:tabs>
              <w:wordWrap w:val="0"/>
              <w:spacing w:line="440" w:lineRule="exact"/>
              <w:jc w:val="left"/>
              <w:rPr>
                <w:rFonts w:hint="eastAsia" w:ascii="宋体" w:hAnsi="宋体" w:cs="宋体"/>
                <w:color w:val="auto"/>
                <w:sz w:val="24"/>
                <w:szCs w:val="24"/>
                <w:highlight w:val="none"/>
              </w:rPr>
            </w:pPr>
          </w:p>
        </w:tc>
      </w:tr>
      <w:tr w14:paraId="19BE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304" w:type="dxa"/>
            <w:noWrap w:val="0"/>
            <w:vAlign w:val="center"/>
          </w:tcPr>
          <w:p w14:paraId="13C0FE17">
            <w:pPr>
              <w:tabs>
                <w:tab w:val="left" w:pos="1365"/>
              </w:tabs>
              <w:wordWrap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8、净资产总值</w:t>
            </w:r>
          </w:p>
        </w:tc>
        <w:tc>
          <w:tcPr>
            <w:tcW w:w="2304" w:type="dxa"/>
            <w:noWrap w:val="0"/>
            <w:vAlign w:val="top"/>
          </w:tcPr>
          <w:p w14:paraId="7161E73C">
            <w:pPr>
              <w:tabs>
                <w:tab w:val="left" w:pos="1365"/>
              </w:tabs>
              <w:wordWrap w:val="0"/>
              <w:spacing w:line="440" w:lineRule="exact"/>
              <w:jc w:val="left"/>
              <w:rPr>
                <w:rFonts w:hint="eastAsia" w:ascii="宋体" w:hAnsi="宋体" w:cs="宋体"/>
                <w:color w:val="auto"/>
                <w:sz w:val="24"/>
                <w:szCs w:val="24"/>
                <w:highlight w:val="none"/>
              </w:rPr>
            </w:pPr>
          </w:p>
        </w:tc>
        <w:tc>
          <w:tcPr>
            <w:tcW w:w="2305" w:type="dxa"/>
            <w:noWrap w:val="0"/>
            <w:vAlign w:val="top"/>
          </w:tcPr>
          <w:p w14:paraId="50FE297F">
            <w:pPr>
              <w:tabs>
                <w:tab w:val="left" w:pos="1365"/>
              </w:tabs>
              <w:wordWrap w:val="0"/>
              <w:spacing w:line="440" w:lineRule="exact"/>
              <w:jc w:val="left"/>
              <w:rPr>
                <w:rFonts w:hint="eastAsia" w:ascii="宋体" w:hAnsi="宋体" w:cs="宋体"/>
                <w:color w:val="auto"/>
                <w:sz w:val="24"/>
                <w:szCs w:val="24"/>
                <w:highlight w:val="none"/>
              </w:rPr>
            </w:pPr>
          </w:p>
        </w:tc>
        <w:tc>
          <w:tcPr>
            <w:tcW w:w="2306" w:type="dxa"/>
            <w:noWrap w:val="0"/>
            <w:vAlign w:val="top"/>
          </w:tcPr>
          <w:p w14:paraId="5495E3D0">
            <w:pPr>
              <w:tabs>
                <w:tab w:val="left" w:pos="1365"/>
              </w:tabs>
              <w:wordWrap w:val="0"/>
              <w:spacing w:line="440" w:lineRule="exact"/>
              <w:jc w:val="left"/>
              <w:rPr>
                <w:rFonts w:hint="eastAsia" w:ascii="宋体" w:hAnsi="宋体" w:cs="宋体"/>
                <w:color w:val="auto"/>
                <w:sz w:val="24"/>
                <w:szCs w:val="24"/>
                <w:highlight w:val="none"/>
              </w:rPr>
            </w:pPr>
          </w:p>
        </w:tc>
      </w:tr>
    </w:tbl>
    <w:p w14:paraId="4FB7C4AA">
      <w:pPr>
        <w:tabs>
          <w:tab w:val="left" w:pos="1365"/>
        </w:tabs>
        <w:wordWrap w:val="0"/>
        <w:spacing w:line="440" w:lineRule="exact"/>
        <w:ind w:left="210" w:leftChars="100"/>
        <w:jc w:val="left"/>
        <w:rPr>
          <w:rFonts w:hint="eastAsia" w:ascii="宋体" w:hAnsi="宋体" w:cs="宋体"/>
          <w:color w:val="auto"/>
          <w:sz w:val="24"/>
          <w:szCs w:val="24"/>
          <w:highlight w:val="none"/>
        </w:rPr>
      </w:pPr>
    </w:p>
    <w:p w14:paraId="6F8551C5">
      <w:pPr>
        <w:tabs>
          <w:tab w:val="left" w:pos="1365"/>
        </w:tabs>
        <w:wordWrap w:val="0"/>
        <w:spacing w:line="440" w:lineRule="exact"/>
        <w:ind w:left="210" w:left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备注：本表后附财务证明材料</w:t>
      </w:r>
    </w:p>
    <w:p w14:paraId="40381F70">
      <w:pPr>
        <w:tabs>
          <w:tab w:val="left" w:pos="1365"/>
        </w:tabs>
        <w:wordWrap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b/>
          <w:color w:val="auto"/>
          <w:sz w:val="24"/>
          <w:szCs w:val="24"/>
          <w:highlight w:val="none"/>
        </w:rPr>
        <w:t>附件二：</w:t>
      </w:r>
    </w:p>
    <w:p w14:paraId="6B4FB5BF">
      <w:pPr>
        <w:tabs>
          <w:tab w:val="left" w:pos="1365"/>
        </w:tabs>
        <w:wordWrap w:val="0"/>
        <w:spacing w:line="360" w:lineRule="auto"/>
        <w:jc w:val="center"/>
        <w:rPr>
          <w:rFonts w:hint="eastAsia" w:ascii="宋体" w:hAnsi="宋体" w:cs="宋体"/>
          <w:color w:val="auto"/>
          <w:sz w:val="32"/>
          <w:szCs w:val="32"/>
          <w:highlight w:val="none"/>
        </w:rPr>
      </w:pPr>
      <w:r>
        <w:rPr>
          <w:rFonts w:hint="eastAsia" w:ascii="宋体" w:hAnsi="宋体" w:cs="宋体"/>
          <w:b/>
          <w:color w:val="auto"/>
          <w:sz w:val="28"/>
          <w:szCs w:val="28"/>
          <w:highlight w:val="none"/>
        </w:rPr>
        <w:t>类似项目经验（如有）</w:t>
      </w:r>
    </w:p>
    <w:tbl>
      <w:tblPr>
        <w:tblStyle w:val="47"/>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104"/>
        <w:gridCol w:w="1622"/>
        <w:gridCol w:w="1657"/>
        <w:gridCol w:w="1552"/>
        <w:gridCol w:w="1221"/>
        <w:gridCol w:w="1936"/>
      </w:tblGrid>
      <w:tr w14:paraId="3804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66" w:type="dxa"/>
            <w:noWrap w:val="0"/>
            <w:vAlign w:val="center"/>
          </w:tcPr>
          <w:p w14:paraId="40E28A4D">
            <w:pPr>
              <w:wordWrap w:val="0"/>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104" w:type="dxa"/>
            <w:noWrap w:val="0"/>
            <w:vAlign w:val="center"/>
          </w:tcPr>
          <w:p w14:paraId="3A4F7EA3">
            <w:pPr>
              <w:wordWrap w:val="0"/>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采购人</w:t>
            </w:r>
          </w:p>
        </w:tc>
        <w:tc>
          <w:tcPr>
            <w:tcW w:w="1622" w:type="dxa"/>
            <w:noWrap w:val="0"/>
            <w:vAlign w:val="center"/>
          </w:tcPr>
          <w:p w14:paraId="6557B5F1">
            <w:pPr>
              <w:wordWrap w:val="0"/>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项目名称</w:t>
            </w:r>
          </w:p>
        </w:tc>
        <w:tc>
          <w:tcPr>
            <w:tcW w:w="1657" w:type="dxa"/>
            <w:noWrap w:val="0"/>
            <w:vAlign w:val="center"/>
          </w:tcPr>
          <w:p w14:paraId="52EC65A2">
            <w:pPr>
              <w:wordWrap w:val="0"/>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采购内容</w:t>
            </w:r>
          </w:p>
        </w:tc>
        <w:tc>
          <w:tcPr>
            <w:tcW w:w="1552" w:type="dxa"/>
            <w:noWrap w:val="0"/>
            <w:vAlign w:val="center"/>
          </w:tcPr>
          <w:p w14:paraId="6955CDF5">
            <w:pPr>
              <w:wordWrap w:val="0"/>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中标金额</w:t>
            </w:r>
          </w:p>
        </w:tc>
        <w:tc>
          <w:tcPr>
            <w:tcW w:w="1221" w:type="dxa"/>
            <w:noWrap w:val="0"/>
            <w:vAlign w:val="center"/>
          </w:tcPr>
          <w:p w14:paraId="1E02EFCC">
            <w:pPr>
              <w:wordWrap w:val="0"/>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服务期限</w:t>
            </w:r>
          </w:p>
        </w:tc>
        <w:tc>
          <w:tcPr>
            <w:tcW w:w="1936" w:type="dxa"/>
            <w:noWrap w:val="0"/>
            <w:vAlign w:val="center"/>
          </w:tcPr>
          <w:p w14:paraId="2D149E5F">
            <w:pPr>
              <w:wordWrap w:val="0"/>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采购人联系电话</w:t>
            </w:r>
          </w:p>
        </w:tc>
      </w:tr>
      <w:tr w14:paraId="0C32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64478EDB">
            <w:pPr>
              <w:wordWrap w:val="0"/>
              <w:spacing w:line="440" w:lineRule="exact"/>
              <w:jc w:val="center"/>
              <w:rPr>
                <w:rFonts w:hint="eastAsia" w:ascii="宋体" w:hAnsi="宋体" w:cs="宋体"/>
                <w:color w:val="auto"/>
                <w:sz w:val="24"/>
                <w:szCs w:val="24"/>
                <w:highlight w:val="none"/>
              </w:rPr>
            </w:pPr>
          </w:p>
        </w:tc>
        <w:tc>
          <w:tcPr>
            <w:tcW w:w="1104" w:type="dxa"/>
            <w:noWrap w:val="0"/>
            <w:vAlign w:val="center"/>
          </w:tcPr>
          <w:p w14:paraId="368114CF">
            <w:pPr>
              <w:pStyle w:val="27"/>
              <w:wordWrap w:val="0"/>
              <w:spacing w:line="440" w:lineRule="exact"/>
              <w:ind w:left="8000"/>
              <w:rPr>
                <w:rFonts w:hint="eastAsia" w:ascii="宋体" w:hAnsi="宋体" w:eastAsia="宋体" w:cs="宋体"/>
                <w:color w:val="auto"/>
                <w:sz w:val="24"/>
                <w:szCs w:val="24"/>
                <w:highlight w:val="none"/>
                <w:lang w:val="en-US" w:eastAsia="zh-CN"/>
              </w:rPr>
            </w:pPr>
          </w:p>
        </w:tc>
        <w:tc>
          <w:tcPr>
            <w:tcW w:w="1622" w:type="dxa"/>
            <w:noWrap w:val="0"/>
            <w:vAlign w:val="center"/>
          </w:tcPr>
          <w:p w14:paraId="50F2BD7A">
            <w:pPr>
              <w:wordWrap w:val="0"/>
              <w:spacing w:line="440" w:lineRule="exact"/>
              <w:rPr>
                <w:rFonts w:hint="eastAsia" w:ascii="宋体" w:hAnsi="宋体" w:cs="宋体"/>
                <w:color w:val="auto"/>
                <w:sz w:val="24"/>
                <w:szCs w:val="24"/>
                <w:highlight w:val="none"/>
              </w:rPr>
            </w:pPr>
          </w:p>
        </w:tc>
        <w:tc>
          <w:tcPr>
            <w:tcW w:w="1657" w:type="dxa"/>
            <w:noWrap w:val="0"/>
            <w:vAlign w:val="center"/>
          </w:tcPr>
          <w:p w14:paraId="2CCC35EE">
            <w:pPr>
              <w:wordWrap w:val="0"/>
              <w:spacing w:line="440" w:lineRule="exact"/>
              <w:rPr>
                <w:rFonts w:hint="eastAsia" w:ascii="宋体" w:hAnsi="宋体" w:cs="宋体"/>
                <w:color w:val="auto"/>
                <w:sz w:val="24"/>
                <w:szCs w:val="24"/>
                <w:highlight w:val="none"/>
              </w:rPr>
            </w:pPr>
          </w:p>
        </w:tc>
        <w:tc>
          <w:tcPr>
            <w:tcW w:w="1552" w:type="dxa"/>
            <w:noWrap w:val="0"/>
            <w:vAlign w:val="center"/>
          </w:tcPr>
          <w:p w14:paraId="591FFDF3">
            <w:pPr>
              <w:wordWrap w:val="0"/>
              <w:spacing w:line="440" w:lineRule="exact"/>
              <w:rPr>
                <w:rFonts w:hint="eastAsia" w:ascii="宋体" w:hAnsi="宋体" w:cs="宋体"/>
                <w:color w:val="auto"/>
                <w:sz w:val="24"/>
                <w:szCs w:val="24"/>
                <w:highlight w:val="none"/>
              </w:rPr>
            </w:pPr>
          </w:p>
        </w:tc>
        <w:tc>
          <w:tcPr>
            <w:tcW w:w="1221" w:type="dxa"/>
            <w:noWrap w:val="0"/>
            <w:vAlign w:val="center"/>
          </w:tcPr>
          <w:p w14:paraId="2CEC62F3">
            <w:pPr>
              <w:wordWrap w:val="0"/>
              <w:spacing w:line="440" w:lineRule="exact"/>
              <w:rPr>
                <w:rFonts w:hint="eastAsia" w:ascii="宋体" w:hAnsi="宋体" w:cs="宋体"/>
                <w:color w:val="auto"/>
                <w:sz w:val="24"/>
                <w:szCs w:val="24"/>
                <w:highlight w:val="none"/>
              </w:rPr>
            </w:pPr>
          </w:p>
        </w:tc>
        <w:tc>
          <w:tcPr>
            <w:tcW w:w="1936" w:type="dxa"/>
            <w:noWrap w:val="0"/>
            <w:vAlign w:val="center"/>
          </w:tcPr>
          <w:p w14:paraId="7E59732F">
            <w:pPr>
              <w:wordWrap w:val="0"/>
              <w:spacing w:line="440" w:lineRule="exact"/>
              <w:rPr>
                <w:rFonts w:hint="eastAsia" w:ascii="宋体" w:hAnsi="宋体" w:cs="宋体"/>
                <w:color w:val="auto"/>
                <w:sz w:val="24"/>
                <w:szCs w:val="24"/>
                <w:highlight w:val="none"/>
              </w:rPr>
            </w:pPr>
          </w:p>
        </w:tc>
      </w:tr>
      <w:tr w14:paraId="35C3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22ADEDB4">
            <w:pPr>
              <w:wordWrap w:val="0"/>
              <w:spacing w:line="440" w:lineRule="exact"/>
              <w:jc w:val="center"/>
              <w:rPr>
                <w:rFonts w:hint="eastAsia" w:ascii="宋体" w:hAnsi="宋体" w:cs="宋体"/>
                <w:color w:val="auto"/>
                <w:sz w:val="24"/>
                <w:szCs w:val="24"/>
                <w:highlight w:val="none"/>
              </w:rPr>
            </w:pPr>
          </w:p>
        </w:tc>
        <w:tc>
          <w:tcPr>
            <w:tcW w:w="1104" w:type="dxa"/>
            <w:noWrap w:val="0"/>
            <w:vAlign w:val="center"/>
          </w:tcPr>
          <w:p w14:paraId="1991E107">
            <w:pPr>
              <w:wordWrap w:val="0"/>
              <w:spacing w:line="440" w:lineRule="exact"/>
              <w:rPr>
                <w:rFonts w:hint="eastAsia" w:ascii="宋体" w:hAnsi="宋体" w:cs="宋体"/>
                <w:color w:val="auto"/>
                <w:sz w:val="24"/>
                <w:szCs w:val="24"/>
                <w:highlight w:val="none"/>
              </w:rPr>
            </w:pPr>
          </w:p>
        </w:tc>
        <w:tc>
          <w:tcPr>
            <w:tcW w:w="1622" w:type="dxa"/>
            <w:noWrap w:val="0"/>
            <w:vAlign w:val="center"/>
          </w:tcPr>
          <w:p w14:paraId="33802BA9">
            <w:pPr>
              <w:wordWrap w:val="0"/>
              <w:spacing w:line="440" w:lineRule="exact"/>
              <w:rPr>
                <w:rFonts w:hint="eastAsia" w:ascii="宋体" w:hAnsi="宋体" w:cs="宋体"/>
                <w:color w:val="auto"/>
                <w:sz w:val="24"/>
                <w:szCs w:val="24"/>
                <w:highlight w:val="none"/>
              </w:rPr>
            </w:pPr>
          </w:p>
        </w:tc>
        <w:tc>
          <w:tcPr>
            <w:tcW w:w="1657" w:type="dxa"/>
            <w:noWrap w:val="0"/>
            <w:vAlign w:val="center"/>
          </w:tcPr>
          <w:p w14:paraId="29144818">
            <w:pPr>
              <w:wordWrap w:val="0"/>
              <w:spacing w:line="440" w:lineRule="exact"/>
              <w:rPr>
                <w:rFonts w:hint="eastAsia" w:ascii="宋体" w:hAnsi="宋体" w:cs="宋体"/>
                <w:color w:val="auto"/>
                <w:sz w:val="24"/>
                <w:szCs w:val="24"/>
                <w:highlight w:val="none"/>
              </w:rPr>
            </w:pPr>
          </w:p>
        </w:tc>
        <w:tc>
          <w:tcPr>
            <w:tcW w:w="1552" w:type="dxa"/>
            <w:noWrap w:val="0"/>
            <w:vAlign w:val="center"/>
          </w:tcPr>
          <w:p w14:paraId="3EA068BC">
            <w:pPr>
              <w:wordWrap w:val="0"/>
              <w:spacing w:line="440" w:lineRule="exact"/>
              <w:rPr>
                <w:rFonts w:hint="eastAsia" w:ascii="宋体" w:hAnsi="宋体" w:cs="宋体"/>
                <w:color w:val="auto"/>
                <w:sz w:val="24"/>
                <w:szCs w:val="24"/>
                <w:highlight w:val="none"/>
              </w:rPr>
            </w:pPr>
          </w:p>
        </w:tc>
        <w:tc>
          <w:tcPr>
            <w:tcW w:w="1221" w:type="dxa"/>
            <w:noWrap w:val="0"/>
            <w:vAlign w:val="center"/>
          </w:tcPr>
          <w:p w14:paraId="1EA17BAE">
            <w:pPr>
              <w:wordWrap w:val="0"/>
              <w:spacing w:line="440" w:lineRule="exact"/>
              <w:rPr>
                <w:rFonts w:hint="eastAsia" w:ascii="宋体" w:hAnsi="宋体" w:cs="宋体"/>
                <w:color w:val="auto"/>
                <w:sz w:val="24"/>
                <w:szCs w:val="24"/>
                <w:highlight w:val="none"/>
              </w:rPr>
            </w:pPr>
          </w:p>
        </w:tc>
        <w:tc>
          <w:tcPr>
            <w:tcW w:w="1936" w:type="dxa"/>
            <w:noWrap w:val="0"/>
            <w:vAlign w:val="center"/>
          </w:tcPr>
          <w:p w14:paraId="643C3B2F">
            <w:pPr>
              <w:wordWrap w:val="0"/>
              <w:spacing w:line="440" w:lineRule="exact"/>
              <w:rPr>
                <w:rFonts w:hint="eastAsia" w:ascii="宋体" w:hAnsi="宋体" w:cs="宋体"/>
                <w:color w:val="auto"/>
                <w:sz w:val="24"/>
                <w:szCs w:val="24"/>
                <w:highlight w:val="none"/>
              </w:rPr>
            </w:pPr>
          </w:p>
        </w:tc>
      </w:tr>
      <w:tr w14:paraId="75F2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5DBB7A8F">
            <w:pPr>
              <w:wordWrap w:val="0"/>
              <w:spacing w:line="440" w:lineRule="exact"/>
              <w:jc w:val="center"/>
              <w:rPr>
                <w:rFonts w:hint="eastAsia" w:ascii="宋体" w:hAnsi="宋体" w:cs="宋体"/>
                <w:color w:val="auto"/>
                <w:sz w:val="24"/>
                <w:szCs w:val="24"/>
                <w:highlight w:val="none"/>
              </w:rPr>
            </w:pPr>
          </w:p>
        </w:tc>
        <w:tc>
          <w:tcPr>
            <w:tcW w:w="1104" w:type="dxa"/>
            <w:noWrap w:val="0"/>
            <w:vAlign w:val="center"/>
          </w:tcPr>
          <w:p w14:paraId="3EB5D320">
            <w:pPr>
              <w:wordWrap w:val="0"/>
              <w:spacing w:line="440" w:lineRule="exact"/>
              <w:rPr>
                <w:rFonts w:hint="eastAsia" w:ascii="宋体" w:hAnsi="宋体" w:cs="宋体"/>
                <w:color w:val="auto"/>
                <w:sz w:val="24"/>
                <w:szCs w:val="24"/>
                <w:highlight w:val="none"/>
              </w:rPr>
            </w:pPr>
          </w:p>
        </w:tc>
        <w:tc>
          <w:tcPr>
            <w:tcW w:w="1622" w:type="dxa"/>
            <w:noWrap w:val="0"/>
            <w:vAlign w:val="center"/>
          </w:tcPr>
          <w:p w14:paraId="28847B4D">
            <w:pPr>
              <w:wordWrap w:val="0"/>
              <w:spacing w:line="440" w:lineRule="exact"/>
              <w:rPr>
                <w:rFonts w:hint="eastAsia" w:ascii="宋体" w:hAnsi="宋体" w:cs="宋体"/>
                <w:color w:val="auto"/>
                <w:sz w:val="24"/>
                <w:szCs w:val="24"/>
                <w:highlight w:val="none"/>
              </w:rPr>
            </w:pPr>
          </w:p>
        </w:tc>
        <w:tc>
          <w:tcPr>
            <w:tcW w:w="1657" w:type="dxa"/>
            <w:noWrap w:val="0"/>
            <w:vAlign w:val="center"/>
          </w:tcPr>
          <w:p w14:paraId="4B51D9AD">
            <w:pPr>
              <w:wordWrap w:val="0"/>
              <w:spacing w:line="440" w:lineRule="exact"/>
              <w:rPr>
                <w:rFonts w:hint="eastAsia" w:ascii="宋体" w:hAnsi="宋体" w:cs="宋体"/>
                <w:color w:val="auto"/>
                <w:sz w:val="24"/>
                <w:szCs w:val="24"/>
                <w:highlight w:val="none"/>
              </w:rPr>
            </w:pPr>
          </w:p>
        </w:tc>
        <w:tc>
          <w:tcPr>
            <w:tcW w:w="1552" w:type="dxa"/>
            <w:noWrap w:val="0"/>
            <w:vAlign w:val="center"/>
          </w:tcPr>
          <w:p w14:paraId="611E8ADF">
            <w:pPr>
              <w:wordWrap w:val="0"/>
              <w:spacing w:line="440" w:lineRule="exact"/>
              <w:rPr>
                <w:rFonts w:hint="eastAsia" w:ascii="宋体" w:hAnsi="宋体" w:cs="宋体"/>
                <w:color w:val="auto"/>
                <w:sz w:val="24"/>
                <w:szCs w:val="24"/>
                <w:highlight w:val="none"/>
              </w:rPr>
            </w:pPr>
          </w:p>
        </w:tc>
        <w:tc>
          <w:tcPr>
            <w:tcW w:w="1221" w:type="dxa"/>
            <w:noWrap w:val="0"/>
            <w:vAlign w:val="center"/>
          </w:tcPr>
          <w:p w14:paraId="06E56A72">
            <w:pPr>
              <w:wordWrap w:val="0"/>
              <w:spacing w:line="440" w:lineRule="exact"/>
              <w:rPr>
                <w:rFonts w:hint="eastAsia" w:ascii="宋体" w:hAnsi="宋体" w:cs="宋体"/>
                <w:color w:val="auto"/>
                <w:sz w:val="24"/>
                <w:szCs w:val="24"/>
                <w:highlight w:val="none"/>
              </w:rPr>
            </w:pPr>
          </w:p>
        </w:tc>
        <w:tc>
          <w:tcPr>
            <w:tcW w:w="1936" w:type="dxa"/>
            <w:noWrap w:val="0"/>
            <w:vAlign w:val="center"/>
          </w:tcPr>
          <w:p w14:paraId="5FAEA791">
            <w:pPr>
              <w:wordWrap w:val="0"/>
              <w:spacing w:line="440" w:lineRule="exact"/>
              <w:rPr>
                <w:rFonts w:hint="eastAsia" w:ascii="宋体" w:hAnsi="宋体" w:cs="宋体"/>
                <w:color w:val="auto"/>
                <w:sz w:val="24"/>
                <w:szCs w:val="24"/>
                <w:highlight w:val="none"/>
              </w:rPr>
            </w:pPr>
          </w:p>
        </w:tc>
      </w:tr>
      <w:tr w14:paraId="2857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24E413DE">
            <w:pPr>
              <w:wordWrap w:val="0"/>
              <w:spacing w:line="440" w:lineRule="exact"/>
              <w:jc w:val="center"/>
              <w:rPr>
                <w:rFonts w:hint="eastAsia" w:ascii="宋体" w:hAnsi="宋体" w:cs="宋体"/>
                <w:color w:val="auto"/>
                <w:sz w:val="24"/>
                <w:szCs w:val="24"/>
                <w:highlight w:val="none"/>
              </w:rPr>
            </w:pPr>
          </w:p>
        </w:tc>
        <w:tc>
          <w:tcPr>
            <w:tcW w:w="1104" w:type="dxa"/>
            <w:noWrap w:val="0"/>
            <w:vAlign w:val="center"/>
          </w:tcPr>
          <w:p w14:paraId="11179131">
            <w:pPr>
              <w:wordWrap w:val="0"/>
              <w:spacing w:line="440" w:lineRule="exact"/>
              <w:rPr>
                <w:rFonts w:hint="eastAsia" w:ascii="宋体" w:hAnsi="宋体" w:cs="宋体"/>
                <w:color w:val="auto"/>
                <w:sz w:val="24"/>
                <w:szCs w:val="24"/>
                <w:highlight w:val="none"/>
              </w:rPr>
            </w:pPr>
          </w:p>
        </w:tc>
        <w:tc>
          <w:tcPr>
            <w:tcW w:w="1622" w:type="dxa"/>
            <w:noWrap w:val="0"/>
            <w:vAlign w:val="center"/>
          </w:tcPr>
          <w:p w14:paraId="680E7255">
            <w:pPr>
              <w:wordWrap w:val="0"/>
              <w:spacing w:line="440" w:lineRule="exact"/>
              <w:rPr>
                <w:rFonts w:hint="eastAsia" w:ascii="宋体" w:hAnsi="宋体" w:cs="宋体"/>
                <w:color w:val="auto"/>
                <w:sz w:val="24"/>
                <w:szCs w:val="24"/>
                <w:highlight w:val="none"/>
              </w:rPr>
            </w:pPr>
          </w:p>
        </w:tc>
        <w:tc>
          <w:tcPr>
            <w:tcW w:w="1657" w:type="dxa"/>
            <w:noWrap w:val="0"/>
            <w:vAlign w:val="center"/>
          </w:tcPr>
          <w:p w14:paraId="24AB28C4">
            <w:pPr>
              <w:wordWrap w:val="0"/>
              <w:spacing w:line="440" w:lineRule="exact"/>
              <w:rPr>
                <w:rFonts w:hint="eastAsia" w:ascii="宋体" w:hAnsi="宋体" w:cs="宋体"/>
                <w:color w:val="auto"/>
                <w:sz w:val="24"/>
                <w:szCs w:val="24"/>
                <w:highlight w:val="none"/>
              </w:rPr>
            </w:pPr>
          </w:p>
        </w:tc>
        <w:tc>
          <w:tcPr>
            <w:tcW w:w="1552" w:type="dxa"/>
            <w:noWrap w:val="0"/>
            <w:vAlign w:val="center"/>
          </w:tcPr>
          <w:p w14:paraId="10AA9E26">
            <w:pPr>
              <w:wordWrap w:val="0"/>
              <w:spacing w:line="440" w:lineRule="exact"/>
              <w:rPr>
                <w:rFonts w:hint="eastAsia" w:ascii="宋体" w:hAnsi="宋体" w:cs="宋体"/>
                <w:color w:val="auto"/>
                <w:sz w:val="24"/>
                <w:szCs w:val="24"/>
                <w:highlight w:val="none"/>
              </w:rPr>
            </w:pPr>
          </w:p>
        </w:tc>
        <w:tc>
          <w:tcPr>
            <w:tcW w:w="1221" w:type="dxa"/>
            <w:noWrap w:val="0"/>
            <w:vAlign w:val="center"/>
          </w:tcPr>
          <w:p w14:paraId="384A2030">
            <w:pPr>
              <w:wordWrap w:val="0"/>
              <w:spacing w:line="440" w:lineRule="exact"/>
              <w:rPr>
                <w:rFonts w:hint="eastAsia" w:ascii="宋体" w:hAnsi="宋体" w:cs="宋体"/>
                <w:color w:val="auto"/>
                <w:sz w:val="24"/>
                <w:szCs w:val="24"/>
                <w:highlight w:val="none"/>
              </w:rPr>
            </w:pPr>
          </w:p>
        </w:tc>
        <w:tc>
          <w:tcPr>
            <w:tcW w:w="1936" w:type="dxa"/>
            <w:noWrap w:val="0"/>
            <w:vAlign w:val="center"/>
          </w:tcPr>
          <w:p w14:paraId="20979A2C">
            <w:pPr>
              <w:wordWrap w:val="0"/>
              <w:spacing w:line="440" w:lineRule="exact"/>
              <w:rPr>
                <w:rFonts w:hint="eastAsia" w:ascii="宋体" w:hAnsi="宋体" w:cs="宋体"/>
                <w:color w:val="auto"/>
                <w:sz w:val="24"/>
                <w:szCs w:val="24"/>
                <w:highlight w:val="none"/>
              </w:rPr>
            </w:pPr>
          </w:p>
        </w:tc>
      </w:tr>
      <w:tr w14:paraId="728B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5CDB28C4">
            <w:pPr>
              <w:wordWrap w:val="0"/>
              <w:spacing w:line="440" w:lineRule="exact"/>
              <w:jc w:val="center"/>
              <w:rPr>
                <w:rFonts w:hint="eastAsia" w:ascii="宋体" w:hAnsi="宋体" w:cs="宋体"/>
                <w:color w:val="auto"/>
                <w:sz w:val="24"/>
                <w:szCs w:val="24"/>
                <w:highlight w:val="none"/>
              </w:rPr>
            </w:pPr>
          </w:p>
        </w:tc>
        <w:tc>
          <w:tcPr>
            <w:tcW w:w="1104" w:type="dxa"/>
            <w:noWrap w:val="0"/>
            <w:vAlign w:val="center"/>
          </w:tcPr>
          <w:p w14:paraId="726912E2">
            <w:pPr>
              <w:wordWrap w:val="0"/>
              <w:spacing w:line="440" w:lineRule="exact"/>
              <w:rPr>
                <w:rFonts w:hint="eastAsia" w:ascii="宋体" w:hAnsi="宋体" w:cs="宋体"/>
                <w:color w:val="auto"/>
                <w:sz w:val="24"/>
                <w:szCs w:val="24"/>
                <w:highlight w:val="none"/>
              </w:rPr>
            </w:pPr>
          </w:p>
        </w:tc>
        <w:tc>
          <w:tcPr>
            <w:tcW w:w="1622" w:type="dxa"/>
            <w:noWrap w:val="0"/>
            <w:vAlign w:val="center"/>
          </w:tcPr>
          <w:p w14:paraId="51D7ECCA">
            <w:pPr>
              <w:wordWrap w:val="0"/>
              <w:spacing w:line="440" w:lineRule="exact"/>
              <w:rPr>
                <w:rFonts w:hint="eastAsia" w:ascii="宋体" w:hAnsi="宋体" w:cs="宋体"/>
                <w:color w:val="auto"/>
                <w:sz w:val="24"/>
                <w:szCs w:val="24"/>
                <w:highlight w:val="none"/>
              </w:rPr>
            </w:pPr>
          </w:p>
        </w:tc>
        <w:tc>
          <w:tcPr>
            <w:tcW w:w="1657" w:type="dxa"/>
            <w:noWrap w:val="0"/>
            <w:vAlign w:val="center"/>
          </w:tcPr>
          <w:p w14:paraId="73630760">
            <w:pPr>
              <w:wordWrap w:val="0"/>
              <w:spacing w:line="440" w:lineRule="exact"/>
              <w:rPr>
                <w:rFonts w:hint="eastAsia" w:ascii="宋体" w:hAnsi="宋体" w:cs="宋体"/>
                <w:color w:val="auto"/>
                <w:sz w:val="24"/>
                <w:szCs w:val="24"/>
                <w:highlight w:val="none"/>
              </w:rPr>
            </w:pPr>
          </w:p>
        </w:tc>
        <w:tc>
          <w:tcPr>
            <w:tcW w:w="1552" w:type="dxa"/>
            <w:noWrap w:val="0"/>
            <w:vAlign w:val="center"/>
          </w:tcPr>
          <w:p w14:paraId="6BFCE0A3">
            <w:pPr>
              <w:wordWrap w:val="0"/>
              <w:spacing w:line="440" w:lineRule="exact"/>
              <w:rPr>
                <w:rFonts w:hint="eastAsia" w:ascii="宋体" w:hAnsi="宋体" w:cs="宋体"/>
                <w:color w:val="auto"/>
                <w:sz w:val="24"/>
                <w:szCs w:val="24"/>
                <w:highlight w:val="none"/>
              </w:rPr>
            </w:pPr>
          </w:p>
        </w:tc>
        <w:tc>
          <w:tcPr>
            <w:tcW w:w="1221" w:type="dxa"/>
            <w:noWrap w:val="0"/>
            <w:vAlign w:val="center"/>
          </w:tcPr>
          <w:p w14:paraId="5F29F7B3">
            <w:pPr>
              <w:wordWrap w:val="0"/>
              <w:spacing w:line="440" w:lineRule="exact"/>
              <w:rPr>
                <w:rFonts w:hint="eastAsia" w:ascii="宋体" w:hAnsi="宋体" w:cs="宋体"/>
                <w:color w:val="auto"/>
                <w:sz w:val="24"/>
                <w:szCs w:val="24"/>
                <w:highlight w:val="none"/>
              </w:rPr>
            </w:pPr>
          </w:p>
        </w:tc>
        <w:tc>
          <w:tcPr>
            <w:tcW w:w="1936" w:type="dxa"/>
            <w:noWrap w:val="0"/>
            <w:vAlign w:val="center"/>
          </w:tcPr>
          <w:p w14:paraId="6CC7492D">
            <w:pPr>
              <w:wordWrap w:val="0"/>
              <w:spacing w:line="440" w:lineRule="exact"/>
              <w:rPr>
                <w:rFonts w:hint="eastAsia" w:ascii="宋体" w:hAnsi="宋体" w:cs="宋体"/>
                <w:color w:val="auto"/>
                <w:sz w:val="24"/>
                <w:szCs w:val="24"/>
                <w:highlight w:val="none"/>
              </w:rPr>
            </w:pPr>
          </w:p>
        </w:tc>
      </w:tr>
      <w:tr w14:paraId="752B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5DA5D163">
            <w:pPr>
              <w:wordWrap w:val="0"/>
              <w:spacing w:line="440" w:lineRule="exact"/>
              <w:jc w:val="center"/>
              <w:rPr>
                <w:rFonts w:hint="eastAsia" w:ascii="宋体" w:hAnsi="宋体" w:cs="宋体"/>
                <w:color w:val="auto"/>
                <w:sz w:val="24"/>
                <w:szCs w:val="24"/>
                <w:highlight w:val="none"/>
              </w:rPr>
            </w:pPr>
          </w:p>
        </w:tc>
        <w:tc>
          <w:tcPr>
            <w:tcW w:w="1104" w:type="dxa"/>
            <w:noWrap w:val="0"/>
            <w:vAlign w:val="center"/>
          </w:tcPr>
          <w:p w14:paraId="707106A1">
            <w:pPr>
              <w:wordWrap w:val="0"/>
              <w:spacing w:line="440" w:lineRule="exact"/>
              <w:rPr>
                <w:rFonts w:hint="eastAsia" w:ascii="宋体" w:hAnsi="宋体" w:cs="宋体"/>
                <w:color w:val="auto"/>
                <w:sz w:val="24"/>
                <w:szCs w:val="24"/>
                <w:highlight w:val="none"/>
              </w:rPr>
            </w:pPr>
          </w:p>
        </w:tc>
        <w:tc>
          <w:tcPr>
            <w:tcW w:w="1622" w:type="dxa"/>
            <w:noWrap w:val="0"/>
            <w:vAlign w:val="center"/>
          </w:tcPr>
          <w:p w14:paraId="7502E0E7">
            <w:pPr>
              <w:wordWrap w:val="0"/>
              <w:spacing w:line="440" w:lineRule="exact"/>
              <w:rPr>
                <w:rFonts w:hint="eastAsia" w:ascii="宋体" w:hAnsi="宋体" w:cs="宋体"/>
                <w:color w:val="auto"/>
                <w:sz w:val="24"/>
                <w:szCs w:val="24"/>
                <w:highlight w:val="none"/>
              </w:rPr>
            </w:pPr>
          </w:p>
        </w:tc>
        <w:tc>
          <w:tcPr>
            <w:tcW w:w="1657" w:type="dxa"/>
            <w:noWrap w:val="0"/>
            <w:vAlign w:val="center"/>
          </w:tcPr>
          <w:p w14:paraId="0D69131F">
            <w:pPr>
              <w:wordWrap w:val="0"/>
              <w:spacing w:line="440" w:lineRule="exact"/>
              <w:rPr>
                <w:rFonts w:hint="eastAsia" w:ascii="宋体" w:hAnsi="宋体" w:cs="宋体"/>
                <w:color w:val="auto"/>
                <w:sz w:val="24"/>
                <w:szCs w:val="24"/>
                <w:highlight w:val="none"/>
              </w:rPr>
            </w:pPr>
          </w:p>
        </w:tc>
        <w:tc>
          <w:tcPr>
            <w:tcW w:w="1552" w:type="dxa"/>
            <w:noWrap w:val="0"/>
            <w:vAlign w:val="center"/>
          </w:tcPr>
          <w:p w14:paraId="49301CF9">
            <w:pPr>
              <w:wordWrap w:val="0"/>
              <w:spacing w:line="440" w:lineRule="exact"/>
              <w:rPr>
                <w:rFonts w:hint="eastAsia" w:ascii="宋体" w:hAnsi="宋体" w:cs="宋体"/>
                <w:color w:val="auto"/>
                <w:sz w:val="24"/>
                <w:szCs w:val="24"/>
                <w:highlight w:val="none"/>
              </w:rPr>
            </w:pPr>
          </w:p>
        </w:tc>
        <w:tc>
          <w:tcPr>
            <w:tcW w:w="1221" w:type="dxa"/>
            <w:noWrap w:val="0"/>
            <w:vAlign w:val="center"/>
          </w:tcPr>
          <w:p w14:paraId="0FE15E03">
            <w:pPr>
              <w:wordWrap w:val="0"/>
              <w:spacing w:line="440" w:lineRule="exact"/>
              <w:rPr>
                <w:rFonts w:hint="eastAsia" w:ascii="宋体" w:hAnsi="宋体" w:cs="宋体"/>
                <w:color w:val="auto"/>
                <w:sz w:val="24"/>
                <w:szCs w:val="24"/>
                <w:highlight w:val="none"/>
              </w:rPr>
            </w:pPr>
          </w:p>
        </w:tc>
        <w:tc>
          <w:tcPr>
            <w:tcW w:w="1936" w:type="dxa"/>
            <w:noWrap w:val="0"/>
            <w:vAlign w:val="center"/>
          </w:tcPr>
          <w:p w14:paraId="32FC23AC">
            <w:pPr>
              <w:wordWrap w:val="0"/>
              <w:spacing w:line="440" w:lineRule="exact"/>
              <w:rPr>
                <w:rFonts w:hint="eastAsia" w:ascii="宋体" w:hAnsi="宋体" w:cs="宋体"/>
                <w:color w:val="auto"/>
                <w:sz w:val="24"/>
                <w:szCs w:val="24"/>
                <w:highlight w:val="none"/>
              </w:rPr>
            </w:pPr>
          </w:p>
        </w:tc>
      </w:tr>
      <w:tr w14:paraId="1038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66" w:type="dxa"/>
            <w:noWrap w:val="0"/>
            <w:vAlign w:val="center"/>
          </w:tcPr>
          <w:p w14:paraId="0961E52A">
            <w:pPr>
              <w:wordWrap w:val="0"/>
              <w:spacing w:line="440" w:lineRule="exact"/>
              <w:jc w:val="center"/>
              <w:rPr>
                <w:rFonts w:hint="eastAsia" w:ascii="宋体" w:hAnsi="宋体" w:cs="宋体"/>
                <w:color w:val="auto"/>
                <w:sz w:val="24"/>
                <w:szCs w:val="24"/>
                <w:highlight w:val="none"/>
              </w:rPr>
            </w:pPr>
          </w:p>
        </w:tc>
        <w:tc>
          <w:tcPr>
            <w:tcW w:w="1104" w:type="dxa"/>
            <w:noWrap w:val="0"/>
            <w:vAlign w:val="center"/>
          </w:tcPr>
          <w:p w14:paraId="34886F3B">
            <w:pPr>
              <w:wordWrap w:val="0"/>
              <w:spacing w:line="440" w:lineRule="exact"/>
              <w:rPr>
                <w:rFonts w:hint="eastAsia" w:ascii="宋体" w:hAnsi="宋体" w:cs="宋体"/>
                <w:color w:val="auto"/>
                <w:sz w:val="24"/>
                <w:szCs w:val="24"/>
                <w:highlight w:val="none"/>
              </w:rPr>
            </w:pPr>
          </w:p>
        </w:tc>
        <w:tc>
          <w:tcPr>
            <w:tcW w:w="1622" w:type="dxa"/>
            <w:noWrap w:val="0"/>
            <w:vAlign w:val="center"/>
          </w:tcPr>
          <w:p w14:paraId="2FEC62BF">
            <w:pPr>
              <w:wordWrap w:val="0"/>
              <w:spacing w:line="440" w:lineRule="exact"/>
              <w:rPr>
                <w:rFonts w:hint="eastAsia" w:ascii="宋体" w:hAnsi="宋体" w:cs="宋体"/>
                <w:color w:val="auto"/>
                <w:sz w:val="24"/>
                <w:szCs w:val="24"/>
                <w:highlight w:val="none"/>
              </w:rPr>
            </w:pPr>
          </w:p>
        </w:tc>
        <w:tc>
          <w:tcPr>
            <w:tcW w:w="1657" w:type="dxa"/>
            <w:noWrap w:val="0"/>
            <w:vAlign w:val="center"/>
          </w:tcPr>
          <w:p w14:paraId="6A1D96C1">
            <w:pPr>
              <w:wordWrap w:val="0"/>
              <w:spacing w:line="440" w:lineRule="exact"/>
              <w:rPr>
                <w:rFonts w:hint="eastAsia" w:ascii="宋体" w:hAnsi="宋体" w:cs="宋体"/>
                <w:color w:val="auto"/>
                <w:sz w:val="24"/>
                <w:szCs w:val="24"/>
                <w:highlight w:val="none"/>
              </w:rPr>
            </w:pPr>
          </w:p>
        </w:tc>
        <w:tc>
          <w:tcPr>
            <w:tcW w:w="1552" w:type="dxa"/>
            <w:noWrap w:val="0"/>
            <w:vAlign w:val="center"/>
          </w:tcPr>
          <w:p w14:paraId="0CAC265E">
            <w:pPr>
              <w:wordWrap w:val="0"/>
              <w:spacing w:line="440" w:lineRule="exact"/>
              <w:rPr>
                <w:rFonts w:hint="eastAsia" w:ascii="宋体" w:hAnsi="宋体" w:cs="宋体"/>
                <w:color w:val="auto"/>
                <w:sz w:val="24"/>
                <w:szCs w:val="24"/>
                <w:highlight w:val="none"/>
              </w:rPr>
            </w:pPr>
          </w:p>
        </w:tc>
        <w:tc>
          <w:tcPr>
            <w:tcW w:w="1221" w:type="dxa"/>
            <w:noWrap w:val="0"/>
            <w:vAlign w:val="center"/>
          </w:tcPr>
          <w:p w14:paraId="3B955FFF">
            <w:pPr>
              <w:wordWrap w:val="0"/>
              <w:spacing w:line="440" w:lineRule="exact"/>
              <w:rPr>
                <w:rFonts w:hint="eastAsia" w:ascii="宋体" w:hAnsi="宋体" w:cs="宋体"/>
                <w:color w:val="auto"/>
                <w:sz w:val="24"/>
                <w:szCs w:val="24"/>
                <w:highlight w:val="none"/>
              </w:rPr>
            </w:pPr>
          </w:p>
        </w:tc>
        <w:tc>
          <w:tcPr>
            <w:tcW w:w="1936" w:type="dxa"/>
            <w:noWrap w:val="0"/>
            <w:vAlign w:val="center"/>
          </w:tcPr>
          <w:p w14:paraId="7CDD09EC">
            <w:pPr>
              <w:wordWrap w:val="0"/>
              <w:spacing w:line="440" w:lineRule="exact"/>
              <w:rPr>
                <w:rFonts w:hint="eastAsia" w:ascii="宋体" w:hAnsi="宋体" w:cs="宋体"/>
                <w:color w:val="auto"/>
                <w:sz w:val="24"/>
                <w:szCs w:val="24"/>
                <w:highlight w:val="none"/>
              </w:rPr>
            </w:pPr>
          </w:p>
        </w:tc>
      </w:tr>
    </w:tbl>
    <w:p w14:paraId="0A61C0FC">
      <w:pPr>
        <w:wordWrap w:val="0"/>
        <w:spacing w:line="440" w:lineRule="exact"/>
        <w:ind w:left="480" w:right="-514" w:rightChars="-245" w:hanging="480"/>
        <w:rPr>
          <w:rFonts w:hint="eastAsia" w:ascii="宋体" w:hAnsi="宋体" w:cs="宋体"/>
          <w:b/>
          <w:bCs/>
          <w:color w:val="auto"/>
          <w:sz w:val="24"/>
          <w:szCs w:val="24"/>
          <w:highlight w:val="none"/>
        </w:rPr>
      </w:pPr>
    </w:p>
    <w:p w14:paraId="6D6FC364">
      <w:pPr>
        <w:wordWrap w:val="0"/>
        <w:spacing w:line="440" w:lineRule="exact"/>
        <w:ind w:right="-514" w:rightChars="-245"/>
        <w:rPr>
          <w:rFonts w:hint="eastAsia" w:ascii="宋体" w:hAnsi="宋体" w:cs="宋体"/>
          <w:b/>
          <w:bCs/>
          <w:color w:val="auto"/>
          <w:sz w:val="24"/>
          <w:szCs w:val="24"/>
          <w:highlight w:val="none"/>
        </w:rPr>
      </w:pPr>
    </w:p>
    <w:p w14:paraId="68C016BD">
      <w:pPr>
        <w:wordWrap w:val="0"/>
        <w:spacing w:line="480" w:lineRule="auto"/>
        <w:ind w:firstLine="2880" w:firstLineChars="1200"/>
        <w:rPr>
          <w:rFonts w:hint="eastAsia" w:ascii="宋体" w:hAnsi="宋体" w:cs="宋体"/>
          <w:color w:val="auto"/>
          <w:sz w:val="24"/>
          <w:szCs w:val="24"/>
          <w:highlight w:val="none"/>
        </w:rPr>
      </w:pPr>
      <w:r>
        <w:rPr>
          <w:rFonts w:hint="eastAsia" w:ascii="宋体" w:hAnsi="宋体" w:cs="宋体"/>
          <w:color w:val="auto"/>
          <w:sz w:val="24"/>
          <w:szCs w:val="24"/>
          <w:highlight w:val="none"/>
        </w:rPr>
        <w:t>供应商：</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4"/>
          <w:highlight w:val="none"/>
        </w:rPr>
        <w:t>（盖单位公章）</w:t>
      </w:r>
    </w:p>
    <w:p w14:paraId="45E5948D">
      <w:pPr>
        <w:wordWrap w:val="0"/>
        <w:spacing w:line="480" w:lineRule="auto"/>
        <w:ind w:firstLine="2880" w:firstLineChars="1200"/>
        <w:rPr>
          <w:rFonts w:hint="eastAsia" w:ascii="宋体" w:hAnsi="宋体" w:cs="宋体"/>
          <w:color w:val="auto"/>
          <w:sz w:val="24"/>
          <w:szCs w:val="24"/>
          <w:highlight w:val="none"/>
        </w:rPr>
      </w:pPr>
      <w:r>
        <w:rPr>
          <w:rFonts w:hint="eastAsia" w:ascii="宋体" w:hAnsi="宋体" w:cs="宋体"/>
          <w:bCs/>
          <w:color w:val="auto"/>
          <w:sz w:val="24"/>
          <w:szCs w:val="24"/>
          <w:highlight w:val="none"/>
        </w:rPr>
        <w:t>法定代表人或委托代理人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14:paraId="015FFC41">
      <w:pPr>
        <w:wordWrap w:val="0"/>
        <w:spacing w:line="480" w:lineRule="auto"/>
        <w:ind w:firstLine="4800" w:firstLineChars="20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6A3525FD">
      <w:pPr>
        <w:wordWrap w:val="0"/>
        <w:snapToGrid w:val="0"/>
        <w:spacing w:line="440" w:lineRule="exact"/>
        <w:rPr>
          <w:rFonts w:hint="eastAsia" w:ascii="宋体" w:hAnsi="宋体" w:cs="宋体"/>
          <w:color w:val="auto"/>
          <w:sz w:val="24"/>
          <w:szCs w:val="24"/>
          <w:highlight w:val="none"/>
        </w:rPr>
      </w:pPr>
    </w:p>
    <w:p w14:paraId="04693AF1">
      <w:pPr>
        <w:wordWrap w:val="0"/>
        <w:snapToGrid w:val="0"/>
        <w:spacing w:line="440" w:lineRule="exact"/>
        <w:rPr>
          <w:rFonts w:hint="eastAsia" w:ascii="宋体" w:hAnsi="宋体" w:cs="宋体"/>
          <w:color w:val="auto"/>
          <w:highlight w:val="none"/>
        </w:rPr>
      </w:pPr>
      <w:r>
        <w:rPr>
          <w:rFonts w:hint="eastAsia" w:ascii="宋体" w:hAnsi="宋体" w:cs="宋体"/>
          <w:color w:val="auto"/>
          <w:sz w:val="24"/>
          <w:szCs w:val="24"/>
          <w:highlight w:val="none"/>
        </w:rPr>
        <w:t>备注：如有类似项目经验，本表后附业绩证明材料，并标明序号，没有类似项目经验本表可不填写。</w:t>
      </w:r>
    </w:p>
    <w:p w14:paraId="2104005C">
      <w:pPr>
        <w:tabs>
          <w:tab w:val="left" w:pos="0"/>
        </w:tabs>
        <w:wordWrap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九、供应商基本情况</w:t>
      </w:r>
    </w:p>
    <w:tbl>
      <w:tblPr>
        <w:tblStyle w:val="47"/>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1357"/>
        <w:gridCol w:w="1953"/>
        <w:gridCol w:w="1452"/>
        <w:gridCol w:w="2916"/>
      </w:tblGrid>
      <w:tr w14:paraId="2394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567A57A7">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7678" w:type="dxa"/>
            <w:gridSpan w:val="4"/>
            <w:noWrap/>
            <w:vAlign w:val="center"/>
          </w:tcPr>
          <w:p w14:paraId="51C00EB4">
            <w:pPr>
              <w:wordWrap w:val="0"/>
              <w:spacing w:line="440" w:lineRule="exact"/>
              <w:jc w:val="center"/>
              <w:rPr>
                <w:rFonts w:hint="eastAsia" w:ascii="宋体" w:hAnsi="宋体" w:cs="宋体"/>
                <w:color w:val="auto"/>
                <w:sz w:val="24"/>
                <w:szCs w:val="24"/>
                <w:highlight w:val="none"/>
              </w:rPr>
            </w:pPr>
          </w:p>
        </w:tc>
      </w:tr>
      <w:tr w14:paraId="0A0B0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7A82DC61">
            <w:pPr>
              <w:wordWrap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单位性质</w:t>
            </w:r>
          </w:p>
        </w:tc>
        <w:tc>
          <w:tcPr>
            <w:tcW w:w="7678" w:type="dxa"/>
            <w:gridSpan w:val="4"/>
            <w:noWrap/>
            <w:vAlign w:val="center"/>
          </w:tcPr>
          <w:p w14:paraId="6FCDAE54">
            <w:pPr>
              <w:wordWrap w:val="0"/>
              <w:spacing w:line="440" w:lineRule="exact"/>
              <w:jc w:val="center"/>
              <w:rPr>
                <w:rFonts w:hint="eastAsia" w:ascii="宋体" w:hAnsi="宋体" w:cs="宋体"/>
                <w:color w:val="auto"/>
                <w:sz w:val="24"/>
                <w:szCs w:val="24"/>
                <w:highlight w:val="none"/>
              </w:rPr>
            </w:pPr>
          </w:p>
        </w:tc>
      </w:tr>
      <w:tr w14:paraId="0A14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49362AC2">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注册地址</w:t>
            </w:r>
          </w:p>
        </w:tc>
        <w:tc>
          <w:tcPr>
            <w:tcW w:w="3310" w:type="dxa"/>
            <w:gridSpan w:val="2"/>
            <w:noWrap/>
            <w:vAlign w:val="center"/>
          </w:tcPr>
          <w:p w14:paraId="4E0D108D">
            <w:pPr>
              <w:wordWrap w:val="0"/>
              <w:spacing w:line="440" w:lineRule="exact"/>
              <w:jc w:val="center"/>
              <w:rPr>
                <w:rFonts w:hint="eastAsia" w:ascii="宋体" w:hAnsi="宋体" w:cs="宋体"/>
                <w:color w:val="auto"/>
                <w:sz w:val="24"/>
                <w:szCs w:val="24"/>
                <w:highlight w:val="none"/>
              </w:rPr>
            </w:pPr>
          </w:p>
        </w:tc>
        <w:tc>
          <w:tcPr>
            <w:tcW w:w="1452" w:type="dxa"/>
            <w:noWrap/>
            <w:vAlign w:val="center"/>
          </w:tcPr>
          <w:p w14:paraId="1371AA1E">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注册资本</w:t>
            </w:r>
          </w:p>
        </w:tc>
        <w:tc>
          <w:tcPr>
            <w:tcW w:w="2916" w:type="dxa"/>
            <w:noWrap/>
            <w:vAlign w:val="center"/>
          </w:tcPr>
          <w:p w14:paraId="44506D7A">
            <w:pPr>
              <w:wordWrap w:val="0"/>
              <w:spacing w:line="440" w:lineRule="exact"/>
              <w:jc w:val="center"/>
              <w:rPr>
                <w:rFonts w:hint="eastAsia" w:ascii="宋体" w:hAnsi="宋体" w:cs="宋体"/>
                <w:color w:val="auto"/>
                <w:sz w:val="24"/>
                <w:szCs w:val="24"/>
                <w:highlight w:val="none"/>
              </w:rPr>
            </w:pPr>
          </w:p>
        </w:tc>
      </w:tr>
      <w:tr w14:paraId="72D9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6CD52852">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法定代表人姓名</w:t>
            </w:r>
          </w:p>
        </w:tc>
        <w:tc>
          <w:tcPr>
            <w:tcW w:w="3310" w:type="dxa"/>
            <w:gridSpan w:val="2"/>
            <w:noWrap/>
            <w:vAlign w:val="center"/>
          </w:tcPr>
          <w:p w14:paraId="50DD110B">
            <w:pPr>
              <w:wordWrap w:val="0"/>
              <w:spacing w:line="440" w:lineRule="exact"/>
              <w:jc w:val="center"/>
              <w:rPr>
                <w:rFonts w:hint="eastAsia" w:ascii="宋体" w:hAnsi="宋体" w:cs="宋体"/>
                <w:color w:val="auto"/>
                <w:sz w:val="24"/>
                <w:szCs w:val="24"/>
                <w:highlight w:val="none"/>
              </w:rPr>
            </w:pPr>
          </w:p>
        </w:tc>
        <w:tc>
          <w:tcPr>
            <w:tcW w:w="1452" w:type="dxa"/>
            <w:noWrap/>
            <w:vAlign w:val="center"/>
          </w:tcPr>
          <w:p w14:paraId="61F48707">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身份证号</w:t>
            </w:r>
          </w:p>
        </w:tc>
        <w:tc>
          <w:tcPr>
            <w:tcW w:w="2916" w:type="dxa"/>
            <w:noWrap/>
            <w:vAlign w:val="center"/>
          </w:tcPr>
          <w:p w14:paraId="5E252EEF">
            <w:pPr>
              <w:wordWrap w:val="0"/>
              <w:spacing w:line="440" w:lineRule="exact"/>
              <w:jc w:val="center"/>
              <w:rPr>
                <w:rFonts w:hint="eastAsia" w:ascii="宋体" w:hAnsi="宋体" w:cs="宋体"/>
                <w:color w:val="auto"/>
                <w:sz w:val="24"/>
                <w:szCs w:val="24"/>
                <w:highlight w:val="none"/>
              </w:rPr>
            </w:pPr>
          </w:p>
        </w:tc>
      </w:tr>
      <w:tr w14:paraId="09BB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2747BFE8">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组织机构代码</w:t>
            </w:r>
          </w:p>
        </w:tc>
        <w:tc>
          <w:tcPr>
            <w:tcW w:w="3310" w:type="dxa"/>
            <w:gridSpan w:val="2"/>
            <w:noWrap/>
            <w:vAlign w:val="center"/>
          </w:tcPr>
          <w:p w14:paraId="72AE3CE9">
            <w:pPr>
              <w:wordWrap w:val="0"/>
              <w:spacing w:line="440" w:lineRule="exact"/>
              <w:jc w:val="center"/>
              <w:rPr>
                <w:rFonts w:hint="eastAsia" w:ascii="宋体" w:hAnsi="宋体" w:cs="宋体"/>
                <w:color w:val="auto"/>
                <w:sz w:val="24"/>
                <w:szCs w:val="24"/>
                <w:highlight w:val="none"/>
              </w:rPr>
            </w:pPr>
          </w:p>
        </w:tc>
        <w:tc>
          <w:tcPr>
            <w:tcW w:w="1452" w:type="dxa"/>
            <w:noWrap/>
            <w:vAlign w:val="center"/>
          </w:tcPr>
          <w:p w14:paraId="57548F50">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邮政编码</w:t>
            </w:r>
          </w:p>
        </w:tc>
        <w:tc>
          <w:tcPr>
            <w:tcW w:w="2916" w:type="dxa"/>
            <w:noWrap/>
            <w:vAlign w:val="center"/>
          </w:tcPr>
          <w:p w14:paraId="1BF015C7">
            <w:pPr>
              <w:wordWrap w:val="0"/>
              <w:spacing w:line="440" w:lineRule="exact"/>
              <w:jc w:val="center"/>
              <w:rPr>
                <w:rFonts w:hint="eastAsia" w:ascii="宋体" w:hAnsi="宋体" w:cs="宋体"/>
                <w:color w:val="auto"/>
                <w:sz w:val="24"/>
                <w:szCs w:val="24"/>
                <w:highlight w:val="none"/>
              </w:rPr>
            </w:pPr>
          </w:p>
        </w:tc>
      </w:tr>
      <w:tr w14:paraId="2546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52F8A322">
            <w:pPr>
              <w:wordWrap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主营范围</w:t>
            </w:r>
          </w:p>
        </w:tc>
        <w:tc>
          <w:tcPr>
            <w:tcW w:w="7678" w:type="dxa"/>
            <w:gridSpan w:val="4"/>
            <w:noWrap/>
            <w:vAlign w:val="center"/>
          </w:tcPr>
          <w:p w14:paraId="482FA522">
            <w:pPr>
              <w:wordWrap w:val="0"/>
              <w:spacing w:line="440" w:lineRule="exact"/>
              <w:jc w:val="center"/>
              <w:rPr>
                <w:rFonts w:hint="eastAsia" w:ascii="宋体" w:hAnsi="宋体" w:cs="宋体"/>
                <w:color w:val="auto"/>
                <w:sz w:val="24"/>
                <w:szCs w:val="24"/>
                <w:highlight w:val="none"/>
              </w:rPr>
            </w:pPr>
          </w:p>
        </w:tc>
      </w:tr>
      <w:tr w14:paraId="7CC5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jc w:val="center"/>
        </w:trPr>
        <w:tc>
          <w:tcPr>
            <w:tcW w:w="2221" w:type="dxa"/>
            <w:noWrap/>
            <w:vAlign w:val="center"/>
          </w:tcPr>
          <w:p w14:paraId="52DBC852">
            <w:pPr>
              <w:wordWrap w:val="0"/>
              <w:spacing w:line="4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行业类别</w:t>
            </w:r>
          </w:p>
          <w:p w14:paraId="3AE903FA">
            <w:pPr>
              <w:wordWrap w:val="0"/>
              <w:spacing w:line="4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（对应“□”画“√”）</w:t>
            </w:r>
          </w:p>
        </w:tc>
        <w:tc>
          <w:tcPr>
            <w:tcW w:w="3310" w:type="dxa"/>
            <w:gridSpan w:val="2"/>
            <w:noWrap/>
            <w:vAlign w:val="bottom"/>
          </w:tcPr>
          <w:p w14:paraId="16DEAFA1">
            <w:pPr>
              <w:wordWrap w:val="0"/>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□（一）农、林、牧、渔业 </w:t>
            </w:r>
          </w:p>
          <w:p w14:paraId="3C16D732">
            <w:pPr>
              <w:wordWrap w:val="0"/>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□（二）工业 </w:t>
            </w:r>
          </w:p>
          <w:p w14:paraId="2482CB30">
            <w:pPr>
              <w:wordWrap w:val="0"/>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□（三）建筑业 </w:t>
            </w:r>
          </w:p>
          <w:p w14:paraId="06ADBDE1">
            <w:pPr>
              <w:wordWrap w:val="0"/>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□（四）批发业 </w:t>
            </w:r>
          </w:p>
          <w:p w14:paraId="504B27AE">
            <w:pPr>
              <w:wordWrap w:val="0"/>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□（五）零售业 </w:t>
            </w:r>
          </w:p>
          <w:p w14:paraId="10AAA01A">
            <w:pPr>
              <w:wordWrap w:val="0"/>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□（六）交通运输业 </w:t>
            </w:r>
          </w:p>
          <w:p w14:paraId="38A8C1B6">
            <w:pPr>
              <w:wordWrap w:val="0"/>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□（七）仓储业 </w:t>
            </w:r>
          </w:p>
          <w:p w14:paraId="04F5C6A7">
            <w:pPr>
              <w:wordWrap w:val="0"/>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□（八）邮政业 </w:t>
            </w:r>
          </w:p>
        </w:tc>
        <w:tc>
          <w:tcPr>
            <w:tcW w:w="4368" w:type="dxa"/>
            <w:gridSpan w:val="2"/>
            <w:noWrap/>
            <w:vAlign w:val="bottom"/>
          </w:tcPr>
          <w:p w14:paraId="14EBCAFB">
            <w:pPr>
              <w:wordWrap w:val="0"/>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□（九）住宿业 </w:t>
            </w:r>
          </w:p>
          <w:p w14:paraId="643E357D">
            <w:pPr>
              <w:wordWrap w:val="0"/>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□（十）餐饮业 </w:t>
            </w:r>
          </w:p>
          <w:p w14:paraId="3474C0E1">
            <w:pPr>
              <w:wordWrap w:val="0"/>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□（十一）信息传输业 </w:t>
            </w:r>
          </w:p>
          <w:p w14:paraId="18CE47BD">
            <w:pPr>
              <w:wordWrap w:val="0"/>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□（十二）软件和信息信息技术服务业</w:t>
            </w:r>
          </w:p>
          <w:p w14:paraId="4A68E124">
            <w:pPr>
              <w:wordWrap w:val="0"/>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□（十三）房地产开发经营 </w:t>
            </w:r>
          </w:p>
          <w:p w14:paraId="2B87F577">
            <w:pPr>
              <w:wordWrap w:val="0"/>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□（十四）物业管理 </w:t>
            </w:r>
          </w:p>
          <w:p w14:paraId="1B5F38CE">
            <w:pPr>
              <w:wordWrap w:val="0"/>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□（十五）租赁和商务服务业 </w:t>
            </w:r>
          </w:p>
          <w:p w14:paraId="20CB31F3">
            <w:pPr>
              <w:wordWrap w:val="0"/>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□（十六）其他未列明行业</w:t>
            </w:r>
          </w:p>
        </w:tc>
      </w:tr>
      <w:tr w14:paraId="6015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3183E9AB">
            <w:pPr>
              <w:wordWrap w:val="0"/>
              <w:spacing w:line="4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职工人数</w:t>
            </w:r>
          </w:p>
        </w:tc>
        <w:tc>
          <w:tcPr>
            <w:tcW w:w="7678" w:type="dxa"/>
            <w:gridSpan w:val="4"/>
            <w:noWrap/>
            <w:vAlign w:val="center"/>
          </w:tcPr>
          <w:p w14:paraId="18045B13">
            <w:pPr>
              <w:wordWrap w:val="0"/>
              <w:spacing w:line="440" w:lineRule="exact"/>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（人）</w:t>
            </w:r>
          </w:p>
        </w:tc>
      </w:tr>
      <w:tr w14:paraId="0E21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336595F8">
            <w:pPr>
              <w:wordWrap w:val="0"/>
              <w:spacing w:line="4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上年度营业收入</w:t>
            </w:r>
          </w:p>
        </w:tc>
        <w:tc>
          <w:tcPr>
            <w:tcW w:w="7678" w:type="dxa"/>
            <w:gridSpan w:val="4"/>
            <w:noWrap/>
            <w:vAlign w:val="center"/>
          </w:tcPr>
          <w:p w14:paraId="4F317FBA">
            <w:pPr>
              <w:wordWrap w:val="0"/>
              <w:spacing w:line="440" w:lineRule="exact"/>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r>
      <w:tr w14:paraId="6C1E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719029EC">
            <w:pPr>
              <w:wordWrap w:val="0"/>
              <w:spacing w:line="4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上年利润</w:t>
            </w:r>
          </w:p>
        </w:tc>
        <w:tc>
          <w:tcPr>
            <w:tcW w:w="7678" w:type="dxa"/>
            <w:gridSpan w:val="4"/>
            <w:noWrap/>
            <w:vAlign w:val="center"/>
          </w:tcPr>
          <w:p w14:paraId="02661A56">
            <w:pPr>
              <w:wordWrap w:val="0"/>
              <w:spacing w:line="440" w:lineRule="exact"/>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r>
      <w:tr w14:paraId="4486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vMerge w:val="restart"/>
            <w:noWrap/>
            <w:vAlign w:val="center"/>
          </w:tcPr>
          <w:p w14:paraId="4274EBAF">
            <w:pPr>
              <w:wordWrap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供应商联系人信息</w:t>
            </w:r>
          </w:p>
        </w:tc>
        <w:tc>
          <w:tcPr>
            <w:tcW w:w="1357" w:type="dxa"/>
            <w:noWrap/>
            <w:vAlign w:val="center"/>
          </w:tcPr>
          <w:p w14:paraId="58759960">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姓名</w:t>
            </w:r>
          </w:p>
        </w:tc>
        <w:tc>
          <w:tcPr>
            <w:tcW w:w="1953" w:type="dxa"/>
            <w:noWrap/>
            <w:vAlign w:val="center"/>
          </w:tcPr>
          <w:p w14:paraId="28C22D73">
            <w:pPr>
              <w:wordWrap w:val="0"/>
              <w:spacing w:line="440" w:lineRule="exact"/>
              <w:jc w:val="center"/>
              <w:rPr>
                <w:rFonts w:hint="eastAsia" w:ascii="宋体" w:hAnsi="宋体" w:cs="宋体"/>
                <w:color w:val="auto"/>
                <w:sz w:val="24"/>
                <w:szCs w:val="24"/>
                <w:highlight w:val="none"/>
              </w:rPr>
            </w:pPr>
          </w:p>
        </w:tc>
        <w:tc>
          <w:tcPr>
            <w:tcW w:w="1452" w:type="dxa"/>
            <w:noWrap/>
            <w:vAlign w:val="center"/>
          </w:tcPr>
          <w:p w14:paraId="39BB237E">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手机</w:t>
            </w:r>
          </w:p>
        </w:tc>
        <w:tc>
          <w:tcPr>
            <w:tcW w:w="2916" w:type="dxa"/>
            <w:noWrap/>
            <w:vAlign w:val="center"/>
          </w:tcPr>
          <w:p w14:paraId="652606CF">
            <w:pPr>
              <w:wordWrap w:val="0"/>
              <w:spacing w:line="440" w:lineRule="exact"/>
              <w:jc w:val="center"/>
              <w:rPr>
                <w:rFonts w:hint="eastAsia" w:ascii="宋体" w:hAnsi="宋体" w:cs="宋体"/>
                <w:color w:val="auto"/>
                <w:sz w:val="24"/>
                <w:szCs w:val="24"/>
                <w:highlight w:val="none"/>
              </w:rPr>
            </w:pPr>
          </w:p>
        </w:tc>
      </w:tr>
      <w:tr w14:paraId="50E02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vMerge w:val="continue"/>
            <w:noWrap/>
            <w:vAlign w:val="center"/>
          </w:tcPr>
          <w:p w14:paraId="2C75E650">
            <w:pPr>
              <w:wordWrap w:val="0"/>
              <w:spacing w:line="440" w:lineRule="exact"/>
              <w:jc w:val="center"/>
              <w:rPr>
                <w:rFonts w:hint="eastAsia" w:ascii="宋体" w:hAnsi="宋体" w:cs="宋体"/>
                <w:color w:val="auto"/>
                <w:sz w:val="24"/>
                <w:szCs w:val="24"/>
                <w:highlight w:val="none"/>
              </w:rPr>
            </w:pPr>
          </w:p>
        </w:tc>
        <w:tc>
          <w:tcPr>
            <w:tcW w:w="1357" w:type="dxa"/>
            <w:noWrap/>
            <w:vAlign w:val="center"/>
          </w:tcPr>
          <w:p w14:paraId="273FC636">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固定电话</w:t>
            </w:r>
          </w:p>
        </w:tc>
        <w:tc>
          <w:tcPr>
            <w:tcW w:w="1953" w:type="dxa"/>
            <w:noWrap/>
            <w:vAlign w:val="center"/>
          </w:tcPr>
          <w:p w14:paraId="2373A1F9">
            <w:pPr>
              <w:wordWrap w:val="0"/>
              <w:spacing w:line="440" w:lineRule="exact"/>
              <w:jc w:val="center"/>
              <w:rPr>
                <w:rFonts w:hint="eastAsia" w:ascii="宋体" w:hAnsi="宋体" w:cs="宋体"/>
                <w:color w:val="auto"/>
                <w:sz w:val="24"/>
                <w:szCs w:val="24"/>
                <w:highlight w:val="none"/>
              </w:rPr>
            </w:pPr>
          </w:p>
        </w:tc>
        <w:tc>
          <w:tcPr>
            <w:tcW w:w="1452" w:type="dxa"/>
            <w:noWrap/>
            <w:vAlign w:val="center"/>
          </w:tcPr>
          <w:p w14:paraId="0DD282E1">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电子邮箱</w:t>
            </w:r>
          </w:p>
        </w:tc>
        <w:tc>
          <w:tcPr>
            <w:tcW w:w="2916" w:type="dxa"/>
            <w:noWrap/>
            <w:vAlign w:val="center"/>
          </w:tcPr>
          <w:p w14:paraId="307DE545">
            <w:pPr>
              <w:wordWrap w:val="0"/>
              <w:spacing w:line="440" w:lineRule="exact"/>
              <w:jc w:val="center"/>
              <w:rPr>
                <w:rFonts w:hint="eastAsia" w:ascii="宋体" w:hAnsi="宋体" w:cs="宋体"/>
                <w:color w:val="auto"/>
                <w:sz w:val="24"/>
                <w:szCs w:val="24"/>
                <w:highlight w:val="none"/>
              </w:rPr>
            </w:pPr>
          </w:p>
        </w:tc>
      </w:tr>
      <w:tr w14:paraId="2D46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2221" w:type="dxa"/>
            <w:noWrap/>
            <w:vAlign w:val="center"/>
          </w:tcPr>
          <w:p w14:paraId="6851BC6B">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投标人关联企业情况（包括但不限于与投标人法定代表人为同一人或者存在控股、管理关系的不同单位）</w:t>
            </w:r>
          </w:p>
        </w:tc>
        <w:tc>
          <w:tcPr>
            <w:tcW w:w="7678" w:type="dxa"/>
            <w:gridSpan w:val="4"/>
            <w:noWrap/>
            <w:vAlign w:val="center"/>
          </w:tcPr>
          <w:p w14:paraId="1E53CDA7">
            <w:pPr>
              <w:wordWrap w:val="0"/>
              <w:spacing w:line="440" w:lineRule="exact"/>
              <w:jc w:val="center"/>
              <w:rPr>
                <w:rFonts w:hint="eastAsia" w:ascii="宋体" w:hAnsi="宋体" w:cs="宋体"/>
                <w:color w:val="auto"/>
                <w:sz w:val="24"/>
                <w:szCs w:val="24"/>
                <w:highlight w:val="none"/>
              </w:rPr>
            </w:pPr>
          </w:p>
        </w:tc>
      </w:tr>
      <w:tr w14:paraId="1B44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221" w:type="dxa"/>
            <w:noWrap/>
            <w:vAlign w:val="center"/>
          </w:tcPr>
          <w:p w14:paraId="06B1285B">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c>
          <w:tcPr>
            <w:tcW w:w="7678" w:type="dxa"/>
            <w:gridSpan w:val="4"/>
            <w:noWrap/>
            <w:vAlign w:val="center"/>
          </w:tcPr>
          <w:p w14:paraId="0D489BA4">
            <w:pPr>
              <w:wordWrap w:val="0"/>
              <w:spacing w:line="440" w:lineRule="exact"/>
              <w:jc w:val="center"/>
              <w:rPr>
                <w:rFonts w:hint="eastAsia" w:ascii="宋体" w:hAnsi="宋体" w:cs="宋体"/>
                <w:color w:val="auto"/>
                <w:sz w:val="24"/>
                <w:szCs w:val="24"/>
                <w:highlight w:val="none"/>
              </w:rPr>
            </w:pPr>
          </w:p>
        </w:tc>
      </w:tr>
    </w:tbl>
    <w:p w14:paraId="2850C27F">
      <w:pPr>
        <w:wordWrap w:val="0"/>
        <w:ind w:firstLine="2880" w:firstLineChars="1200"/>
        <w:rPr>
          <w:rFonts w:hint="eastAsia" w:ascii="宋体" w:hAnsi="宋体" w:cs="宋体"/>
          <w:color w:val="auto"/>
          <w:sz w:val="24"/>
          <w:szCs w:val="24"/>
          <w:highlight w:val="none"/>
        </w:rPr>
      </w:pPr>
    </w:p>
    <w:p w14:paraId="72056DE2">
      <w:pPr>
        <w:wordWrap w:val="0"/>
        <w:spacing w:line="360" w:lineRule="auto"/>
        <w:ind w:firstLine="2880" w:firstLineChars="1200"/>
        <w:rPr>
          <w:rFonts w:hint="eastAsia" w:ascii="宋体" w:hAnsi="宋体" w:cs="宋体"/>
          <w:color w:val="auto"/>
          <w:sz w:val="24"/>
          <w:szCs w:val="24"/>
          <w:highlight w:val="none"/>
        </w:rPr>
      </w:pPr>
      <w:r>
        <w:rPr>
          <w:rFonts w:hint="eastAsia" w:ascii="宋体" w:hAnsi="宋体" w:cs="宋体"/>
          <w:color w:val="auto"/>
          <w:sz w:val="24"/>
          <w:szCs w:val="24"/>
          <w:highlight w:val="none"/>
        </w:rPr>
        <w:t>供应商：</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4"/>
          <w:highlight w:val="none"/>
        </w:rPr>
        <w:t>（盖单位公章）</w:t>
      </w:r>
    </w:p>
    <w:p w14:paraId="2491BEA5">
      <w:pPr>
        <w:wordWrap w:val="0"/>
        <w:spacing w:line="360" w:lineRule="auto"/>
        <w:ind w:firstLine="2880" w:firstLineChars="1200"/>
        <w:rPr>
          <w:rFonts w:hint="eastAsia" w:ascii="宋体" w:hAnsi="宋体" w:cs="宋体"/>
          <w:color w:val="auto"/>
          <w:sz w:val="24"/>
          <w:szCs w:val="24"/>
          <w:highlight w:val="none"/>
        </w:rPr>
      </w:pPr>
      <w:r>
        <w:rPr>
          <w:rFonts w:hint="eastAsia" w:ascii="宋体" w:hAnsi="宋体" w:cs="宋体"/>
          <w:bCs/>
          <w:color w:val="auto"/>
          <w:sz w:val="24"/>
          <w:szCs w:val="24"/>
          <w:highlight w:val="none"/>
        </w:rPr>
        <w:t>法定代表人或委托代理人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14:paraId="7BBE1996">
      <w:pPr>
        <w:wordWrap w:val="0"/>
        <w:spacing w:line="360" w:lineRule="auto"/>
        <w:ind w:firstLine="4800" w:firstLineChars="20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17EEF6C2">
      <w:pPr>
        <w:wordWrap w:val="0"/>
        <w:spacing w:line="360" w:lineRule="auto"/>
        <w:jc w:val="center"/>
        <w:rPr>
          <w:rFonts w:hint="eastAsia" w:ascii="宋体" w:hAnsi="宋体" w:cs="宋体"/>
          <w:b/>
          <w:color w:val="auto"/>
          <w:sz w:val="32"/>
          <w:szCs w:val="32"/>
          <w:highlight w:val="none"/>
        </w:rPr>
      </w:pPr>
      <w:r>
        <w:rPr>
          <w:rFonts w:hint="eastAsia" w:ascii="宋体" w:hAnsi="宋体" w:cs="宋体"/>
          <w:color w:val="auto"/>
          <w:highlight w:val="none"/>
        </w:rPr>
        <w:br w:type="page"/>
      </w:r>
      <w:r>
        <w:rPr>
          <w:rFonts w:hint="eastAsia" w:ascii="宋体" w:hAnsi="宋体" w:cs="宋体"/>
          <w:b/>
          <w:color w:val="auto"/>
          <w:sz w:val="32"/>
          <w:szCs w:val="32"/>
          <w:highlight w:val="none"/>
        </w:rPr>
        <w:t>十、确保服务质量承诺书</w:t>
      </w:r>
    </w:p>
    <w:p w14:paraId="520C3774">
      <w:pPr>
        <w:wordWrap w:val="0"/>
        <w:adjustRightInd w:val="0"/>
        <w:spacing w:line="48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致：（采购人、采购代理机构）</w:t>
      </w:r>
    </w:p>
    <w:p w14:paraId="5D9EE9E1">
      <w:pPr>
        <w:wordWrap w:val="0"/>
        <w:adjustRightInd w:val="0"/>
        <w:spacing w:line="480" w:lineRule="auto"/>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我单位在</w:t>
      </w:r>
      <w:r>
        <w:rPr>
          <w:rFonts w:hint="eastAsia" w:ascii="宋体" w:hAnsi="宋体" w:cs="宋体"/>
          <w:color w:val="auto"/>
          <w:sz w:val="24"/>
          <w:szCs w:val="24"/>
          <w:highlight w:val="none"/>
          <w:u w:val="single"/>
          <w:lang w:val="zh-CN"/>
        </w:rPr>
        <w:t xml:space="preserve">              （项目编号</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zh-CN"/>
        </w:rPr>
        <w:t>项目名称）</w:t>
      </w:r>
      <w:r>
        <w:rPr>
          <w:rFonts w:hint="eastAsia" w:ascii="宋体" w:hAnsi="宋体" w:cs="宋体"/>
          <w:color w:val="auto"/>
          <w:sz w:val="24"/>
          <w:szCs w:val="24"/>
          <w:highlight w:val="none"/>
          <w:lang w:val="zh-CN"/>
        </w:rPr>
        <w:t>招标中，一旦中标，在该项目实施过程中，我们除响应磋商文件中所有的条款及履约合同内容外，并对做如下承诺：</w:t>
      </w:r>
    </w:p>
    <w:p w14:paraId="32034F49">
      <w:pPr>
        <w:wordWrap w:val="0"/>
        <w:adjustRightInd w:val="0"/>
        <w:spacing w:line="480" w:lineRule="auto"/>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在服务周期内，一定要精心组织、精心策划，确保本项目目标的实现。</w:t>
      </w:r>
    </w:p>
    <w:p w14:paraId="3BEAFAC8">
      <w:pPr>
        <w:wordWrap w:val="0"/>
        <w:adjustRightInd w:val="0"/>
        <w:spacing w:line="480" w:lineRule="auto"/>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在此服务周期中，以一流的服务，一流的质量。调动我方积极因素，做到小毛病不放过，大事故不出现，确保优良环境的实现。</w:t>
      </w:r>
    </w:p>
    <w:p w14:paraId="3106B71D">
      <w:pPr>
        <w:wordWrap w:val="0"/>
        <w:adjustRightInd w:val="0"/>
        <w:spacing w:line="480" w:lineRule="auto"/>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以上是我单位对该项目的质量承诺，若我方达不到发包人要求及我方承诺标准，出现问题与我方有直接责任时，我方愿受罚服务招标控制价的(</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)％。严重时，甘愿受法律法规处罚，并自动撤出。</w:t>
      </w:r>
    </w:p>
    <w:p w14:paraId="7AEC52CE">
      <w:pPr>
        <w:wordWrap w:val="0"/>
        <w:adjustRightInd w:val="0"/>
        <w:spacing w:line="440" w:lineRule="exact"/>
        <w:rPr>
          <w:rFonts w:hint="eastAsia" w:ascii="宋体" w:hAnsi="宋体" w:cs="宋体"/>
          <w:color w:val="auto"/>
          <w:sz w:val="24"/>
          <w:szCs w:val="24"/>
          <w:highlight w:val="none"/>
          <w:lang w:val="zh-CN"/>
        </w:rPr>
      </w:pPr>
    </w:p>
    <w:p w14:paraId="3A789D21">
      <w:pPr>
        <w:wordWrap w:val="0"/>
        <w:adjustRightInd w:val="0"/>
        <w:spacing w:line="480" w:lineRule="auto"/>
        <w:rPr>
          <w:rFonts w:hint="eastAsia" w:ascii="宋体" w:hAnsi="宋体" w:cs="宋体"/>
          <w:color w:val="auto"/>
          <w:sz w:val="24"/>
          <w:szCs w:val="24"/>
          <w:highlight w:val="none"/>
          <w:lang w:val="zh-CN"/>
        </w:rPr>
      </w:pPr>
    </w:p>
    <w:p w14:paraId="6431C11B">
      <w:pPr>
        <w:wordWrap w:val="0"/>
        <w:spacing w:line="480" w:lineRule="auto"/>
        <w:ind w:firstLine="2880" w:firstLineChars="1200"/>
        <w:rPr>
          <w:rFonts w:hint="eastAsia" w:ascii="宋体" w:hAnsi="宋体" w:cs="宋体"/>
          <w:color w:val="auto"/>
          <w:sz w:val="24"/>
          <w:szCs w:val="24"/>
          <w:highlight w:val="none"/>
        </w:rPr>
      </w:pPr>
      <w:r>
        <w:rPr>
          <w:rFonts w:hint="eastAsia" w:ascii="宋体" w:hAnsi="宋体" w:cs="宋体"/>
          <w:color w:val="auto"/>
          <w:sz w:val="24"/>
          <w:szCs w:val="24"/>
          <w:highlight w:val="none"/>
        </w:rPr>
        <w:t>供应商：</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4"/>
          <w:highlight w:val="none"/>
        </w:rPr>
        <w:t>（盖单位公章）</w:t>
      </w:r>
    </w:p>
    <w:p w14:paraId="7EEAC40C">
      <w:pPr>
        <w:wordWrap w:val="0"/>
        <w:spacing w:line="480" w:lineRule="auto"/>
        <w:ind w:firstLine="2880" w:firstLineChars="1200"/>
        <w:rPr>
          <w:rFonts w:hint="eastAsia" w:ascii="宋体" w:hAnsi="宋体" w:cs="宋体"/>
          <w:color w:val="auto"/>
          <w:sz w:val="24"/>
          <w:szCs w:val="24"/>
          <w:highlight w:val="none"/>
        </w:rPr>
      </w:pPr>
      <w:r>
        <w:rPr>
          <w:rFonts w:hint="eastAsia" w:ascii="宋体" w:hAnsi="宋体" w:cs="宋体"/>
          <w:bCs/>
          <w:color w:val="auto"/>
          <w:sz w:val="24"/>
          <w:szCs w:val="24"/>
          <w:highlight w:val="none"/>
        </w:rPr>
        <w:t>法定代表人或委托代理人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14:paraId="4CAAD91F">
      <w:pPr>
        <w:wordWrap w:val="0"/>
        <w:spacing w:line="480" w:lineRule="auto"/>
        <w:ind w:firstLine="4800" w:firstLineChars="20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52C46FB2">
      <w:pPr>
        <w:wordWrap w:val="0"/>
        <w:spacing w:line="500" w:lineRule="exact"/>
        <w:rPr>
          <w:rFonts w:hint="eastAsia" w:ascii="宋体" w:hAnsi="宋体" w:cs="宋体"/>
          <w:color w:val="auto"/>
          <w:sz w:val="24"/>
          <w:szCs w:val="24"/>
          <w:highlight w:val="none"/>
        </w:rPr>
      </w:pPr>
    </w:p>
    <w:p w14:paraId="3EB6106B">
      <w:pPr>
        <w:wordWrap w:val="0"/>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备注：供应商应对应详细评审标准对以上内容进行细化编写。</w:t>
      </w:r>
    </w:p>
    <w:p w14:paraId="3EB7BC33">
      <w:pPr>
        <w:autoSpaceDE w:val="0"/>
        <w:autoSpaceDN w:val="0"/>
        <w:spacing w:before="120" w:beforeLines="50" w:after="120" w:afterLines="50" w:line="360" w:lineRule="auto"/>
        <w:jc w:val="center"/>
        <w:rPr>
          <w:rFonts w:hint="eastAsia" w:ascii="宋体" w:hAnsi="宋体" w:cs="宋体"/>
          <w:b/>
          <w:color w:val="auto"/>
          <w:sz w:val="32"/>
          <w:szCs w:val="32"/>
          <w:highlight w:val="none"/>
        </w:rPr>
      </w:pPr>
      <w:r>
        <w:rPr>
          <w:rFonts w:hint="eastAsia" w:ascii="宋体" w:hAnsi="宋体" w:cs="宋体"/>
          <w:b/>
          <w:bCs/>
          <w:color w:val="auto"/>
          <w:sz w:val="24"/>
          <w:szCs w:val="24"/>
          <w:highlight w:val="none"/>
        </w:rPr>
        <w:br w:type="page"/>
      </w:r>
      <w:r>
        <w:rPr>
          <w:rFonts w:hint="eastAsia" w:ascii="宋体" w:hAnsi="宋体" w:cs="宋体"/>
          <w:b/>
          <w:color w:val="auto"/>
          <w:sz w:val="32"/>
          <w:szCs w:val="32"/>
          <w:highlight w:val="none"/>
        </w:rPr>
        <w:t>十</w:t>
      </w:r>
      <w:r>
        <w:rPr>
          <w:rFonts w:hint="eastAsia" w:ascii="宋体" w:hAnsi="宋体" w:cs="宋体"/>
          <w:b/>
          <w:color w:val="auto"/>
          <w:sz w:val="32"/>
          <w:szCs w:val="32"/>
          <w:highlight w:val="none"/>
          <w:lang w:eastAsia="zh-CN"/>
        </w:rPr>
        <w:t>一</w:t>
      </w:r>
      <w:r>
        <w:rPr>
          <w:rFonts w:hint="eastAsia" w:ascii="宋体" w:hAnsi="宋体" w:cs="宋体"/>
          <w:b/>
          <w:color w:val="auto"/>
          <w:sz w:val="32"/>
          <w:szCs w:val="32"/>
          <w:highlight w:val="none"/>
        </w:rPr>
        <w:t>、中小企业声明函（服务）</w:t>
      </w:r>
    </w:p>
    <w:p w14:paraId="56579E9A">
      <w:pPr>
        <w:pStyle w:val="18"/>
        <w:wordWrap w:val="0"/>
        <w:autoSpaceDE w:val="0"/>
        <w:autoSpaceDN w:val="0"/>
        <w:adjustRightInd w:val="0"/>
        <w:spacing w:after="0" w:line="440" w:lineRule="exact"/>
        <w:ind w:firstLine="472" w:firstLineChars="200"/>
        <w:rPr>
          <w:rFonts w:hint="eastAsia" w:ascii="宋体" w:hAnsi="宋体" w:cs="宋体"/>
          <w:color w:val="auto"/>
          <w:spacing w:val="-2"/>
          <w:sz w:val="24"/>
          <w:szCs w:val="24"/>
          <w:highlight w:val="none"/>
          <w:lang w:val="zh-CN" w:eastAsia="zh-CN"/>
        </w:rPr>
      </w:pPr>
      <w:r>
        <w:rPr>
          <w:rFonts w:hint="eastAsia" w:ascii="宋体" w:hAnsi="宋体" w:cs="宋体"/>
          <w:color w:val="auto"/>
          <w:spacing w:val="-2"/>
          <w:sz w:val="24"/>
          <w:szCs w:val="24"/>
          <w:highlight w:val="none"/>
          <w:lang w:val="zh-CN" w:eastAsia="zh-CN"/>
        </w:rPr>
        <w:t>本公司（联合体）郑重声明，根据《政府采购促进中小企业发展管理办法》（财库﹝2020﹞46 号）的规定，本公司（联合体）参加（单位名称）的</w:t>
      </w:r>
      <w:r>
        <w:rPr>
          <w:rFonts w:hint="eastAsia" w:ascii="宋体" w:hAnsi="宋体" w:cs="宋体"/>
          <w:color w:val="auto"/>
          <w:spacing w:val="-2"/>
          <w:sz w:val="24"/>
          <w:szCs w:val="24"/>
          <w:highlight w:val="none"/>
          <w:u w:val="single"/>
          <w:lang w:val="zh-CN" w:eastAsia="zh-CN"/>
        </w:rPr>
        <w:t>（项目名称）</w:t>
      </w:r>
      <w:r>
        <w:rPr>
          <w:rFonts w:hint="eastAsia" w:ascii="宋体" w:hAnsi="宋体" w:cs="宋体"/>
          <w:color w:val="auto"/>
          <w:spacing w:val="-2"/>
          <w:sz w:val="24"/>
          <w:szCs w:val="24"/>
          <w:highlight w:val="none"/>
          <w:lang w:val="zh-CN" w:eastAsia="zh-CN"/>
        </w:rPr>
        <w:t>采购活动，服务全部由符合政策要求的中小企业承接。相关企业（含联合体中的中小企业、签订分包意向协议的中小企业）的具体情况如下：</w:t>
      </w:r>
    </w:p>
    <w:p w14:paraId="24351875">
      <w:pPr>
        <w:pStyle w:val="18"/>
        <w:wordWrap w:val="0"/>
        <w:autoSpaceDE w:val="0"/>
        <w:autoSpaceDN w:val="0"/>
        <w:adjustRightInd w:val="0"/>
        <w:spacing w:after="0" w:line="440" w:lineRule="exact"/>
        <w:ind w:firstLine="472" w:firstLineChars="200"/>
        <w:rPr>
          <w:rFonts w:hint="eastAsia" w:ascii="宋体" w:hAnsi="宋体" w:cs="宋体"/>
          <w:color w:val="auto"/>
          <w:spacing w:val="-2"/>
          <w:sz w:val="24"/>
          <w:szCs w:val="24"/>
          <w:highlight w:val="none"/>
          <w:lang w:val="zh-CN" w:eastAsia="zh-CN"/>
        </w:rPr>
      </w:pPr>
      <w:r>
        <w:rPr>
          <w:rFonts w:hint="eastAsia" w:ascii="宋体" w:hAnsi="宋体" w:cs="宋体"/>
          <w:color w:val="auto"/>
          <w:spacing w:val="-2"/>
          <w:sz w:val="24"/>
          <w:szCs w:val="24"/>
          <w:highlight w:val="none"/>
          <w:lang w:val="zh-CN" w:eastAsia="zh-CN"/>
        </w:rPr>
        <w:t>1、</w:t>
      </w:r>
      <w:r>
        <w:rPr>
          <w:rFonts w:hint="eastAsia" w:ascii="宋体" w:hAnsi="宋体" w:cs="宋体"/>
          <w:color w:val="auto"/>
          <w:spacing w:val="-2"/>
          <w:sz w:val="24"/>
          <w:szCs w:val="24"/>
          <w:highlight w:val="none"/>
          <w:u w:val="single"/>
          <w:lang w:val="zh-CN" w:eastAsia="zh-CN"/>
        </w:rPr>
        <w:t>（标的名称）</w:t>
      </w:r>
      <w:r>
        <w:rPr>
          <w:rFonts w:hint="eastAsia" w:ascii="宋体" w:hAnsi="宋体" w:cs="宋体"/>
          <w:color w:val="auto"/>
          <w:spacing w:val="-2"/>
          <w:sz w:val="24"/>
          <w:szCs w:val="24"/>
          <w:highlight w:val="none"/>
          <w:lang w:val="zh-CN" w:eastAsia="zh-CN"/>
        </w:rPr>
        <w:t>，属于</w:t>
      </w:r>
      <w:r>
        <w:rPr>
          <w:rFonts w:hint="eastAsia" w:ascii="宋体" w:hAnsi="宋体" w:cs="宋体"/>
          <w:color w:val="auto"/>
          <w:spacing w:val="-2"/>
          <w:sz w:val="24"/>
          <w:szCs w:val="24"/>
          <w:highlight w:val="none"/>
          <w:u w:val="single"/>
          <w:lang w:val="zh-CN" w:eastAsia="zh-CN"/>
        </w:rPr>
        <w:t>（采购文件中明确的所属行业）</w:t>
      </w:r>
      <w:r>
        <w:rPr>
          <w:rFonts w:hint="eastAsia" w:ascii="宋体" w:hAnsi="宋体" w:cs="宋体"/>
          <w:color w:val="auto"/>
          <w:spacing w:val="-2"/>
          <w:sz w:val="24"/>
          <w:szCs w:val="24"/>
          <w:highlight w:val="none"/>
          <w:lang w:val="zh-CN" w:eastAsia="zh-CN"/>
        </w:rPr>
        <w:t>行业；承接企业为</w:t>
      </w:r>
      <w:r>
        <w:rPr>
          <w:rFonts w:hint="eastAsia" w:ascii="宋体" w:hAnsi="宋体" w:cs="宋体"/>
          <w:color w:val="auto"/>
          <w:spacing w:val="-2"/>
          <w:sz w:val="24"/>
          <w:szCs w:val="24"/>
          <w:highlight w:val="none"/>
          <w:u w:val="single"/>
          <w:lang w:val="zh-CN" w:eastAsia="zh-CN"/>
        </w:rPr>
        <w:t>（企业名称）</w:t>
      </w:r>
      <w:r>
        <w:rPr>
          <w:rFonts w:hint="eastAsia" w:ascii="宋体" w:hAnsi="宋体" w:cs="宋体"/>
          <w:color w:val="auto"/>
          <w:spacing w:val="-2"/>
          <w:sz w:val="24"/>
          <w:szCs w:val="24"/>
          <w:highlight w:val="none"/>
          <w:lang w:val="zh-CN" w:eastAsia="zh-CN"/>
        </w:rPr>
        <w:t>，从业人员</w:t>
      </w:r>
      <w:r>
        <w:rPr>
          <w:rFonts w:hint="eastAsia" w:ascii="宋体" w:hAnsi="宋体" w:cs="宋体"/>
          <w:color w:val="auto"/>
          <w:spacing w:val="-2"/>
          <w:sz w:val="24"/>
          <w:szCs w:val="24"/>
          <w:highlight w:val="none"/>
          <w:u w:val="single"/>
          <w:lang w:val="zh-CN" w:eastAsia="zh-CN"/>
        </w:rPr>
        <w:t xml:space="preserve">     </w:t>
      </w:r>
      <w:r>
        <w:rPr>
          <w:rFonts w:hint="eastAsia" w:ascii="宋体" w:hAnsi="宋体" w:cs="宋体"/>
          <w:color w:val="auto"/>
          <w:spacing w:val="-2"/>
          <w:sz w:val="24"/>
          <w:szCs w:val="24"/>
          <w:highlight w:val="none"/>
          <w:lang w:val="zh-CN" w:eastAsia="zh-CN"/>
        </w:rPr>
        <w:t>人，营业收入为</w:t>
      </w:r>
      <w:r>
        <w:rPr>
          <w:rFonts w:hint="eastAsia" w:ascii="宋体" w:hAnsi="宋体" w:cs="宋体"/>
          <w:color w:val="auto"/>
          <w:spacing w:val="-2"/>
          <w:sz w:val="24"/>
          <w:szCs w:val="24"/>
          <w:highlight w:val="none"/>
          <w:u w:val="single"/>
          <w:lang w:val="zh-CN" w:eastAsia="zh-CN"/>
        </w:rPr>
        <w:t xml:space="preserve">     </w:t>
      </w:r>
      <w:r>
        <w:rPr>
          <w:rFonts w:hint="eastAsia" w:ascii="宋体" w:hAnsi="宋体" w:cs="宋体"/>
          <w:color w:val="auto"/>
          <w:spacing w:val="-2"/>
          <w:sz w:val="24"/>
          <w:szCs w:val="24"/>
          <w:highlight w:val="none"/>
          <w:lang w:val="zh-CN" w:eastAsia="zh-CN"/>
        </w:rPr>
        <w:t>万元，资产总额为</w:t>
      </w:r>
      <w:r>
        <w:rPr>
          <w:rFonts w:hint="eastAsia" w:ascii="宋体" w:hAnsi="宋体" w:cs="宋体"/>
          <w:color w:val="auto"/>
          <w:spacing w:val="-2"/>
          <w:sz w:val="24"/>
          <w:szCs w:val="24"/>
          <w:highlight w:val="none"/>
          <w:u w:val="single"/>
          <w:lang w:val="zh-CN" w:eastAsia="zh-CN"/>
        </w:rPr>
        <w:t xml:space="preserve">     </w:t>
      </w:r>
      <w:r>
        <w:rPr>
          <w:rFonts w:hint="eastAsia" w:ascii="宋体" w:hAnsi="宋体" w:cs="宋体"/>
          <w:color w:val="auto"/>
          <w:spacing w:val="-2"/>
          <w:sz w:val="24"/>
          <w:szCs w:val="24"/>
          <w:highlight w:val="none"/>
          <w:lang w:val="zh-CN" w:eastAsia="zh-CN"/>
        </w:rPr>
        <w:t>万元，属于</w:t>
      </w:r>
      <w:r>
        <w:rPr>
          <w:rFonts w:hint="eastAsia" w:ascii="宋体" w:hAnsi="宋体" w:cs="宋体"/>
          <w:color w:val="auto"/>
          <w:spacing w:val="-2"/>
          <w:sz w:val="24"/>
          <w:szCs w:val="24"/>
          <w:highlight w:val="none"/>
          <w:u w:val="single"/>
          <w:lang w:val="zh-CN" w:eastAsia="zh-CN"/>
        </w:rPr>
        <w:t>（中型企业、小型企业、微型企业）</w:t>
      </w:r>
      <w:r>
        <w:rPr>
          <w:rFonts w:hint="eastAsia" w:ascii="宋体" w:hAnsi="宋体" w:cs="宋体"/>
          <w:color w:val="auto"/>
          <w:spacing w:val="-2"/>
          <w:sz w:val="24"/>
          <w:szCs w:val="24"/>
          <w:highlight w:val="none"/>
          <w:lang w:val="zh-CN" w:eastAsia="zh-CN"/>
        </w:rPr>
        <w:t>；</w:t>
      </w:r>
    </w:p>
    <w:p w14:paraId="29BC0C88">
      <w:pPr>
        <w:pStyle w:val="18"/>
        <w:wordWrap w:val="0"/>
        <w:autoSpaceDE w:val="0"/>
        <w:autoSpaceDN w:val="0"/>
        <w:adjustRightInd w:val="0"/>
        <w:spacing w:after="0" w:line="440" w:lineRule="exact"/>
        <w:ind w:firstLine="472" w:firstLineChars="200"/>
        <w:rPr>
          <w:rFonts w:hint="eastAsia" w:ascii="宋体" w:hAnsi="宋体" w:cs="宋体"/>
          <w:color w:val="auto"/>
          <w:spacing w:val="-2"/>
          <w:sz w:val="24"/>
          <w:szCs w:val="24"/>
          <w:highlight w:val="none"/>
          <w:lang w:val="zh-CN" w:eastAsia="zh-CN"/>
        </w:rPr>
      </w:pPr>
      <w:r>
        <w:rPr>
          <w:rFonts w:hint="eastAsia" w:ascii="宋体" w:hAnsi="宋体" w:cs="宋体"/>
          <w:color w:val="auto"/>
          <w:spacing w:val="-2"/>
          <w:sz w:val="24"/>
          <w:szCs w:val="24"/>
          <w:highlight w:val="none"/>
          <w:lang w:val="zh-CN" w:eastAsia="zh-CN"/>
        </w:rPr>
        <w:t>2、</w:t>
      </w:r>
      <w:r>
        <w:rPr>
          <w:rFonts w:hint="eastAsia" w:ascii="宋体" w:hAnsi="宋体" w:cs="宋体"/>
          <w:color w:val="auto"/>
          <w:spacing w:val="-2"/>
          <w:sz w:val="24"/>
          <w:szCs w:val="24"/>
          <w:highlight w:val="none"/>
          <w:u w:val="single"/>
          <w:lang w:val="zh-CN" w:eastAsia="zh-CN"/>
        </w:rPr>
        <w:t>（标的名称）</w:t>
      </w:r>
      <w:r>
        <w:rPr>
          <w:rFonts w:hint="eastAsia" w:ascii="宋体" w:hAnsi="宋体" w:cs="宋体"/>
          <w:color w:val="auto"/>
          <w:spacing w:val="-2"/>
          <w:sz w:val="24"/>
          <w:szCs w:val="24"/>
          <w:highlight w:val="none"/>
          <w:lang w:val="zh-CN" w:eastAsia="zh-CN"/>
        </w:rPr>
        <w:t>，属于</w:t>
      </w:r>
      <w:r>
        <w:rPr>
          <w:rFonts w:hint="eastAsia" w:ascii="宋体" w:hAnsi="宋体" w:cs="宋体"/>
          <w:color w:val="auto"/>
          <w:spacing w:val="-2"/>
          <w:sz w:val="24"/>
          <w:szCs w:val="24"/>
          <w:highlight w:val="none"/>
          <w:u w:val="single"/>
          <w:lang w:val="zh-CN" w:eastAsia="zh-CN"/>
        </w:rPr>
        <w:t>（采购文件中明确的所属行业）</w:t>
      </w:r>
      <w:r>
        <w:rPr>
          <w:rFonts w:hint="eastAsia" w:ascii="宋体" w:hAnsi="宋体" w:cs="宋体"/>
          <w:color w:val="auto"/>
          <w:spacing w:val="-2"/>
          <w:sz w:val="24"/>
          <w:szCs w:val="24"/>
          <w:highlight w:val="none"/>
          <w:lang w:val="zh-CN" w:eastAsia="zh-CN"/>
        </w:rPr>
        <w:t>行业；承接企业为</w:t>
      </w:r>
      <w:r>
        <w:rPr>
          <w:rFonts w:hint="eastAsia" w:ascii="宋体" w:hAnsi="宋体" w:cs="宋体"/>
          <w:color w:val="auto"/>
          <w:spacing w:val="-2"/>
          <w:sz w:val="24"/>
          <w:szCs w:val="24"/>
          <w:highlight w:val="none"/>
          <w:u w:val="single"/>
          <w:lang w:val="zh-CN" w:eastAsia="zh-CN"/>
        </w:rPr>
        <w:t>（企业名称）</w:t>
      </w:r>
      <w:r>
        <w:rPr>
          <w:rFonts w:hint="eastAsia" w:ascii="宋体" w:hAnsi="宋体" w:cs="宋体"/>
          <w:color w:val="auto"/>
          <w:spacing w:val="-2"/>
          <w:sz w:val="24"/>
          <w:szCs w:val="24"/>
          <w:highlight w:val="none"/>
          <w:lang w:val="zh-CN" w:eastAsia="zh-CN"/>
        </w:rPr>
        <w:t>，从业人员</w:t>
      </w:r>
      <w:r>
        <w:rPr>
          <w:rFonts w:hint="eastAsia" w:ascii="宋体" w:hAnsi="宋体" w:cs="宋体"/>
          <w:color w:val="auto"/>
          <w:spacing w:val="-2"/>
          <w:sz w:val="24"/>
          <w:szCs w:val="24"/>
          <w:highlight w:val="none"/>
          <w:u w:val="single"/>
          <w:lang w:val="zh-CN" w:eastAsia="zh-CN"/>
        </w:rPr>
        <w:t xml:space="preserve">     </w:t>
      </w:r>
      <w:r>
        <w:rPr>
          <w:rFonts w:hint="eastAsia" w:ascii="宋体" w:hAnsi="宋体" w:cs="宋体"/>
          <w:color w:val="auto"/>
          <w:spacing w:val="-2"/>
          <w:sz w:val="24"/>
          <w:szCs w:val="24"/>
          <w:highlight w:val="none"/>
          <w:lang w:val="zh-CN" w:eastAsia="zh-CN"/>
        </w:rPr>
        <w:t>人，营业收入为</w:t>
      </w:r>
      <w:r>
        <w:rPr>
          <w:rFonts w:hint="eastAsia" w:ascii="宋体" w:hAnsi="宋体" w:cs="宋体"/>
          <w:color w:val="auto"/>
          <w:spacing w:val="-2"/>
          <w:sz w:val="24"/>
          <w:szCs w:val="24"/>
          <w:highlight w:val="none"/>
          <w:u w:val="single"/>
          <w:lang w:val="zh-CN" w:eastAsia="zh-CN"/>
        </w:rPr>
        <w:t xml:space="preserve">     </w:t>
      </w:r>
      <w:r>
        <w:rPr>
          <w:rFonts w:hint="eastAsia" w:ascii="宋体" w:hAnsi="宋体" w:cs="宋体"/>
          <w:color w:val="auto"/>
          <w:spacing w:val="-2"/>
          <w:sz w:val="24"/>
          <w:szCs w:val="24"/>
          <w:highlight w:val="none"/>
          <w:lang w:val="zh-CN" w:eastAsia="zh-CN"/>
        </w:rPr>
        <w:t>万元，资产总额为</w:t>
      </w:r>
      <w:r>
        <w:rPr>
          <w:rFonts w:hint="eastAsia" w:ascii="宋体" w:hAnsi="宋体" w:cs="宋体"/>
          <w:color w:val="auto"/>
          <w:spacing w:val="-2"/>
          <w:sz w:val="24"/>
          <w:szCs w:val="24"/>
          <w:highlight w:val="none"/>
          <w:u w:val="single"/>
          <w:lang w:val="zh-CN" w:eastAsia="zh-CN"/>
        </w:rPr>
        <w:t xml:space="preserve">     </w:t>
      </w:r>
      <w:r>
        <w:rPr>
          <w:rFonts w:hint="eastAsia" w:ascii="宋体" w:hAnsi="宋体" w:cs="宋体"/>
          <w:color w:val="auto"/>
          <w:spacing w:val="-2"/>
          <w:sz w:val="24"/>
          <w:szCs w:val="24"/>
          <w:highlight w:val="none"/>
          <w:lang w:val="zh-CN" w:eastAsia="zh-CN"/>
        </w:rPr>
        <w:t>万元，属于</w:t>
      </w:r>
      <w:r>
        <w:rPr>
          <w:rFonts w:hint="eastAsia" w:ascii="宋体" w:hAnsi="宋体" w:cs="宋体"/>
          <w:color w:val="auto"/>
          <w:spacing w:val="-2"/>
          <w:sz w:val="24"/>
          <w:szCs w:val="24"/>
          <w:highlight w:val="none"/>
          <w:u w:val="single"/>
          <w:lang w:val="zh-CN" w:eastAsia="zh-CN"/>
        </w:rPr>
        <w:t>（中型企业、小型企业、微型企业）</w:t>
      </w:r>
      <w:r>
        <w:rPr>
          <w:rFonts w:hint="eastAsia" w:ascii="宋体" w:hAnsi="宋体" w:cs="宋体"/>
          <w:color w:val="auto"/>
          <w:spacing w:val="-2"/>
          <w:sz w:val="24"/>
          <w:szCs w:val="24"/>
          <w:highlight w:val="none"/>
          <w:lang w:val="zh-CN" w:eastAsia="zh-CN"/>
        </w:rPr>
        <w:t>；</w:t>
      </w:r>
    </w:p>
    <w:p w14:paraId="705342BB">
      <w:pPr>
        <w:pStyle w:val="18"/>
        <w:wordWrap w:val="0"/>
        <w:autoSpaceDE w:val="0"/>
        <w:autoSpaceDN w:val="0"/>
        <w:adjustRightInd w:val="0"/>
        <w:spacing w:after="0" w:line="440" w:lineRule="exact"/>
        <w:ind w:firstLine="472" w:firstLineChars="200"/>
        <w:rPr>
          <w:rFonts w:hint="eastAsia" w:ascii="宋体" w:hAnsi="宋体" w:cs="宋体"/>
          <w:color w:val="auto"/>
          <w:spacing w:val="-2"/>
          <w:sz w:val="24"/>
          <w:szCs w:val="24"/>
          <w:highlight w:val="none"/>
          <w:lang w:val="zh-CN" w:eastAsia="zh-CN"/>
        </w:rPr>
      </w:pPr>
      <w:r>
        <w:rPr>
          <w:rFonts w:hint="eastAsia" w:ascii="宋体" w:hAnsi="宋体" w:cs="宋体"/>
          <w:color w:val="auto"/>
          <w:spacing w:val="-2"/>
          <w:sz w:val="24"/>
          <w:szCs w:val="24"/>
          <w:highlight w:val="none"/>
          <w:lang w:val="zh-CN" w:eastAsia="zh-CN"/>
        </w:rPr>
        <w:t>……</w:t>
      </w:r>
    </w:p>
    <w:p w14:paraId="19BA274A">
      <w:pPr>
        <w:pStyle w:val="18"/>
        <w:wordWrap w:val="0"/>
        <w:autoSpaceDE w:val="0"/>
        <w:autoSpaceDN w:val="0"/>
        <w:adjustRightInd w:val="0"/>
        <w:spacing w:after="0" w:line="440" w:lineRule="exact"/>
        <w:ind w:firstLine="472" w:firstLineChars="200"/>
        <w:rPr>
          <w:rFonts w:hint="eastAsia" w:ascii="宋体" w:hAnsi="宋体" w:cs="宋体"/>
          <w:color w:val="auto"/>
          <w:spacing w:val="-2"/>
          <w:sz w:val="24"/>
          <w:szCs w:val="24"/>
          <w:highlight w:val="none"/>
          <w:lang w:val="zh-CN" w:eastAsia="zh-CN"/>
        </w:rPr>
      </w:pPr>
      <w:r>
        <w:rPr>
          <w:rFonts w:hint="eastAsia" w:ascii="宋体" w:hAnsi="宋体" w:cs="宋体"/>
          <w:color w:val="auto"/>
          <w:spacing w:val="-2"/>
          <w:sz w:val="24"/>
          <w:szCs w:val="24"/>
          <w:highlight w:val="none"/>
          <w:lang w:val="zh-CN" w:eastAsia="zh-CN"/>
        </w:rPr>
        <w:t>以上企业，不属于大企业的分支机构，不存在控股股东为大企业的情形，也不存在与大企业的负责人为同一人的情形。</w:t>
      </w:r>
    </w:p>
    <w:p w14:paraId="2555E821">
      <w:pPr>
        <w:pStyle w:val="18"/>
        <w:wordWrap w:val="0"/>
        <w:autoSpaceDE w:val="0"/>
        <w:autoSpaceDN w:val="0"/>
        <w:adjustRightInd w:val="0"/>
        <w:spacing w:after="0" w:line="440" w:lineRule="exact"/>
        <w:ind w:firstLine="472" w:firstLineChars="200"/>
        <w:rPr>
          <w:rFonts w:hint="eastAsia" w:ascii="宋体" w:hAnsi="宋体" w:cs="宋体"/>
          <w:color w:val="auto"/>
          <w:spacing w:val="-2"/>
          <w:sz w:val="24"/>
          <w:szCs w:val="24"/>
          <w:highlight w:val="none"/>
          <w:lang w:val="zh-CN" w:eastAsia="zh-CN"/>
        </w:rPr>
      </w:pPr>
      <w:r>
        <w:rPr>
          <w:rFonts w:hint="eastAsia" w:ascii="宋体" w:hAnsi="宋体" w:cs="宋体"/>
          <w:color w:val="auto"/>
          <w:spacing w:val="-2"/>
          <w:sz w:val="24"/>
          <w:szCs w:val="24"/>
          <w:highlight w:val="none"/>
          <w:lang w:val="zh-CN" w:eastAsia="zh-CN"/>
        </w:rPr>
        <w:t>本企业对上述声明内容的真实性负责。如有虚假，将依法承担相应责任。</w:t>
      </w:r>
    </w:p>
    <w:p w14:paraId="7AEEF30A">
      <w:pPr>
        <w:pStyle w:val="18"/>
        <w:autoSpaceDE w:val="0"/>
        <w:autoSpaceDN w:val="0"/>
        <w:adjustRightInd w:val="0"/>
        <w:spacing w:line="360" w:lineRule="auto"/>
        <w:rPr>
          <w:rFonts w:hint="eastAsia" w:ascii="宋体" w:hAnsi="宋体" w:cs="宋体"/>
          <w:color w:val="auto"/>
          <w:spacing w:val="-2"/>
          <w:sz w:val="28"/>
          <w:szCs w:val="28"/>
          <w:highlight w:val="none"/>
          <w:lang w:val="zh-CN" w:eastAsia="zh-CN" w:bidi="zh-CN"/>
        </w:rPr>
      </w:pPr>
    </w:p>
    <w:p w14:paraId="0280A127">
      <w:pPr>
        <w:autoSpaceDE w:val="0"/>
        <w:autoSpaceDN w:val="0"/>
        <w:adjustRightInd w:val="0"/>
        <w:spacing w:line="440" w:lineRule="exact"/>
        <w:ind w:firstLine="3776" w:firstLineChars="1600"/>
        <w:rPr>
          <w:rFonts w:hint="eastAsia" w:ascii="宋体" w:hAnsi="宋体" w:cs="宋体"/>
          <w:color w:val="auto"/>
          <w:spacing w:val="-2"/>
          <w:sz w:val="24"/>
          <w:szCs w:val="24"/>
          <w:highlight w:val="none"/>
          <w:lang w:val="zh-CN" w:bidi="zh-CN"/>
        </w:rPr>
      </w:pPr>
      <w:r>
        <w:rPr>
          <w:rFonts w:hint="eastAsia" w:ascii="宋体" w:hAnsi="宋体" w:cs="宋体"/>
          <w:color w:val="auto"/>
          <w:spacing w:val="-2"/>
          <w:sz w:val="24"/>
          <w:szCs w:val="24"/>
          <w:highlight w:val="none"/>
          <w:lang w:val="zh-CN" w:bidi="zh-CN"/>
        </w:rPr>
        <w:t>企业名称（盖章）：</w:t>
      </w:r>
    </w:p>
    <w:p w14:paraId="5790A00B">
      <w:pPr>
        <w:autoSpaceDE w:val="0"/>
        <w:autoSpaceDN w:val="0"/>
        <w:adjustRightInd w:val="0"/>
        <w:spacing w:line="440" w:lineRule="exact"/>
        <w:ind w:firstLine="3776" w:firstLineChars="1600"/>
        <w:rPr>
          <w:rFonts w:hint="eastAsia" w:ascii="宋体" w:hAnsi="宋体" w:cs="宋体"/>
          <w:color w:val="auto"/>
          <w:spacing w:val="-2"/>
          <w:sz w:val="24"/>
          <w:szCs w:val="24"/>
          <w:highlight w:val="none"/>
          <w:lang w:val="zh-CN" w:bidi="zh-CN"/>
        </w:rPr>
      </w:pPr>
      <w:r>
        <w:rPr>
          <w:rFonts w:hint="eastAsia" w:ascii="宋体" w:hAnsi="宋体" w:cs="宋体"/>
          <w:color w:val="auto"/>
          <w:spacing w:val="-2"/>
          <w:sz w:val="24"/>
          <w:szCs w:val="24"/>
          <w:highlight w:val="none"/>
          <w:lang w:val="zh-CN" w:bidi="zh-CN"/>
        </w:rPr>
        <w:t>日期：</w:t>
      </w:r>
    </w:p>
    <w:p w14:paraId="610DFCE4">
      <w:pPr>
        <w:tabs>
          <w:tab w:val="left" w:pos="0"/>
        </w:tabs>
        <w:wordWrap w:val="0"/>
        <w:spacing w:line="360" w:lineRule="auto"/>
        <w:jc w:val="center"/>
        <w:rPr>
          <w:rFonts w:hint="eastAsia" w:ascii="宋体" w:hAnsi="宋体" w:cs="宋体"/>
          <w:b/>
          <w:color w:val="auto"/>
          <w:sz w:val="32"/>
          <w:szCs w:val="32"/>
          <w:highlight w:val="none"/>
        </w:rPr>
      </w:pPr>
    </w:p>
    <w:p w14:paraId="1A129E3A">
      <w:pPr>
        <w:wordWrap w:val="0"/>
        <w:spacing w:line="500" w:lineRule="exact"/>
        <w:rPr>
          <w:rFonts w:hint="eastAsia" w:ascii="宋体" w:hAnsi="宋体" w:cs="宋体"/>
          <w:b/>
          <w:color w:val="auto"/>
          <w:sz w:val="32"/>
          <w:szCs w:val="32"/>
          <w:highlight w:val="none"/>
        </w:rPr>
      </w:pPr>
      <w:r>
        <w:rPr>
          <w:rFonts w:hint="eastAsia" w:ascii="宋体" w:hAnsi="宋体" w:cs="宋体"/>
          <w:color w:val="auto"/>
          <w:sz w:val="24"/>
          <w:szCs w:val="24"/>
          <w:highlight w:val="none"/>
        </w:rPr>
        <w:t>备注：不是中小企业的本表可不填写。</w:t>
      </w:r>
    </w:p>
    <w:p w14:paraId="392B11EA">
      <w:pPr>
        <w:tabs>
          <w:tab w:val="left" w:pos="0"/>
        </w:tabs>
        <w:wordWrap w:val="0"/>
        <w:spacing w:line="360" w:lineRule="auto"/>
        <w:jc w:val="center"/>
        <w:rPr>
          <w:rFonts w:hint="eastAsia" w:ascii="宋体" w:hAnsi="宋体" w:cs="宋体"/>
          <w:b/>
          <w:color w:val="auto"/>
          <w:sz w:val="32"/>
          <w:szCs w:val="32"/>
          <w:highlight w:val="none"/>
        </w:rPr>
      </w:pPr>
    </w:p>
    <w:p w14:paraId="49AA7364">
      <w:pPr>
        <w:tabs>
          <w:tab w:val="left" w:pos="0"/>
        </w:tabs>
        <w:wordWrap w:val="0"/>
        <w:spacing w:line="360" w:lineRule="auto"/>
        <w:jc w:val="center"/>
        <w:rPr>
          <w:rFonts w:hint="eastAsia" w:ascii="宋体" w:hAnsi="宋体" w:cs="宋体"/>
          <w:b/>
          <w:color w:val="auto"/>
          <w:sz w:val="32"/>
          <w:szCs w:val="32"/>
          <w:highlight w:val="none"/>
        </w:rPr>
      </w:pPr>
    </w:p>
    <w:p w14:paraId="3CCB42E2">
      <w:pPr>
        <w:tabs>
          <w:tab w:val="left" w:pos="0"/>
        </w:tabs>
        <w:wordWrap w:val="0"/>
        <w:spacing w:line="360" w:lineRule="auto"/>
        <w:jc w:val="center"/>
        <w:rPr>
          <w:rFonts w:hint="eastAsia" w:ascii="宋体" w:hAnsi="宋体" w:cs="宋体"/>
          <w:b/>
          <w:color w:val="auto"/>
          <w:sz w:val="32"/>
          <w:szCs w:val="32"/>
          <w:highlight w:val="none"/>
        </w:rPr>
      </w:pPr>
    </w:p>
    <w:p w14:paraId="63DB3B5E">
      <w:pPr>
        <w:tabs>
          <w:tab w:val="left" w:pos="0"/>
        </w:tabs>
        <w:wordWrap w:val="0"/>
        <w:spacing w:line="360" w:lineRule="auto"/>
        <w:jc w:val="center"/>
        <w:rPr>
          <w:rFonts w:hint="eastAsia" w:ascii="宋体" w:hAnsi="宋体" w:cs="宋体"/>
          <w:b/>
          <w:color w:val="auto"/>
          <w:sz w:val="32"/>
          <w:szCs w:val="32"/>
          <w:highlight w:val="none"/>
        </w:rPr>
      </w:pPr>
    </w:p>
    <w:p w14:paraId="35DD8B70">
      <w:pPr>
        <w:tabs>
          <w:tab w:val="left" w:pos="0"/>
        </w:tabs>
        <w:wordWrap w:val="0"/>
        <w:spacing w:line="360" w:lineRule="auto"/>
        <w:jc w:val="center"/>
        <w:rPr>
          <w:rFonts w:hint="eastAsia" w:ascii="宋体" w:hAnsi="宋体" w:cs="宋体"/>
          <w:b/>
          <w:color w:val="auto"/>
          <w:sz w:val="32"/>
          <w:szCs w:val="32"/>
          <w:highlight w:val="none"/>
        </w:rPr>
      </w:pPr>
    </w:p>
    <w:p w14:paraId="13F86F8C">
      <w:pPr>
        <w:tabs>
          <w:tab w:val="left" w:pos="0"/>
        </w:tabs>
        <w:wordWrap w:val="0"/>
        <w:spacing w:line="360" w:lineRule="auto"/>
        <w:jc w:val="center"/>
        <w:rPr>
          <w:rFonts w:hint="eastAsia" w:ascii="宋体" w:hAnsi="宋体" w:cs="宋体"/>
          <w:b/>
          <w:color w:val="auto"/>
          <w:sz w:val="32"/>
          <w:szCs w:val="32"/>
          <w:highlight w:val="none"/>
        </w:rPr>
      </w:pPr>
    </w:p>
    <w:p w14:paraId="0285C6AB">
      <w:pPr>
        <w:tabs>
          <w:tab w:val="left" w:pos="0"/>
        </w:tabs>
        <w:wordWrap w:val="0"/>
        <w:spacing w:line="360" w:lineRule="auto"/>
        <w:jc w:val="center"/>
        <w:rPr>
          <w:rFonts w:hint="eastAsia" w:ascii="宋体" w:hAnsi="宋体" w:cs="宋体"/>
          <w:b/>
          <w:color w:val="auto"/>
          <w:sz w:val="32"/>
          <w:szCs w:val="32"/>
          <w:highlight w:val="none"/>
        </w:rPr>
      </w:pPr>
    </w:p>
    <w:p w14:paraId="327D98DD">
      <w:pPr>
        <w:spacing w:before="209" w:line="219" w:lineRule="auto"/>
        <w:ind w:left="26"/>
        <w:rPr>
          <w:rFonts w:ascii="宋体" w:hAnsi="宋体" w:eastAsia="宋体" w:cs="宋体"/>
          <w:b/>
          <w:bCs/>
          <w:spacing w:val="-17"/>
          <w:sz w:val="24"/>
          <w:szCs w:val="24"/>
        </w:rPr>
      </w:pPr>
    </w:p>
    <w:p w14:paraId="5B89BAEE">
      <w:pPr>
        <w:spacing w:before="209" w:line="219" w:lineRule="auto"/>
        <w:ind w:left="26"/>
        <w:rPr>
          <w:rFonts w:ascii="宋体" w:hAnsi="宋体" w:eastAsia="宋体" w:cs="宋体"/>
          <w:sz w:val="24"/>
          <w:szCs w:val="24"/>
        </w:rPr>
      </w:pPr>
      <w:r>
        <w:rPr>
          <w:rFonts w:ascii="宋体" w:hAnsi="宋体" w:eastAsia="宋体" w:cs="宋体"/>
          <w:b/>
          <w:bCs/>
          <w:spacing w:val="-17"/>
          <w:sz w:val="24"/>
          <w:szCs w:val="24"/>
        </w:rPr>
        <w:t>附：</w:t>
      </w:r>
    </w:p>
    <w:p w14:paraId="0BFFBC5B">
      <w:pPr>
        <w:spacing w:before="114" w:line="225" w:lineRule="auto"/>
        <w:ind w:left="1765"/>
        <w:rPr>
          <w:rFonts w:ascii="宋体" w:hAnsi="宋体" w:eastAsia="宋体" w:cs="宋体"/>
          <w:b/>
          <w:bCs/>
          <w:spacing w:val="6"/>
          <w:sz w:val="35"/>
          <w:szCs w:val="35"/>
        </w:rPr>
      </w:pPr>
    </w:p>
    <w:p w14:paraId="25FC403C">
      <w:pPr>
        <w:spacing w:before="114" w:line="225" w:lineRule="auto"/>
        <w:ind w:left="1765"/>
        <w:rPr>
          <w:rFonts w:ascii="宋体" w:hAnsi="宋体" w:eastAsia="宋体" w:cs="宋体"/>
          <w:sz w:val="35"/>
          <w:szCs w:val="35"/>
        </w:rPr>
      </w:pPr>
      <w:r>
        <w:rPr>
          <w:rFonts w:ascii="宋体" w:hAnsi="宋体" w:eastAsia="宋体" w:cs="宋体"/>
          <w:b/>
          <w:bCs/>
          <w:spacing w:val="6"/>
          <w:sz w:val="35"/>
          <w:szCs w:val="35"/>
        </w:rPr>
        <w:t>关于印发中小企业划型标准规定的通知</w:t>
      </w:r>
    </w:p>
    <w:p w14:paraId="4FF8F1BA">
      <w:pPr>
        <w:pStyle w:val="18"/>
        <w:spacing w:line="317" w:lineRule="auto"/>
      </w:pPr>
    </w:p>
    <w:p w14:paraId="27ADE872">
      <w:pPr>
        <w:spacing w:before="78" w:line="219" w:lineRule="auto"/>
        <w:ind w:left="3301"/>
        <w:rPr>
          <w:rFonts w:ascii="宋体" w:hAnsi="宋体" w:eastAsia="宋体" w:cs="宋体"/>
          <w:sz w:val="24"/>
          <w:szCs w:val="24"/>
        </w:rPr>
      </w:pPr>
      <w:r>
        <w:rPr>
          <w:rFonts w:ascii="宋体" w:hAnsi="宋体" w:eastAsia="宋体" w:cs="宋体"/>
          <w:spacing w:val="-1"/>
          <w:sz w:val="24"/>
          <w:szCs w:val="24"/>
        </w:rPr>
        <w:t>工信部联企业〔2011〕300</w:t>
      </w:r>
      <w:r>
        <w:rPr>
          <w:rFonts w:ascii="宋体" w:hAnsi="宋体" w:eastAsia="宋体" w:cs="宋体"/>
          <w:spacing w:val="-43"/>
          <w:sz w:val="24"/>
          <w:szCs w:val="24"/>
        </w:rPr>
        <w:t xml:space="preserve"> </w:t>
      </w:r>
      <w:r>
        <w:rPr>
          <w:rFonts w:ascii="宋体" w:hAnsi="宋体" w:eastAsia="宋体" w:cs="宋体"/>
          <w:spacing w:val="-1"/>
          <w:sz w:val="24"/>
          <w:szCs w:val="24"/>
        </w:rPr>
        <w:t>号</w:t>
      </w:r>
    </w:p>
    <w:p w14:paraId="5151B319">
      <w:pPr>
        <w:pStyle w:val="18"/>
        <w:spacing w:line="473" w:lineRule="auto"/>
      </w:pPr>
    </w:p>
    <w:p w14:paraId="60BC5A00">
      <w:pPr>
        <w:spacing w:before="78" w:line="219" w:lineRule="auto"/>
        <w:ind w:left="11"/>
        <w:rPr>
          <w:rFonts w:ascii="宋体" w:hAnsi="宋体" w:eastAsia="宋体" w:cs="宋体"/>
          <w:sz w:val="24"/>
          <w:szCs w:val="24"/>
        </w:rPr>
      </w:pPr>
      <w:r>
        <w:rPr>
          <w:rFonts w:ascii="宋体" w:hAnsi="宋体" w:eastAsia="宋体" w:cs="宋体"/>
          <w:spacing w:val="-2"/>
          <w:sz w:val="24"/>
          <w:szCs w:val="24"/>
        </w:rPr>
        <w:t>各省、</w:t>
      </w:r>
      <w:r>
        <w:rPr>
          <w:rFonts w:ascii="宋体" w:hAnsi="宋体" w:eastAsia="宋体" w:cs="宋体"/>
          <w:spacing w:val="-68"/>
          <w:sz w:val="24"/>
          <w:szCs w:val="24"/>
        </w:rPr>
        <w:t xml:space="preserve"> </w:t>
      </w:r>
      <w:r>
        <w:rPr>
          <w:rFonts w:ascii="宋体" w:hAnsi="宋体" w:eastAsia="宋体" w:cs="宋体"/>
          <w:spacing w:val="-2"/>
          <w:sz w:val="24"/>
          <w:szCs w:val="24"/>
        </w:rPr>
        <w:t>自治区、直辖市人民政府，国务院各部委、各直属机构及有关单位：</w:t>
      </w:r>
    </w:p>
    <w:p w14:paraId="51E020D0">
      <w:pPr>
        <w:spacing w:before="277" w:line="421" w:lineRule="auto"/>
        <w:ind w:left="10" w:firstLine="480"/>
        <w:jc w:val="both"/>
        <w:rPr>
          <w:rFonts w:ascii="宋体" w:hAnsi="宋体" w:eastAsia="宋体" w:cs="宋体"/>
          <w:sz w:val="24"/>
          <w:szCs w:val="24"/>
        </w:rPr>
      </w:pPr>
      <w:r>
        <w:rPr>
          <w:rFonts w:ascii="宋体" w:hAnsi="宋体" w:eastAsia="宋体" w:cs="宋体"/>
          <w:sz w:val="24"/>
          <w:szCs w:val="24"/>
        </w:rPr>
        <w:t>为贯彻落实《中华人民共和国中小企业促进法》和《国</w:t>
      </w:r>
      <w:r>
        <w:rPr>
          <w:rFonts w:ascii="宋体" w:hAnsi="宋体" w:eastAsia="宋体" w:cs="宋体"/>
          <w:spacing w:val="-1"/>
          <w:sz w:val="24"/>
          <w:szCs w:val="24"/>
        </w:rPr>
        <w:t>务院关于进一步促进中小企业发</w:t>
      </w:r>
      <w:r>
        <w:rPr>
          <w:rFonts w:ascii="宋体" w:hAnsi="宋体" w:eastAsia="宋体" w:cs="宋体"/>
          <w:sz w:val="24"/>
          <w:szCs w:val="24"/>
        </w:rPr>
        <w:t xml:space="preserve"> </w:t>
      </w:r>
      <w:r>
        <w:rPr>
          <w:rFonts w:ascii="宋体" w:hAnsi="宋体" w:eastAsia="宋体" w:cs="宋体"/>
          <w:spacing w:val="-1"/>
          <w:sz w:val="24"/>
          <w:szCs w:val="24"/>
        </w:rPr>
        <w:t>展的若干意见》（国发〔2009〕36</w:t>
      </w:r>
      <w:r>
        <w:rPr>
          <w:rFonts w:ascii="宋体" w:hAnsi="宋体" w:eastAsia="宋体" w:cs="宋体"/>
          <w:spacing w:val="-43"/>
          <w:sz w:val="24"/>
          <w:szCs w:val="24"/>
        </w:rPr>
        <w:t xml:space="preserve"> </w:t>
      </w:r>
      <w:r>
        <w:rPr>
          <w:rFonts w:ascii="宋体" w:hAnsi="宋体" w:eastAsia="宋体" w:cs="宋体"/>
          <w:spacing w:val="-1"/>
          <w:sz w:val="24"/>
          <w:szCs w:val="24"/>
        </w:rPr>
        <w:t>号</w:t>
      </w:r>
      <w:r>
        <w:rPr>
          <w:rFonts w:ascii="宋体" w:hAnsi="宋体" w:eastAsia="宋体" w:cs="宋体"/>
          <w:spacing w:val="3"/>
          <w:sz w:val="24"/>
          <w:szCs w:val="24"/>
        </w:rPr>
        <w:t>），</w:t>
      </w:r>
      <w:r>
        <w:rPr>
          <w:rFonts w:ascii="宋体" w:hAnsi="宋体" w:eastAsia="宋体" w:cs="宋体"/>
          <w:spacing w:val="-1"/>
          <w:sz w:val="24"/>
          <w:szCs w:val="24"/>
        </w:rPr>
        <w:t>工业和信息化</w:t>
      </w:r>
      <w:r>
        <w:rPr>
          <w:rFonts w:ascii="宋体" w:hAnsi="宋体" w:eastAsia="宋体" w:cs="宋体"/>
          <w:spacing w:val="-2"/>
          <w:sz w:val="24"/>
          <w:szCs w:val="24"/>
        </w:rPr>
        <w:t>部、国家统计局、发展改革委、财政</w:t>
      </w:r>
      <w:r>
        <w:rPr>
          <w:rFonts w:ascii="宋体" w:hAnsi="宋体" w:eastAsia="宋体" w:cs="宋体"/>
          <w:sz w:val="24"/>
          <w:szCs w:val="24"/>
        </w:rPr>
        <w:t xml:space="preserve"> 部研究制定了《中小企业划型标准规定》。经国务院同意，</w:t>
      </w:r>
      <w:r>
        <w:rPr>
          <w:rFonts w:ascii="宋体" w:hAnsi="宋体" w:eastAsia="宋体" w:cs="宋体"/>
          <w:spacing w:val="-1"/>
          <w:sz w:val="24"/>
          <w:szCs w:val="24"/>
        </w:rPr>
        <w:t>现印发给你们，请遵照执行。</w:t>
      </w:r>
    </w:p>
    <w:p w14:paraId="2DA9CE56">
      <w:pPr>
        <w:pStyle w:val="18"/>
        <w:spacing w:line="245" w:lineRule="auto"/>
      </w:pPr>
    </w:p>
    <w:p w14:paraId="15497B8A">
      <w:pPr>
        <w:pStyle w:val="18"/>
        <w:spacing w:line="245" w:lineRule="auto"/>
      </w:pPr>
    </w:p>
    <w:p w14:paraId="2301DF8D">
      <w:pPr>
        <w:pStyle w:val="18"/>
        <w:spacing w:line="245" w:lineRule="auto"/>
      </w:pPr>
    </w:p>
    <w:p w14:paraId="1B62D671">
      <w:pPr>
        <w:pStyle w:val="18"/>
        <w:spacing w:line="246" w:lineRule="auto"/>
      </w:pPr>
    </w:p>
    <w:p w14:paraId="650A622F">
      <w:pPr>
        <w:pStyle w:val="18"/>
        <w:spacing w:line="246" w:lineRule="auto"/>
      </w:pPr>
    </w:p>
    <w:p w14:paraId="373D707E">
      <w:pPr>
        <w:pStyle w:val="18"/>
        <w:spacing w:line="246" w:lineRule="auto"/>
      </w:pPr>
    </w:p>
    <w:p w14:paraId="67D8DC99">
      <w:pPr>
        <w:pStyle w:val="18"/>
        <w:spacing w:line="246" w:lineRule="auto"/>
      </w:pPr>
    </w:p>
    <w:p w14:paraId="54273826">
      <w:pPr>
        <w:pStyle w:val="18"/>
        <w:spacing w:line="246" w:lineRule="auto"/>
      </w:pPr>
    </w:p>
    <w:p w14:paraId="20668540">
      <w:pPr>
        <w:pStyle w:val="18"/>
        <w:spacing w:line="246" w:lineRule="auto"/>
      </w:pPr>
    </w:p>
    <w:p w14:paraId="1E4F5B1D">
      <w:pPr>
        <w:pStyle w:val="18"/>
        <w:spacing w:line="246" w:lineRule="auto"/>
      </w:pPr>
    </w:p>
    <w:p w14:paraId="11641698">
      <w:pPr>
        <w:pStyle w:val="18"/>
        <w:spacing w:line="246" w:lineRule="auto"/>
      </w:pPr>
    </w:p>
    <w:p w14:paraId="2C50BA2F">
      <w:pPr>
        <w:pStyle w:val="18"/>
        <w:spacing w:line="246" w:lineRule="auto"/>
      </w:pPr>
    </w:p>
    <w:p w14:paraId="784CFFC5">
      <w:pPr>
        <w:pStyle w:val="18"/>
        <w:spacing w:line="246" w:lineRule="auto"/>
      </w:pPr>
    </w:p>
    <w:p w14:paraId="2E4267EE">
      <w:pPr>
        <w:pStyle w:val="18"/>
        <w:spacing w:line="246" w:lineRule="auto"/>
      </w:pPr>
    </w:p>
    <w:p w14:paraId="0F3705AA">
      <w:pPr>
        <w:pStyle w:val="18"/>
        <w:spacing w:line="246" w:lineRule="auto"/>
      </w:pPr>
    </w:p>
    <w:p w14:paraId="0A56C82F">
      <w:pPr>
        <w:pStyle w:val="18"/>
        <w:spacing w:line="246" w:lineRule="auto"/>
      </w:pPr>
    </w:p>
    <w:p w14:paraId="5A341958">
      <w:pPr>
        <w:pStyle w:val="18"/>
        <w:spacing w:line="246" w:lineRule="auto"/>
      </w:pPr>
    </w:p>
    <w:p w14:paraId="689B4438">
      <w:pPr>
        <w:pStyle w:val="18"/>
        <w:spacing w:line="246" w:lineRule="auto"/>
      </w:pPr>
    </w:p>
    <w:p w14:paraId="39A7A107">
      <w:pPr>
        <w:pStyle w:val="18"/>
        <w:spacing w:line="246" w:lineRule="auto"/>
      </w:pPr>
    </w:p>
    <w:p w14:paraId="3EC70036">
      <w:pPr>
        <w:pStyle w:val="18"/>
        <w:spacing w:line="246" w:lineRule="auto"/>
      </w:pPr>
    </w:p>
    <w:p w14:paraId="08422711">
      <w:pPr>
        <w:pStyle w:val="18"/>
        <w:spacing w:line="246" w:lineRule="auto"/>
      </w:pPr>
    </w:p>
    <w:p w14:paraId="4690D7D7">
      <w:pPr>
        <w:pStyle w:val="18"/>
        <w:spacing w:line="246" w:lineRule="auto"/>
      </w:pPr>
    </w:p>
    <w:p w14:paraId="65F3644B">
      <w:pPr>
        <w:pStyle w:val="18"/>
        <w:spacing w:line="246" w:lineRule="auto"/>
      </w:pPr>
    </w:p>
    <w:p w14:paraId="45EAE87C">
      <w:pPr>
        <w:spacing w:before="78" w:line="219" w:lineRule="auto"/>
        <w:ind w:left="5411"/>
        <w:rPr>
          <w:rFonts w:ascii="宋体" w:hAnsi="宋体" w:eastAsia="宋体" w:cs="宋体"/>
          <w:sz w:val="24"/>
          <w:szCs w:val="24"/>
        </w:rPr>
      </w:pPr>
      <w:r>
        <w:rPr>
          <w:rFonts w:ascii="宋体" w:hAnsi="宋体" w:eastAsia="宋体" w:cs="宋体"/>
          <w:spacing w:val="-4"/>
          <w:sz w:val="24"/>
          <w:szCs w:val="24"/>
        </w:rPr>
        <w:t>工业和信息化部</w:t>
      </w:r>
      <w:r>
        <w:rPr>
          <w:rFonts w:ascii="宋体" w:hAnsi="宋体" w:eastAsia="宋体" w:cs="宋体"/>
          <w:spacing w:val="17"/>
          <w:sz w:val="24"/>
          <w:szCs w:val="24"/>
        </w:rPr>
        <w:t xml:space="preserve">  </w:t>
      </w:r>
      <w:r>
        <w:rPr>
          <w:rFonts w:ascii="宋体" w:hAnsi="宋体" w:eastAsia="宋体" w:cs="宋体"/>
          <w:spacing w:val="-4"/>
          <w:sz w:val="24"/>
          <w:szCs w:val="24"/>
        </w:rPr>
        <w:t>国家统计局</w:t>
      </w:r>
    </w:p>
    <w:p w14:paraId="340359E9">
      <w:pPr>
        <w:spacing w:before="276" w:line="219" w:lineRule="auto"/>
        <w:ind w:left="5311"/>
        <w:rPr>
          <w:rFonts w:ascii="宋体" w:hAnsi="宋体" w:eastAsia="宋体" w:cs="宋体"/>
          <w:sz w:val="24"/>
          <w:szCs w:val="24"/>
        </w:rPr>
      </w:pPr>
      <w:r>
        <w:rPr>
          <w:rFonts w:ascii="宋体" w:hAnsi="宋体" w:eastAsia="宋体" w:cs="宋体"/>
          <w:spacing w:val="-3"/>
          <w:sz w:val="24"/>
          <w:szCs w:val="24"/>
        </w:rPr>
        <w:t>国家发展和改革委员会  财政部</w:t>
      </w:r>
    </w:p>
    <w:p w14:paraId="4BCB5498">
      <w:pPr>
        <w:spacing w:before="278" w:line="219" w:lineRule="auto"/>
        <w:ind w:left="5772"/>
        <w:rPr>
          <w:rFonts w:ascii="宋体" w:hAnsi="宋体" w:eastAsia="宋体" w:cs="宋体"/>
          <w:sz w:val="24"/>
          <w:szCs w:val="24"/>
        </w:rPr>
      </w:pPr>
      <w:r>
        <w:rPr>
          <w:rFonts w:ascii="宋体" w:hAnsi="宋体" w:eastAsia="宋体" w:cs="宋体"/>
          <w:spacing w:val="-2"/>
          <w:sz w:val="24"/>
          <w:szCs w:val="24"/>
        </w:rPr>
        <w:t>二○一一年六月十八日</w:t>
      </w:r>
    </w:p>
    <w:p w14:paraId="0091C8A2">
      <w:pPr>
        <w:spacing w:line="219" w:lineRule="auto"/>
        <w:rPr>
          <w:rFonts w:ascii="宋体" w:hAnsi="宋体" w:eastAsia="宋体" w:cs="宋体"/>
          <w:sz w:val="24"/>
          <w:szCs w:val="24"/>
        </w:rPr>
        <w:sectPr>
          <w:footerReference r:id="rId11" w:type="default"/>
          <w:pgSz w:w="11906" w:h="16839"/>
          <w:pgMar w:top="960" w:right="1134" w:bottom="913" w:left="1134" w:header="945" w:footer="754" w:gutter="0"/>
          <w:cols w:space="720" w:num="1"/>
        </w:sectPr>
      </w:pPr>
    </w:p>
    <w:p w14:paraId="0E413A9F">
      <w:pPr>
        <w:pStyle w:val="18"/>
        <w:spacing w:line="334" w:lineRule="auto"/>
      </w:pPr>
    </w:p>
    <w:p w14:paraId="4B6FAC1D">
      <w:pPr>
        <w:pStyle w:val="18"/>
        <w:spacing w:line="335" w:lineRule="auto"/>
      </w:pPr>
      <w: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133350</wp:posOffset>
                </wp:positionV>
                <wp:extent cx="6120130" cy="9525"/>
                <wp:effectExtent l="0" t="0" r="0" b="0"/>
                <wp:wrapNone/>
                <wp:docPr id="10" name="任意多边形 10"/>
                <wp:cNvGraphicFramePr/>
                <a:graphic xmlns:a="http://schemas.openxmlformats.org/drawingml/2006/main">
                  <a:graphicData uri="http://schemas.microsoft.com/office/word/2010/wordprocessingShape">
                    <wps:wsp>
                      <wps:cNvSpPr/>
                      <wps:spPr>
                        <a:xfrm>
                          <a:off x="0" y="0"/>
                          <a:ext cx="6120130" cy="9525"/>
                        </a:xfrm>
                        <a:custGeom>
                          <a:avLst/>
                          <a:gdLst/>
                          <a:ahLst/>
                          <a:cxnLst/>
                          <a:pathLst>
                            <a:path w="9637" h="15">
                              <a:moveTo>
                                <a:pt x="0" y="0"/>
                              </a:moveTo>
                              <a:lnTo>
                                <a:pt x="9637" y="0"/>
                              </a:lnTo>
                              <a:lnTo>
                                <a:pt x="9637"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0pt;margin-top:10.5pt;height:0.75pt;width:481.9pt;z-index:251668480;mso-width-relative:page;mso-height-relative:page;" fillcolor="#000000" filled="t" stroked="f" coordsize="9637,15" o:gfxdata="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B8HBNUAAAAGAQAADwAAAAAAAAABACAA&#10;AAAiAAAAZHJzL2Rvd25yZXYueG1sUEsBAhQAFAAAAAgAh07iQD2xiXIQAgAAfQQAAA4AAAAAAAAA&#10;AQAgAAAAJAEAAGRycy9lMm9Eb2MueG1sUEsFBgAAAAAGAAYAWQEAAKYFAAAAAA==&#10;" path="m0,0l9637,0,9637,14,0,14,0,0xe">
                <v:fill on="t" focussize="0,0"/>
                <v:stroke on="f"/>
                <v:imagedata o:title=""/>
                <o:lock v:ext="edit" aspectratio="f"/>
              </v:shape>
            </w:pict>
          </mc:Fallback>
        </mc:AlternateContent>
      </w:r>
    </w:p>
    <w:p w14:paraId="1E0A2729">
      <w:pPr>
        <w:spacing w:before="114" w:line="218" w:lineRule="auto"/>
        <w:ind w:left="2856"/>
        <w:rPr>
          <w:rFonts w:ascii="宋体" w:hAnsi="宋体" w:eastAsia="宋体" w:cs="宋体"/>
          <w:sz w:val="35"/>
          <w:szCs w:val="35"/>
        </w:rPr>
      </w:pPr>
      <w:r>
        <w:rPr>
          <w:rFonts w:ascii="宋体" w:hAnsi="宋体" w:eastAsia="宋体" w:cs="宋体"/>
          <w:spacing w:val="8"/>
          <w:sz w:val="35"/>
          <w:szCs w:val="35"/>
        </w:rPr>
        <w:t>大中小微型企业划分标准</w:t>
      </w:r>
    </w:p>
    <w:tbl>
      <w:tblPr>
        <w:tblStyle w:val="143"/>
        <w:tblW w:w="9435"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3"/>
        <w:gridCol w:w="1369"/>
        <w:gridCol w:w="709"/>
        <w:gridCol w:w="1125"/>
        <w:gridCol w:w="1701"/>
        <w:gridCol w:w="1426"/>
        <w:gridCol w:w="992"/>
      </w:tblGrid>
      <w:tr w14:paraId="70FA5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13" w:type="dxa"/>
            <w:tcBorders>
              <w:left w:val="nil"/>
            </w:tcBorders>
            <w:vAlign w:val="top"/>
          </w:tcPr>
          <w:p w14:paraId="2ED9DBB9">
            <w:pPr>
              <w:pStyle w:val="142"/>
              <w:spacing w:before="227" w:line="220" w:lineRule="auto"/>
              <w:ind w:left="704"/>
              <w:rPr>
                <w:sz w:val="18"/>
                <w:szCs w:val="18"/>
              </w:rPr>
            </w:pPr>
            <w:r>
              <w:rPr>
                <w:b/>
                <w:bCs/>
                <w:spacing w:val="-4"/>
                <w:sz w:val="18"/>
                <w:szCs w:val="18"/>
              </w:rPr>
              <w:t>行业名称</w:t>
            </w:r>
          </w:p>
        </w:tc>
        <w:tc>
          <w:tcPr>
            <w:tcW w:w="1369" w:type="dxa"/>
            <w:vAlign w:val="top"/>
          </w:tcPr>
          <w:p w14:paraId="15897B4E">
            <w:pPr>
              <w:pStyle w:val="142"/>
              <w:spacing w:before="220" w:line="220" w:lineRule="auto"/>
              <w:ind w:left="330"/>
              <w:rPr>
                <w:sz w:val="18"/>
                <w:szCs w:val="18"/>
              </w:rPr>
            </w:pPr>
            <w:r>
              <w:rPr>
                <w:b/>
                <w:bCs/>
                <w:spacing w:val="-4"/>
                <w:sz w:val="18"/>
                <w:szCs w:val="18"/>
              </w:rPr>
              <w:t>指标名称</w:t>
            </w:r>
          </w:p>
        </w:tc>
        <w:tc>
          <w:tcPr>
            <w:tcW w:w="709" w:type="dxa"/>
            <w:vAlign w:val="top"/>
          </w:tcPr>
          <w:p w14:paraId="5E79838B">
            <w:pPr>
              <w:pStyle w:val="142"/>
              <w:spacing w:before="103" w:line="229" w:lineRule="auto"/>
              <w:ind w:left="179" w:right="172" w:hanging="1"/>
              <w:rPr>
                <w:sz w:val="18"/>
                <w:szCs w:val="18"/>
              </w:rPr>
            </w:pPr>
            <w:r>
              <w:rPr>
                <w:b/>
                <w:bCs/>
                <w:spacing w:val="-6"/>
                <w:sz w:val="18"/>
                <w:szCs w:val="18"/>
              </w:rPr>
              <w:t>计量</w:t>
            </w:r>
            <w:r>
              <w:rPr>
                <w:sz w:val="18"/>
                <w:szCs w:val="18"/>
              </w:rPr>
              <w:t xml:space="preserve"> </w:t>
            </w:r>
            <w:r>
              <w:rPr>
                <w:b/>
                <w:bCs/>
                <w:spacing w:val="-7"/>
                <w:sz w:val="18"/>
                <w:szCs w:val="18"/>
              </w:rPr>
              <w:t>单位</w:t>
            </w:r>
          </w:p>
        </w:tc>
        <w:tc>
          <w:tcPr>
            <w:tcW w:w="1125" w:type="dxa"/>
            <w:vAlign w:val="top"/>
          </w:tcPr>
          <w:p w14:paraId="538EFA9E">
            <w:pPr>
              <w:pStyle w:val="142"/>
              <w:spacing w:before="220" w:line="220" w:lineRule="auto"/>
              <w:ind w:left="388"/>
              <w:rPr>
                <w:sz w:val="18"/>
                <w:szCs w:val="18"/>
              </w:rPr>
            </w:pPr>
            <w:r>
              <w:rPr>
                <w:b/>
                <w:bCs/>
                <w:spacing w:val="-7"/>
                <w:sz w:val="18"/>
                <w:szCs w:val="18"/>
              </w:rPr>
              <w:t>大型</w:t>
            </w:r>
          </w:p>
        </w:tc>
        <w:tc>
          <w:tcPr>
            <w:tcW w:w="1701" w:type="dxa"/>
            <w:vAlign w:val="top"/>
          </w:tcPr>
          <w:p w14:paraId="30C880B1">
            <w:pPr>
              <w:pStyle w:val="142"/>
              <w:spacing w:before="220" w:line="220" w:lineRule="auto"/>
              <w:ind w:left="692"/>
              <w:rPr>
                <w:sz w:val="18"/>
                <w:szCs w:val="18"/>
              </w:rPr>
            </w:pPr>
            <w:r>
              <w:rPr>
                <w:b/>
                <w:bCs/>
                <w:spacing w:val="-14"/>
                <w:sz w:val="18"/>
                <w:szCs w:val="18"/>
              </w:rPr>
              <w:t>中型</w:t>
            </w:r>
          </w:p>
        </w:tc>
        <w:tc>
          <w:tcPr>
            <w:tcW w:w="1426" w:type="dxa"/>
            <w:vAlign w:val="top"/>
          </w:tcPr>
          <w:p w14:paraId="3A6634EB">
            <w:pPr>
              <w:pStyle w:val="142"/>
              <w:spacing w:before="220" w:line="221" w:lineRule="auto"/>
              <w:ind w:left="541"/>
              <w:rPr>
                <w:sz w:val="18"/>
                <w:szCs w:val="18"/>
              </w:rPr>
            </w:pPr>
            <w:r>
              <w:rPr>
                <w:b/>
                <w:bCs/>
                <w:spacing w:val="-8"/>
                <w:sz w:val="18"/>
                <w:szCs w:val="18"/>
              </w:rPr>
              <w:t>小型</w:t>
            </w:r>
          </w:p>
        </w:tc>
        <w:tc>
          <w:tcPr>
            <w:tcW w:w="992" w:type="dxa"/>
            <w:tcBorders>
              <w:right w:val="nil"/>
            </w:tcBorders>
            <w:vAlign w:val="top"/>
          </w:tcPr>
          <w:p w14:paraId="22BFC0C3">
            <w:pPr>
              <w:pStyle w:val="142"/>
              <w:spacing w:before="220" w:line="219" w:lineRule="auto"/>
              <w:ind w:left="320"/>
              <w:rPr>
                <w:sz w:val="18"/>
                <w:szCs w:val="18"/>
              </w:rPr>
            </w:pPr>
            <w:r>
              <w:rPr>
                <w:b/>
                <w:bCs/>
                <w:spacing w:val="-6"/>
                <w:sz w:val="18"/>
                <w:szCs w:val="18"/>
              </w:rPr>
              <w:t>微型</w:t>
            </w:r>
          </w:p>
        </w:tc>
      </w:tr>
      <w:tr w14:paraId="1BFBD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3" w:type="dxa"/>
            <w:tcBorders>
              <w:left w:val="nil"/>
            </w:tcBorders>
            <w:vAlign w:val="top"/>
          </w:tcPr>
          <w:p w14:paraId="2B3099F1">
            <w:pPr>
              <w:pStyle w:val="142"/>
              <w:spacing w:before="110" w:line="219" w:lineRule="auto"/>
              <w:ind w:left="116"/>
              <w:rPr>
                <w:sz w:val="18"/>
                <w:szCs w:val="18"/>
              </w:rPr>
            </w:pPr>
            <w:r>
              <w:rPr>
                <w:spacing w:val="-1"/>
                <w:sz w:val="18"/>
                <w:szCs w:val="18"/>
              </w:rPr>
              <w:t>农、林、牧、渔业</w:t>
            </w:r>
          </w:p>
        </w:tc>
        <w:tc>
          <w:tcPr>
            <w:tcW w:w="1369" w:type="dxa"/>
            <w:vAlign w:val="top"/>
          </w:tcPr>
          <w:p w14:paraId="18467693">
            <w:pPr>
              <w:pStyle w:val="142"/>
              <w:spacing w:before="103" w:line="219" w:lineRule="auto"/>
              <w:ind w:left="199"/>
              <w:rPr>
                <w:sz w:val="18"/>
                <w:szCs w:val="18"/>
              </w:rPr>
            </w:pPr>
            <w:r>
              <w:rPr>
                <w:spacing w:val="-2"/>
                <w:sz w:val="18"/>
                <w:szCs w:val="18"/>
              </w:rPr>
              <w:t>营业收入(Y)</w:t>
            </w:r>
          </w:p>
        </w:tc>
        <w:tc>
          <w:tcPr>
            <w:tcW w:w="709" w:type="dxa"/>
            <w:vAlign w:val="top"/>
          </w:tcPr>
          <w:p w14:paraId="22509EE1">
            <w:pPr>
              <w:pStyle w:val="142"/>
              <w:spacing w:before="103" w:line="220" w:lineRule="auto"/>
              <w:ind w:left="183"/>
              <w:rPr>
                <w:sz w:val="18"/>
                <w:szCs w:val="18"/>
              </w:rPr>
            </w:pPr>
            <w:r>
              <w:rPr>
                <w:spacing w:val="-6"/>
                <w:sz w:val="18"/>
                <w:szCs w:val="18"/>
              </w:rPr>
              <w:t>万元</w:t>
            </w:r>
          </w:p>
        </w:tc>
        <w:tc>
          <w:tcPr>
            <w:tcW w:w="1125" w:type="dxa"/>
            <w:vAlign w:val="top"/>
          </w:tcPr>
          <w:p w14:paraId="21A98C8B">
            <w:pPr>
              <w:pStyle w:val="142"/>
              <w:spacing w:before="103" w:line="237" w:lineRule="auto"/>
              <w:ind w:left="203"/>
              <w:rPr>
                <w:sz w:val="18"/>
                <w:szCs w:val="18"/>
              </w:rPr>
            </w:pPr>
            <w:r>
              <w:rPr>
                <w:spacing w:val="-1"/>
                <w:sz w:val="18"/>
                <w:szCs w:val="18"/>
              </w:rPr>
              <w:t>Y≥20000</w:t>
            </w:r>
          </w:p>
        </w:tc>
        <w:tc>
          <w:tcPr>
            <w:tcW w:w="1701" w:type="dxa"/>
            <w:vAlign w:val="top"/>
          </w:tcPr>
          <w:p w14:paraId="58DF2DE0">
            <w:pPr>
              <w:pStyle w:val="142"/>
              <w:spacing w:before="103" w:line="236" w:lineRule="auto"/>
              <w:ind w:left="318"/>
              <w:rPr>
                <w:sz w:val="18"/>
                <w:szCs w:val="18"/>
              </w:rPr>
            </w:pPr>
            <w:r>
              <w:rPr>
                <w:spacing w:val="-1"/>
                <w:sz w:val="18"/>
                <w:szCs w:val="18"/>
              </w:rPr>
              <w:t>500≤Y＜20000</w:t>
            </w:r>
          </w:p>
        </w:tc>
        <w:tc>
          <w:tcPr>
            <w:tcW w:w="1426" w:type="dxa"/>
            <w:vAlign w:val="top"/>
          </w:tcPr>
          <w:p w14:paraId="37B39E85">
            <w:pPr>
              <w:pStyle w:val="142"/>
              <w:spacing w:before="103" w:line="236" w:lineRule="auto"/>
              <w:ind w:left="316"/>
              <w:rPr>
                <w:sz w:val="18"/>
                <w:szCs w:val="18"/>
              </w:rPr>
            </w:pPr>
            <w:r>
              <w:rPr>
                <w:spacing w:val="-2"/>
                <w:sz w:val="18"/>
                <w:szCs w:val="18"/>
              </w:rPr>
              <w:t>50≤Y＜500</w:t>
            </w:r>
          </w:p>
        </w:tc>
        <w:tc>
          <w:tcPr>
            <w:tcW w:w="992" w:type="dxa"/>
            <w:tcBorders>
              <w:right w:val="nil"/>
            </w:tcBorders>
            <w:vAlign w:val="top"/>
          </w:tcPr>
          <w:p w14:paraId="769B99A9">
            <w:pPr>
              <w:pStyle w:val="142"/>
              <w:spacing w:before="102"/>
              <w:ind w:left="271"/>
              <w:rPr>
                <w:sz w:val="18"/>
                <w:szCs w:val="18"/>
              </w:rPr>
            </w:pPr>
            <w:r>
              <w:rPr>
                <w:spacing w:val="-1"/>
                <w:sz w:val="18"/>
                <w:szCs w:val="18"/>
              </w:rPr>
              <w:t>Y＜50</w:t>
            </w:r>
          </w:p>
        </w:tc>
      </w:tr>
      <w:tr w14:paraId="67C4D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113" w:type="dxa"/>
            <w:tcBorders>
              <w:left w:val="nil"/>
            </w:tcBorders>
            <w:vAlign w:val="top"/>
          </w:tcPr>
          <w:p w14:paraId="5E3BE84B">
            <w:pPr>
              <w:spacing w:line="250" w:lineRule="auto"/>
              <w:rPr>
                <w:rFonts w:ascii="Arial"/>
                <w:sz w:val="21"/>
              </w:rPr>
            </w:pPr>
          </w:p>
          <w:p w14:paraId="25BAC7B0">
            <w:pPr>
              <w:pStyle w:val="142"/>
              <w:spacing w:before="59" w:line="232" w:lineRule="auto"/>
              <w:ind w:left="118"/>
              <w:rPr>
                <w:sz w:val="18"/>
                <w:szCs w:val="18"/>
              </w:rPr>
            </w:pPr>
            <w:r>
              <w:rPr>
                <w:spacing w:val="-4"/>
                <w:sz w:val="18"/>
                <w:szCs w:val="18"/>
              </w:rPr>
              <w:t>工业</w:t>
            </w:r>
            <w:r>
              <w:rPr>
                <w:spacing w:val="6"/>
                <w:sz w:val="18"/>
                <w:szCs w:val="18"/>
              </w:rPr>
              <w:t xml:space="preserve"> </w:t>
            </w:r>
            <w:r>
              <w:rPr>
                <w:spacing w:val="-4"/>
                <w:sz w:val="18"/>
                <w:szCs w:val="18"/>
              </w:rPr>
              <w:t>*</w:t>
            </w:r>
          </w:p>
        </w:tc>
        <w:tc>
          <w:tcPr>
            <w:tcW w:w="1369" w:type="dxa"/>
            <w:vAlign w:val="top"/>
          </w:tcPr>
          <w:p w14:paraId="3848F562">
            <w:pPr>
              <w:pStyle w:val="142"/>
              <w:spacing w:before="101" w:line="347"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5BEF1BED">
            <w:pPr>
              <w:pStyle w:val="142"/>
              <w:spacing w:before="101" w:line="347"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3697825F">
            <w:pPr>
              <w:pStyle w:val="142"/>
              <w:spacing w:before="101" w:line="347" w:lineRule="auto"/>
              <w:ind w:left="203" w:right="201" w:firstLine="46"/>
              <w:rPr>
                <w:sz w:val="18"/>
                <w:szCs w:val="18"/>
              </w:rPr>
            </w:pPr>
            <w:r>
              <w:rPr>
                <w:spacing w:val="-1"/>
                <w:sz w:val="18"/>
                <w:szCs w:val="18"/>
              </w:rPr>
              <w:t>X≥1000</w:t>
            </w:r>
            <w:r>
              <w:rPr>
                <w:sz w:val="18"/>
                <w:szCs w:val="18"/>
              </w:rPr>
              <w:t xml:space="preserve"> </w:t>
            </w:r>
            <w:r>
              <w:rPr>
                <w:spacing w:val="-1"/>
                <w:sz w:val="18"/>
                <w:szCs w:val="18"/>
              </w:rPr>
              <w:t>Y≥40000</w:t>
            </w:r>
          </w:p>
        </w:tc>
        <w:tc>
          <w:tcPr>
            <w:tcW w:w="1701" w:type="dxa"/>
            <w:vAlign w:val="top"/>
          </w:tcPr>
          <w:p w14:paraId="311CD160">
            <w:pPr>
              <w:pStyle w:val="142"/>
              <w:spacing w:before="101" w:line="347" w:lineRule="auto"/>
              <w:ind w:left="226" w:right="217" w:firstLine="92"/>
              <w:rPr>
                <w:sz w:val="18"/>
                <w:szCs w:val="18"/>
              </w:rPr>
            </w:pPr>
            <w:r>
              <w:rPr>
                <w:spacing w:val="-1"/>
                <w:sz w:val="18"/>
                <w:szCs w:val="18"/>
              </w:rPr>
              <w:t>300≤X＜1000</w:t>
            </w:r>
            <w:r>
              <w:rPr>
                <w:sz w:val="18"/>
                <w:szCs w:val="18"/>
              </w:rPr>
              <w:t xml:space="preserve">  </w:t>
            </w:r>
            <w:r>
              <w:rPr>
                <w:spacing w:val="-1"/>
                <w:sz w:val="18"/>
                <w:szCs w:val="18"/>
              </w:rPr>
              <w:t>2000≤Y＜40000</w:t>
            </w:r>
          </w:p>
        </w:tc>
        <w:tc>
          <w:tcPr>
            <w:tcW w:w="1426" w:type="dxa"/>
            <w:vAlign w:val="top"/>
          </w:tcPr>
          <w:p w14:paraId="4BBAEF79">
            <w:pPr>
              <w:pStyle w:val="142"/>
              <w:spacing w:before="101" w:line="347" w:lineRule="auto"/>
              <w:ind w:left="225" w:right="124" w:firstLine="89"/>
              <w:rPr>
                <w:sz w:val="18"/>
                <w:szCs w:val="18"/>
              </w:rPr>
            </w:pPr>
            <w:r>
              <w:rPr>
                <w:spacing w:val="-2"/>
                <w:sz w:val="18"/>
                <w:szCs w:val="18"/>
              </w:rPr>
              <w:t>20≤X＜300</w:t>
            </w:r>
            <w:r>
              <w:rPr>
                <w:spacing w:val="2"/>
                <w:sz w:val="18"/>
                <w:szCs w:val="18"/>
              </w:rPr>
              <w:t xml:space="preserve">  </w:t>
            </w:r>
            <w:r>
              <w:rPr>
                <w:spacing w:val="-1"/>
                <w:sz w:val="18"/>
                <w:szCs w:val="18"/>
              </w:rPr>
              <w:t>300≤Y＜2000</w:t>
            </w:r>
          </w:p>
        </w:tc>
        <w:tc>
          <w:tcPr>
            <w:tcW w:w="992" w:type="dxa"/>
            <w:tcBorders>
              <w:right w:val="nil"/>
            </w:tcBorders>
            <w:vAlign w:val="top"/>
          </w:tcPr>
          <w:p w14:paraId="48905E49">
            <w:pPr>
              <w:pStyle w:val="142"/>
              <w:spacing w:before="101" w:line="347" w:lineRule="auto"/>
              <w:ind w:left="228" w:right="226" w:firstLine="43"/>
              <w:rPr>
                <w:sz w:val="18"/>
                <w:szCs w:val="18"/>
              </w:rPr>
            </w:pPr>
            <w:r>
              <w:rPr>
                <w:spacing w:val="-1"/>
                <w:sz w:val="18"/>
                <w:szCs w:val="18"/>
              </w:rPr>
              <w:t>X＜20</w:t>
            </w:r>
            <w:r>
              <w:rPr>
                <w:sz w:val="18"/>
                <w:szCs w:val="18"/>
              </w:rPr>
              <w:t xml:space="preserve"> </w:t>
            </w:r>
            <w:r>
              <w:rPr>
                <w:spacing w:val="-2"/>
                <w:sz w:val="18"/>
                <w:szCs w:val="18"/>
              </w:rPr>
              <w:t>Y＜300</w:t>
            </w:r>
          </w:p>
        </w:tc>
      </w:tr>
      <w:tr w14:paraId="58E9D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113" w:type="dxa"/>
            <w:tcBorders>
              <w:left w:val="nil"/>
            </w:tcBorders>
            <w:vAlign w:val="top"/>
          </w:tcPr>
          <w:p w14:paraId="163F7059">
            <w:pPr>
              <w:spacing w:line="252" w:lineRule="auto"/>
              <w:rPr>
                <w:rFonts w:ascii="Arial"/>
                <w:sz w:val="21"/>
              </w:rPr>
            </w:pPr>
          </w:p>
          <w:p w14:paraId="75977F41">
            <w:pPr>
              <w:pStyle w:val="142"/>
              <w:spacing w:before="58" w:line="220" w:lineRule="auto"/>
              <w:ind w:left="118"/>
              <w:rPr>
                <w:sz w:val="18"/>
                <w:szCs w:val="18"/>
              </w:rPr>
            </w:pPr>
            <w:r>
              <w:rPr>
                <w:spacing w:val="-4"/>
                <w:sz w:val="18"/>
                <w:szCs w:val="18"/>
              </w:rPr>
              <w:t>建筑业</w:t>
            </w:r>
          </w:p>
        </w:tc>
        <w:tc>
          <w:tcPr>
            <w:tcW w:w="1369" w:type="dxa"/>
            <w:vAlign w:val="top"/>
          </w:tcPr>
          <w:p w14:paraId="337CF8D6">
            <w:pPr>
              <w:pStyle w:val="142"/>
              <w:spacing w:before="104" w:line="346" w:lineRule="auto"/>
              <w:ind w:left="201" w:right="186" w:hanging="2"/>
              <w:rPr>
                <w:sz w:val="18"/>
                <w:szCs w:val="18"/>
              </w:rPr>
            </w:pPr>
            <w:r>
              <w:rPr>
                <w:spacing w:val="-2"/>
                <w:sz w:val="18"/>
                <w:szCs w:val="18"/>
              </w:rPr>
              <w:t>营业收入(Y)</w:t>
            </w:r>
            <w:r>
              <w:rPr>
                <w:sz w:val="18"/>
                <w:szCs w:val="18"/>
              </w:rPr>
              <w:t xml:space="preserve"> </w:t>
            </w:r>
            <w:r>
              <w:rPr>
                <w:spacing w:val="-3"/>
                <w:sz w:val="18"/>
                <w:szCs w:val="18"/>
              </w:rPr>
              <w:t>资产总额(Z)</w:t>
            </w:r>
          </w:p>
        </w:tc>
        <w:tc>
          <w:tcPr>
            <w:tcW w:w="709" w:type="dxa"/>
            <w:vAlign w:val="top"/>
          </w:tcPr>
          <w:p w14:paraId="798B5F2A">
            <w:pPr>
              <w:pStyle w:val="142"/>
              <w:spacing w:before="104" w:line="346" w:lineRule="auto"/>
              <w:ind w:left="183" w:right="172"/>
              <w:rPr>
                <w:sz w:val="18"/>
                <w:szCs w:val="18"/>
              </w:rPr>
            </w:pPr>
            <w:r>
              <w:rPr>
                <w:spacing w:val="-6"/>
                <w:sz w:val="18"/>
                <w:szCs w:val="18"/>
              </w:rPr>
              <w:t>万元</w:t>
            </w:r>
            <w:r>
              <w:rPr>
                <w:sz w:val="18"/>
                <w:szCs w:val="18"/>
              </w:rPr>
              <w:t xml:space="preserve"> </w:t>
            </w:r>
            <w:r>
              <w:rPr>
                <w:spacing w:val="-6"/>
                <w:sz w:val="18"/>
                <w:szCs w:val="18"/>
              </w:rPr>
              <w:t>万元</w:t>
            </w:r>
          </w:p>
        </w:tc>
        <w:tc>
          <w:tcPr>
            <w:tcW w:w="1125" w:type="dxa"/>
            <w:vAlign w:val="top"/>
          </w:tcPr>
          <w:p w14:paraId="189A812C">
            <w:pPr>
              <w:pStyle w:val="142"/>
              <w:spacing w:before="104" w:line="346" w:lineRule="auto"/>
              <w:ind w:left="205" w:right="201" w:hanging="2"/>
              <w:rPr>
                <w:sz w:val="18"/>
                <w:szCs w:val="18"/>
              </w:rPr>
            </w:pPr>
            <w:r>
              <w:rPr>
                <w:spacing w:val="-1"/>
                <w:sz w:val="18"/>
                <w:szCs w:val="18"/>
              </w:rPr>
              <w:t>Y≥80000</w:t>
            </w:r>
            <w:r>
              <w:rPr>
                <w:sz w:val="18"/>
                <w:szCs w:val="18"/>
              </w:rPr>
              <w:t xml:space="preserve"> </w:t>
            </w:r>
            <w:r>
              <w:rPr>
                <w:spacing w:val="-2"/>
                <w:sz w:val="18"/>
                <w:szCs w:val="18"/>
              </w:rPr>
              <w:t>Z≥80000</w:t>
            </w:r>
          </w:p>
        </w:tc>
        <w:tc>
          <w:tcPr>
            <w:tcW w:w="1701" w:type="dxa"/>
            <w:vAlign w:val="top"/>
          </w:tcPr>
          <w:p w14:paraId="1EC2E6D1">
            <w:pPr>
              <w:pStyle w:val="142"/>
              <w:spacing w:before="104" w:line="346" w:lineRule="auto"/>
              <w:ind w:left="227" w:right="217" w:hanging="2"/>
              <w:rPr>
                <w:sz w:val="18"/>
                <w:szCs w:val="18"/>
              </w:rPr>
            </w:pPr>
            <w:r>
              <w:rPr>
                <w:spacing w:val="-1"/>
                <w:sz w:val="18"/>
                <w:szCs w:val="18"/>
              </w:rPr>
              <w:t>6000≤Y＜80000</w:t>
            </w:r>
            <w:r>
              <w:rPr>
                <w:spacing w:val="3"/>
                <w:sz w:val="18"/>
                <w:szCs w:val="18"/>
              </w:rPr>
              <w:t xml:space="preserve"> </w:t>
            </w:r>
            <w:r>
              <w:rPr>
                <w:spacing w:val="-1"/>
                <w:sz w:val="18"/>
                <w:szCs w:val="18"/>
              </w:rPr>
              <w:t>5000≤Z＜80000</w:t>
            </w:r>
          </w:p>
        </w:tc>
        <w:tc>
          <w:tcPr>
            <w:tcW w:w="1426" w:type="dxa"/>
            <w:vAlign w:val="top"/>
          </w:tcPr>
          <w:p w14:paraId="743F9569">
            <w:pPr>
              <w:pStyle w:val="142"/>
              <w:spacing w:before="104" w:line="346" w:lineRule="auto"/>
              <w:ind w:left="225" w:right="124"/>
              <w:rPr>
                <w:sz w:val="18"/>
                <w:szCs w:val="18"/>
              </w:rPr>
            </w:pPr>
            <w:r>
              <w:rPr>
                <w:spacing w:val="-1"/>
                <w:sz w:val="18"/>
                <w:szCs w:val="18"/>
              </w:rPr>
              <w:t>300≤Y＜6000</w:t>
            </w:r>
            <w:r>
              <w:rPr>
                <w:sz w:val="18"/>
                <w:szCs w:val="18"/>
              </w:rPr>
              <w:t xml:space="preserve"> </w:t>
            </w:r>
            <w:r>
              <w:rPr>
                <w:spacing w:val="-1"/>
                <w:sz w:val="18"/>
                <w:szCs w:val="18"/>
              </w:rPr>
              <w:t>300≤Z＜5000</w:t>
            </w:r>
          </w:p>
        </w:tc>
        <w:tc>
          <w:tcPr>
            <w:tcW w:w="992" w:type="dxa"/>
            <w:tcBorders>
              <w:right w:val="nil"/>
            </w:tcBorders>
            <w:vAlign w:val="top"/>
          </w:tcPr>
          <w:p w14:paraId="5F3F762A">
            <w:pPr>
              <w:pStyle w:val="142"/>
              <w:spacing w:before="104" w:line="346" w:lineRule="auto"/>
              <w:ind w:left="230" w:right="226" w:hanging="2"/>
              <w:rPr>
                <w:sz w:val="18"/>
                <w:szCs w:val="18"/>
              </w:rPr>
            </w:pPr>
            <w:r>
              <w:rPr>
                <w:spacing w:val="-2"/>
                <w:sz w:val="18"/>
                <w:szCs w:val="18"/>
              </w:rPr>
              <w:t>Y＜300</w:t>
            </w:r>
            <w:r>
              <w:rPr>
                <w:spacing w:val="3"/>
                <w:sz w:val="18"/>
                <w:szCs w:val="18"/>
              </w:rPr>
              <w:t xml:space="preserve"> </w:t>
            </w:r>
            <w:r>
              <w:rPr>
                <w:spacing w:val="-2"/>
                <w:sz w:val="18"/>
                <w:szCs w:val="18"/>
              </w:rPr>
              <w:t>Z＜300</w:t>
            </w:r>
          </w:p>
        </w:tc>
      </w:tr>
      <w:tr w14:paraId="75DB6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113" w:type="dxa"/>
            <w:tcBorders>
              <w:left w:val="nil"/>
            </w:tcBorders>
            <w:vAlign w:val="top"/>
          </w:tcPr>
          <w:p w14:paraId="473B7B41">
            <w:pPr>
              <w:spacing w:line="250" w:lineRule="auto"/>
              <w:rPr>
                <w:rFonts w:ascii="Arial"/>
                <w:sz w:val="21"/>
              </w:rPr>
            </w:pPr>
          </w:p>
          <w:p w14:paraId="2F82B16D">
            <w:pPr>
              <w:pStyle w:val="142"/>
              <w:spacing w:before="58" w:line="220" w:lineRule="auto"/>
              <w:ind w:left="115"/>
              <w:rPr>
                <w:sz w:val="18"/>
                <w:szCs w:val="18"/>
              </w:rPr>
            </w:pPr>
            <w:r>
              <w:rPr>
                <w:spacing w:val="-3"/>
                <w:sz w:val="18"/>
                <w:szCs w:val="18"/>
              </w:rPr>
              <w:t>批发业</w:t>
            </w:r>
          </w:p>
        </w:tc>
        <w:tc>
          <w:tcPr>
            <w:tcW w:w="1369" w:type="dxa"/>
            <w:vAlign w:val="top"/>
          </w:tcPr>
          <w:p w14:paraId="1D829962">
            <w:pPr>
              <w:pStyle w:val="142"/>
              <w:spacing w:before="103" w:line="346"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33C3D9B1">
            <w:pPr>
              <w:pStyle w:val="142"/>
              <w:spacing w:before="103" w:line="346"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7167F786">
            <w:pPr>
              <w:pStyle w:val="142"/>
              <w:spacing w:before="103" w:line="346" w:lineRule="auto"/>
              <w:ind w:left="203" w:right="201" w:firstLine="89"/>
              <w:rPr>
                <w:sz w:val="18"/>
                <w:szCs w:val="18"/>
              </w:rPr>
            </w:pPr>
            <w:r>
              <w:rPr>
                <w:spacing w:val="-1"/>
                <w:sz w:val="18"/>
                <w:szCs w:val="18"/>
              </w:rPr>
              <w:t>X≥200</w:t>
            </w:r>
            <w:r>
              <w:rPr>
                <w:sz w:val="18"/>
                <w:szCs w:val="18"/>
              </w:rPr>
              <w:t xml:space="preserve">  </w:t>
            </w:r>
            <w:r>
              <w:rPr>
                <w:spacing w:val="-1"/>
                <w:sz w:val="18"/>
                <w:szCs w:val="18"/>
              </w:rPr>
              <w:t>Y≥40000</w:t>
            </w:r>
          </w:p>
        </w:tc>
        <w:tc>
          <w:tcPr>
            <w:tcW w:w="1701" w:type="dxa"/>
            <w:vAlign w:val="top"/>
          </w:tcPr>
          <w:p w14:paraId="4CBD4CCC">
            <w:pPr>
              <w:pStyle w:val="142"/>
              <w:spacing w:before="103" w:line="236" w:lineRule="auto"/>
              <w:ind w:left="406"/>
              <w:rPr>
                <w:sz w:val="18"/>
                <w:szCs w:val="18"/>
              </w:rPr>
            </w:pPr>
            <w:r>
              <w:rPr>
                <w:spacing w:val="-1"/>
                <w:sz w:val="18"/>
                <w:szCs w:val="18"/>
              </w:rPr>
              <w:t>20≤X＜200</w:t>
            </w:r>
          </w:p>
          <w:p w14:paraId="236BB74A">
            <w:pPr>
              <w:pStyle w:val="142"/>
              <w:spacing w:before="168" w:line="236" w:lineRule="auto"/>
              <w:ind w:left="227"/>
              <w:rPr>
                <w:sz w:val="18"/>
                <w:szCs w:val="18"/>
              </w:rPr>
            </w:pPr>
            <w:r>
              <w:rPr>
                <w:spacing w:val="-1"/>
                <w:sz w:val="18"/>
                <w:szCs w:val="18"/>
              </w:rPr>
              <w:t>5000≤Y＜40000</w:t>
            </w:r>
          </w:p>
        </w:tc>
        <w:tc>
          <w:tcPr>
            <w:tcW w:w="1426" w:type="dxa"/>
            <w:vAlign w:val="top"/>
          </w:tcPr>
          <w:p w14:paraId="46188767">
            <w:pPr>
              <w:pStyle w:val="142"/>
              <w:spacing w:before="103" w:line="236" w:lineRule="auto"/>
              <w:ind w:left="405"/>
              <w:rPr>
                <w:sz w:val="18"/>
                <w:szCs w:val="18"/>
              </w:rPr>
            </w:pPr>
            <w:r>
              <w:rPr>
                <w:spacing w:val="-2"/>
                <w:sz w:val="18"/>
                <w:szCs w:val="18"/>
              </w:rPr>
              <w:t>5≤X＜20</w:t>
            </w:r>
          </w:p>
          <w:p w14:paraId="6E6D5010">
            <w:pPr>
              <w:pStyle w:val="142"/>
              <w:spacing w:before="168" w:line="236" w:lineRule="auto"/>
              <w:ind w:left="144"/>
              <w:rPr>
                <w:sz w:val="18"/>
                <w:szCs w:val="18"/>
              </w:rPr>
            </w:pPr>
            <w:r>
              <w:rPr>
                <w:spacing w:val="-2"/>
                <w:sz w:val="18"/>
                <w:szCs w:val="18"/>
              </w:rPr>
              <w:t>1000≤Y＜5000</w:t>
            </w:r>
          </w:p>
        </w:tc>
        <w:tc>
          <w:tcPr>
            <w:tcW w:w="992" w:type="dxa"/>
            <w:tcBorders>
              <w:right w:val="nil"/>
            </w:tcBorders>
            <w:vAlign w:val="top"/>
          </w:tcPr>
          <w:p w14:paraId="15B853DC">
            <w:pPr>
              <w:pStyle w:val="142"/>
              <w:spacing w:before="103" w:line="346" w:lineRule="auto"/>
              <w:ind w:left="182" w:right="180" w:firstLine="135"/>
              <w:rPr>
                <w:sz w:val="18"/>
                <w:szCs w:val="18"/>
              </w:rPr>
            </w:pPr>
            <w:r>
              <w:rPr>
                <w:spacing w:val="-2"/>
                <w:sz w:val="18"/>
                <w:szCs w:val="18"/>
              </w:rPr>
              <w:t>X＜5</w:t>
            </w:r>
            <w:r>
              <w:rPr>
                <w:sz w:val="18"/>
                <w:szCs w:val="18"/>
              </w:rPr>
              <w:t xml:space="preserve">  </w:t>
            </w:r>
            <w:r>
              <w:rPr>
                <w:spacing w:val="-1"/>
                <w:sz w:val="18"/>
                <w:szCs w:val="18"/>
              </w:rPr>
              <w:t>Y＜1000</w:t>
            </w:r>
          </w:p>
        </w:tc>
      </w:tr>
      <w:tr w14:paraId="7B23F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113" w:type="dxa"/>
            <w:tcBorders>
              <w:left w:val="nil"/>
            </w:tcBorders>
            <w:vAlign w:val="top"/>
          </w:tcPr>
          <w:p w14:paraId="07506562">
            <w:pPr>
              <w:spacing w:line="252" w:lineRule="auto"/>
              <w:rPr>
                <w:rFonts w:ascii="Arial"/>
                <w:sz w:val="21"/>
              </w:rPr>
            </w:pPr>
          </w:p>
          <w:p w14:paraId="56BECDCB">
            <w:pPr>
              <w:pStyle w:val="142"/>
              <w:spacing w:before="58" w:line="219" w:lineRule="auto"/>
              <w:ind w:left="116"/>
              <w:rPr>
                <w:sz w:val="18"/>
                <w:szCs w:val="18"/>
              </w:rPr>
            </w:pPr>
            <w:r>
              <w:rPr>
                <w:spacing w:val="-3"/>
                <w:sz w:val="18"/>
                <w:szCs w:val="18"/>
              </w:rPr>
              <w:t>零售业</w:t>
            </w:r>
          </w:p>
        </w:tc>
        <w:tc>
          <w:tcPr>
            <w:tcW w:w="1369" w:type="dxa"/>
            <w:vAlign w:val="top"/>
          </w:tcPr>
          <w:p w14:paraId="062935A9">
            <w:pPr>
              <w:pStyle w:val="142"/>
              <w:spacing w:before="106" w:line="345"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1AC243B6">
            <w:pPr>
              <w:pStyle w:val="142"/>
              <w:spacing w:before="106" w:line="345"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02E2A6BE">
            <w:pPr>
              <w:pStyle w:val="142"/>
              <w:spacing w:before="106" w:line="345" w:lineRule="auto"/>
              <w:ind w:left="203" w:right="201" w:firstLine="89"/>
              <w:rPr>
                <w:sz w:val="18"/>
                <w:szCs w:val="18"/>
              </w:rPr>
            </w:pPr>
            <w:r>
              <w:rPr>
                <w:spacing w:val="-1"/>
                <w:sz w:val="18"/>
                <w:szCs w:val="18"/>
              </w:rPr>
              <w:t>X≥300</w:t>
            </w:r>
            <w:r>
              <w:rPr>
                <w:sz w:val="18"/>
                <w:szCs w:val="18"/>
              </w:rPr>
              <w:t xml:space="preserve">  </w:t>
            </w:r>
            <w:r>
              <w:rPr>
                <w:spacing w:val="-1"/>
                <w:sz w:val="18"/>
                <w:szCs w:val="18"/>
              </w:rPr>
              <w:t>Y≥20000</w:t>
            </w:r>
          </w:p>
        </w:tc>
        <w:tc>
          <w:tcPr>
            <w:tcW w:w="1701" w:type="dxa"/>
            <w:vAlign w:val="top"/>
          </w:tcPr>
          <w:p w14:paraId="3DA80434">
            <w:pPr>
              <w:pStyle w:val="142"/>
              <w:spacing w:before="105" w:line="236" w:lineRule="auto"/>
              <w:ind w:left="407"/>
              <w:rPr>
                <w:sz w:val="18"/>
                <w:szCs w:val="18"/>
              </w:rPr>
            </w:pPr>
            <w:r>
              <w:rPr>
                <w:spacing w:val="-2"/>
                <w:sz w:val="18"/>
                <w:szCs w:val="18"/>
              </w:rPr>
              <w:t>50≤X＜300</w:t>
            </w:r>
          </w:p>
          <w:p w14:paraId="171121F2">
            <w:pPr>
              <w:pStyle w:val="142"/>
              <w:spacing w:before="165" w:line="236" w:lineRule="auto"/>
              <w:ind w:left="318"/>
              <w:rPr>
                <w:sz w:val="18"/>
                <w:szCs w:val="18"/>
              </w:rPr>
            </w:pPr>
            <w:r>
              <w:rPr>
                <w:spacing w:val="-1"/>
                <w:sz w:val="18"/>
                <w:szCs w:val="18"/>
              </w:rPr>
              <w:t>500≤Y＜20000</w:t>
            </w:r>
          </w:p>
        </w:tc>
        <w:tc>
          <w:tcPr>
            <w:tcW w:w="1426" w:type="dxa"/>
            <w:vAlign w:val="top"/>
          </w:tcPr>
          <w:p w14:paraId="5C5A9532">
            <w:pPr>
              <w:pStyle w:val="142"/>
              <w:spacing w:before="106" w:line="345" w:lineRule="auto"/>
              <w:ind w:left="235" w:right="215" w:firstLine="88"/>
              <w:rPr>
                <w:sz w:val="18"/>
                <w:szCs w:val="18"/>
              </w:rPr>
            </w:pPr>
            <w:r>
              <w:rPr>
                <w:spacing w:val="-3"/>
                <w:sz w:val="18"/>
                <w:szCs w:val="18"/>
              </w:rPr>
              <w:t>10≤X＜50</w:t>
            </w:r>
            <w:r>
              <w:rPr>
                <w:spacing w:val="1"/>
                <w:sz w:val="18"/>
                <w:szCs w:val="18"/>
              </w:rPr>
              <w:t xml:space="preserve">  </w:t>
            </w:r>
            <w:r>
              <w:rPr>
                <w:spacing w:val="-3"/>
                <w:sz w:val="18"/>
                <w:szCs w:val="18"/>
              </w:rPr>
              <w:t>100≤Y＜500</w:t>
            </w:r>
          </w:p>
        </w:tc>
        <w:tc>
          <w:tcPr>
            <w:tcW w:w="992" w:type="dxa"/>
            <w:tcBorders>
              <w:right w:val="nil"/>
            </w:tcBorders>
            <w:vAlign w:val="top"/>
          </w:tcPr>
          <w:p w14:paraId="4AB7B875">
            <w:pPr>
              <w:pStyle w:val="142"/>
              <w:spacing w:before="106" w:line="345" w:lineRule="auto"/>
              <w:ind w:left="228" w:right="226" w:firstLine="43"/>
              <w:rPr>
                <w:sz w:val="18"/>
                <w:szCs w:val="18"/>
              </w:rPr>
            </w:pPr>
            <w:r>
              <w:rPr>
                <w:spacing w:val="-1"/>
                <w:sz w:val="18"/>
                <w:szCs w:val="18"/>
              </w:rPr>
              <w:t>X＜10</w:t>
            </w:r>
            <w:r>
              <w:rPr>
                <w:sz w:val="18"/>
                <w:szCs w:val="18"/>
              </w:rPr>
              <w:t xml:space="preserve"> </w:t>
            </w:r>
            <w:r>
              <w:rPr>
                <w:spacing w:val="-2"/>
                <w:sz w:val="18"/>
                <w:szCs w:val="18"/>
              </w:rPr>
              <w:t>Y＜100</w:t>
            </w:r>
          </w:p>
        </w:tc>
      </w:tr>
      <w:tr w14:paraId="43916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113" w:type="dxa"/>
            <w:tcBorders>
              <w:left w:val="nil"/>
            </w:tcBorders>
            <w:vAlign w:val="top"/>
          </w:tcPr>
          <w:p w14:paraId="422B9865">
            <w:pPr>
              <w:spacing w:line="252" w:lineRule="auto"/>
              <w:rPr>
                <w:rFonts w:ascii="Arial"/>
                <w:sz w:val="21"/>
              </w:rPr>
            </w:pPr>
          </w:p>
          <w:p w14:paraId="621F19BE">
            <w:pPr>
              <w:pStyle w:val="142"/>
              <w:spacing w:before="58" w:line="219" w:lineRule="auto"/>
              <w:ind w:left="119"/>
              <w:rPr>
                <w:sz w:val="18"/>
                <w:szCs w:val="18"/>
              </w:rPr>
            </w:pPr>
            <w:r>
              <w:rPr>
                <w:spacing w:val="-1"/>
                <w:sz w:val="18"/>
                <w:szCs w:val="18"/>
              </w:rPr>
              <w:t>交通运输业 *</w:t>
            </w:r>
          </w:p>
        </w:tc>
        <w:tc>
          <w:tcPr>
            <w:tcW w:w="1369" w:type="dxa"/>
            <w:vAlign w:val="top"/>
          </w:tcPr>
          <w:p w14:paraId="042A934A">
            <w:pPr>
              <w:pStyle w:val="142"/>
              <w:spacing w:before="105" w:line="345"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4218C588">
            <w:pPr>
              <w:pStyle w:val="142"/>
              <w:spacing w:before="105" w:line="345"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544FFCA4">
            <w:pPr>
              <w:pStyle w:val="142"/>
              <w:spacing w:before="105" w:line="345" w:lineRule="auto"/>
              <w:ind w:left="203" w:right="201" w:firstLine="46"/>
              <w:rPr>
                <w:sz w:val="18"/>
                <w:szCs w:val="18"/>
              </w:rPr>
            </w:pPr>
            <w:r>
              <w:rPr>
                <w:spacing w:val="-1"/>
                <w:sz w:val="18"/>
                <w:szCs w:val="18"/>
              </w:rPr>
              <w:t>X≥1000</w:t>
            </w:r>
            <w:r>
              <w:rPr>
                <w:sz w:val="18"/>
                <w:szCs w:val="18"/>
              </w:rPr>
              <w:t xml:space="preserve"> </w:t>
            </w:r>
            <w:r>
              <w:rPr>
                <w:spacing w:val="-1"/>
                <w:sz w:val="18"/>
                <w:szCs w:val="18"/>
              </w:rPr>
              <w:t>Y≥30000</w:t>
            </w:r>
          </w:p>
        </w:tc>
        <w:tc>
          <w:tcPr>
            <w:tcW w:w="1701" w:type="dxa"/>
            <w:vAlign w:val="top"/>
          </w:tcPr>
          <w:p w14:paraId="09BD90CF">
            <w:pPr>
              <w:pStyle w:val="142"/>
              <w:spacing w:before="105" w:line="345" w:lineRule="auto"/>
              <w:ind w:left="227" w:right="217" w:firstLine="91"/>
              <w:rPr>
                <w:sz w:val="18"/>
                <w:szCs w:val="18"/>
              </w:rPr>
            </w:pPr>
            <w:r>
              <w:rPr>
                <w:spacing w:val="-1"/>
                <w:sz w:val="18"/>
                <w:szCs w:val="18"/>
              </w:rPr>
              <w:t>300≤X＜1000</w:t>
            </w:r>
            <w:r>
              <w:rPr>
                <w:sz w:val="18"/>
                <w:szCs w:val="18"/>
              </w:rPr>
              <w:t xml:space="preserve">  </w:t>
            </w:r>
            <w:r>
              <w:rPr>
                <w:spacing w:val="-1"/>
                <w:sz w:val="18"/>
                <w:szCs w:val="18"/>
              </w:rPr>
              <w:t>3000≤Y＜30000</w:t>
            </w:r>
          </w:p>
        </w:tc>
        <w:tc>
          <w:tcPr>
            <w:tcW w:w="1426" w:type="dxa"/>
            <w:vAlign w:val="top"/>
          </w:tcPr>
          <w:p w14:paraId="174AA392">
            <w:pPr>
              <w:pStyle w:val="142"/>
              <w:spacing w:before="105" w:line="345" w:lineRule="auto"/>
              <w:ind w:left="224" w:right="124" w:firstLine="91"/>
              <w:rPr>
                <w:sz w:val="18"/>
                <w:szCs w:val="18"/>
              </w:rPr>
            </w:pPr>
            <w:r>
              <w:rPr>
                <w:spacing w:val="-2"/>
                <w:sz w:val="18"/>
                <w:szCs w:val="18"/>
              </w:rPr>
              <w:t>20≤X＜300</w:t>
            </w:r>
            <w:r>
              <w:rPr>
                <w:spacing w:val="2"/>
                <w:sz w:val="18"/>
                <w:szCs w:val="18"/>
              </w:rPr>
              <w:t xml:space="preserve">  </w:t>
            </w:r>
            <w:r>
              <w:rPr>
                <w:spacing w:val="-1"/>
                <w:sz w:val="18"/>
                <w:szCs w:val="18"/>
              </w:rPr>
              <w:t>200≤Y＜3000</w:t>
            </w:r>
          </w:p>
        </w:tc>
        <w:tc>
          <w:tcPr>
            <w:tcW w:w="992" w:type="dxa"/>
            <w:tcBorders>
              <w:right w:val="nil"/>
            </w:tcBorders>
            <w:vAlign w:val="top"/>
          </w:tcPr>
          <w:p w14:paraId="3AE8729C">
            <w:pPr>
              <w:pStyle w:val="142"/>
              <w:spacing w:before="105" w:line="345" w:lineRule="auto"/>
              <w:ind w:left="228" w:right="226" w:firstLine="43"/>
              <w:rPr>
                <w:sz w:val="18"/>
                <w:szCs w:val="18"/>
              </w:rPr>
            </w:pPr>
            <w:r>
              <w:rPr>
                <w:spacing w:val="-1"/>
                <w:sz w:val="18"/>
                <w:szCs w:val="18"/>
              </w:rPr>
              <w:t>X＜20</w:t>
            </w:r>
            <w:r>
              <w:rPr>
                <w:sz w:val="18"/>
                <w:szCs w:val="18"/>
              </w:rPr>
              <w:t xml:space="preserve"> </w:t>
            </w:r>
            <w:r>
              <w:rPr>
                <w:spacing w:val="-2"/>
                <w:sz w:val="18"/>
                <w:szCs w:val="18"/>
              </w:rPr>
              <w:t>Y＜200</w:t>
            </w:r>
          </w:p>
        </w:tc>
      </w:tr>
      <w:tr w14:paraId="6DE49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113" w:type="dxa"/>
            <w:tcBorders>
              <w:left w:val="nil"/>
            </w:tcBorders>
            <w:vAlign w:val="top"/>
          </w:tcPr>
          <w:p w14:paraId="68DCD776">
            <w:pPr>
              <w:spacing w:line="253" w:lineRule="auto"/>
              <w:rPr>
                <w:rFonts w:ascii="Arial"/>
                <w:sz w:val="21"/>
              </w:rPr>
            </w:pPr>
          </w:p>
          <w:p w14:paraId="5D6842A3">
            <w:pPr>
              <w:pStyle w:val="142"/>
              <w:spacing w:before="59" w:line="220" w:lineRule="auto"/>
              <w:ind w:left="115"/>
              <w:rPr>
                <w:sz w:val="18"/>
                <w:szCs w:val="18"/>
              </w:rPr>
            </w:pPr>
            <w:r>
              <w:rPr>
                <w:spacing w:val="-2"/>
                <w:sz w:val="18"/>
                <w:szCs w:val="18"/>
              </w:rPr>
              <w:t>仓储业*</w:t>
            </w:r>
          </w:p>
        </w:tc>
        <w:tc>
          <w:tcPr>
            <w:tcW w:w="1369" w:type="dxa"/>
            <w:vAlign w:val="top"/>
          </w:tcPr>
          <w:p w14:paraId="633BB408">
            <w:pPr>
              <w:pStyle w:val="142"/>
              <w:spacing w:before="106" w:line="345"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4AF8EEEC">
            <w:pPr>
              <w:pStyle w:val="142"/>
              <w:spacing w:before="106" w:line="345"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11B169B3">
            <w:pPr>
              <w:pStyle w:val="142"/>
              <w:spacing w:before="106" w:line="345" w:lineRule="auto"/>
              <w:ind w:left="203" w:right="201" w:firstLine="89"/>
              <w:rPr>
                <w:sz w:val="18"/>
                <w:szCs w:val="18"/>
              </w:rPr>
            </w:pPr>
            <w:r>
              <w:rPr>
                <w:spacing w:val="-1"/>
                <w:sz w:val="18"/>
                <w:szCs w:val="18"/>
              </w:rPr>
              <w:t>X≥200</w:t>
            </w:r>
            <w:r>
              <w:rPr>
                <w:sz w:val="18"/>
                <w:szCs w:val="18"/>
              </w:rPr>
              <w:t xml:space="preserve">  </w:t>
            </w:r>
            <w:r>
              <w:rPr>
                <w:spacing w:val="-1"/>
                <w:sz w:val="18"/>
                <w:szCs w:val="18"/>
              </w:rPr>
              <w:t>Y≥30000</w:t>
            </w:r>
          </w:p>
        </w:tc>
        <w:tc>
          <w:tcPr>
            <w:tcW w:w="1701" w:type="dxa"/>
            <w:vAlign w:val="top"/>
          </w:tcPr>
          <w:p w14:paraId="19A90966">
            <w:pPr>
              <w:pStyle w:val="142"/>
              <w:spacing w:before="107" w:line="236" w:lineRule="auto"/>
              <w:ind w:left="318"/>
              <w:rPr>
                <w:sz w:val="18"/>
                <w:szCs w:val="18"/>
              </w:rPr>
            </w:pPr>
            <w:r>
              <w:rPr>
                <w:spacing w:val="-3"/>
                <w:sz w:val="18"/>
                <w:szCs w:val="18"/>
              </w:rPr>
              <w:t>100≤X＜200</w:t>
            </w:r>
          </w:p>
          <w:p w14:paraId="4129A301">
            <w:pPr>
              <w:pStyle w:val="142"/>
              <w:spacing w:before="165" w:line="236" w:lineRule="auto"/>
              <w:ind w:left="237"/>
              <w:rPr>
                <w:sz w:val="18"/>
                <w:szCs w:val="18"/>
              </w:rPr>
            </w:pPr>
            <w:r>
              <w:rPr>
                <w:spacing w:val="-2"/>
                <w:sz w:val="18"/>
                <w:szCs w:val="18"/>
              </w:rPr>
              <w:t>1000≤Y＜30000</w:t>
            </w:r>
          </w:p>
        </w:tc>
        <w:tc>
          <w:tcPr>
            <w:tcW w:w="1426" w:type="dxa"/>
            <w:vAlign w:val="top"/>
          </w:tcPr>
          <w:p w14:paraId="7E3A8C62">
            <w:pPr>
              <w:pStyle w:val="142"/>
              <w:spacing w:before="106" w:line="345" w:lineRule="auto"/>
              <w:ind w:left="235" w:right="124" w:firstLine="80"/>
              <w:rPr>
                <w:sz w:val="18"/>
                <w:szCs w:val="18"/>
              </w:rPr>
            </w:pPr>
            <w:r>
              <w:rPr>
                <w:spacing w:val="-2"/>
                <w:sz w:val="18"/>
                <w:szCs w:val="18"/>
              </w:rPr>
              <w:t>20≤X＜100</w:t>
            </w:r>
            <w:r>
              <w:rPr>
                <w:spacing w:val="2"/>
                <w:sz w:val="18"/>
                <w:szCs w:val="18"/>
              </w:rPr>
              <w:t xml:space="preserve">  </w:t>
            </w:r>
            <w:r>
              <w:rPr>
                <w:spacing w:val="-2"/>
                <w:sz w:val="18"/>
                <w:szCs w:val="18"/>
              </w:rPr>
              <w:t>100≤Y＜1000</w:t>
            </w:r>
          </w:p>
        </w:tc>
        <w:tc>
          <w:tcPr>
            <w:tcW w:w="992" w:type="dxa"/>
            <w:tcBorders>
              <w:right w:val="nil"/>
            </w:tcBorders>
            <w:vAlign w:val="top"/>
          </w:tcPr>
          <w:p w14:paraId="2FB9FBEE">
            <w:pPr>
              <w:pStyle w:val="142"/>
              <w:spacing w:before="106" w:line="345" w:lineRule="auto"/>
              <w:ind w:left="228" w:right="226" w:firstLine="43"/>
              <w:rPr>
                <w:sz w:val="18"/>
                <w:szCs w:val="18"/>
              </w:rPr>
            </w:pPr>
            <w:r>
              <w:rPr>
                <w:spacing w:val="-1"/>
                <w:sz w:val="18"/>
                <w:szCs w:val="18"/>
              </w:rPr>
              <w:t>X＜20</w:t>
            </w:r>
            <w:r>
              <w:rPr>
                <w:sz w:val="18"/>
                <w:szCs w:val="18"/>
              </w:rPr>
              <w:t xml:space="preserve"> </w:t>
            </w:r>
            <w:r>
              <w:rPr>
                <w:spacing w:val="-2"/>
                <w:sz w:val="18"/>
                <w:szCs w:val="18"/>
              </w:rPr>
              <w:t>Y＜100</w:t>
            </w:r>
          </w:p>
        </w:tc>
      </w:tr>
      <w:tr w14:paraId="05DB1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113" w:type="dxa"/>
            <w:tcBorders>
              <w:left w:val="nil"/>
            </w:tcBorders>
            <w:vAlign w:val="top"/>
          </w:tcPr>
          <w:p w14:paraId="598459C6">
            <w:pPr>
              <w:spacing w:line="253" w:lineRule="auto"/>
              <w:rPr>
                <w:rFonts w:ascii="Arial"/>
                <w:sz w:val="21"/>
              </w:rPr>
            </w:pPr>
          </w:p>
          <w:p w14:paraId="662F7C0A">
            <w:pPr>
              <w:pStyle w:val="142"/>
              <w:spacing w:before="59" w:line="221" w:lineRule="auto"/>
              <w:ind w:left="129"/>
              <w:rPr>
                <w:sz w:val="18"/>
                <w:szCs w:val="18"/>
              </w:rPr>
            </w:pPr>
            <w:r>
              <w:rPr>
                <w:spacing w:val="-7"/>
                <w:sz w:val="18"/>
                <w:szCs w:val="18"/>
              </w:rPr>
              <w:t>邮政业</w:t>
            </w:r>
          </w:p>
        </w:tc>
        <w:tc>
          <w:tcPr>
            <w:tcW w:w="1369" w:type="dxa"/>
            <w:vAlign w:val="top"/>
          </w:tcPr>
          <w:p w14:paraId="3F73ABDB">
            <w:pPr>
              <w:pStyle w:val="142"/>
              <w:spacing w:before="104" w:line="346"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11ABA672">
            <w:pPr>
              <w:pStyle w:val="142"/>
              <w:spacing w:before="104" w:line="346"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0D123105">
            <w:pPr>
              <w:pStyle w:val="142"/>
              <w:spacing w:before="104" w:line="346" w:lineRule="auto"/>
              <w:ind w:left="203" w:right="201" w:firstLine="46"/>
              <w:rPr>
                <w:sz w:val="18"/>
                <w:szCs w:val="18"/>
              </w:rPr>
            </w:pPr>
            <w:r>
              <w:rPr>
                <w:spacing w:val="-1"/>
                <w:sz w:val="18"/>
                <w:szCs w:val="18"/>
              </w:rPr>
              <w:t>X≥1000</w:t>
            </w:r>
            <w:r>
              <w:rPr>
                <w:sz w:val="18"/>
                <w:szCs w:val="18"/>
              </w:rPr>
              <w:t xml:space="preserve"> </w:t>
            </w:r>
            <w:r>
              <w:rPr>
                <w:spacing w:val="-1"/>
                <w:sz w:val="18"/>
                <w:szCs w:val="18"/>
              </w:rPr>
              <w:t>Y≥30000</w:t>
            </w:r>
          </w:p>
        </w:tc>
        <w:tc>
          <w:tcPr>
            <w:tcW w:w="1701" w:type="dxa"/>
            <w:vAlign w:val="top"/>
          </w:tcPr>
          <w:p w14:paraId="178BB37B">
            <w:pPr>
              <w:pStyle w:val="142"/>
              <w:spacing w:before="104" w:line="346" w:lineRule="auto"/>
              <w:ind w:left="226" w:right="217" w:firstLine="92"/>
              <w:rPr>
                <w:sz w:val="18"/>
                <w:szCs w:val="18"/>
              </w:rPr>
            </w:pPr>
            <w:r>
              <w:rPr>
                <w:spacing w:val="-1"/>
                <w:sz w:val="18"/>
                <w:szCs w:val="18"/>
              </w:rPr>
              <w:t>300≤X＜1000</w:t>
            </w:r>
            <w:r>
              <w:rPr>
                <w:sz w:val="18"/>
                <w:szCs w:val="18"/>
              </w:rPr>
              <w:t xml:space="preserve">  </w:t>
            </w:r>
            <w:r>
              <w:rPr>
                <w:spacing w:val="-1"/>
                <w:sz w:val="18"/>
                <w:szCs w:val="18"/>
              </w:rPr>
              <w:t>2000≤Y＜30000</w:t>
            </w:r>
          </w:p>
        </w:tc>
        <w:tc>
          <w:tcPr>
            <w:tcW w:w="1426" w:type="dxa"/>
            <w:vAlign w:val="top"/>
          </w:tcPr>
          <w:p w14:paraId="073E8C68">
            <w:pPr>
              <w:pStyle w:val="142"/>
              <w:spacing w:before="104" w:line="346" w:lineRule="auto"/>
              <w:ind w:left="235" w:right="124" w:firstLine="80"/>
              <w:rPr>
                <w:sz w:val="18"/>
                <w:szCs w:val="18"/>
              </w:rPr>
            </w:pPr>
            <w:r>
              <w:rPr>
                <w:spacing w:val="-2"/>
                <w:sz w:val="18"/>
                <w:szCs w:val="18"/>
              </w:rPr>
              <w:t>20≤X＜300</w:t>
            </w:r>
            <w:r>
              <w:rPr>
                <w:spacing w:val="2"/>
                <w:sz w:val="18"/>
                <w:szCs w:val="18"/>
              </w:rPr>
              <w:t xml:space="preserve">  </w:t>
            </w:r>
            <w:r>
              <w:rPr>
                <w:spacing w:val="-2"/>
                <w:sz w:val="18"/>
                <w:szCs w:val="18"/>
              </w:rPr>
              <w:t>100≤Y＜2000</w:t>
            </w:r>
          </w:p>
        </w:tc>
        <w:tc>
          <w:tcPr>
            <w:tcW w:w="992" w:type="dxa"/>
            <w:tcBorders>
              <w:right w:val="nil"/>
            </w:tcBorders>
            <w:vAlign w:val="top"/>
          </w:tcPr>
          <w:p w14:paraId="41F20CD3">
            <w:pPr>
              <w:pStyle w:val="142"/>
              <w:spacing w:before="104" w:line="346" w:lineRule="auto"/>
              <w:ind w:left="228" w:right="226" w:firstLine="43"/>
              <w:rPr>
                <w:sz w:val="18"/>
                <w:szCs w:val="18"/>
              </w:rPr>
            </w:pPr>
            <w:r>
              <w:rPr>
                <w:spacing w:val="-1"/>
                <w:sz w:val="18"/>
                <w:szCs w:val="18"/>
              </w:rPr>
              <w:t>X＜20</w:t>
            </w:r>
            <w:r>
              <w:rPr>
                <w:sz w:val="18"/>
                <w:szCs w:val="18"/>
              </w:rPr>
              <w:t xml:space="preserve"> </w:t>
            </w:r>
            <w:r>
              <w:rPr>
                <w:spacing w:val="-2"/>
                <w:sz w:val="18"/>
                <w:szCs w:val="18"/>
              </w:rPr>
              <w:t>Y＜100</w:t>
            </w:r>
          </w:p>
        </w:tc>
      </w:tr>
      <w:tr w14:paraId="4CAB9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113" w:type="dxa"/>
            <w:tcBorders>
              <w:left w:val="nil"/>
            </w:tcBorders>
            <w:vAlign w:val="top"/>
          </w:tcPr>
          <w:p w14:paraId="7E258B0A">
            <w:pPr>
              <w:spacing w:line="254" w:lineRule="auto"/>
              <w:rPr>
                <w:rFonts w:ascii="Arial"/>
                <w:sz w:val="21"/>
              </w:rPr>
            </w:pPr>
          </w:p>
          <w:p w14:paraId="7DC5C766">
            <w:pPr>
              <w:pStyle w:val="142"/>
              <w:spacing w:before="59" w:line="219" w:lineRule="auto"/>
              <w:ind w:left="115"/>
              <w:rPr>
                <w:sz w:val="18"/>
                <w:szCs w:val="18"/>
              </w:rPr>
            </w:pPr>
            <w:r>
              <w:rPr>
                <w:spacing w:val="-3"/>
                <w:sz w:val="18"/>
                <w:szCs w:val="18"/>
              </w:rPr>
              <w:t>住宿业</w:t>
            </w:r>
          </w:p>
        </w:tc>
        <w:tc>
          <w:tcPr>
            <w:tcW w:w="1369" w:type="dxa"/>
            <w:vAlign w:val="top"/>
          </w:tcPr>
          <w:p w14:paraId="204DF6BA">
            <w:pPr>
              <w:pStyle w:val="142"/>
              <w:spacing w:before="105" w:line="345"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606ED061">
            <w:pPr>
              <w:pStyle w:val="142"/>
              <w:spacing w:before="105" w:line="345"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3BF62545">
            <w:pPr>
              <w:pStyle w:val="142"/>
              <w:spacing w:before="105" w:line="345" w:lineRule="auto"/>
              <w:ind w:left="203" w:right="201" w:firstLine="89"/>
              <w:rPr>
                <w:sz w:val="18"/>
                <w:szCs w:val="18"/>
              </w:rPr>
            </w:pPr>
            <w:r>
              <w:rPr>
                <w:spacing w:val="-1"/>
                <w:sz w:val="18"/>
                <w:szCs w:val="18"/>
              </w:rPr>
              <w:t>X≥300</w:t>
            </w:r>
            <w:r>
              <w:rPr>
                <w:sz w:val="18"/>
                <w:szCs w:val="18"/>
              </w:rPr>
              <w:t xml:space="preserve">  </w:t>
            </w:r>
            <w:r>
              <w:rPr>
                <w:spacing w:val="-1"/>
                <w:sz w:val="18"/>
                <w:szCs w:val="18"/>
              </w:rPr>
              <w:t>Y≥10000</w:t>
            </w:r>
          </w:p>
        </w:tc>
        <w:tc>
          <w:tcPr>
            <w:tcW w:w="1701" w:type="dxa"/>
            <w:vAlign w:val="top"/>
          </w:tcPr>
          <w:p w14:paraId="5E42E16E">
            <w:pPr>
              <w:pStyle w:val="142"/>
              <w:spacing w:before="105" w:line="236" w:lineRule="auto"/>
              <w:ind w:left="318"/>
              <w:rPr>
                <w:sz w:val="18"/>
                <w:szCs w:val="18"/>
              </w:rPr>
            </w:pPr>
            <w:r>
              <w:rPr>
                <w:spacing w:val="-3"/>
                <w:sz w:val="18"/>
                <w:szCs w:val="18"/>
              </w:rPr>
              <w:t>100≤X＜300</w:t>
            </w:r>
          </w:p>
          <w:p w14:paraId="4C861AAD">
            <w:pPr>
              <w:pStyle w:val="142"/>
              <w:spacing w:before="168" w:line="236" w:lineRule="auto"/>
              <w:ind w:left="226"/>
              <w:rPr>
                <w:sz w:val="18"/>
                <w:szCs w:val="18"/>
              </w:rPr>
            </w:pPr>
            <w:r>
              <w:rPr>
                <w:spacing w:val="-1"/>
                <w:sz w:val="18"/>
                <w:szCs w:val="18"/>
              </w:rPr>
              <w:t>2000≤Y＜10000</w:t>
            </w:r>
          </w:p>
        </w:tc>
        <w:tc>
          <w:tcPr>
            <w:tcW w:w="1426" w:type="dxa"/>
            <w:vAlign w:val="top"/>
          </w:tcPr>
          <w:p w14:paraId="15C63A98">
            <w:pPr>
              <w:pStyle w:val="142"/>
              <w:spacing w:before="105" w:line="345" w:lineRule="auto"/>
              <w:ind w:left="235" w:right="124" w:firstLine="91"/>
              <w:rPr>
                <w:sz w:val="18"/>
                <w:szCs w:val="18"/>
              </w:rPr>
            </w:pPr>
            <w:r>
              <w:rPr>
                <w:spacing w:val="-3"/>
                <w:sz w:val="18"/>
                <w:szCs w:val="18"/>
              </w:rPr>
              <w:t>10≤X＜100</w:t>
            </w:r>
            <w:r>
              <w:rPr>
                <w:sz w:val="18"/>
                <w:szCs w:val="18"/>
              </w:rPr>
              <w:t xml:space="preserve">  </w:t>
            </w:r>
            <w:r>
              <w:rPr>
                <w:spacing w:val="-2"/>
                <w:sz w:val="18"/>
                <w:szCs w:val="18"/>
              </w:rPr>
              <w:t>100≤Y＜2000</w:t>
            </w:r>
          </w:p>
        </w:tc>
        <w:tc>
          <w:tcPr>
            <w:tcW w:w="992" w:type="dxa"/>
            <w:tcBorders>
              <w:right w:val="nil"/>
            </w:tcBorders>
            <w:vAlign w:val="top"/>
          </w:tcPr>
          <w:p w14:paraId="5C7191EF">
            <w:pPr>
              <w:pStyle w:val="142"/>
              <w:spacing w:before="105" w:line="345" w:lineRule="auto"/>
              <w:ind w:left="228" w:right="226" w:firstLine="43"/>
              <w:rPr>
                <w:sz w:val="18"/>
                <w:szCs w:val="18"/>
              </w:rPr>
            </w:pPr>
            <w:r>
              <w:rPr>
                <w:spacing w:val="-1"/>
                <w:sz w:val="18"/>
                <w:szCs w:val="18"/>
              </w:rPr>
              <w:t>X＜10</w:t>
            </w:r>
            <w:r>
              <w:rPr>
                <w:sz w:val="18"/>
                <w:szCs w:val="18"/>
              </w:rPr>
              <w:t xml:space="preserve"> </w:t>
            </w:r>
            <w:r>
              <w:rPr>
                <w:spacing w:val="-2"/>
                <w:sz w:val="18"/>
                <w:szCs w:val="18"/>
              </w:rPr>
              <w:t>Y＜100</w:t>
            </w:r>
          </w:p>
        </w:tc>
      </w:tr>
      <w:tr w14:paraId="36E91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113" w:type="dxa"/>
            <w:tcBorders>
              <w:left w:val="nil"/>
            </w:tcBorders>
            <w:vAlign w:val="top"/>
          </w:tcPr>
          <w:p w14:paraId="360FF088">
            <w:pPr>
              <w:spacing w:line="253" w:lineRule="auto"/>
              <w:rPr>
                <w:rFonts w:ascii="Arial"/>
                <w:sz w:val="21"/>
              </w:rPr>
            </w:pPr>
          </w:p>
          <w:p w14:paraId="6E861296">
            <w:pPr>
              <w:pStyle w:val="142"/>
              <w:spacing w:before="59" w:line="219" w:lineRule="auto"/>
              <w:ind w:left="117"/>
              <w:rPr>
                <w:sz w:val="18"/>
                <w:szCs w:val="18"/>
              </w:rPr>
            </w:pPr>
            <w:r>
              <w:rPr>
                <w:spacing w:val="-3"/>
                <w:sz w:val="18"/>
                <w:szCs w:val="18"/>
              </w:rPr>
              <w:t>餐饮业</w:t>
            </w:r>
          </w:p>
        </w:tc>
        <w:tc>
          <w:tcPr>
            <w:tcW w:w="1369" w:type="dxa"/>
            <w:vAlign w:val="top"/>
          </w:tcPr>
          <w:p w14:paraId="3BC36534">
            <w:pPr>
              <w:pStyle w:val="142"/>
              <w:spacing w:before="106" w:line="345"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66D69CC6">
            <w:pPr>
              <w:pStyle w:val="142"/>
              <w:spacing w:before="106" w:line="345"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653D53CB">
            <w:pPr>
              <w:pStyle w:val="142"/>
              <w:spacing w:before="106" w:line="345" w:lineRule="auto"/>
              <w:ind w:left="203" w:right="201" w:firstLine="89"/>
              <w:rPr>
                <w:sz w:val="18"/>
                <w:szCs w:val="18"/>
              </w:rPr>
            </w:pPr>
            <w:r>
              <w:rPr>
                <w:spacing w:val="-1"/>
                <w:sz w:val="18"/>
                <w:szCs w:val="18"/>
              </w:rPr>
              <w:t>X≥300</w:t>
            </w:r>
            <w:r>
              <w:rPr>
                <w:sz w:val="18"/>
                <w:szCs w:val="18"/>
              </w:rPr>
              <w:t xml:space="preserve">  </w:t>
            </w:r>
            <w:r>
              <w:rPr>
                <w:spacing w:val="-1"/>
                <w:sz w:val="18"/>
                <w:szCs w:val="18"/>
              </w:rPr>
              <w:t>Y≥10000</w:t>
            </w:r>
          </w:p>
        </w:tc>
        <w:tc>
          <w:tcPr>
            <w:tcW w:w="1701" w:type="dxa"/>
            <w:vAlign w:val="top"/>
          </w:tcPr>
          <w:p w14:paraId="1FEBDFAC">
            <w:pPr>
              <w:pStyle w:val="142"/>
              <w:spacing w:before="106" w:line="236" w:lineRule="auto"/>
              <w:ind w:left="318"/>
              <w:rPr>
                <w:sz w:val="18"/>
                <w:szCs w:val="18"/>
              </w:rPr>
            </w:pPr>
            <w:r>
              <w:rPr>
                <w:spacing w:val="-3"/>
                <w:sz w:val="18"/>
                <w:szCs w:val="18"/>
              </w:rPr>
              <w:t>100≤X＜300</w:t>
            </w:r>
          </w:p>
          <w:p w14:paraId="21025038">
            <w:pPr>
              <w:pStyle w:val="142"/>
              <w:spacing w:before="168" w:line="236" w:lineRule="auto"/>
              <w:ind w:left="226"/>
              <w:rPr>
                <w:sz w:val="18"/>
                <w:szCs w:val="18"/>
              </w:rPr>
            </w:pPr>
            <w:r>
              <w:rPr>
                <w:spacing w:val="-1"/>
                <w:sz w:val="18"/>
                <w:szCs w:val="18"/>
              </w:rPr>
              <w:t>2000≤Y＜10000</w:t>
            </w:r>
          </w:p>
        </w:tc>
        <w:tc>
          <w:tcPr>
            <w:tcW w:w="1426" w:type="dxa"/>
            <w:vAlign w:val="top"/>
          </w:tcPr>
          <w:p w14:paraId="7C33C6BC">
            <w:pPr>
              <w:pStyle w:val="142"/>
              <w:spacing w:before="106" w:line="345" w:lineRule="auto"/>
              <w:ind w:left="235" w:right="124" w:firstLine="91"/>
              <w:rPr>
                <w:sz w:val="18"/>
                <w:szCs w:val="18"/>
              </w:rPr>
            </w:pPr>
            <w:r>
              <w:rPr>
                <w:spacing w:val="-3"/>
                <w:sz w:val="18"/>
                <w:szCs w:val="18"/>
              </w:rPr>
              <w:t>10≤X＜100</w:t>
            </w:r>
            <w:r>
              <w:rPr>
                <w:sz w:val="18"/>
                <w:szCs w:val="18"/>
              </w:rPr>
              <w:t xml:space="preserve">  </w:t>
            </w:r>
            <w:r>
              <w:rPr>
                <w:spacing w:val="-2"/>
                <w:sz w:val="18"/>
                <w:szCs w:val="18"/>
              </w:rPr>
              <w:t>100≤Y＜2000</w:t>
            </w:r>
          </w:p>
        </w:tc>
        <w:tc>
          <w:tcPr>
            <w:tcW w:w="992" w:type="dxa"/>
            <w:tcBorders>
              <w:right w:val="nil"/>
            </w:tcBorders>
            <w:vAlign w:val="top"/>
          </w:tcPr>
          <w:p w14:paraId="1A368494">
            <w:pPr>
              <w:pStyle w:val="142"/>
              <w:spacing w:before="106" w:line="345" w:lineRule="auto"/>
              <w:ind w:left="228" w:right="226" w:firstLine="43"/>
              <w:rPr>
                <w:sz w:val="18"/>
                <w:szCs w:val="18"/>
              </w:rPr>
            </w:pPr>
            <w:r>
              <w:rPr>
                <w:spacing w:val="-1"/>
                <w:sz w:val="18"/>
                <w:szCs w:val="18"/>
              </w:rPr>
              <w:t>X＜10</w:t>
            </w:r>
            <w:r>
              <w:rPr>
                <w:sz w:val="18"/>
                <w:szCs w:val="18"/>
              </w:rPr>
              <w:t xml:space="preserve"> </w:t>
            </w:r>
            <w:r>
              <w:rPr>
                <w:spacing w:val="-2"/>
                <w:sz w:val="18"/>
                <w:szCs w:val="18"/>
              </w:rPr>
              <w:t>Y＜100</w:t>
            </w:r>
          </w:p>
        </w:tc>
      </w:tr>
      <w:tr w14:paraId="35CFB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113" w:type="dxa"/>
            <w:tcBorders>
              <w:left w:val="nil"/>
            </w:tcBorders>
            <w:vAlign w:val="top"/>
          </w:tcPr>
          <w:p w14:paraId="4016FB33">
            <w:pPr>
              <w:spacing w:line="253" w:lineRule="auto"/>
              <w:rPr>
                <w:rFonts w:ascii="Arial"/>
                <w:sz w:val="21"/>
              </w:rPr>
            </w:pPr>
          </w:p>
          <w:p w14:paraId="2E0BD289">
            <w:pPr>
              <w:pStyle w:val="142"/>
              <w:spacing w:before="58" w:line="219" w:lineRule="auto"/>
              <w:ind w:left="116"/>
              <w:rPr>
                <w:sz w:val="18"/>
                <w:szCs w:val="18"/>
              </w:rPr>
            </w:pPr>
            <w:r>
              <w:rPr>
                <w:spacing w:val="-1"/>
                <w:sz w:val="18"/>
                <w:szCs w:val="18"/>
              </w:rPr>
              <w:t>信息传输业 *</w:t>
            </w:r>
          </w:p>
        </w:tc>
        <w:tc>
          <w:tcPr>
            <w:tcW w:w="1369" w:type="dxa"/>
            <w:vAlign w:val="top"/>
          </w:tcPr>
          <w:p w14:paraId="06EFD1A0">
            <w:pPr>
              <w:pStyle w:val="142"/>
              <w:spacing w:before="108" w:line="344"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5535CE28">
            <w:pPr>
              <w:pStyle w:val="142"/>
              <w:spacing w:before="108" w:line="344"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0A215739">
            <w:pPr>
              <w:pStyle w:val="142"/>
              <w:spacing w:before="108" w:line="344" w:lineRule="auto"/>
              <w:ind w:left="158" w:right="153" w:firstLine="91"/>
              <w:rPr>
                <w:sz w:val="18"/>
                <w:szCs w:val="18"/>
              </w:rPr>
            </w:pPr>
            <w:r>
              <w:rPr>
                <w:spacing w:val="-1"/>
                <w:sz w:val="18"/>
                <w:szCs w:val="18"/>
              </w:rPr>
              <w:t>X≥2000</w:t>
            </w:r>
            <w:r>
              <w:rPr>
                <w:sz w:val="18"/>
                <w:szCs w:val="18"/>
              </w:rPr>
              <w:t xml:space="preserve">  </w:t>
            </w:r>
            <w:r>
              <w:rPr>
                <w:spacing w:val="-1"/>
                <w:sz w:val="18"/>
                <w:szCs w:val="18"/>
              </w:rPr>
              <w:t>Y≥100000</w:t>
            </w:r>
          </w:p>
        </w:tc>
        <w:tc>
          <w:tcPr>
            <w:tcW w:w="1701" w:type="dxa"/>
            <w:vAlign w:val="top"/>
          </w:tcPr>
          <w:p w14:paraId="55AAEF46">
            <w:pPr>
              <w:pStyle w:val="142"/>
              <w:spacing w:before="107" w:line="236" w:lineRule="auto"/>
              <w:ind w:left="328"/>
              <w:rPr>
                <w:sz w:val="18"/>
                <w:szCs w:val="18"/>
              </w:rPr>
            </w:pPr>
            <w:r>
              <w:rPr>
                <w:spacing w:val="-2"/>
                <w:sz w:val="18"/>
                <w:szCs w:val="18"/>
              </w:rPr>
              <w:t>100≤X＜2000</w:t>
            </w:r>
          </w:p>
          <w:p w14:paraId="7E4E40C7">
            <w:pPr>
              <w:pStyle w:val="142"/>
              <w:spacing w:before="165" w:line="236" w:lineRule="auto"/>
              <w:ind w:left="237"/>
              <w:rPr>
                <w:sz w:val="18"/>
                <w:szCs w:val="18"/>
              </w:rPr>
            </w:pPr>
            <w:r>
              <w:rPr>
                <w:spacing w:val="-2"/>
                <w:sz w:val="18"/>
                <w:szCs w:val="18"/>
              </w:rPr>
              <w:t>1000≤Y＜100000</w:t>
            </w:r>
          </w:p>
        </w:tc>
        <w:tc>
          <w:tcPr>
            <w:tcW w:w="1426" w:type="dxa"/>
            <w:vAlign w:val="top"/>
          </w:tcPr>
          <w:p w14:paraId="2E8B7BC6">
            <w:pPr>
              <w:pStyle w:val="142"/>
              <w:spacing w:before="108" w:line="344" w:lineRule="auto"/>
              <w:ind w:left="235" w:right="124" w:firstLine="91"/>
              <w:rPr>
                <w:sz w:val="18"/>
                <w:szCs w:val="18"/>
              </w:rPr>
            </w:pPr>
            <w:r>
              <w:rPr>
                <w:spacing w:val="-3"/>
                <w:sz w:val="18"/>
                <w:szCs w:val="18"/>
              </w:rPr>
              <w:t>10≤X＜100</w:t>
            </w:r>
            <w:r>
              <w:rPr>
                <w:sz w:val="18"/>
                <w:szCs w:val="18"/>
              </w:rPr>
              <w:t xml:space="preserve">  </w:t>
            </w:r>
            <w:r>
              <w:rPr>
                <w:spacing w:val="-2"/>
                <w:sz w:val="18"/>
                <w:szCs w:val="18"/>
              </w:rPr>
              <w:t>100≤Y＜1000</w:t>
            </w:r>
          </w:p>
        </w:tc>
        <w:tc>
          <w:tcPr>
            <w:tcW w:w="992" w:type="dxa"/>
            <w:tcBorders>
              <w:right w:val="nil"/>
            </w:tcBorders>
            <w:vAlign w:val="top"/>
          </w:tcPr>
          <w:p w14:paraId="0F647681">
            <w:pPr>
              <w:pStyle w:val="142"/>
              <w:spacing w:before="108" w:line="344" w:lineRule="auto"/>
              <w:ind w:left="228" w:right="226" w:firstLine="43"/>
              <w:rPr>
                <w:sz w:val="18"/>
                <w:szCs w:val="18"/>
              </w:rPr>
            </w:pPr>
            <w:r>
              <w:rPr>
                <w:spacing w:val="-1"/>
                <w:sz w:val="18"/>
                <w:szCs w:val="18"/>
              </w:rPr>
              <w:t>X＜10</w:t>
            </w:r>
            <w:r>
              <w:rPr>
                <w:sz w:val="18"/>
                <w:szCs w:val="18"/>
              </w:rPr>
              <w:t xml:space="preserve"> </w:t>
            </w:r>
            <w:r>
              <w:rPr>
                <w:spacing w:val="-2"/>
                <w:sz w:val="18"/>
                <w:szCs w:val="18"/>
              </w:rPr>
              <w:t>Y＜100</w:t>
            </w:r>
          </w:p>
        </w:tc>
      </w:tr>
      <w:tr w14:paraId="6D670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113" w:type="dxa"/>
            <w:tcBorders>
              <w:left w:val="nil"/>
            </w:tcBorders>
            <w:vAlign w:val="top"/>
          </w:tcPr>
          <w:p w14:paraId="3F8F139A">
            <w:pPr>
              <w:pStyle w:val="142"/>
              <w:spacing w:before="256" w:line="219" w:lineRule="auto"/>
              <w:ind w:left="118"/>
              <w:rPr>
                <w:sz w:val="18"/>
                <w:szCs w:val="18"/>
              </w:rPr>
            </w:pPr>
            <w:r>
              <w:rPr>
                <w:spacing w:val="-15"/>
                <w:w w:val="97"/>
                <w:sz w:val="18"/>
                <w:szCs w:val="18"/>
              </w:rPr>
              <w:t>软件和信息技术服务业</w:t>
            </w:r>
          </w:p>
        </w:tc>
        <w:tc>
          <w:tcPr>
            <w:tcW w:w="1369" w:type="dxa"/>
            <w:vAlign w:val="top"/>
          </w:tcPr>
          <w:p w14:paraId="0DFBC5E4">
            <w:pPr>
              <w:pStyle w:val="142"/>
              <w:spacing w:before="78" w:line="301"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0C506384">
            <w:pPr>
              <w:pStyle w:val="142"/>
              <w:spacing w:before="78" w:line="301"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2169063E">
            <w:pPr>
              <w:pStyle w:val="142"/>
              <w:spacing w:before="78" w:line="301" w:lineRule="auto"/>
              <w:ind w:left="203" w:right="201" w:firstLine="89"/>
              <w:rPr>
                <w:sz w:val="18"/>
                <w:szCs w:val="18"/>
              </w:rPr>
            </w:pPr>
            <w:r>
              <w:rPr>
                <w:spacing w:val="-1"/>
                <w:sz w:val="18"/>
                <w:szCs w:val="18"/>
              </w:rPr>
              <w:t>X≥300</w:t>
            </w:r>
            <w:r>
              <w:rPr>
                <w:sz w:val="18"/>
                <w:szCs w:val="18"/>
              </w:rPr>
              <w:t xml:space="preserve">  </w:t>
            </w:r>
            <w:r>
              <w:rPr>
                <w:spacing w:val="-1"/>
                <w:sz w:val="18"/>
                <w:szCs w:val="18"/>
              </w:rPr>
              <w:t>Y≥10000</w:t>
            </w:r>
          </w:p>
        </w:tc>
        <w:tc>
          <w:tcPr>
            <w:tcW w:w="1701" w:type="dxa"/>
            <w:vAlign w:val="top"/>
          </w:tcPr>
          <w:p w14:paraId="1D077878">
            <w:pPr>
              <w:pStyle w:val="142"/>
              <w:spacing w:before="78" w:line="236" w:lineRule="auto"/>
              <w:ind w:left="318"/>
              <w:rPr>
                <w:sz w:val="18"/>
                <w:szCs w:val="18"/>
              </w:rPr>
            </w:pPr>
            <w:r>
              <w:rPr>
                <w:spacing w:val="-3"/>
                <w:sz w:val="18"/>
                <w:szCs w:val="18"/>
              </w:rPr>
              <w:t>100≤X＜300</w:t>
            </w:r>
          </w:p>
          <w:p w14:paraId="22A5C63D">
            <w:pPr>
              <w:pStyle w:val="142"/>
              <w:spacing w:before="110" w:line="236" w:lineRule="auto"/>
              <w:ind w:left="237"/>
              <w:rPr>
                <w:sz w:val="18"/>
                <w:szCs w:val="18"/>
              </w:rPr>
            </w:pPr>
            <w:r>
              <w:rPr>
                <w:spacing w:val="-2"/>
                <w:sz w:val="18"/>
                <w:szCs w:val="18"/>
              </w:rPr>
              <w:t>1000≤Y＜10000</w:t>
            </w:r>
          </w:p>
        </w:tc>
        <w:tc>
          <w:tcPr>
            <w:tcW w:w="1426" w:type="dxa"/>
            <w:vAlign w:val="top"/>
          </w:tcPr>
          <w:p w14:paraId="376DA90F">
            <w:pPr>
              <w:pStyle w:val="142"/>
              <w:spacing w:before="78" w:line="301" w:lineRule="auto"/>
              <w:ind w:left="316" w:right="124" w:firstLine="9"/>
              <w:rPr>
                <w:sz w:val="18"/>
                <w:szCs w:val="18"/>
              </w:rPr>
            </w:pPr>
            <w:r>
              <w:rPr>
                <w:spacing w:val="-3"/>
                <w:sz w:val="18"/>
                <w:szCs w:val="18"/>
              </w:rPr>
              <w:t>10≤X＜100</w:t>
            </w:r>
            <w:r>
              <w:rPr>
                <w:sz w:val="18"/>
                <w:szCs w:val="18"/>
              </w:rPr>
              <w:t xml:space="preserve">  </w:t>
            </w:r>
            <w:r>
              <w:rPr>
                <w:spacing w:val="-2"/>
                <w:sz w:val="18"/>
                <w:szCs w:val="18"/>
              </w:rPr>
              <w:t>50≤Y＜1000</w:t>
            </w:r>
          </w:p>
        </w:tc>
        <w:tc>
          <w:tcPr>
            <w:tcW w:w="992" w:type="dxa"/>
            <w:tcBorders>
              <w:right w:val="nil"/>
            </w:tcBorders>
            <w:vAlign w:val="top"/>
          </w:tcPr>
          <w:p w14:paraId="0BDA8075">
            <w:pPr>
              <w:pStyle w:val="142"/>
              <w:spacing w:before="78" w:line="301" w:lineRule="auto"/>
              <w:ind w:left="271" w:right="269"/>
              <w:rPr>
                <w:sz w:val="18"/>
                <w:szCs w:val="18"/>
              </w:rPr>
            </w:pPr>
            <w:r>
              <w:rPr>
                <w:spacing w:val="-1"/>
                <w:sz w:val="18"/>
                <w:szCs w:val="18"/>
              </w:rPr>
              <w:t>X＜10</w:t>
            </w:r>
            <w:r>
              <w:rPr>
                <w:sz w:val="18"/>
                <w:szCs w:val="18"/>
              </w:rPr>
              <w:t xml:space="preserve"> </w:t>
            </w:r>
            <w:r>
              <w:rPr>
                <w:spacing w:val="-1"/>
                <w:sz w:val="18"/>
                <w:szCs w:val="18"/>
              </w:rPr>
              <w:t>Y＜50</w:t>
            </w:r>
          </w:p>
        </w:tc>
      </w:tr>
      <w:tr w14:paraId="7245B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113" w:type="dxa"/>
            <w:tcBorders>
              <w:left w:val="nil"/>
            </w:tcBorders>
            <w:vAlign w:val="top"/>
          </w:tcPr>
          <w:p w14:paraId="4A0A2F79">
            <w:pPr>
              <w:pStyle w:val="142"/>
              <w:spacing w:before="258" w:line="219" w:lineRule="auto"/>
              <w:ind w:left="116"/>
              <w:rPr>
                <w:sz w:val="18"/>
                <w:szCs w:val="18"/>
              </w:rPr>
            </w:pPr>
            <w:r>
              <w:rPr>
                <w:spacing w:val="-2"/>
                <w:sz w:val="18"/>
                <w:szCs w:val="18"/>
              </w:rPr>
              <w:t>房地产开发经营</w:t>
            </w:r>
          </w:p>
        </w:tc>
        <w:tc>
          <w:tcPr>
            <w:tcW w:w="1369" w:type="dxa"/>
            <w:vAlign w:val="top"/>
          </w:tcPr>
          <w:p w14:paraId="767C84A0">
            <w:pPr>
              <w:pStyle w:val="142"/>
              <w:spacing w:before="78" w:line="301" w:lineRule="auto"/>
              <w:ind w:left="201" w:right="186" w:hanging="2"/>
              <w:rPr>
                <w:sz w:val="18"/>
                <w:szCs w:val="18"/>
              </w:rPr>
            </w:pPr>
            <w:r>
              <w:rPr>
                <w:spacing w:val="-2"/>
                <w:sz w:val="18"/>
                <w:szCs w:val="18"/>
              </w:rPr>
              <w:t>营业收入(Y)</w:t>
            </w:r>
            <w:r>
              <w:rPr>
                <w:sz w:val="18"/>
                <w:szCs w:val="18"/>
              </w:rPr>
              <w:t xml:space="preserve"> </w:t>
            </w:r>
            <w:r>
              <w:rPr>
                <w:spacing w:val="-3"/>
                <w:sz w:val="18"/>
                <w:szCs w:val="18"/>
              </w:rPr>
              <w:t>资产总额(Z)</w:t>
            </w:r>
          </w:p>
        </w:tc>
        <w:tc>
          <w:tcPr>
            <w:tcW w:w="709" w:type="dxa"/>
            <w:vAlign w:val="top"/>
          </w:tcPr>
          <w:p w14:paraId="25B8A607">
            <w:pPr>
              <w:pStyle w:val="142"/>
              <w:spacing w:before="78" w:line="301" w:lineRule="auto"/>
              <w:ind w:left="183" w:right="172"/>
              <w:rPr>
                <w:sz w:val="18"/>
                <w:szCs w:val="18"/>
              </w:rPr>
            </w:pPr>
            <w:r>
              <w:rPr>
                <w:spacing w:val="-6"/>
                <w:sz w:val="18"/>
                <w:szCs w:val="18"/>
              </w:rPr>
              <w:t>万元</w:t>
            </w:r>
            <w:r>
              <w:rPr>
                <w:sz w:val="18"/>
                <w:szCs w:val="18"/>
              </w:rPr>
              <w:t xml:space="preserve"> </w:t>
            </w:r>
            <w:r>
              <w:rPr>
                <w:spacing w:val="-6"/>
                <w:sz w:val="18"/>
                <w:szCs w:val="18"/>
              </w:rPr>
              <w:t>万元</w:t>
            </w:r>
          </w:p>
        </w:tc>
        <w:tc>
          <w:tcPr>
            <w:tcW w:w="1125" w:type="dxa"/>
            <w:vAlign w:val="top"/>
          </w:tcPr>
          <w:p w14:paraId="7F80C56D">
            <w:pPr>
              <w:pStyle w:val="142"/>
              <w:spacing w:before="78" w:line="301" w:lineRule="auto"/>
              <w:ind w:left="205" w:right="153" w:hanging="47"/>
              <w:rPr>
                <w:sz w:val="18"/>
                <w:szCs w:val="18"/>
              </w:rPr>
            </w:pPr>
            <w:r>
              <w:rPr>
                <w:spacing w:val="-1"/>
                <w:sz w:val="18"/>
                <w:szCs w:val="18"/>
              </w:rPr>
              <w:t>Y≥200000</w:t>
            </w:r>
            <w:r>
              <w:rPr>
                <w:spacing w:val="5"/>
                <w:sz w:val="18"/>
                <w:szCs w:val="18"/>
              </w:rPr>
              <w:t xml:space="preserve"> </w:t>
            </w:r>
            <w:r>
              <w:rPr>
                <w:spacing w:val="-1"/>
                <w:sz w:val="18"/>
                <w:szCs w:val="18"/>
              </w:rPr>
              <w:t>Z≥10000</w:t>
            </w:r>
          </w:p>
        </w:tc>
        <w:tc>
          <w:tcPr>
            <w:tcW w:w="1701" w:type="dxa"/>
            <w:vAlign w:val="top"/>
          </w:tcPr>
          <w:p w14:paraId="4BBE27B5">
            <w:pPr>
              <w:pStyle w:val="142"/>
              <w:spacing w:before="78" w:line="301" w:lineRule="auto"/>
              <w:ind w:left="227" w:right="126" w:firstLine="9"/>
              <w:rPr>
                <w:sz w:val="18"/>
                <w:szCs w:val="18"/>
              </w:rPr>
            </w:pPr>
            <w:r>
              <w:rPr>
                <w:spacing w:val="-2"/>
                <w:sz w:val="18"/>
                <w:szCs w:val="18"/>
              </w:rPr>
              <w:t>1000≤Y＜200000</w:t>
            </w:r>
            <w:r>
              <w:rPr>
                <w:spacing w:val="7"/>
                <w:sz w:val="18"/>
                <w:szCs w:val="18"/>
              </w:rPr>
              <w:t xml:space="preserve"> </w:t>
            </w:r>
            <w:r>
              <w:rPr>
                <w:spacing w:val="-1"/>
                <w:sz w:val="18"/>
                <w:szCs w:val="18"/>
              </w:rPr>
              <w:t>5000≤Z＜10000</w:t>
            </w:r>
          </w:p>
        </w:tc>
        <w:tc>
          <w:tcPr>
            <w:tcW w:w="1426" w:type="dxa"/>
            <w:vAlign w:val="top"/>
          </w:tcPr>
          <w:p w14:paraId="0181FAC2">
            <w:pPr>
              <w:pStyle w:val="142"/>
              <w:spacing w:before="78" w:line="301" w:lineRule="auto"/>
              <w:ind w:left="135" w:right="124" w:firstLine="99"/>
              <w:rPr>
                <w:sz w:val="18"/>
                <w:szCs w:val="18"/>
              </w:rPr>
            </w:pPr>
            <w:r>
              <w:rPr>
                <w:spacing w:val="-2"/>
                <w:sz w:val="18"/>
                <w:szCs w:val="18"/>
              </w:rPr>
              <w:t>100≤Y＜1000</w:t>
            </w:r>
            <w:r>
              <w:rPr>
                <w:sz w:val="18"/>
                <w:szCs w:val="18"/>
              </w:rPr>
              <w:t xml:space="preserve"> </w:t>
            </w:r>
            <w:r>
              <w:rPr>
                <w:spacing w:val="-1"/>
                <w:sz w:val="18"/>
                <w:szCs w:val="18"/>
              </w:rPr>
              <w:t>2000≤Z＜5000</w:t>
            </w:r>
          </w:p>
        </w:tc>
        <w:tc>
          <w:tcPr>
            <w:tcW w:w="992" w:type="dxa"/>
            <w:tcBorders>
              <w:right w:val="nil"/>
            </w:tcBorders>
            <w:vAlign w:val="top"/>
          </w:tcPr>
          <w:p w14:paraId="2F04B546">
            <w:pPr>
              <w:pStyle w:val="142"/>
              <w:spacing w:before="78" w:line="301" w:lineRule="auto"/>
              <w:ind w:left="184" w:right="180" w:firstLine="43"/>
              <w:rPr>
                <w:sz w:val="18"/>
                <w:szCs w:val="18"/>
              </w:rPr>
            </w:pPr>
            <w:r>
              <w:rPr>
                <w:spacing w:val="-2"/>
                <w:sz w:val="18"/>
                <w:szCs w:val="18"/>
              </w:rPr>
              <w:t>Y＜100</w:t>
            </w:r>
            <w:r>
              <w:rPr>
                <w:spacing w:val="3"/>
                <w:sz w:val="18"/>
                <w:szCs w:val="18"/>
              </w:rPr>
              <w:t xml:space="preserve"> </w:t>
            </w:r>
            <w:r>
              <w:rPr>
                <w:spacing w:val="-2"/>
                <w:sz w:val="18"/>
                <w:szCs w:val="18"/>
              </w:rPr>
              <w:t>Z＜2000</w:t>
            </w:r>
          </w:p>
        </w:tc>
      </w:tr>
      <w:tr w14:paraId="6090E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113" w:type="dxa"/>
            <w:tcBorders>
              <w:left w:val="nil"/>
            </w:tcBorders>
            <w:vAlign w:val="top"/>
          </w:tcPr>
          <w:p w14:paraId="79C54DBB">
            <w:pPr>
              <w:pStyle w:val="142"/>
              <w:spacing w:before="257" w:line="219" w:lineRule="auto"/>
              <w:ind w:left="116"/>
              <w:rPr>
                <w:sz w:val="18"/>
                <w:szCs w:val="18"/>
              </w:rPr>
            </w:pPr>
            <w:r>
              <w:rPr>
                <w:spacing w:val="-2"/>
                <w:sz w:val="18"/>
                <w:szCs w:val="18"/>
              </w:rPr>
              <w:t>物业管理</w:t>
            </w:r>
          </w:p>
        </w:tc>
        <w:tc>
          <w:tcPr>
            <w:tcW w:w="1369" w:type="dxa"/>
            <w:vAlign w:val="top"/>
          </w:tcPr>
          <w:p w14:paraId="2F1E3B9E">
            <w:pPr>
              <w:pStyle w:val="142"/>
              <w:spacing w:before="80" w:line="300"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5A429B4F">
            <w:pPr>
              <w:pStyle w:val="142"/>
              <w:spacing w:before="80" w:line="300"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7B3EECDA">
            <w:pPr>
              <w:pStyle w:val="142"/>
              <w:spacing w:before="80" w:line="300" w:lineRule="auto"/>
              <w:ind w:left="249" w:right="244"/>
              <w:rPr>
                <w:sz w:val="18"/>
                <w:szCs w:val="18"/>
              </w:rPr>
            </w:pPr>
            <w:r>
              <w:rPr>
                <w:spacing w:val="-1"/>
                <w:sz w:val="18"/>
                <w:szCs w:val="18"/>
              </w:rPr>
              <w:t>X≥1000</w:t>
            </w:r>
            <w:r>
              <w:rPr>
                <w:sz w:val="18"/>
                <w:szCs w:val="18"/>
              </w:rPr>
              <w:t xml:space="preserve"> </w:t>
            </w:r>
            <w:r>
              <w:rPr>
                <w:spacing w:val="-1"/>
                <w:sz w:val="18"/>
                <w:szCs w:val="18"/>
              </w:rPr>
              <w:t>Y≥5000</w:t>
            </w:r>
          </w:p>
        </w:tc>
        <w:tc>
          <w:tcPr>
            <w:tcW w:w="1701" w:type="dxa"/>
            <w:vAlign w:val="top"/>
          </w:tcPr>
          <w:p w14:paraId="08C957AF">
            <w:pPr>
              <w:pStyle w:val="142"/>
              <w:spacing w:before="80" w:line="300" w:lineRule="auto"/>
              <w:ind w:left="230" w:right="306" w:firstLine="88"/>
              <w:rPr>
                <w:sz w:val="18"/>
                <w:szCs w:val="18"/>
              </w:rPr>
            </w:pPr>
            <w:r>
              <w:rPr>
                <w:spacing w:val="-1"/>
                <w:sz w:val="18"/>
                <w:szCs w:val="18"/>
              </w:rPr>
              <w:t>300≤X＜1000</w:t>
            </w:r>
            <w:r>
              <w:rPr>
                <w:sz w:val="18"/>
                <w:szCs w:val="18"/>
              </w:rPr>
              <w:t xml:space="preserve"> </w:t>
            </w:r>
            <w:r>
              <w:rPr>
                <w:spacing w:val="-2"/>
                <w:sz w:val="18"/>
                <w:szCs w:val="18"/>
              </w:rPr>
              <w:t>1000≤Y＜5000</w:t>
            </w:r>
          </w:p>
        </w:tc>
        <w:tc>
          <w:tcPr>
            <w:tcW w:w="1426" w:type="dxa"/>
            <w:vAlign w:val="top"/>
          </w:tcPr>
          <w:p w14:paraId="4D71CDAF">
            <w:pPr>
              <w:pStyle w:val="142"/>
              <w:spacing w:before="80" w:line="300" w:lineRule="auto"/>
              <w:ind w:left="225" w:right="124" w:firstLine="9"/>
              <w:rPr>
                <w:sz w:val="18"/>
                <w:szCs w:val="18"/>
              </w:rPr>
            </w:pPr>
            <w:r>
              <w:rPr>
                <w:spacing w:val="-3"/>
                <w:sz w:val="18"/>
                <w:szCs w:val="18"/>
              </w:rPr>
              <w:t>100≤X＜300</w:t>
            </w:r>
            <w:r>
              <w:rPr>
                <w:spacing w:val="2"/>
                <w:sz w:val="18"/>
                <w:szCs w:val="18"/>
              </w:rPr>
              <w:t xml:space="preserve">  </w:t>
            </w:r>
            <w:r>
              <w:rPr>
                <w:spacing w:val="-1"/>
                <w:sz w:val="18"/>
                <w:szCs w:val="18"/>
              </w:rPr>
              <w:t>500≤Y＜1000</w:t>
            </w:r>
          </w:p>
        </w:tc>
        <w:tc>
          <w:tcPr>
            <w:tcW w:w="992" w:type="dxa"/>
            <w:tcBorders>
              <w:right w:val="nil"/>
            </w:tcBorders>
            <w:vAlign w:val="top"/>
          </w:tcPr>
          <w:p w14:paraId="006E2CC5">
            <w:pPr>
              <w:pStyle w:val="142"/>
              <w:spacing w:before="80" w:line="300" w:lineRule="auto"/>
              <w:ind w:left="228" w:right="226"/>
              <w:rPr>
                <w:sz w:val="18"/>
                <w:szCs w:val="18"/>
              </w:rPr>
            </w:pPr>
            <w:r>
              <w:rPr>
                <w:spacing w:val="-2"/>
                <w:sz w:val="18"/>
                <w:szCs w:val="18"/>
              </w:rPr>
              <w:t>X＜100</w:t>
            </w:r>
            <w:r>
              <w:rPr>
                <w:spacing w:val="2"/>
                <w:sz w:val="18"/>
                <w:szCs w:val="18"/>
              </w:rPr>
              <w:t xml:space="preserve"> </w:t>
            </w:r>
            <w:r>
              <w:rPr>
                <w:spacing w:val="-2"/>
                <w:sz w:val="18"/>
                <w:szCs w:val="18"/>
              </w:rPr>
              <w:t>Y＜500</w:t>
            </w:r>
          </w:p>
        </w:tc>
      </w:tr>
      <w:tr w14:paraId="27628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113" w:type="dxa"/>
            <w:tcBorders>
              <w:left w:val="nil"/>
            </w:tcBorders>
            <w:vAlign w:val="top"/>
          </w:tcPr>
          <w:p w14:paraId="4E46E330">
            <w:pPr>
              <w:pStyle w:val="142"/>
              <w:spacing w:before="256" w:line="219" w:lineRule="auto"/>
              <w:ind w:left="117"/>
              <w:rPr>
                <w:sz w:val="18"/>
                <w:szCs w:val="18"/>
              </w:rPr>
            </w:pPr>
            <w:r>
              <w:rPr>
                <w:spacing w:val="-2"/>
                <w:sz w:val="18"/>
                <w:szCs w:val="18"/>
              </w:rPr>
              <w:t>租赁和商务服务业</w:t>
            </w:r>
          </w:p>
        </w:tc>
        <w:tc>
          <w:tcPr>
            <w:tcW w:w="1369" w:type="dxa"/>
            <w:vAlign w:val="top"/>
          </w:tcPr>
          <w:p w14:paraId="411C8945">
            <w:pPr>
              <w:pStyle w:val="142"/>
              <w:spacing w:before="78" w:line="301" w:lineRule="auto"/>
              <w:ind w:left="201" w:right="186" w:hanging="5"/>
              <w:rPr>
                <w:sz w:val="18"/>
                <w:szCs w:val="18"/>
              </w:rPr>
            </w:pPr>
            <w:r>
              <w:rPr>
                <w:spacing w:val="-2"/>
                <w:sz w:val="18"/>
                <w:szCs w:val="18"/>
              </w:rPr>
              <w:t>从业人员(X)</w:t>
            </w:r>
            <w:r>
              <w:rPr>
                <w:spacing w:val="3"/>
                <w:sz w:val="18"/>
                <w:szCs w:val="18"/>
              </w:rPr>
              <w:t xml:space="preserve"> </w:t>
            </w:r>
            <w:r>
              <w:rPr>
                <w:spacing w:val="-3"/>
                <w:sz w:val="18"/>
                <w:szCs w:val="18"/>
              </w:rPr>
              <w:t>资产总额(Z)</w:t>
            </w:r>
          </w:p>
        </w:tc>
        <w:tc>
          <w:tcPr>
            <w:tcW w:w="709" w:type="dxa"/>
            <w:vAlign w:val="top"/>
          </w:tcPr>
          <w:p w14:paraId="67BE8423">
            <w:pPr>
              <w:pStyle w:val="142"/>
              <w:spacing w:before="78" w:line="301"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04EF5AC6">
            <w:pPr>
              <w:pStyle w:val="142"/>
              <w:spacing w:before="78" w:line="301" w:lineRule="auto"/>
              <w:ind w:left="160" w:right="153" w:firstLine="132"/>
              <w:rPr>
                <w:sz w:val="18"/>
                <w:szCs w:val="18"/>
              </w:rPr>
            </w:pPr>
            <w:r>
              <w:rPr>
                <w:spacing w:val="-1"/>
                <w:sz w:val="18"/>
                <w:szCs w:val="18"/>
              </w:rPr>
              <w:t>X≥300</w:t>
            </w:r>
            <w:r>
              <w:rPr>
                <w:sz w:val="18"/>
                <w:szCs w:val="18"/>
              </w:rPr>
              <w:t xml:space="preserve">  </w:t>
            </w:r>
            <w:r>
              <w:rPr>
                <w:spacing w:val="-1"/>
                <w:sz w:val="18"/>
                <w:szCs w:val="18"/>
              </w:rPr>
              <w:t>Z≥120000</w:t>
            </w:r>
          </w:p>
        </w:tc>
        <w:tc>
          <w:tcPr>
            <w:tcW w:w="1701" w:type="dxa"/>
            <w:vAlign w:val="top"/>
          </w:tcPr>
          <w:p w14:paraId="7B9E1303">
            <w:pPr>
              <w:pStyle w:val="142"/>
              <w:spacing w:before="78" w:line="236" w:lineRule="auto"/>
              <w:ind w:left="318"/>
              <w:rPr>
                <w:sz w:val="18"/>
                <w:szCs w:val="18"/>
              </w:rPr>
            </w:pPr>
            <w:r>
              <w:rPr>
                <w:spacing w:val="-3"/>
                <w:sz w:val="18"/>
                <w:szCs w:val="18"/>
              </w:rPr>
              <w:t>100≤X＜300</w:t>
            </w:r>
          </w:p>
          <w:p w14:paraId="5162057F">
            <w:pPr>
              <w:pStyle w:val="142"/>
              <w:spacing w:before="110" w:line="236" w:lineRule="auto"/>
              <w:ind w:left="224"/>
              <w:rPr>
                <w:sz w:val="18"/>
                <w:szCs w:val="18"/>
              </w:rPr>
            </w:pPr>
            <w:r>
              <w:rPr>
                <w:spacing w:val="-1"/>
                <w:sz w:val="18"/>
                <w:szCs w:val="18"/>
              </w:rPr>
              <w:t>8000≤Z＜120000</w:t>
            </w:r>
          </w:p>
        </w:tc>
        <w:tc>
          <w:tcPr>
            <w:tcW w:w="1426" w:type="dxa"/>
            <w:vAlign w:val="top"/>
          </w:tcPr>
          <w:p w14:paraId="460BAA79">
            <w:pPr>
              <w:pStyle w:val="142"/>
              <w:spacing w:before="78" w:line="301" w:lineRule="auto"/>
              <w:ind w:left="235" w:right="124" w:firstLine="91"/>
              <w:rPr>
                <w:sz w:val="18"/>
                <w:szCs w:val="18"/>
              </w:rPr>
            </w:pPr>
            <w:r>
              <w:rPr>
                <w:spacing w:val="-3"/>
                <w:sz w:val="18"/>
                <w:szCs w:val="18"/>
              </w:rPr>
              <w:t>10≤X＜100</w:t>
            </w:r>
            <w:r>
              <w:rPr>
                <w:sz w:val="18"/>
                <w:szCs w:val="18"/>
              </w:rPr>
              <w:t xml:space="preserve">  </w:t>
            </w:r>
            <w:r>
              <w:rPr>
                <w:spacing w:val="-2"/>
                <w:sz w:val="18"/>
                <w:szCs w:val="18"/>
              </w:rPr>
              <w:t>100≤Z＜8000</w:t>
            </w:r>
          </w:p>
        </w:tc>
        <w:tc>
          <w:tcPr>
            <w:tcW w:w="992" w:type="dxa"/>
            <w:tcBorders>
              <w:right w:val="nil"/>
            </w:tcBorders>
            <w:vAlign w:val="top"/>
          </w:tcPr>
          <w:p w14:paraId="2A30AFF9">
            <w:pPr>
              <w:pStyle w:val="142"/>
              <w:spacing w:before="78" w:line="301" w:lineRule="auto"/>
              <w:ind w:left="230" w:right="226" w:firstLine="41"/>
              <w:rPr>
                <w:sz w:val="18"/>
                <w:szCs w:val="18"/>
              </w:rPr>
            </w:pPr>
            <w:r>
              <w:rPr>
                <w:spacing w:val="-1"/>
                <w:sz w:val="18"/>
                <w:szCs w:val="18"/>
              </w:rPr>
              <w:t>X＜10</w:t>
            </w:r>
            <w:r>
              <w:rPr>
                <w:sz w:val="18"/>
                <w:szCs w:val="18"/>
              </w:rPr>
              <w:t xml:space="preserve"> </w:t>
            </w:r>
            <w:r>
              <w:rPr>
                <w:spacing w:val="-2"/>
                <w:sz w:val="18"/>
                <w:szCs w:val="18"/>
              </w:rPr>
              <w:t>Z＜100</w:t>
            </w:r>
          </w:p>
        </w:tc>
      </w:tr>
      <w:tr w14:paraId="673F6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2113" w:type="dxa"/>
            <w:tcBorders>
              <w:left w:val="nil"/>
            </w:tcBorders>
            <w:vAlign w:val="top"/>
          </w:tcPr>
          <w:p w14:paraId="3D23217A">
            <w:pPr>
              <w:pStyle w:val="142"/>
              <w:spacing w:before="114" w:line="219" w:lineRule="auto"/>
              <w:ind w:left="116"/>
              <w:rPr>
                <w:sz w:val="18"/>
                <w:szCs w:val="18"/>
              </w:rPr>
            </w:pPr>
            <w:r>
              <w:rPr>
                <w:spacing w:val="-1"/>
                <w:sz w:val="18"/>
                <w:szCs w:val="18"/>
              </w:rPr>
              <w:t>其他未列明行业 *</w:t>
            </w:r>
          </w:p>
        </w:tc>
        <w:tc>
          <w:tcPr>
            <w:tcW w:w="1369" w:type="dxa"/>
            <w:vAlign w:val="top"/>
          </w:tcPr>
          <w:p w14:paraId="0431A88E">
            <w:pPr>
              <w:pStyle w:val="142"/>
              <w:spacing w:before="107" w:line="220" w:lineRule="auto"/>
              <w:ind w:left="196"/>
              <w:rPr>
                <w:sz w:val="18"/>
                <w:szCs w:val="18"/>
              </w:rPr>
            </w:pPr>
            <w:r>
              <w:rPr>
                <w:spacing w:val="-2"/>
                <w:sz w:val="18"/>
                <w:szCs w:val="18"/>
              </w:rPr>
              <w:t>从业人员(X)</w:t>
            </w:r>
          </w:p>
        </w:tc>
        <w:tc>
          <w:tcPr>
            <w:tcW w:w="709" w:type="dxa"/>
            <w:vAlign w:val="top"/>
          </w:tcPr>
          <w:p w14:paraId="4A22696A">
            <w:pPr>
              <w:pStyle w:val="142"/>
              <w:spacing w:before="107" w:line="222" w:lineRule="auto"/>
              <w:ind w:left="268"/>
              <w:rPr>
                <w:sz w:val="18"/>
                <w:szCs w:val="18"/>
              </w:rPr>
            </w:pPr>
            <w:r>
              <w:rPr>
                <w:sz w:val="18"/>
                <w:szCs w:val="18"/>
              </w:rPr>
              <w:t>人</w:t>
            </w:r>
          </w:p>
        </w:tc>
        <w:tc>
          <w:tcPr>
            <w:tcW w:w="1125" w:type="dxa"/>
            <w:vAlign w:val="top"/>
          </w:tcPr>
          <w:p w14:paraId="0AAAAE80">
            <w:pPr>
              <w:pStyle w:val="142"/>
              <w:spacing w:before="107" w:line="237" w:lineRule="auto"/>
              <w:ind w:left="293"/>
              <w:rPr>
                <w:sz w:val="18"/>
                <w:szCs w:val="18"/>
              </w:rPr>
            </w:pPr>
            <w:r>
              <w:rPr>
                <w:spacing w:val="-1"/>
                <w:sz w:val="18"/>
                <w:szCs w:val="18"/>
              </w:rPr>
              <w:t>X≥300</w:t>
            </w:r>
          </w:p>
        </w:tc>
        <w:tc>
          <w:tcPr>
            <w:tcW w:w="1701" w:type="dxa"/>
            <w:vAlign w:val="top"/>
          </w:tcPr>
          <w:p w14:paraId="03AD800E">
            <w:pPr>
              <w:pStyle w:val="142"/>
              <w:spacing w:before="106" w:line="236" w:lineRule="auto"/>
              <w:ind w:left="318"/>
              <w:rPr>
                <w:sz w:val="18"/>
                <w:szCs w:val="18"/>
              </w:rPr>
            </w:pPr>
            <w:r>
              <w:rPr>
                <w:spacing w:val="-3"/>
                <w:sz w:val="18"/>
                <w:szCs w:val="18"/>
              </w:rPr>
              <w:t>100≤X＜300</w:t>
            </w:r>
          </w:p>
        </w:tc>
        <w:tc>
          <w:tcPr>
            <w:tcW w:w="1426" w:type="dxa"/>
            <w:vAlign w:val="top"/>
          </w:tcPr>
          <w:p w14:paraId="796EB7E8">
            <w:pPr>
              <w:pStyle w:val="142"/>
              <w:spacing w:before="106" w:line="236" w:lineRule="auto"/>
              <w:ind w:left="326"/>
              <w:rPr>
                <w:sz w:val="18"/>
                <w:szCs w:val="18"/>
              </w:rPr>
            </w:pPr>
            <w:r>
              <w:rPr>
                <w:spacing w:val="-3"/>
                <w:sz w:val="18"/>
                <w:szCs w:val="18"/>
              </w:rPr>
              <w:t>10≤X＜100</w:t>
            </w:r>
          </w:p>
        </w:tc>
        <w:tc>
          <w:tcPr>
            <w:tcW w:w="992" w:type="dxa"/>
            <w:tcBorders>
              <w:right w:val="nil"/>
            </w:tcBorders>
            <w:vAlign w:val="top"/>
          </w:tcPr>
          <w:p w14:paraId="7D4A4BCD">
            <w:pPr>
              <w:pStyle w:val="142"/>
              <w:spacing w:before="106"/>
              <w:ind w:left="272"/>
              <w:rPr>
                <w:sz w:val="18"/>
                <w:szCs w:val="18"/>
              </w:rPr>
            </w:pPr>
            <w:r>
              <w:rPr>
                <w:spacing w:val="-1"/>
                <w:sz w:val="18"/>
                <w:szCs w:val="18"/>
              </w:rPr>
              <w:t>X＜10</w:t>
            </w:r>
          </w:p>
        </w:tc>
      </w:tr>
    </w:tbl>
    <w:p w14:paraId="33562B4D">
      <w:pPr>
        <w:pStyle w:val="18"/>
      </w:pPr>
    </w:p>
    <w:p w14:paraId="5D5FFC84">
      <w:pPr>
        <w:sectPr>
          <w:headerReference r:id="rId12" w:type="default"/>
          <w:footerReference r:id="rId13" w:type="default"/>
          <w:pgSz w:w="11906" w:h="16839"/>
          <w:pgMar w:top="400" w:right="1134" w:bottom="916" w:left="1134" w:header="0" w:footer="754" w:gutter="0"/>
          <w:cols w:space="720" w:num="1"/>
        </w:sectPr>
      </w:pPr>
    </w:p>
    <w:p w14:paraId="62FF90AD">
      <w:pPr>
        <w:spacing w:before="227" w:line="225" w:lineRule="auto"/>
        <w:ind w:left="3058"/>
        <w:rPr>
          <w:rFonts w:ascii="宋体" w:hAnsi="宋体" w:eastAsia="宋体" w:cs="宋体"/>
          <w:sz w:val="35"/>
          <w:szCs w:val="35"/>
        </w:rPr>
      </w:pPr>
      <w:r>
        <w:rPr>
          <w:rFonts w:ascii="宋体" w:hAnsi="宋体" w:eastAsia="宋体" w:cs="宋体"/>
          <w:b/>
          <w:bCs/>
          <w:spacing w:val="2"/>
          <w:sz w:val="35"/>
          <w:szCs w:val="35"/>
        </w:rPr>
        <w:t>中小企业划型标准规定</w:t>
      </w:r>
    </w:p>
    <w:p w14:paraId="3B59FD36">
      <w:pPr>
        <w:pStyle w:val="18"/>
        <w:spacing w:line="298" w:lineRule="auto"/>
      </w:pPr>
    </w:p>
    <w:p w14:paraId="3227B832">
      <w:pPr>
        <w:pStyle w:val="18"/>
        <w:spacing w:line="298" w:lineRule="auto"/>
      </w:pPr>
    </w:p>
    <w:p w14:paraId="0465AFF3">
      <w:pPr>
        <w:spacing w:before="78" w:line="416" w:lineRule="auto"/>
        <w:ind w:left="9" w:right="118" w:firstLine="242"/>
        <w:rPr>
          <w:rFonts w:ascii="宋体" w:hAnsi="宋体" w:eastAsia="宋体" w:cs="宋体"/>
          <w:sz w:val="24"/>
          <w:szCs w:val="24"/>
        </w:rPr>
      </w:pPr>
      <w:r>
        <w:rPr>
          <w:rFonts w:ascii="宋体" w:hAnsi="宋体" w:eastAsia="宋体" w:cs="宋体"/>
          <w:sz w:val="24"/>
          <w:szCs w:val="24"/>
        </w:rPr>
        <w:t>一、根据《中华人民共和国中小企业促进法》和《国务</w:t>
      </w:r>
      <w:r>
        <w:rPr>
          <w:rFonts w:ascii="宋体" w:hAnsi="宋体" w:eastAsia="宋体" w:cs="宋体"/>
          <w:spacing w:val="-1"/>
          <w:sz w:val="24"/>
          <w:szCs w:val="24"/>
        </w:rPr>
        <w:t>院关于进一步促进中小企业发展的</w:t>
      </w:r>
      <w:r>
        <w:rPr>
          <w:rFonts w:ascii="宋体" w:hAnsi="宋体" w:eastAsia="宋体" w:cs="宋体"/>
          <w:sz w:val="24"/>
          <w:szCs w:val="24"/>
        </w:rPr>
        <w:t xml:space="preserve"> </w:t>
      </w:r>
      <w:r>
        <w:rPr>
          <w:rFonts w:ascii="宋体" w:hAnsi="宋体" w:eastAsia="宋体" w:cs="宋体"/>
          <w:spacing w:val="-3"/>
          <w:sz w:val="24"/>
          <w:szCs w:val="24"/>
        </w:rPr>
        <w:t>若干意见》</w:t>
      </w:r>
      <w:r>
        <w:rPr>
          <w:rFonts w:ascii="宋体" w:hAnsi="宋体" w:eastAsia="宋体" w:cs="宋体"/>
          <w:spacing w:val="-68"/>
          <w:sz w:val="24"/>
          <w:szCs w:val="24"/>
        </w:rPr>
        <w:t xml:space="preserve"> </w:t>
      </w:r>
      <w:r>
        <w:rPr>
          <w:rFonts w:ascii="宋体" w:hAnsi="宋体" w:eastAsia="宋体" w:cs="宋体"/>
          <w:spacing w:val="-3"/>
          <w:sz w:val="24"/>
          <w:szCs w:val="24"/>
        </w:rPr>
        <w:t>(国发〔2009〕36</w:t>
      </w:r>
      <w:r>
        <w:rPr>
          <w:rFonts w:ascii="宋体" w:hAnsi="宋体" w:eastAsia="宋体" w:cs="宋体"/>
          <w:spacing w:val="-45"/>
          <w:sz w:val="24"/>
          <w:szCs w:val="24"/>
        </w:rPr>
        <w:t xml:space="preserve"> </w:t>
      </w:r>
      <w:r>
        <w:rPr>
          <w:rFonts w:ascii="宋体" w:hAnsi="宋体" w:eastAsia="宋体" w:cs="宋体"/>
          <w:spacing w:val="-3"/>
          <w:sz w:val="24"/>
          <w:szCs w:val="24"/>
        </w:rPr>
        <w:t>号)，制定</w:t>
      </w:r>
      <w:r>
        <w:rPr>
          <w:rFonts w:ascii="宋体" w:hAnsi="宋体" w:eastAsia="宋体" w:cs="宋体"/>
          <w:spacing w:val="-4"/>
          <w:sz w:val="24"/>
          <w:szCs w:val="24"/>
        </w:rPr>
        <w:t>本规定。</w:t>
      </w:r>
    </w:p>
    <w:p w14:paraId="187E2817">
      <w:pPr>
        <w:spacing w:before="34" w:line="419" w:lineRule="auto"/>
        <w:ind w:left="7" w:right="118" w:firstLine="484"/>
        <w:rPr>
          <w:rFonts w:ascii="宋体" w:hAnsi="宋体" w:eastAsia="宋体" w:cs="宋体"/>
          <w:sz w:val="24"/>
          <w:szCs w:val="24"/>
        </w:rPr>
      </w:pPr>
      <w:r>
        <w:rPr>
          <w:rFonts w:ascii="宋体" w:hAnsi="宋体" w:eastAsia="宋体" w:cs="宋体"/>
          <w:sz w:val="24"/>
          <w:szCs w:val="24"/>
        </w:rPr>
        <w:t>二、中小企业划分为中型、小型、微型三种类型，具</w:t>
      </w:r>
      <w:r>
        <w:rPr>
          <w:rFonts w:ascii="宋体" w:hAnsi="宋体" w:eastAsia="宋体" w:cs="宋体"/>
          <w:spacing w:val="-1"/>
          <w:sz w:val="24"/>
          <w:szCs w:val="24"/>
        </w:rPr>
        <w:t>体标准根据企业从业人员、营业收</w:t>
      </w:r>
      <w:r>
        <w:rPr>
          <w:rFonts w:ascii="宋体" w:hAnsi="宋体" w:eastAsia="宋体" w:cs="宋体"/>
          <w:sz w:val="24"/>
          <w:szCs w:val="24"/>
        </w:rPr>
        <w:t xml:space="preserve"> </w:t>
      </w:r>
      <w:r>
        <w:rPr>
          <w:rFonts w:ascii="宋体" w:hAnsi="宋体" w:eastAsia="宋体" w:cs="宋体"/>
          <w:spacing w:val="-1"/>
          <w:sz w:val="24"/>
          <w:szCs w:val="24"/>
        </w:rPr>
        <w:t>入、资产总额等指标，结合行业特点制定。</w:t>
      </w:r>
    </w:p>
    <w:p w14:paraId="39A39383">
      <w:pPr>
        <w:spacing w:before="34" w:line="426" w:lineRule="auto"/>
        <w:ind w:left="7" w:right="18" w:firstLine="480"/>
        <w:rPr>
          <w:rFonts w:ascii="宋体" w:hAnsi="宋体" w:eastAsia="宋体" w:cs="宋体"/>
          <w:sz w:val="24"/>
          <w:szCs w:val="24"/>
        </w:rPr>
      </w:pPr>
      <w:r>
        <w:rPr>
          <w:rFonts w:ascii="宋体" w:hAnsi="宋体" w:eastAsia="宋体" w:cs="宋体"/>
          <w:sz w:val="24"/>
          <w:szCs w:val="24"/>
        </w:rPr>
        <w:t>三、本规定适用的行业包括：农、林、牧、渔业，工业（包括采矿业，制造业，电力、</w:t>
      </w:r>
      <w:r>
        <w:rPr>
          <w:rFonts w:ascii="宋体" w:hAnsi="宋体" w:eastAsia="宋体" w:cs="宋体"/>
          <w:spacing w:val="15"/>
          <w:sz w:val="24"/>
          <w:szCs w:val="24"/>
        </w:rPr>
        <w:t xml:space="preserve"> </w:t>
      </w:r>
      <w:r>
        <w:rPr>
          <w:rFonts w:ascii="宋体" w:hAnsi="宋体" w:eastAsia="宋体" w:cs="宋体"/>
          <w:spacing w:val="-4"/>
          <w:sz w:val="24"/>
          <w:szCs w:val="24"/>
        </w:rPr>
        <w:t>热力、燃气及水生产和供应业</w:t>
      </w:r>
      <w:r>
        <w:rPr>
          <w:rFonts w:ascii="宋体" w:hAnsi="宋体" w:eastAsia="宋体" w:cs="宋体"/>
          <w:spacing w:val="-56"/>
          <w:sz w:val="24"/>
          <w:szCs w:val="24"/>
        </w:rPr>
        <w:t>），</w:t>
      </w:r>
      <w:r>
        <w:rPr>
          <w:rFonts w:ascii="宋体" w:hAnsi="宋体" w:eastAsia="宋体" w:cs="宋体"/>
          <w:spacing w:val="-4"/>
          <w:sz w:val="24"/>
          <w:szCs w:val="24"/>
        </w:rPr>
        <w:t>建筑业，批发业，零售业</w:t>
      </w:r>
      <w:r>
        <w:rPr>
          <w:rFonts w:ascii="宋体" w:hAnsi="宋体" w:eastAsia="宋体" w:cs="宋体"/>
          <w:spacing w:val="-5"/>
          <w:sz w:val="24"/>
          <w:szCs w:val="24"/>
        </w:rPr>
        <w:t>，交通运输业（不含铁路运输业</w:t>
      </w:r>
      <w:r>
        <w:rPr>
          <w:rFonts w:ascii="宋体" w:hAnsi="宋体" w:eastAsia="宋体" w:cs="宋体"/>
          <w:spacing w:val="-56"/>
          <w:sz w:val="24"/>
          <w:szCs w:val="24"/>
        </w:rPr>
        <w:t>），</w:t>
      </w:r>
      <w:r>
        <w:rPr>
          <w:rFonts w:ascii="宋体" w:hAnsi="宋体" w:eastAsia="宋体" w:cs="宋体"/>
          <w:sz w:val="24"/>
          <w:szCs w:val="24"/>
        </w:rPr>
        <w:t xml:space="preserve"> </w:t>
      </w:r>
      <w:r>
        <w:rPr>
          <w:rFonts w:ascii="宋体" w:hAnsi="宋体" w:eastAsia="宋体" w:cs="宋体"/>
          <w:spacing w:val="-1"/>
          <w:sz w:val="24"/>
          <w:szCs w:val="24"/>
        </w:rPr>
        <w:t>仓储业，邮政业，住宿业，餐饮业，信息传输业（包括电信、互联网和相关服务</w:t>
      </w:r>
      <w:r>
        <w:rPr>
          <w:rFonts w:ascii="宋体" w:hAnsi="宋体" w:eastAsia="宋体" w:cs="宋体"/>
          <w:spacing w:val="14"/>
          <w:sz w:val="24"/>
          <w:szCs w:val="24"/>
        </w:rPr>
        <w:t>），</w:t>
      </w:r>
      <w:r>
        <w:rPr>
          <w:rFonts w:ascii="宋体" w:hAnsi="宋体" w:eastAsia="宋体" w:cs="宋体"/>
          <w:spacing w:val="-1"/>
          <w:sz w:val="24"/>
          <w:szCs w:val="24"/>
        </w:rPr>
        <w:t>软件和</w:t>
      </w:r>
      <w:r>
        <w:rPr>
          <w:rFonts w:ascii="宋体" w:hAnsi="宋体" w:eastAsia="宋体" w:cs="宋体"/>
          <w:sz w:val="24"/>
          <w:szCs w:val="24"/>
        </w:rPr>
        <w:t xml:space="preserve"> 信息技术服务业，房地产开发经营，物业管理，租赁和商务服务业，</w:t>
      </w:r>
      <w:r>
        <w:rPr>
          <w:rFonts w:ascii="宋体" w:hAnsi="宋体" w:eastAsia="宋体" w:cs="宋体"/>
          <w:spacing w:val="-1"/>
          <w:sz w:val="24"/>
          <w:szCs w:val="24"/>
        </w:rPr>
        <w:t>其他未列明行业（包括</w:t>
      </w:r>
      <w:r>
        <w:rPr>
          <w:rFonts w:ascii="宋体" w:hAnsi="宋体" w:eastAsia="宋体" w:cs="宋体"/>
          <w:sz w:val="24"/>
          <w:szCs w:val="24"/>
        </w:rPr>
        <w:t xml:space="preserve"> 科学研究和技术服务业，水利、环境和公共设施管理业，居民服务、</w:t>
      </w:r>
      <w:r>
        <w:rPr>
          <w:rFonts w:ascii="宋体" w:hAnsi="宋体" w:eastAsia="宋体" w:cs="宋体"/>
          <w:spacing w:val="-1"/>
          <w:sz w:val="24"/>
          <w:szCs w:val="24"/>
        </w:rPr>
        <w:t>修理和其他服务业，社</w:t>
      </w:r>
      <w:r>
        <w:rPr>
          <w:rFonts w:ascii="宋体" w:hAnsi="宋体" w:eastAsia="宋体" w:cs="宋体"/>
          <w:sz w:val="24"/>
          <w:szCs w:val="24"/>
        </w:rPr>
        <w:t xml:space="preserve"> </w:t>
      </w:r>
      <w:r>
        <w:rPr>
          <w:rFonts w:ascii="宋体" w:hAnsi="宋体" w:eastAsia="宋体" w:cs="宋体"/>
          <w:spacing w:val="-1"/>
          <w:sz w:val="24"/>
          <w:szCs w:val="24"/>
        </w:rPr>
        <w:t>会工作，文化、体育和娱乐业等）。</w:t>
      </w:r>
    </w:p>
    <w:p w14:paraId="4F98E722">
      <w:pPr>
        <w:spacing w:before="37" w:line="220" w:lineRule="auto"/>
        <w:ind w:left="510"/>
        <w:rPr>
          <w:rFonts w:ascii="宋体" w:hAnsi="宋体" w:eastAsia="宋体" w:cs="宋体"/>
          <w:sz w:val="24"/>
          <w:szCs w:val="24"/>
        </w:rPr>
      </w:pPr>
      <w:r>
        <w:rPr>
          <w:rFonts w:ascii="宋体" w:hAnsi="宋体" w:eastAsia="宋体" w:cs="宋体"/>
          <w:spacing w:val="-3"/>
          <w:sz w:val="24"/>
          <w:szCs w:val="24"/>
        </w:rPr>
        <w:t>四、各行业划型标准为：</w:t>
      </w:r>
    </w:p>
    <w:p w14:paraId="14F2BB9C">
      <w:pPr>
        <w:spacing w:before="274" w:line="422" w:lineRule="auto"/>
        <w:ind w:left="7" w:right="118" w:firstLine="492"/>
        <w:jc w:val="both"/>
        <w:rPr>
          <w:rFonts w:ascii="宋体" w:hAnsi="宋体" w:eastAsia="宋体" w:cs="宋体"/>
          <w:sz w:val="24"/>
          <w:szCs w:val="24"/>
        </w:rPr>
      </w:pPr>
      <w:r>
        <w:rPr>
          <w:rFonts w:ascii="宋体" w:hAnsi="宋体" w:eastAsia="宋体" w:cs="宋体"/>
          <w:spacing w:val="-1"/>
          <w:sz w:val="24"/>
          <w:szCs w:val="24"/>
        </w:rPr>
        <w:t>（一）农、林、牧、渔业。营业收入</w:t>
      </w:r>
      <w:r>
        <w:rPr>
          <w:rFonts w:ascii="宋体" w:hAnsi="宋体" w:eastAsia="宋体" w:cs="宋体"/>
          <w:spacing w:val="-47"/>
          <w:sz w:val="24"/>
          <w:szCs w:val="24"/>
        </w:rPr>
        <w:t xml:space="preserve"> </w:t>
      </w:r>
      <w:r>
        <w:rPr>
          <w:rFonts w:ascii="宋体" w:hAnsi="宋体" w:eastAsia="宋体" w:cs="宋体"/>
          <w:spacing w:val="-1"/>
          <w:sz w:val="24"/>
          <w:szCs w:val="24"/>
        </w:rPr>
        <w:t>20000</w:t>
      </w:r>
      <w:r>
        <w:rPr>
          <w:rFonts w:ascii="宋体" w:hAnsi="宋体" w:eastAsia="宋体" w:cs="宋体"/>
          <w:spacing w:val="-45"/>
          <w:sz w:val="24"/>
          <w:szCs w:val="24"/>
        </w:rPr>
        <w:t xml:space="preserve"> </w:t>
      </w:r>
      <w:r>
        <w:rPr>
          <w:rFonts w:ascii="宋体" w:hAnsi="宋体" w:eastAsia="宋体" w:cs="宋体"/>
          <w:spacing w:val="-1"/>
          <w:sz w:val="24"/>
          <w:szCs w:val="24"/>
        </w:rPr>
        <w:t>万元以下的为中小微</w:t>
      </w:r>
      <w:r>
        <w:rPr>
          <w:rFonts w:ascii="宋体" w:hAnsi="宋体" w:eastAsia="宋体" w:cs="宋体"/>
          <w:spacing w:val="-2"/>
          <w:sz w:val="24"/>
          <w:szCs w:val="24"/>
        </w:rPr>
        <w:t>型企业。其中，营业收</w:t>
      </w:r>
      <w:r>
        <w:rPr>
          <w:rFonts w:ascii="宋体" w:hAnsi="宋体" w:eastAsia="宋体" w:cs="宋体"/>
          <w:sz w:val="24"/>
          <w:szCs w:val="24"/>
        </w:rPr>
        <w:t xml:space="preserve"> </w:t>
      </w:r>
      <w:r>
        <w:rPr>
          <w:rFonts w:ascii="宋体" w:hAnsi="宋体" w:eastAsia="宋体" w:cs="宋体"/>
          <w:spacing w:val="-2"/>
          <w:sz w:val="24"/>
          <w:szCs w:val="24"/>
        </w:rPr>
        <w:t>入</w:t>
      </w:r>
      <w:r>
        <w:rPr>
          <w:rFonts w:ascii="宋体" w:hAnsi="宋体" w:eastAsia="宋体" w:cs="宋体"/>
          <w:spacing w:val="-46"/>
          <w:sz w:val="24"/>
          <w:szCs w:val="24"/>
        </w:rPr>
        <w:t xml:space="preserve"> </w:t>
      </w:r>
      <w:r>
        <w:rPr>
          <w:rFonts w:ascii="宋体" w:hAnsi="宋体" w:eastAsia="宋体" w:cs="宋体"/>
          <w:spacing w:val="-2"/>
          <w:sz w:val="24"/>
          <w:szCs w:val="24"/>
        </w:rPr>
        <w:t>500</w:t>
      </w:r>
      <w:r>
        <w:rPr>
          <w:rFonts w:ascii="宋体" w:hAnsi="宋体" w:eastAsia="宋体" w:cs="宋体"/>
          <w:spacing w:val="-44"/>
          <w:sz w:val="24"/>
          <w:szCs w:val="24"/>
        </w:rPr>
        <w:t xml:space="preserve"> </w:t>
      </w:r>
      <w:r>
        <w:rPr>
          <w:rFonts w:ascii="宋体" w:hAnsi="宋体" w:eastAsia="宋体" w:cs="宋体"/>
          <w:spacing w:val="-2"/>
          <w:sz w:val="24"/>
          <w:szCs w:val="24"/>
        </w:rPr>
        <w:t>万元及以上的为中型企业，营业收入</w:t>
      </w:r>
      <w:r>
        <w:rPr>
          <w:rFonts w:ascii="宋体" w:hAnsi="宋体" w:eastAsia="宋体" w:cs="宋体"/>
          <w:spacing w:val="-46"/>
          <w:sz w:val="24"/>
          <w:szCs w:val="24"/>
        </w:rPr>
        <w:t xml:space="preserve"> </w:t>
      </w:r>
      <w:r>
        <w:rPr>
          <w:rFonts w:ascii="宋体" w:hAnsi="宋体" w:eastAsia="宋体" w:cs="宋体"/>
          <w:spacing w:val="-2"/>
          <w:sz w:val="24"/>
          <w:szCs w:val="24"/>
        </w:rPr>
        <w:t>50</w:t>
      </w:r>
      <w:r>
        <w:rPr>
          <w:rFonts w:ascii="宋体" w:hAnsi="宋体" w:eastAsia="宋体" w:cs="宋体"/>
          <w:spacing w:val="-45"/>
          <w:sz w:val="24"/>
          <w:szCs w:val="24"/>
        </w:rPr>
        <w:t xml:space="preserve"> </w:t>
      </w:r>
      <w:r>
        <w:rPr>
          <w:rFonts w:ascii="宋体" w:hAnsi="宋体" w:eastAsia="宋体" w:cs="宋体"/>
          <w:spacing w:val="-2"/>
          <w:sz w:val="24"/>
          <w:szCs w:val="24"/>
        </w:rPr>
        <w:t>万元及以上的</w:t>
      </w:r>
      <w:r>
        <w:rPr>
          <w:rFonts w:ascii="宋体" w:hAnsi="宋体" w:eastAsia="宋体" w:cs="宋体"/>
          <w:spacing w:val="-3"/>
          <w:sz w:val="24"/>
          <w:szCs w:val="24"/>
        </w:rPr>
        <w:t>为小型企业，营业收入</w:t>
      </w:r>
      <w:r>
        <w:rPr>
          <w:rFonts w:ascii="宋体" w:hAnsi="宋体" w:eastAsia="宋体" w:cs="宋体"/>
          <w:spacing w:val="-46"/>
          <w:sz w:val="24"/>
          <w:szCs w:val="24"/>
        </w:rPr>
        <w:t xml:space="preserve"> </w:t>
      </w:r>
      <w:r>
        <w:rPr>
          <w:rFonts w:ascii="宋体" w:hAnsi="宋体" w:eastAsia="宋体" w:cs="宋体"/>
          <w:spacing w:val="-3"/>
          <w:sz w:val="24"/>
          <w:szCs w:val="24"/>
        </w:rPr>
        <w:t>50</w:t>
      </w:r>
      <w:r>
        <w:rPr>
          <w:rFonts w:ascii="宋体" w:hAnsi="宋体" w:eastAsia="宋体" w:cs="宋体"/>
          <w:spacing w:val="-45"/>
          <w:sz w:val="24"/>
          <w:szCs w:val="24"/>
        </w:rPr>
        <w:t xml:space="preserve"> </w:t>
      </w:r>
      <w:r>
        <w:rPr>
          <w:rFonts w:ascii="宋体" w:hAnsi="宋体" w:eastAsia="宋体" w:cs="宋体"/>
          <w:spacing w:val="-3"/>
          <w:sz w:val="24"/>
          <w:szCs w:val="24"/>
        </w:rPr>
        <w:t>万元</w:t>
      </w:r>
      <w:r>
        <w:rPr>
          <w:rFonts w:ascii="宋体" w:hAnsi="宋体" w:eastAsia="宋体" w:cs="宋体"/>
          <w:sz w:val="24"/>
          <w:szCs w:val="24"/>
        </w:rPr>
        <w:t xml:space="preserve"> </w:t>
      </w:r>
      <w:r>
        <w:rPr>
          <w:rFonts w:ascii="宋体" w:hAnsi="宋体" w:eastAsia="宋体" w:cs="宋体"/>
          <w:spacing w:val="-1"/>
          <w:sz w:val="24"/>
          <w:szCs w:val="24"/>
        </w:rPr>
        <w:t>以下的为微型企业。</w:t>
      </w:r>
    </w:p>
    <w:p w14:paraId="08DD83C1">
      <w:pPr>
        <w:spacing w:before="32" w:line="425" w:lineRule="auto"/>
        <w:ind w:left="8" w:right="18" w:firstLine="443"/>
        <w:jc w:val="both"/>
        <w:rPr>
          <w:rFonts w:ascii="宋体" w:hAnsi="宋体" w:eastAsia="宋体" w:cs="宋体"/>
          <w:sz w:val="24"/>
          <w:szCs w:val="24"/>
        </w:rPr>
      </w:pPr>
      <w:r>
        <w:rPr>
          <w:rFonts w:ascii="宋体" w:hAnsi="宋体" w:eastAsia="宋体" w:cs="宋体"/>
          <w:spacing w:val="-7"/>
          <w:sz w:val="24"/>
          <w:szCs w:val="24"/>
        </w:rPr>
        <w:t>（二）工业。从业人员</w:t>
      </w:r>
      <w:r>
        <w:rPr>
          <w:rFonts w:ascii="宋体" w:hAnsi="宋体" w:eastAsia="宋体" w:cs="宋体"/>
          <w:spacing w:val="-28"/>
          <w:sz w:val="24"/>
          <w:szCs w:val="24"/>
        </w:rPr>
        <w:t xml:space="preserve"> </w:t>
      </w:r>
      <w:r>
        <w:rPr>
          <w:rFonts w:ascii="宋体" w:hAnsi="宋体" w:eastAsia="宋体" w:cs="宋体"/>
          <w:spacing w:val="-7"/>
          <w:sz w:val="24"/>
          <w:szCs w:val="24"/>
        </w:rPr>
        <w:t>1000</w:t>
      </w:r>
      <w:r>
        <w:rPr>
          <w:rFonts w:ascii="宋体" w:hAnsi="宋体" w:eastAsia="宋体" w:cs="宋体"/>
          <w:spacing w:val="-49"/>
          <w:sz w:val="24"/>
          <w:szCs w:val="24"/>
        </w:rPr>
        <w:t xml:space="preserve"> </w:t>
      </w:r>
      <w:r>
        <w:rPr>
          <w:rFonts w:ascii="宋体" w:hAnsi="宋体" w:eastAsia="宋体" w:cs="宋体"/>
          <w:spacing w:val="-7"/>
          <w:sz w:val="24"/>
          <w:szCs w:val="24"/>
        </w:rPr>
        <w:t>人以下或营业收入</w:t>
      </w:r>
      <w:r>
        <w:rPr>
          <w:rFonts w:ascii="宋体" w:hAnsi="宋体" w:eastAsia="宋体" w:cs="宋体"/>
          <w:spacing w:val="-52"/>
          <w:sz w:val="24"/>
          <w:szCs w:val="24"/>
        </w:rPr>
        <w:t xml:space="preserve"> </w:t>
      </w:r>
      <w:r>
        <w:rPr>
          <w:rFonts w:ascii="宋体" w:hAnsi="宋体" w:eastAsia="宋体" w:cs="宋体"/>
          <w:spacing w:val="-7"/>
          <w:sz w:val="24"/>
          <w:szCs w:val="24"/>
        </w:rPr>
        <w:t>40000</w:t>
      </w:r>
      <w:r>
        <w:rPr>
          <w:rFonts w:ascii="宋体" w:hAnsi="宋体" w:eastAsia="宋体" w:cs="宋体"/>
          <w:spacing w:val="-44"/>
          <w:sz w:val="24"/>
          <w:szCs w:val="24"/>
        </w:rPr>
        <w:t xml:space="preserve"> </w:t>
      </w:r>
      <w:r>
        <w:rPr>
          <w:rFonts w:ascii="宋体" w:hAnsi="宋体" w:eastAsia="宋体" w:cs="宋体"/>
          <w:spacing w:val="-7"/>
          <w:sz w:val="24"/>
          <w:szCs w:val="24"/>
        </w:rPr>
        <w:t>万元以下的为中小微型企业。其中，</w:t>
      </w:r>
      <w:r>
        <w:rPr>
          <w:rFonts w:ascii="宋体" w:hAnsi="宋体" w:eastAsia="宋体" w:cs="宋体"/>
          <w:sz w:val="24"/>
          <w:szCs w:val="24"/>
        </w:rPr>
        <w:t xml:space="preserve"> </w:t>
      </w:r>
      <w:r>
        <w:rPr>
          <w:rFonts w:ascii="宋体" w:hAnsi="宋体" w:eastAsia="宋体" w:cs="宋体"/>
          <w:spacing w:val="-5"/>
          <w:sz w:val="24"/>
          <w:szCs w:val="24"/>
        </w:rPr>
        <w:t>从业人员</w:t>
      </w:r>
      <w:r>
        <w:rPr>
          <w:rFonts w:ascii="宋体" w:hAnsi="宋体" w:eastAsia="宋体" w:cs="宋体"/>
          <w:spacing w:val="-46"/>
          <w:sz w:val="24"/>
          <w:szCs w:val="24"/>
        </w:rPr>
        <w:t xml:space="preserve"> </w:t>
      </w:r>
      <w:r>
        <w:rPr>
          <w:rFonts w:ascii="宋体" w:hAnsi="宋体" w:eastAsia="宋体" w:cs="宋体"/>
          <w:spacing w:val="-5"/>
          <w:sz w:val="24"/>
          <w:szCs w:val="24"/>
        </w:rPr>
        <w:t>300</w:t>
      </w:r>
      <w:r>
        <w:rPr>
          <w:rFonts w:ascii="宋体" w:hAnsi="宋体" w:eastAsia="宋体" w:cs="宋体"/>
          <w:spacing w:val="-49"/>
          <w:sz w:val="24"/>
          <w:szCs w:val="24"/>
        </w:rPr>
        <w:t xml:space="preserve"> </w:t>
      </w:r>
      <w:r>
        <w:rPr>
          <w:rFonts w:ascii="宋体" w:hAnsi="宋体" w:eastAsia="宋体" w:cs="宋体"/>
          <w:spacing w:val="-5"/>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5"/>
          <w:sz w:val="24"/>
          <w:szCs w:val="24"/>
        </w:rPr>
        <w:t>2000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万元及以上的为中型企业；从业人员</w:t>
      </w:r>
      <w:r>
        <w:rPr>
          <w:rFonts w:ascii="宋体" w:hAnsi="宋体" w:eastAsia="宋体" w:cs="宋体"/>
          <w:spacing w:val="-47"/>
          <w:sz w:val="24"/>
          <w:szCs w:val="24"/>
        </w:rPr>
        <w:t xml:space="preserve"> </w:t>
      </w:r>
      <w:r>
        <w:rPr>
          <w:rFonts w:ascii="宋体" w:hAnsi="宋体" w:eastAsia="宋体" w:cs="宋体"/>
          <w:spacing w:val="-6"/>
          <w:sz w:val="24"/>
          <w:szCs w:val="24"/>
        </w:rPr>
        <w:t>20</w:t>
      </w:r>
      <w:r>
        <w:rPr>
          <w:rFonts w:ascii="宋体" w:hAnsi="宋体" w:eastAsia="宋体" w:cs="宋体"/>
          <w:spacing w:val="-49"/>
          <w:sz w:val="24"/>
          <w:szCs w:val="24"/>
        </w:rPr>
        <w:t xml:space="preserve"> </w:t>
      </w:r>
      <w:r>
        <w:rPr>
          <w:rFonts w:ascii="宋体" w:hAnsi="宋体" w:eastAsia="宋体" w:cs="宋体"/>
          <w:spacing w:val="-6"/>
          <w:sz w:val="24"/>
          <w:szCs w:val="24"/>
        </w:rPr>
        <w:t>人及以上，</w:t>
      </w:r>
      <w:r>
        <w:rPr>
          <w:rFonts w:ascii="宋体" w:hAnsi="宋体" w:eastAsia="宋体" w:cs="宋体"/>
          <w:sz w:val="24"/>
          <w:szCs w:val="24"/>
        </w:rPr>
        <w:t xml:space="preserve"> </w:t>
      </w:r>
      <w:r>
        <w:rPr>
          <w:rFonts w:ascii="宋体" w:hAnsi="宋体" w:eastAsia="宋体" w:cs="宋体"/>
          <w:spacing w:val="-4"/>
          <w:sz w:val="24"/>
          <w:szCs w:val="24"/>
        </w:rPr>
        <w:t>且营业收入</w:t>
      </w:r>
      <w:r>
        <w:rPr>
          <w:rFonts w:ascii="宋体" w:hAnsi="宋体" w:eastAsia="宋体" w:cs="宋体"/>
          <w:spacing w:val="-45"/>
          <w:sz w:val="24"/>
          <w:szCs w:val="24"/>
        </w:rPr>
        <w:t xml:space="preserve"> </w:t>
      </w:r>
      <w:r>
        <w:rPr>
          <w:rFonts w:ascii="宋体" w:hAnsi="宋体" w:eastAsia="宋体" w:cs="宋体"/>
          <w:spacing w:val="-4"/>
          <w:sz w:val="24"/>
          <w:szCs w:val="24"/>
        </w:rPr>
        <w:t>300</w:t>
      </w:r>
      <w:r>
        <w:rPr>
          <w:rFonts w:ascii="宋体" w:hAnsi="宋体" w:eastAsia="宋体" w:cs="宋体"/>
          <w:spacing w:val="-45"/>
          <w:sz w:val="24"/>
          <w:szCs w:val="24"/>
        </w:rPr>
        <w:t xml:space="preserve"> </w:t>
      </w:r>
      <w:r>
        <w:rPr>
          <w:rFonts w:ascii="宋体" w:hAnsi="宋体" w:eastAsia="宋体" w:cs="宋体"/>
          <w:spacing w:val="-4"/>
          <w:sz w:val="24"/>
          <w:szCs w:val="24"/>
        </w:rPr>
        <w:t>万元及以上的为小型企业；从业人员</w:t>
      </w:r>
      <w:r>
        <w:rPr>
          <w:rFonts w:ascii="宋体" w:hAnsi="宋体" w:eastAsia="宋体" w:cs="宋体"/>
          <w:spacing w:val="-48"/>
          <w:sz w:val="24"/>
          <w:szCs w:val="24"/>
        </w:rPr>
        <w:t xml:space="preserve"> </w:t>
      </w:r>
      <w:r>
        <w:rPr>
          <w:rFonts w:ascii="宋体" w:hAnsi="宋体" w:eastAsia="宋体" w:cs="宋体"/>
          <w:spacing w:val="-4"/>
          <w:sz w:val="24"/>
          <w:szCs w:val="24"/>
        </w:rPr>
        <w:t>20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4"/>
          <w:sz w:val="24"/>
          <w:szCs w:val="24"/>
        </w:rPr>
        <w:t>300</w:t>
      </w:r>
      <w:r>
        <w:rPr>
          <w:rFonts w:ascii="宋体" w:hAnsi="宋体" w:eastAsia="宋体" w:cs="宋体"/>
          <w:spacing w:val="-44"/>
          <w:sz w:val="24"/>
          <w:szCs w:val="24"/>
        </w:rPr>
        <w:t xml:space="preserve"> </w:t>
      </w:r>
      <w:r>
        <w:rPr>
          <w:rFonts w:ascii="宋体" w:hAnsi="宋体" w:eastAsia="宋体" w:cs="宋体"/>
          <w:spacing w:val="-4"/>
          <w:sz w:val="24"/>
          <w:szCs w:val="24"/>
        </w:rPr>
        <w:t>万元以</w:t>
      </w:r>
      <w:r>
        <w:rPr>
          <w:rFonts w:ascii="宋体" w:hAnsi="宋体" w:eastAsia="宋体" w:cs="宋体"/>
          <w:spacing w:val="-5"/>
          <w:sz w:val="24"/>
          <w:szCs w:val="24"/>
        </w:rPr>
        <w:t>下的为</w:t>
      </w:r>
      <w:r>
        <w:rPr>
          <w:rFonts w:ascii="宋体" w:hAnsi="宋体" w:eastAsia="宋体" w:cs="宋体"/>
          <w:sz w:val="24"/>
          <w:szCs w:val="24"/>
        </w:rPr>
        <w:t xml:space="preserve"> </w:t>
      </w:r>
      <w:r>
        <w:rPr>
          <w:rFonts w:ascii="宋体" w:hAnsi="宋体" w:eastAsia="宋体" w:cs="宋体"/>
          <w:spacing w:val="-2"/>
          <w:sz w:val="24"/>
          <w:szCs w:val="24"/>
        </w:rPr>
        <w:t>微型企业。</w:t>
      </w:r>
    </w:p>
    <w:p w14:paraId="73CBA8D6">
      <w:pPr>
        <w:spacing w:before="31" w:line="425" w:lineRule="auto"/>
        <w:ind w:left="9" w:firstLine="464"/>
        <w:jc w:val="both"/>
        <w:rPr>
          <w:rFonts w:ascii="宋体" w:hAnsi="宋体" w:eastAsia="宋体" w:cs="宋体"/>
          <w:sz w:val="24"/>
          <w:szCs w:val="24"/>
        </w:rPr>
      </w:pPr>
      <w:r>
        <w:rPr>
          <w:rFonts w:ascii="宋体" w:hAnsi="宋体" w:eastAsia="宋体" w:cs="宋体"/>
          <w:spacing w:val="-4"/>
          <w:sz w:val="24"/>
          <w:szCs w:val="24"/>
        </w:rPr>
        <w:t>（三）建筑业。营业收入</w:t>
      </w:r>
      <w:r>
        <w:rPr>
          <w:rFonts w:ascii="宋体" w:hAnsi="宋体" w:eastAsia="宋体" w:cs="宋体"/>
          <w:spacing w:val="-46"/>
          <w:sz w:val="24"/>
          <w:szCs w:val="24"/>
        </w:rPr>
        <w:t xml:space="preserve"> </w:t>
      </w:r>
      <w:r>
        <w:rPr>
          <w:rFonts w:ascii="宋体" w:hAnsi="宋体" w:eastAsia="宋体" w:cs="宋体"/>
          <w:spacing w:val="-4"/>
          <w:sz w:val="24"/>
          <w:szCs w:val="24"/>
        </w:rPr>
        <w:t>80000</w:t>
      </w:r>
      <w:r>
        <w:rPr>
          <w:rFonts w:ascii="宋体" w:hAnsi="宋体" w:eastAsia="宋体" w:cs="宋体"/>
          <w:spacing w:val="-45"/>
          <w:sz w:val="24"/>
          <w:szCs w:val="24"/>
        </w:rPr>
        <w:t xml:space="preserve"> </w:t>
      </w:r>
      <w:r>
        <w:rPr>
          <w:rFonts w:ascii="宋体" w:hAnsi="宋体" w:eastAsia="宋体" w:cs="宋体"/>
          <w:spacing w:val="-4"/>
          <w:sz w:val="24"/>
          <w:szCs w:val="24"/>
        </w:rPr>
        <w:t>万元以下或资产总额</w:t>
      </w:r>
      <w:r>
        <w:rPr>
          <w:rFonts w:ascii="宋体" w:hAnsi="宋体" w:eastAsia="宋体" w:cs="宋体"/>
          <w:spacing w:val="-49"/>
          <w:sz w:val="24"/>
          <w:szCs w:val="24"/>
        </w:rPr>
        <w:t xml:space="preserve"> </w:t>
      </w:r>
      <w:r>
        <w:rPr>
          <w:rFonts w:ascii="宋体" w:hAnsi="宋体" w:eastAsia="宋体" w:cs="宋体"/>
          <w:spacing w:val="-4"/>
          <w:sz w:val="24"/>
          <w:szCs w:val="24"/>
        </w:rPr>
        <w:t>80000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万元以下的为中小微型企业。</w:t>
      </w:r>
      <w:r>
        <w:rPr>
          <w:rFonts w:ascii="宋体" w:hAnsi="宋体" w:eastAsia="宋体" w:cs="宋体"/>
          <w:sz w:val="24"/>
          <w:szCs w:val="24"/>
        </w:rPr>
        <w:t xml:space="preserve"> </w:t>
      </w:r>
      <w:r>
        <w:rPr>
          <w:rFonts w:ascii="宋体" w:hAnsi="宋体" w:eastAsia="宋体" w:cs="宋体"/>
          <w:spacing w:val="-5"/>
          <w:sz w:val="24"/>
          <w:szCs w:val="24"/>
        </w:rPr>
        <w:t>其中，营业收入</w:t>
      </w:r>
      <w:r>
        <w:rPr>
          <w:rFonts w:ascii="宋体" w:hAnsi="宋体" w:eastAsia="宋体" w:cs="宋体"/>
          <w:spacing w:val="-47"/>
          <w:sz w:val="24"/>
          <w:szCs w:val="24"/>
        </w:rPr>
        <w:t xml:space="preserve"> </w:t>
      </w:r>
      <w:r>
        <w:rPr>
          <w:rFonts w:ascii="宋体" w:hAnsi="宋体" w:eastAsia="宋体" w:cs="宋体"/>
          <w:spacing w:val="-5"/>
          <w:sz w:val="24"/>
          <w:szCs w:val="24"/>
        </w:rPr>
        <w:t>6000</w:t>
      </w:r>
      <w:r>
        <w:rPr>
          <w:rFonts w:ascii="宋体" w:hAnsi="宋体" w:eastAsia="宋体" w:cs="宋体"/>
          <w:spacing w:val="-45"/>
          <w:sz w:val="24"/>
          <w:szCs w:val="24"/>
        </w:rPr>
        <w:t xml:space="preserve"> </w:t>
      </w:r>
      <w:r>
        <w:rPr>
          <w:rFonts w:ascii="宋体" w:hAnsi="宋体" w:eastAsia="宋体" w:cs="宋体"/>
          <w:spacing w:val="-5"/>
          <w:sz w:val="24"/>
          <w:szCs w:val="24"/>
        </w:rPr>
        <w:t>万元及以上，且资产总额</w:t>
      </w:r>
      <w:r>
        <w:rPr>
          <w:rFonts w:ascii="宋体" w:hAnsi="宋体" w:eastAsia="宋体" w:cs="宋体"/>
          <w:spacing w:val="-46"/>
          <w:sz w:val="24"/>
          <w:szCs w:val="24"/>
        </w:rPr>
        <w:t xml:space="preserve"> </w:t>
      </w:r>
      <w:r>
        <w:rPr>
          <w:rFonts w:ascii="宋体" w:hAnsi="宋体" w:eastAsia="宋体" w:cs="宋体"/>
          <w:spacing w:val="-5"/>
          <w:sz w:val="24"/>
          <w:szCs w:val="24"/>
        </w:rPr>
        <w:t>5000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万元及以上的为中型企业；营业收入</w:t>
      </w:r>
      <w:r>
        <w:rPr>
          <w:rFonts w:ascii="宋体" w:hAnsi="宋体" w:eastAsia="宋体" w:cs="宋体"/>
          <w:spacing w:val="-45"/>
          <w:sz w:val="24"/>
          <w:szCs w:val="24"/>
        </w:rPr>
        <w:t xml:space="preserve"> </w:t>
      </w:r>
      <w:r>
        <w:rPr>
          <w:rFonts w:ascii="宋体" w:hAnsi="宋体" w:eastAsia="宋体" w:cs="宋体"/>
          <w:spacing w:val="-5"/>
          <w:sz w:val="24"/>
          <w:szCs w:val="24"/>
        </w:rPr>
        <w:t>300</w:t>
      </w:r>
      <w:r>
        <w:rPr>
          <w:rFonts w:ascii="宋体" w:hAnsi="宋体" w:eastAsia="宋体" w:cs="宋体"/>
          <w:sz w:val="24"/>
          <w:szCs w:val="24"/>
        </w:rPr>
        <w:t xml:space="preserve"> </w:t>
      </w:r>
      <w:r>
        <w:rPr>
          <w:rFonts w:ascii="宋体" w:hAnsi="宋体" w:eastAsia="宋体" w:cs="宋体"/>
          <w:spacing w:val="-2"/>
          <w:sz w:val="24"/>
          <w:szCs w:val="24"/>
        </w:rPr>
        <w:t>万元及以上，且资产总额</w:t>
      </w:r>
      <w:r>
        <w:rPr>
          <w:rFonts w:ascii="宋体" w:hAnsi="宋体" w:eastAsia="宋体" w:cs="宋体"/>
          <w:spacing w:val="-32"/>
          <w:sz w:val="24"/>
          <w:szCs w:val="24"/>
        </w:rPr>
        <w:t xml:space="preserve"> </w:t>
      </w:r>
      <w:r>
        <w:rPr>
          <w:rFonts w:ascii="宋体" w:hAnsi="宋体" w:eastAsia="宋体" w:cs="宋体"/>
          <w:spacing w:val="-2"/>
          <w:sz w:val="24"/>
          <w:szCs w:val="24"/>
        </w:rPr>
        <w:t>300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万元及以上的为小型企业；营业收入</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5"/>
          <w:sz w:val="24"/>
          <w:szCs w:val="24"/>
        </w:rPr>
        <w:t xml:space="preserve"> </w:t>
      </w:r>
      <w:r>
        <w:rPr>
          <w:rFonts w:ascii="宋体" w:hAnsi="宋体" w:eastAsia="宋体" w:cs="宋体"/>
          <w:spacing w:val="-2"/>
          <w:sz w:val="24"/>
          <w:szCs w:val="24"/>
        </w:rPr>
        <w:t>万元以下或资产总额</w:t>
      </w:r>
      <w:r>
        <w:rPr>
          <w:rFonts w:ascii="宋体" w:hAnsi="宋体" w:eastAsia="宋体" w:cs="宋体"/>
          <w:sz w:val="24"/>
          <w:szCs w:val="24"/>
        </w:rPr>
        <w:t xml:space="preserve">  </w:t>
      </w:r>
      <w:r>
        <w:rPr>
          <w:rFonts w:ascii="宋体" w:hAnsi="宋体" w:eastAsia="宋体" w:cs="宋体"/>
          <w:spacing w:val="-2"/>
          <w:sz w:val="24"/>
          <w:szCs w:val="24"/>
        </w:rPr>
        <w:t>300</w:t>
      </w:r>
      <w:r>
        <w:rPr>
          <w:rFonts w:ascii="宋体" w:hAnsi="宋体" w:eastAsia="宋体" w:cs="宋体"/>
          <w:spacing w:val="-44"/>
          <w:sz w:val="24"/>
          <w:szCs w:val="24"/>
        </w:rPr>
        <w:t xml:space="preserve"> </w:t>
      </w:r>
      <w:r>
        <w:rPr>
          <w:rFonts w:ascii="宋体" w:hAnsi="宋体" w:eastAsia="宋体" w:cs="宋体"/>
          <w:spacing w:val="-2"/>
          <w:sz w:val="24"/>
          <w:szCs w:val="24"/>
        </w:rPr>
        <w:t>万元以下的为微型企业。</w:t>
      </w:r>
    </w:p>
    <w:p w14:paraId="133AAC7C">
      <w:pPr>
        <w:spacing w:before="32" w:line="419" w:lineRule="auto"/>
        <w:ind w:left="30" w:right="118" w:firstLine="468"/>
        <w:rPr>
          <w:rFonts w:ascii="宋体" w:hAnsi="宋体" w:eastAsia="宋体" w:cs="宋体"/>
          <w:sz w:val="24"/>
          <w:szCs w:val="24"/>
        </w:rPr>
      </w:pPr>
      <w:r>
        <w:rPr>
          <w:rFonts w:ascii="宋体" w:hAnsi="宋体" w:eastAsia="宋体" w:cs="宋体"/>
          <w:spacing w:val="-2"/>
          <w:sz w:val="24"/>
          <w:szCs w:val="24"/>
        </w:rPr>
        <w:t>（四）批发业。从业人员</w:t>
      </w:r>
      <w:r>
        <w:rPr>
          <w:rFonts w:ascii="宋体" w:hAnsi="宋体" w:eastAsia="宋体" w:cs="宋体"/>
          <w:spacing w:val="-35"/>
          <w:sz w:val="24"/>
          <w:szCs w:val="24"/>
        </w:rPr>
        <w:t xml:space="preserve"> </w:t>
      </w:r>
      <w:r>
        <w:rPr>
          <w:rFonts w:ascii="宋体" w:hAnsi="宋体" w:eastAsia="宋体" w:cs="宋体"/>
          <w:spacing w:val="-2"/>
          <w:sz w:val="24"/>
          <w:szCs w:val="24"/>
        </w:rPr>
        <w:t>200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51"/>
          <w:sz w:val="24"/>
          <w:szCs w:val="24"/>
        </w:rPr>
        <w:t xml:space="preserve"> </w:t>
      </w:r>
      <w:r>
        <w:rPr>
          <w:rFonts w:ascii="宋体" w:hAnsi="宋体" w:eastAsia="宋体" w:cs="宋体"/>
          <w:spacing w:val="-2"/>
          <w:sz w:val="24"/>
          <w:szCs w:val="24"/>
        </w:rPr>
        <w:t>40000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万元以下的为中小微型企业。其</w:t>
      </w:r>
      <w:r>
        <w:rPr>
          <w:rFonts w:ascii="宋体" w:hAnsi="宋体" w:eastAsia="宋体" w:cs="宋体"/>
          <w:sz w:val="24"/>
          <w:szCs w:val="24"/>
        </w:rPr>
        <w:t xml:space="preserve"> </w:t>
      </w:r>
      <w:r>
        <w:rPr>
          <w:rFonts w:ascii="宋体" w:hAnsi="宋体" w:eastAsia="宋体" w:cs="宋体"/>
          <w:spacing w:val="-3"/>
          <w:sz w:val="24"/>
          <w:szCs w:val="24"/>
        </w:rPr>
        <w:t>中，从业人员</w:t>
      </w:r>
      <w:r>
        <w:rPr>
          <w:rFonts w:ascii="宋体" w:hAnsi="宋体" w:eastAsia="宋体" w:cs="宋体"/>
          <w:spacing w:val="-33"/>
          <w:sz w:val="24"/>
          <w:szCs w:val="24"/>
        </w:rPr>
        <w:t xml:space="preserve"> </w:t>
      </w:r>
      <w:r>
        <w:rPr>
          <w:rFonts w:ascii="宋体" w:hAnsi="宋体" w:eastAsia="宋体" w:cs="宋体"/>
          <w:spacing w:val="-3"/>
          <w:sz w:val="24"/>
          <w:szCs w:val="24"/>
        </w:rPr>
        <w:t>20</w:t>
      </w:r>
      <w:r>
        <w:rPr>
          <w:rFonts w:ascii="宋体" w:hAnsi="宋体" w:eastAsia="宋体" w:cs="宋体"/>
          <w:spacing w:val="-49"/>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3"/>
          <w:sz w:val="24"/>
          <w:szCs w:val="24"/>
        </w:rPr>
        <w:t>5000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万元及以上的为中型企业；从业人员</w:t>
      </w:r>
      <w:r>
        <w:rPr>
          <w:rFonts w:ascii="宋体" w:hAnsi="宋体" w:eastAsia="宋体" w:cs="宋体"/>
          <w:spacing w:val="-46"/>
          <w:sz w:val="24"/>
          <w:szCs w:val="24"/>
        </w:rPr>
        <w:t xml:space="preserve"> </w:t>
      </w:r>
      <w:r>
        <w:rPr>
          <w:rFonts w:ascii="宋体" w:hAnsi="宋体" w:eastAsia="宋体" w:cs="宋体"/>
          <w:spacing w:val="-3"/>
          <w:sz w:val="24"/>
          <w:szCs w:val="24"/>
        </w:rPr>
        <w:t>5</w:t>
      </w:r>
      <w:r>
        <w:rPr>
          <w:rFonts w:ascii="宋体" w:hAnsi="宋体" w:eastAsia="宋体" w:cs="宋体"/>
          <w:spacing w:val="-48"/>
          <w:sz w:val="24"/>
          <w:szCs w:val="24"/>
        </w:rPr>
        <w:t xml:space="preserve"> </w:t>
      </w:r>
      <w:r>
        <w:rPr>
          <w:rFonts w:ascii="宋体" w:hAnsi="宋体" w:eastAsia="宋体" w:cs="宋体"/>
          <w:spacing w:val="-3"/>
          <w:sz w:val="24"/>
          <w:szCs w:val="24"/>
        </w:rPr>
        <w:t>人及以</w:t>
      </w:r>
    </w:p>
    <w:p w14:paraId="400F8B41">
      <w:pPr>
        <w:spacing w:line="419" w:lineRule="auto"/>
        <w:rPr>
          <w:rFonts w:ascii="宋体" w:hAnsi="宋体" w:eastAsia="宋体" w:cs="宋体"/>
          <w:sz w:val="24"/>
          <w:szCs w:val="24"/>
        </w:rPr>
        <w:sectPr>
          <w:footerReference r:id="rId14" w:type="default"/>
          <w:pgSz w:w="11906" w:h="16839"/>
          <w:pgMar w:top="960" w:right="1054" w:bottom="916" w:left="1134" w:header="945" w:footer="754" w:gutter="0"/>
          <w:cols w:space="720" w:num="1"/>
        </w:sectPr>
      </w:pPr>
    </w:p>
    <w:p w14:paraId="41C323AE">
      <w:pPr>
        <w:spacing w:before="209" w:line="417" w:lineRule="auto"/>
        <w:ind w:left="15" w:right="118" w:hanging="5"/>
        <w:rPr>
          <w:rFonts w:ascii="宋体" w:hAnsi="宋体" w:eastAsia="宋体" w:cs="宋体"/>
          <w:sz w:val="24"/>
          <w:szCs w:val="24"/>
        </w:rPr>
      </w:pPr>
      <w:r>
        <w:rPr>
          <w:rFonts w:ascii="宋体" w:hAnsi="宋体" w:eastAsia="宋体" w:cs="宋体"/>
          <w:spacing w:val="-3"/>
          <w:sz w:val="24"/>
          <w:szCs w:val="24"/>
        </w:rPr>
        <w:t>上，且营业收入</w:t>
      </w:r>
      <w:r>
        <w:rPr>
          <w:rFonts w:ascii="宋体" w:hAnsi="宋体" w:eastAsia="宋体" w:cs="宋体"/>
          <w:spacing w:val="-27"/>
          <w:sz w:val="24"/>
          <w:szCs w:val="24"/>
        </w:rPr>
        <w:t xml:space="preserve"> </w:t>
      </w:r>
      <w:r>
        <w:rPr>
          <w:rFonts w:ascii="宋体" w:hAnsi="宋体" w:eastAsia="宋体" w:cs="宋体"/>
          <w:spacing w:val="-3"/>
          <w:sz w:val="24"/>
          <w:szCs w:val="24"/>
        </w:rPr>
        <w:t>1000</w:t>
      </w:r>
      <w:r>
        <w:rPr>
          <w:rFonts w:ascii="宋体" w:hAnsi="宋体" w:eastAsia="宋体" w:cs="宋体"/>
          <w:spacing w:val="-44"/>
          <w:sz w:val="24"/>
          <w:szCs w:val="24"/>
        </w:rPr>
        <w:t xml:space="preserve"> </w:t>
      </w:r>
      <w:r>
        <w:rPr>
          <w:rFonts w:ascii="宋体" w:hAnsi="宋体" w:eastAsia="宋体" w:cs="宋体"/>
          <w:spacing w:val="-3"/>
          <w:sz w:val="24"/>
          <w:szCs w:val="24"/>
        </w:rPr>
        <w:t>万元及以上的为小型企业；从业人员</w:t>
      </w:r>
      <w:r>
        <w:rPr>
          <w:rFonts w:ascii="宋体" w:hAnsi="宋体" w:eastAsia="宋体" w:cs="宋体"/>
          <w:spacing w:val="-46"/>
          <w:sz w:val="24"/>
          <w:szCs w:val="24"/>
        </w:rPr>
        <w:t xml:space="preserve"> </w:t>
      </w:r>
      <w:r>
        <w:rPr>
          <w:rFonts w:ascii="宋体" w:hAnsi="宋体" w:eastAsia="宋体" w:cs="宋体"/>
          <w:spacing w:val="-3"/>
          <w:sz w:val="24"/>
          <w:szCs w:val="24"/>
        </w:rPr>
        <w:t>5</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3"/>
          <w:sz w:val="24"/>
          <w:szCs w:val="24"/>
        </w:rPr>
        <w:t>1000</w:t>
      </w:r>
      <w:r>
        <w:rPr>
          <w:rFonts w:ascii="宋体" w:hAnsi="宋体" w:eastAsia="宋体" w:cs="宋体"/>
          <w:spacing w:val="-45"/>
          <w:sz w:val="24"/>
          <w:szCs w:val="24"/>
        </w:rPr>
        <w:t xml:space="preserve"> </w:t>
      </w:r>
      <w:r>
        <w:rPr>
          <w:rFonts w:ascii="宋体" w:hAnsi="宋体" w:eastAsia="宋体" w:cs="宋体"/>
          <w:spacing w:val="-3"/>
          <w:sz w:val="24"/>
          <w:szCs w:val="24"/>
        </w:rPr>
        <w:t>万元以</w:t>
      </w:r>
      <w:r>
        <w:rPr>
          <w:rFonts w:ascii="宋体" w:hAnsi="宋体" w:eastAsia="宋体" w:cs="宋体"/>
          <w:sz w:val="24"/>
          <w:szCs w:val="24"/>
        </w:rPr>
        <w:t xml:space="preserve"> </w:t>
      </w:r>
      <w:r>
        <w:rPr>
          <w:rFonts w:ascii="宋体" w:hAnsi="宋体" w:eastAsia="宋体" w:cs="宋体"/>
          <w:spacing w:val="-3"/>
          <w:sz w:val="24"/>
          <w:szCs w:val="24"/>
        </w:rPr>
        <w:t>下的为微型企业。</w:t>
      </w:r>
    </w:p>
    <w:p w14:paraId="512BA261">
      <w:pPr>
        <w:spacing w:before="37" w:line="424" w:lineRule="auto"/>
        <w:ind w:left="10" w:right="80" w:firstLine="489"/>
        <w:jc w:val="both"/>
        <w:rPr>
          <w:rFonts w:ascii="宋体" w:hAnsi="宋体" w:eastAsia="宋体" w:cs="宋体"/>
          <w:sz w:val="24"/>
          <w:szCs w:val="24"/>
        </w:rPr>
      </w:pPr>
      <w:r>
        <w:rPr>
          <w:rFonts w:ascii="宋体" w:hAnsi="宋体" w:eastAsia="宋体" w:cs="宋体"/>
          <w:spacing w:val="-2"/>
          <w:sz w:val="24"/>
          <w:szCs w:val="24"/>
        </w:rPr>
        <w:t>（五）零售业。从业人员</w:t>
      </w:r>
      <w:r>
        <w:rPr>
          <w:rFonts w:ascii="宋体" w:hAnsi="宋体" w:eastAsia="宋体" w:cs="宋体"/>
          <w:spacing w:val="-39"/>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47"/>
          <w:sz w:val="24"/>
          <w:szCs w:val="24"/>
        </w:rPr>
        <w:t xml:space="preserve"> </w:t>
      </w:r>
      <w:r>
        <w:rPr>
          <w:rFonts w:ascii="宋体" w:hAnsi="宋体" w:eastAsia="宋体" w:cs="宋体"/>
          <w:spacing w:val="-2"/>
          <w:sz w:val="24"/>
          <w:szCs w:val="24"/>
        </w:rPr>
        <w:t>20000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万元以下的为中小微型企业。其</w:t>
      </w:r>
      <w:r>
        <w:rPr>
          <w:rFonts w:ascii="宋体" w:hAnsi="宋体" w:eastAsia="宋体" w:cs="宋体"/>
          <w:sz w:val="24"/>
          <w:szCs w:val="24"/>
        </w:rPr>
        <w:t xml:space="preserve"> </w:t>
      </w:r>
      <w:r>
        <w:rPr>
          <w:rFonts w:ascii="宋体" w:hAnsi="宋体" w:eastAsia="宋体" w:cs="宋体"/>
          <w:spacing w:val="-2"/>
          <w:sz w:val="24"/>
          <w:szCs w:val="24"/>
        </w:rPr>
        <w:t>中，从业人员</w:t>
      </w:r>
      <w:r>
        <w:rPr>
          <w:rFonts w:ascii="宋体" w:hAnsi="宋体" w:eastAsia="宋体" w:cs="宋体"/>
          <w:spacing w:val="-46"/>
          <w:sz w:val="24"/>
          <w:szCs w:val="24"/>
        </w:rPr>
        <w:t xml:space="preserve"> </w:t>
      </w:r>
      <w:r>
        <w:rPr>
          <w:rFonts w:ascii="宋体" w:hAnsi="宋体" w:eastAsia="宋体" w:cs="宋体"/>
          <w:spacing w:val="-2"/>
          <w:sz w:val="24"/>
          <w:szCs w:val="24"/>
        </w:rPr>
        <w:t>50</w:t>
      </w:r>
      <w:r>
        <w:rPr>
          <w:rFonts w:ascii="宋体" w:hAnsi="宋体" w:eastAsia="宋体" w:cs="宋体"/>
          <w:spacing w:val="-48"/>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2"/>
          <w:sz w:val="24"/>
          <w:szCs w:val="24"/>
        </w:rPr>
        <w:t>50</w:t>
      </w:r>
      <w:r>
        <w:rPr>
          <w:rFonts w:ascii="宋体" w:hAnsi="宋体" w:eastAsia="宋体" w:cs="宋体"/>
          <w:spacing w:val="-3"/>
          <w:sz w:val="24"/>
          <w:szCs w:val="24"/>
        </w:rPr>
        <w:t>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万元及以上的为中型企业；从业人员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人及以</w:t>
      </w:r>
      <w:r>
        <w:rPr>
          <w:rFonts w:ascii="宋体" w:hAnsi="宋体" w:eastAsia="宋体" w:cs="宋体"/>
          <w:sz w:val="24"/>
          <w:szCs w:val="24"/>
        </w:rPr>
        <w:t xml:space="preserve"> </w:t>
      </w:r>
      <w:r>
        <w:rPr>
          <w:rFonts w:ascii="宋体" w:hAnsi="宋体" w:eastAsia="宋体" w:cs="宋体"/>
          <w:spacing w:val="-5"/>
          <w:sz w:val="24"/>
          <w:szCs w:val="24"/>
        </w:rPr>
        <w:t>上，且营业收入</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万元及以上的为小型企业；从业人员</w:t>
      </w:r>
      <w:r>
        <w:rPr>
          <w:rFonts w:ascii="宋体" w:hAnsi="宋体" w:eastAsia="宋体" w:cs="宋体"/>
          <w:spacing w:val="-33"/>
          <w:sz w:val="24"/>
          <w:szCs w:val="24"/>
        </w:rPr>
        <w:t xml:space="preserve"> </w:t>
      </w:r>
      <w:r>
        <w:rPr>
          <w:rFonts w:ascii="宋体" w:hAnsi="宋体" w:eastAsia="宋体" w:cs="宋体"/>
          <w:spacing w:val="-5"/>
          <w:sz w:val="24"/>
          <w:szCs w:val="24"/>
        </w:rPr>
        <w:t>10</w:t>
      </w:r>
      <w:r>
        <w:rPr>
          <w:rFonts w:ascii="宋体" w:hAnsi="宋体" w:eastAsia="宋体" w:cs="宋体"/>
          <w:spacing w:val="-49"/>
          <w:sz w:val="24"/>
          <w:szCs w:val="24"/>
        </w:rPr>
        <w:t xml:space="preserve"> </w:t>
      </w:r>
      <w:r>
        <w:rPr>
          <w:rFonts w:ascii="宋体" w:hAnsi="宋体" w:eastAsia="宋体" w:cs="宋体"/>
          <w:spacing w:val="-5"/>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pacing w:val="-44"/>
          <w:sz w:val="24"/>
          <w:szCs w:val="24"/>
        </w:rPr>
        <w:t xml:space="preserve"> </w:t>
      </w:r>
      <w:r>
        <w:rPr>
          <w:rFonts w:ascii="宋体" w:hAnsi="宋体" w:eastAsia="宋体" w:cs="宋体"/>
          <w:spacing w:val="-5"/>
          <w:sz w:val="24"/>
          <w:szCs w:val="24"/>
        </w:rPr>
        <w:t>万元</w:t>
      </w:r>
      <w:r>
        <w:rPr>
          <w:rFonts w:ascii="宋体" w:hAnsi="宋体" w:eastAsia="宋体" w:cs="宋体"/>
          <w:spacing w:val="-6"/>
          <w:sz w:val="24"/>
          <w:szCs w:val="24"/>
        </w:rPr>
        <w:t>以下</w:t>
      </w:r>
      <w:r>
        <w:rPr>
          <w:rFonts w:ascii="宋体" w:hAnsi="宋体" w:eastAsia="宋体" w:cs="宋体"/>
          <w:sz w:val="24"/>
          <w:szCs w:val="24"/>
        </w:rPr>
        <w:t xml:space="preserve"> </w:t>
      </w:r>
      <w:r>
        <w:rPr>
          <w:rFonts w:ascii="宋体" w:hAnsi="宋体" w:eastAsia="宋体" w:cs="宋体"/>
          <w:spacing w:val="-2"/>
          <w:sz w:val="24"/>
          <w:szCs w:val="24"/>
        </w:rPr>
        <w:t>的为微型企业。</w:t>
      </w:r>
    </w:p>
    <w:p w14:paraId="794A7FE9">
      <w:pPr>
        <w:spacing w:before="32" w:line="425" w:lineRule="auto"/>
        <w:ind w:left="7" w:firstLine="427"/>
        <w:jc w:val="both"/>
        <w:rPr>
          <w:rFonts w:ascii="宋体" w:hAnsi="宋体" w:eastAsia="宋体" w:cs="宋体"/>
          <w:sz w:val="24"/>
          <w:szCs w:val="24"/>
        </w:rPr>
      </w:pPr>
      <w:r>
        <w:rPr>
          <w:rFonts w:ascii="宋体" w:hAnsi="宋体" w:eastAsia="宋体" w:cs="宋体"/>
          <w:spacing w:val="-6"/>
          <w:sz w:val="24"/>
          <w:szCs w:val="24"/>
        </w:rPr>
        <w:t>（六）交通运输业。从业人员</w:t>
      </w:r>
      <w:r>
        <w:rPr>
          <w:rFonts w:ascii="宋体" w:hAnsi="宋体" w:eastAsia="宋体" w:cs="宋体"/>
          <w:spacing w:val="-33"/>
          <w:sz w:val="24"/>
          <w:szCs w:val="24"/>
        </w:rPr>
        <w:t xml:space="preserve"> </w:t>
      </w:r>
      <w:r>
        <w:rPr>
          <w:rFonts w:ascii="宋体" w:hAnsi="宋体" w:eastAsia="宋体" w:cs="宋体"/>
          <w:spacing w:val="-6"/>
          <w:sz w:val="24"/>
          <w:szCs w:val="24"/>
        </w:rPr>
        <w:t>1000</w:t>
      </w:r>
      <w:r>
        <w:rPr>
          <w:rFonts w:ascii="宋体" w:hAnsi="宋体" w:eastAsia="宋体" w:cs="宋体"/>
          <w:spacing w:val="-48"/>
          <w:sz w:val="24"/>
          <w:szCs w:val="24"/>
        </w:rPr>
        <w:t xml:space="preserve"> </w:t>
      </w:r>
      <w:r>
        <w:rPr>
          <w:rFonts w:ascii="宋体" w:hAnsi="宋体" w:eastAsia="宋体" w:cs="宋体"/>
          <w:spacing w:val="-6"/>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6"/>
          <w:sz w:val="24"/>
          <w:szCs w:val="24"/>
        </w:rPr>
        <w:t>30000</w:t>
      </w:r>
      <w:r>
        <w:rPr>
          <w:rFonts w:ascii="宋体" w:hAnsi="宋体" w:eastAsia="宋体" w:cs="宋体"/>
          <w:spacing w:val="-45"/>
          <w:sz w:val="24"/>
          <w:szCs w:val="24"/>
        </w:rPr>
        <w:t xml:space="preserve"> </w:t>
      </w:r>
      <w:r>
        <w:rPr>
          <w:rFonts w:ascii="宋体" w:hAnsi="宋体" w:eastAsia="宋体" w:cs="宋体"/>
          <w:spacing w:val="-6"/>
          <w:sz w:val="24"/>
          <w:szCs w:val="24"/>
        </w:rPr>
        <w:t>万元以下</w:t>
      </w:r>
      <w:r>
        <w:rPr>
          <w:rFonts w:ascii="宋体" w:hAnsi="宋体" w:eastAsia="宋体" w:cs="宋体"/>
          <w:spacing w:val="-7"/>
          <w:sz w:val="24"/>
          <w:szCs w:val="24"/>
        </w:rPr>
        <w:t>的为中小微型企业。</w:t>
      </w:r>
      <w:r>
        <w:rPr>
          <w:rFonts w:ascii="宋体" w:hAnsi="宋体" w:eastAsia="宋体" w:cs="宋体"/>
          <w:sz w:val="24"/>
          <w:szCs w:val="24"/>
        </w:rPr>
        <w:t xml:space="preserve"> </w:t>
      </w:r>
      <w:r>
        <w:rPr>
          <w:rFonts w:ascii="宋体" w:hAnsi="宋体" w:eastAsia="宋体" w:cs="宋体"/>
          <w:spacing w:val="-2"/>
          <w:sz w:val="24"/>
          <w:szCs w:val="24"/>
        </w:rPr>
        <w:t>其中，从业人员</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2"/>
          <w:sz w:val="24"/>
          <w:szCs w:val="24"/>
        </w:rPr>
        <w:t>3000</w:t>
      </w:r>
      <w:r>
        <w:rPr>
          <w:rFonts w:ascii="宋体" w:hAnsi="宋体" w:eastAsia="宋体" w:cs="宋体"/>
          <w:spacing w:val="-44"/>
          <w:sz w:val="24"/>
          <w:szCs w:val="24"/>
        </w:rPr>
        <w:t xml:space="preserve"> </w:t>
      </w:r>
      <w:r>
        <w:rPr>
          <w:rFonts w:ascii="宋体" w:hAnsi="宋体" w:eastAsia="宋体" w:cs="宋体"/>
          <w:spacing w:val="-2"/>
          <w:sz w:val="24"/>
          <w:szCs w:val="24"/>
        </w:rPr>
        <w:t>万元及以上的为中型企业；从业人员</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3"/>
          <w:sz w:val="24"/>
          <w:szCs w:val="24"/>
        </w:rPr>
        <w:t>0</w:t>
      </w:r>
      <w:r>
        <w:rPr>
          <w:rFonts w:ascii="宋体" w:hAnsi="宋体" w:eastAsia="宋体" w:cs="宋体"/>
          <w:spacing w:val="-49"/>
          <w:sz w:val="24"/>
          <w:szCs w:val="24"/>
        </w:rPr>
        <w:t xml:space="preserve"> </w:t>
      </w:r>
      <w:r>
        <w:rPr>
          <w:rFonts w:ascii="宋体" w:hAnsi="宋体" w:eastAsia="宋体" w:cs="宋体"/>
          <w:spacing w:val="-3"/>
          <w:sz w:val="24"/>
          <w:szCs w:val="24"/>
        </w:rPr>
        <w:t>人</w:t>
      </w:r>
      <w:r>
        <w:rPr>
          <w:rFonts w:ascii="宋体" w:hAnsi="宋体" w:eastAsia="宋体" w:cs="宋体"/>
          <w:sz w:val="24"/>
          <w:szCs w:val="24"/>
        </w:rPr>
        <w:t xml:space="preserve">  </w:t>
      </w:r>
      <w:r>
        <w:rPr>
          <w:rFonts w:ascii="宋体" w:hAnsi="宋体" w:eastAsia="宋体" w:cs="宋体"/>
          <w:spacing w:val="-4"/>
          <w:sz w:val="24"/>
          <w:szCs w:val="24"/>
        </w:rPr>
        <w:t>及以上，且营业收入</w:t>
      </w:r>
      <w:r>
        <w:rPr>
          <w:rFonts w:ascii="宋体" w:hAnsi="宋体" w:eastAsia="宋体" w:cs="宋体"/>
          <w:spacing w:val="-46"/>
          <w:sz w:val="24"/>
          <w:szCs w:val="24"/>
        </w:rPr>
        <w:t xml:space="preserve"> </w:t>
      </w:r>
      <w:r>
        <w:rPr>
          <w:rFonts w:ascii="宋体" w:hAnsi="宋体" w:eastAsia="宋体" w:cs="宋体"/>
          <w:spacing w:val="-4"/>
          <w:sz w:val="24"/>
          <w:szCs w:val="24"/>
        </w:rPr>
        <w:t>200</w:t>
      </w:r>
      <w:r>
        <w:rPr>
          <w:rFonts w:ascii="宋体" w:hAnsi="宋体" w:eastAsia="宋体" w:cs="宋体"/>
          <w:spacing w:val="-44"/>
          <w:sz w:val="24"/>
          <w:szCs w:val="24"/>
        </w:rPr>
        <w:t xml:space="preserve"> </w:t>
      </w:r>
      <w:r>
        <w:rPr>
          <w:rFonts w:ascii="宋体" w:hAnsi="宋体" w:eastAsia="宋体" w:cs="宋体"/>
          <w:spacing w:val="-4"/>
          <w:sz w:val="24"/>
          <w:szCs w:val="24"/>
        </w:rPr>
        <w:t>万元及以上的为小型企业；从业人员</w:t>
      </w:r>
      <w:r>
        <w:rPr>
          <w:rFonts w:ascii="宋体" w:hAnsi="宋体" w:eastAsia="宋体" w:cs="宋体"/>
          <w:spacing w:val="-48"/>
          <w:sz w:val="24"/>
          <w:szCs w:val="24"/>
        </w:rPr>
        <w:t xml:space="preserve"> </w:t>
      </w:r>
      <w:r>
        <w:rPr>
          <w:rFonts w:ascii="宋体" w:hAnsi="宋体" w:eastAsia="宋体" w:cs="宋体"/>
          <w:spacing w:val="-4"/>
          <w:sz w:val="24"/>
          <w:szCs w:val="24"/>
        </w:rPr>
        <w:t>20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48"/>
          <w:sz w:val="24"/>
          <w:szCs w:val="24"/>
        </w:rPr>
        <w:t xml:space="preserve"> </w:t>
      </w:r>
      <w:r>
        <w:rPr>
          <w:rFonts w:ascii="宋体" w:hAnsi="宋体" w:eastAsia="宋体" w:cs="宋体"/>
          <w:spacing w:val="-4"/>
          <w:sz w:val="24"/>
          <w:szCs w:val="24"/>
        </w:rPr>
        <w:t>200</w:t>
      </w:r>
      <w:r>
        <w:rPr>
          <w:rFonts w:ascii="宋体" w:hAnsi="宋体" w:eastAsia="宋体" w:cs="宋体"/>
          <w:spacing w:val="-45"/>
          <w:sz w:val="24"/>
          <w:szCs w:val="24"/>
        </w:rPr>
        <w:t xml:space="preserve"> </w:t>
      </w:r>
      <w:r>
        <w:rPr>
          <w:rFonts w:ascii="宋体" w:hAnsi="宋体" w:eastAsia="宋体" w:cs="宋体"/>
          <w:spacing w:val="-4"/>
          <w:sz w:val="24"/>
          <w:szCs w:val="24"/>
        </w:rPr>
        <w:t>万元</w:t>
      </w:r>
      <w:r>
        <w:rPr>
          <w:rFonts w:ascii="宋体" w:hAnsi="宋体" w:eastAsia="宋体" w:cs="宋体"/>
          <w:sz w:val="24"/>
          <w:szCs w:val="24"/>
        </w:rPr>
        <w:t xml:space="preserve"> </w:t>
      </w:r>
      <w:r>
        <w:rPr>
          <w:rFonts w:ascii="宋体" w:hAnsi="宋体" w:eastAsia="宋体" w:cs="宋体"/>
          <w:spacing w:val="-1"/>
          <w:sz w:val="24"/>
          <w:szCs w:val="24"/>
        </w:rPr>
        <w:t>以下的为微型企业。</w:t>
      </w:r>
    </w:p>
    <w:p w14:paraId="3B2FEC0D">
      <w:pPr>
        <w:spacing w:before="33" w:line="424" w:lineRule="auto"/>
        <w:ind w:left="15" w:right="80" w:firstLine="484"/>
        <w:jc w:val="both"/>
        <w:rPr>
          <w:rFonts w:ascii="宋体" w:hAnsi="宋体" w:eastAsia="宋体" w:cs="宋体"/>
          <w:sz w:val="24"/>
          <w:szCs w:val="24"/>
        </w:rPr>
      </w:pPr>
      <w:r>
        <w:rPr>
          <w:rFonts w:ascii="宋体" w:hAnsi="宋体" w:eastAsia="宋体" w:cs="宋体"/>
          <w:spacing w:val="-2"/>
          <w:sz w:val="24"/>
          <w:szCs w:val="24"/>
        </w:rPr>
        <w:t>（七）仓储业。从业人员</w:t>
      </w:r>
      <w:r>
        <w:rPr>
          <w:rFonts w:ascii="宋体" w:hAnsi="宋体" w:eastAsia="宋体" w:cs="宋体"/>
          <w:spacing w:val="-41"/>
          <w:sz w:val="24"/>
          <w:szCs w:val="24"/>
        </w:rPr>
        <w:t xml:space="preserve"> </w:t>
      </w:r>
      <w:r>
        <w:rPr>
          <w:rFonts w:ascii="宋体" w:hAnsi="宋体" w:eastAsia="宋体" w:cs="宋体"/>
          <w:spacing w:val="-2"/>
          <w:sz w:val="24"/>
          <w:szCs w:val="24"/>
        </w:rPr>
        <w:t>200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45"/>
          <w:sz w:val="24"/>
          <w:szCs w:val="24"/>
        </w:rPr>
        <w:t xml:space="preserve"> </w:t>
      </w:r>
      <w:r>
        <w:rPr>
          <w:rFonts w:ascii="宋体" w:hAnsi="宋体" w:eastAsia="宋体" w:cs="宋体"/>
          <w:spacing w:val="-2"/>
          <w:sz w:val="24"/>
          <w:szCs w:val="24"/>
        </w:rPr>
        <w:t>30000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万元以下的为中小微型企业。其</w:t>
      </w:r>
      <w:r>
        <w:rPr>
          <w:rFonts w:ascii="宋体" w:hAnsi="宋体" w:eastAsia="宋体" w:cs="宋体"/>
          <w:sz w:val="24"/>
          <w:szCs w:val="24"/>
        </w:rPr>
        <w:t xml:space="preserve"> </w:t>
      </w:r>
      <w:r>
        <w:rPr>
          <w:rFonts w:ascii="宋体" w:hAnsi="宋体" w:eastAsia="宋体" w:cs="宋体"/>
          <w:spacing w:val="-3"/>
          <w:sz w:val="24"/>
          <w:szCs w:val="24"/>
        </w:rPr>
        <w:t>中，从业人员</w:t>
      </w:r>
      <w:r>
        <w:rPr>
          <w:rFonts w:ascii="宋体" w:hAnsi="宋体" w:eastAsia="宋体" w:cs="宋体"/>
          <w:spacing w:val="-26"/>
          <w:sz w:val="24"/>
          <w:szCs w:val="24"/>
        </w:rPr>
        <w:t xml:space="preserve"> </w:t>
      </w:r>
      <w:r>
        <w:rPr>
          <w:rFonts w:ascii="宋体" w:hAnsi="宋体" w:eastAsia="宋体" w:cs="宋体"/>
          <w:spacing w:val="-3"/>
          <w:sz w:val="24"/>
          <w:szCs w:val="24"/>
        </w:rPr>
        <w:t>100</w:t>
      </w:r>
      <w:r>
        <w:rPr>
          <w:rFonts w:ascii="宋体" w:hAnsi="宋体" w:eastAsia="宋体" w:cs="宋体"/>
          <w:spacing w:val="-49"/>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3"/>
          <w:sz w:val="24"/>
          <w:szCs w:val="24"/>
        </w:rPr>
        <w:t>1000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万元及以上的为中型企业；从业人员</w:t>
      </w:r>
      <w:r>
        <w:rPr>
          <w:rFonts w:ascii="宋体" w:hAnsi="宋体" w:eastAsia="宋体" w:cs="宋体"/>
          <w:spacing w:val="-48"/>
          <w:sz w:val="24"/>
          <w:szCs w:val="24"/>
        </w:rPr>
        <w:t xml:space="preserve"> </w:t>
      </w:r>
      <w:r>
        <w:rPr>
          <w:rFonts w:ascii="宋体" w:hAnsi="宋体" w:eastAsia="宋体" w:cs="宋体"/>
          <w:spacing w:val="-3"/>
          <w:sz w:val="24"/>
          <w:szCs w:val="24"/>
        </w:rPr>
        <w:t>20</w:t>
      </w:r>
      <w:r>
        <w:rPr>
          <w:rFonts w:ascii="宋体" w:hAnsi="宋体" w:eastAsia="宋体" w:cs="宋体"/>
          <w:spacing w:val="-48"/>
          <w:sz w:val="24"/>
          <w:szCs w:val="24"/>
        </w:rPr>
        <w:t xml:space="preserve"> </w:t>
      </w:r>
      <w:r>
        <w:rPr>
          <w:rFonts w:ascii="宋体" w:hAnsi="宋体" w:eastAsia="宋体" w:cs="宋体"/>
          <w:spacing w:val="-3"/>
          <w:sz w:val="24"/>
          <w:szCs w:val="24"/>
        </w:rPr>
        <w:t>人及</w:t>
      </w:r>
      <w:r>
        <w:rPr>
          <w:rFonts w:ascii="宋体" w:hAnsi="宋体" w:eastAsia="宋体" w:cs="宋体"/>
          <w:sz w:val="24"/>
          <w:szCs w:val="24"/>
        </w:rPr>
        <w:t xml:space="preserve"> </w:t>
      </w:r>
      <w:r>
        <w:rPr>
          <w:rFonts w:ascii="宋体" w:hAnsi="宋体" w:eastAsia="宋体" w:cs="宋体"/>
          <w:spacing w:val="-5"/>
          <w:sz w:val="24"/>
          <w:szCs w:val="24"/>
        </w:rPr>
        <w:t>以上，且营业收入</w:t>
      </w:r>
      <w:r>
        <w:rPr>
          <w:rFonts w:ascii="宋体" w:hAnsi="宋体" w:eastAsia="宋体" w:cs="宋体"/>
          <w:spacing w:val="-26"/>
          <w:sz w:val="24"/>
          <w:szCs w:val="24"/>
        </w:rPr>
        <w:t xml:space="preserve"> </w:t>
      </w:r>
      <w:r>
        <w:rPr>
          <w:rFonts w:ascii="宋体" w:hAnsi="宋体" w:eastAsia="宋体" w:cs="宋体"/>
          <w:spacing w:val="-5"/>
          <w:sz w:val="24"/>
          <w:szCs w:val="24"/>
        </w:rPr>
        <w:t>100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万元及以上的为小型企业；从业人员</w:t>
      </w:r>
      <w:r>
        <w:rPr>
          <w:rFonts w:ascii="宋体" w:hAnsi="宋体" w:eastAsia="宋体" w:cs="宋体"/>
          <w:spacing w:val="-47"/>
          <w:sz w:val="24"/>
          <w:szCs w:val="24"/>
        </w:rPr>
        <w:t xml:space="preserve"> </w:t>
      </w:r>
      <w:r>
        <w:rPr>
          <w:rFonts w:ascii="宋体" w:hAnsi="宋体" w:eastAsia="宋体" w:cs="宋体"/>
          <w:spacing w:val="-5"/>
          <w:sz w:val="24"/>
          <w:szCs w:val="24"/>
        </w:rPr>
        <w:t>20</w:t>
      </w:r>
      <w:r>
        <w:rPr>
          <w:rFonts w:ascii="宋体" w:hAnsi="宋体" w:eastAsia="宋体" w:cs="宋体"/>
          <w:spacing w:val="-49"/>
          <w:sz w:val="24"/>
          <w:szCs w:val="24"/>
        </w:rPr>
        <w:t xml:space="preserve"> </w:t>
      </w:r>
      <w:r>
        <w:rPr>
          <w:rFonts w:ascii="宋体" w:hAnsi="宋体" w:eastAsia="宋体" w:cs="宋体"/>
          <w:spacing w:val="-5"/>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pacing w:val="-45"/>
          <w:sz w:val="24"/>
          <w:szCs w:val="24"/>
        </w:rPr>
        <w:t xml:space="preserve"> </w:t>
      </w:r>
      <w:r>
        <w:rPr>
          <w:rFonts w:ascii="宋体" w:hAnsi="宋体" w:eastAsia="宋体" w:cs="宋体"/>
          <w:spacing w:val="-5"/>
          <w:sz w:val="24"/>
          <w:szCs w:val="24"/>
        </w:rPr>
        <w:t>万元以</w:t>
      </w:r>
      <w:r>
        <w:rPr>
          <w:rFonts w:ascii="宋体" w:hAnsi="宋体" w:eastAsia="宋体" w:cs="宋体"/>
          <w:sz w:val="24"/>
          <w:szCs w:val="24"/>
        </w:rPr>
        <w:t xml:space="preserve"> </w:t>
      </w:r>
      <w:r>
        <w:rPr>
          <w:rFonts w:ascii="宋体" w:hAnsi="宋体" w:eastAsia="宋体" w:cs="宋体"/>
          <w:spacing w:val="-3"/>
          <w:sz w:val="24"/>
          <w:szCs w:val="24"/>
        </w:rPr>
        <w:t>下的为微型企业。</w:t>
      </w:r>
    </w:p>
    <w:p w14:paraId="527F805B">
      <w:pPr>
        <w:spacing w:before="36" w:line="424" w:lineRule="auto"/>
        <w:ind w:left="15" w:right="80" w:firstLine="464"/>
        <w:jc w:val="both"/>
        <w:rPr>
          <w:rFonts w:ascii="宋体" w:hAnsi="宋体" w:eastAsia="宋体" w:cs="宋体"/>
          <w:sz w:val="24"/>
          <w:szCs w:val="24"/>
        </w:rPr>
      </w:pPr>
      <w:r>
        <w:rPr>
          <w:rFonts w:ascii="宋体" w:hAnsi="宋体" w:eastAsia="宋体" w:cs="宋体"/>
          <w:spacing w:val="-4"/>
          <w:sz w:val="24"/>
          <w:szCs w:val="24"/>
        </w:rPr>
        <w:t>（八）邮政业。从业人员</w:t>
      </w:r>
      <w:r>
        <w:rPr>
          <w:rFonts w:ascii="宋体" w:hAnsi="宋体" w:eastAsia="宋体" w:cs="宋体"/>
          <w:spacing w:val="-17"/>
          <w:sz w:val="24"/>
          <w:szCs w:val="24"/>
        </w:rPr>
        <w:t xml:space="preserve"> </w:t>
      </w:r>
      <w:r>
        <w:rPr>
          <w:rFonts w:ascii="宋体" w:hAnsi="宋体" w:eastAsia="宋体" w:cs="宋体"/>
          <w:spacing w:val="-4"/>
          <w:sz w:val="24"/>
          <w:szCs w:val="24"/>
        </w:rPr>
        <w:t>1000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4"/>
          <w:sz w:val="24"/>
          <w:szCs w:val="24"/>
        </w:rPr>
        <w:t>30000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万元以下的为中小微型企业。其</w:t>
      </w:r>
      <w:r>
        <w:rPr>
          <w:rFonts w:ascii="宋体" w:hAnsi="宋体" w:eastAsia="宋体" w:cs="宋体"/>
          <w:sz w:val="24"/>
          <w:szCs w:val="24"/>
        </w:rPr>
        <w:t xml:space="preserve"> </w:t>
      </w:r>
      <w:r>
        <w:rPr>
          <w:rFonts w:ascii="宋体" w:hAnsi="宋体" w:eastAsia="宋体" w:cs="宋体"/>
          <w:spacing w:val="-2"/>
          <w:sz w:val="24"/>
          <w:szCs w:val="24"/>
        </w:rPr>
        <w:t>中，从业人员</w:t>
      </w:r>
      <w:r>
        <w:rPr>
          <w:rFonts w:ascii="宋体" w:hAnsi="宋体" w:eastAsia="宋体" w:cs="宋体"/>
          <w:spacing w:val="-45"/>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万元及以上的为中型企业</w:t>
      </w:r>
      <w:r>
        <w:rPr>
          <w:rFonts w:ascii="宋体" w:hAnsi="宋体" w:eastAsia="宋体" w:cs="宋体"/>
          <w:spacing w:val="-3"/>
          <w:sz w:val="24"/>
          <w:szCs w:val="24"/>
        </w:rPr>
        <w:t>；从业人员</w:t>
      </w:r>
      <w:r>
        <w:rPr>
          <w:rFonts w:ascii="宋体" w:hAnsi="宋体" w:eastAsia="宋体" w:cs="宋体"/>
          <w:spacing w:val="-48"/>
          <w:sz w:val="24"/>
          <w:szCs w:val="24"/>
        </w:rPr>
        <w:t xml:space="preserve"> </w:t>
      </w:r>
      <w:r>
        <w:rPr>
          <w:rFonts w:ascii="宋体" w:hAnsi="宋体" w:eastAsia="宋体" w:cs="宋体"/>
          <w:spacing w:val="-3"/>
          <w:sz w:val="24"/>
          <w:szCs w:val="24"/>
        </w:rPr>
        <w:t>20</w:t>
      </w:r>
      <w:r>
        <w:rPr>
          <w:rFonts w:ascii="宋体" w:hAnsi="宋体" w:eastAsia="宋体" w:cs="宋体"/>
          <w:spacing w:val="-48"/>
          <w:sz w:val="24"/>
          <w:szCs w:val="24"/>
        </w:rPr>
        <w:t xml:space="preserve"> </w:t>
      </w:r>
      <w:r>
        <w:rPr>
          <w:rFonts w:ascii="宋体" w:hAnsi="宋体" w:eastAsia="宋体" w:cs="宋体"/>
          <w:spacing w:val="-3"/>
          <w:sz w:val="24"/>
          <w:szCs w:val="24"/>
        </w:rPr>
        <w:t>人及</w:t>
      </w:r>
      <w:r>
        <w:rPr>
          <w:rFonts w:ascii="宋体" w:hAnsi="宋体" w:eastAsia="宋体" w:cs="宋体"/>
          <w:sz w:val="24"/>
          <w:szCs w:val="24"/>
        </w:rPr>
        <w:t xml:space="preserve"> </w:t>
      </w:r>
      <w:r>
        <w:rPr>
          <w:rFonts w:ascii="宋体" w:hAnsi="宋体" w:eastAsia="宋体" w:cs="宋体"/>
          <w:spacing w:val="-5"/>
          <w:sz w:val="24"/>
          <w:szCs w:val="24"/>
        </w:rPr>
        <w:t>以上，且营业收入</w:t>
      </w:r>
      <w:r>
        <w:rPr>
          <w:rFonts w:ascii="宋体" w:hAnsi="宋体" w:eastAsia="宋体" w:cs="宋体"/>
          <w:spacing w:val="-26"/>
          <w:sz w:val="24"/>
          <w:szCs w:val="24"/>
        </w:rPr>
        <w:t xml:space="preserve"> </w:t>
      </w:r>
      <w:r>
        <w:rPr>
          <w:rFonts w:ascii="宋体" w:hAnsi="宋体" w:eastAsia="宋体" w:cs="宋体"/>
          <w:spacing w:val="-5"/>
          <w:sz w:val="24"/>
          <w:szCs w:val="24"/>
        </w:rPr>
        <w:t>100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万元及以上的为小型企业；从业人员</w:t>
      </w:r>
      <w:r>
        <w:rPr>
          <w:rFonts w:ascii="宋体" w:hAnsi="宋体" w:eastAsia="宋体" w:cs="宋体"/>
          <w:spacing w:val="-47"/>
          <w:sz w:val="24"/>
          <w:szCs w:val="24"/>
        </w:rPr>
        <w:t xml:space="preserve"> </w:t>
      </w:r>
      <w:r>
        <w:rPr>
          <w:rFonts w:ascii="宋体" w:hAnsi="宋体" w:eastAsia="宋体" w:cs="宋体"/>
          <w:spacing w:val="-5"/>
          <w:sz w:val="24"/>
          <w:szCs w:val="24"/>
        </w:rPr>
        <w:t>20</w:t>
      </w:r>
      <w:r>
        <w:rPr>
          <w:rFonts w:ascii="宋体" w:hAnsi="宋体" w:eastAsia="宋体" w:cs="宋体"/>
          <w:spacing w:val="-49"/>
          <w:sz w:val="24"/>
          <w:szCs w:val="24"/>
        </w:rPr>
        <w:t xml:space="preserve"> </w:t>
      </w:r>
      <w:r>
        <w:rPr>
          <w:rFonts w:ascii="宋体" w:hAnsi="宋体" w:eastAsia="宋体" w:cs="宋体"/>
          <w:spacing w:val="-5"/>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pacing w:val="-45"/>
          <w:sz w:val="24"/>
          <w:szCs w:val="24"/>
        </w:rPr>
        <w:t xml:space="preserve"> </w:t>
      </w:r>
      <w:r>
        <w:rPr>
          <w:rFonts w:ascii="宋体" w:hAnsi="宋体" w:eastAsia="宋体" w:cs="宋体"/>
          <w:spacing w:val="-5"/>
          <w:sz w:val="24"/>
          <w:szCs w:val="24"/>
        </w:rPr>
        <w:t>万元以</w:t>
      </w:r>
      <w:r>
        <w:rPr>
          <w:rFonts w:ascii="宋体" w:hAnsi="宋体" w:eastAsia="宋体" w:cs="宋体"/>
          <w:sz w:val="24"/>
          <w:szCs w:val="24"/>
        </w:rPr>
        <w:t xml:space="preserve"> </w:t>
      </w:r>
      <w:r>
        <w:rPr>
          <w:rFonts w:ascii="宋体" w:hAnsi="宋体" w:eastAsia="宋体" w:cs="宋体"/>
          <w:spacing w:val="-3"/>
          <w:sz w:val="24"/>
          <w:szCs w:val="24"/>
        </w:rPr>
        <w:t>下的为微型企业。</w:t>
      </w:r>
    </w:p>
    <w:p w14:paraId="59B0B493">
      <w:pPr>
        <w:spacing w:before="37" w:line="424" w:lineRule="auto"/>
        <w:ind w:left="15" w:right="80" w:firstLine="484"/>
        <w:jc w:val="both"/>
        <w:rPr>
          <w:rFonts w:ascii="宋体" w:hAnsi="宋体" w:eastAsia="宋体" w:cs="宋体"/>
          <w:sz w:val="24"/>
          <w:szCs w:val="24"/>
        </w:rPr>
      </w:pPr>
      <w:r>
        <w:rPr>
          <w:rFonts w:ascii="宋体" w:hAnsi="宋体" w:eastAsia="宋体" w:cs="宋体"/>
          <w:spacing w:val="-2"/>
          <w:sz w:val="24"/>
          <w:szCs w:val="24"/>
        </w:rPr>
        <w:t>（九）住宿业。从业人员</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32"/>
          <w:sz w:val="24"/>
          <w:szCs w:val="24"/>
        </w:rPr>
        <w:t xml:space="preserve"> </w:t>
      </w:r>
      <w:r>
        <w:rPr>
          <w:rFonts w:ascii="宋体" w:hAnsi="宋体" w:eastAsia="宋体" w:cs="宋体"/>
          <w:spacing w:val="-2"/>
          <w:sz w:val="24"/>
          <w:szCs w:val="24"/>
        </w:rPr>
        <w:t>10000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w:t>
      </w:r>
      <w:r>
        <w:rPr>
          <w:rFonts w:ascii="宋体" w:hAnsi="宋体" w:eastAsia="宋体" w:cs="宋体"/>
          <w:spacing w:val="-3"/>
          <w:sz w:val="24"/>
          <w:szCs w:val="24"/>
        </w:rPr>
        <w:t>中小微型企业。其</w:t>
      </w:r>
      <w:r>
        <w:rPr>
          <w:rFonts w:ascii="宋体" w:hAnsi="宋体" w:eastAsia="宋体" w:cs="宋体"/>
          <w:sz w:val="24"/>
          <w:szCs w:val="24"/>
        </w:rPr>
        <w:t xml:space="preserve"> </w:t>
      </w:r>
      <w:r>
        <w:rPr>
          <w:rFonts w:ascii="宋体" w:hAnsi="宋体" w:eastAsia="宋体" w:cs="宋体"/>
          <w:spacing w:val="-3"/>
          <w:sz w:val="24"/>
          <w:szCs w:val="24"/>
        </w:rPr>
        <w:t>中，从业人员</w:t>
      </w:r>
      <w:r>
        <w:rPr>
          <w:rFonts w:ascii="宋体" w:hAnsi="宋体" w:eastAsia="宋体" w:cs="宋体"/>
          <w:spacing w:val="-26"/>
          <w:sz w:val="24"/>
          <w:szCs w:val="24"/>
        </w:rPr>
        <w:t xml:space="preserve"> </w:t>
      </w:r>
      <w:r>
        <w:rPr>
          <w:rFonts w:ascii="宋体" w:hAnsi="宋体" w:eastAsia="宋体" w:cs="宋体"/>
          <w:spacing w:val="-3"/>
          <w:sz w:val="24"/>
          <w:szCs w:val="24"/>
        </w:rPr>
        <w:t>100</w:t>
      </w:r>
      <w:r>
        <w:rPr>
          <w:rFonts w:ascii="宋体" w:hAnsi="宋体" w:eastAsia="宋体" w:cs="宋体"/>
          <w:spacing w:val="-49"/>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3"/>
          <w:sz w:val="24"/>
          <w:szCs w:val="24"/>
        </w:rPr>
        <w:t>2000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万元及以上的为中型企业；从业人员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8"/>
          <w:sz w:val="24"/>
          <w:szCs w:val="24"/>
        </w:rPr>
        <w:t xml:space="preserve"> </w:t>
      </w:r>
      <w:r>
        <w:rPr>
          <w:rFonts w:ascii="宋体" w:hAnsi="宋体" w:eastAsia="宋体" w:cs="宋体"/>
          <w:spacing w:val="-3"/>
          <w:sz w:val="24"/>
          <w:szCs w:val="24"/>
        </w:rPr>
        <w:t>人及</w:t>
      </w:r>
      <w:r>
        <w:rPr>
          <w:rFonts w:ascii="宋体" w:hAnsi="宋体" w:eastAsia="宋体" w:cs="宋体"/>
          <w:sz w:val="24"/>
          <w:szCs w:val="24"/>
        </w:rPr>
        <w:t xml:space="preserve"> </w:t>
      </w:r>
      <w:r>
        <w:rPr>
          <w:rFonts w:ascii="宋体" w:hAnsi="宋体" w:eastAsia="宋体" w:cs="宋体"/>
          <w:spacing w:val="-5"/>
          <w:sz w:val="24"/>
          <w:szCs w:val="24"/>
        </w:rPr>
        <w:t>以上，且营业收入</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万元及以上的为小型企业；从业人员</w:t>
      </w:r>
      <w:r>
        <w:rPr>
          <w:rFonts w:ascii="宋体" w:hAnsi="宋体" w:eastAsia="宋体" w:cs="宋体"/>
          <w:spacing w:val="-32"/>
          <w:sz w:val="24"/>
          <w:szCs w:val="24"/>
        </w:rPr>
        <w:t xml:space="preserve"> </w:t>
      </w:r>
      <w:r>
        <w:rPr>
          <w:rFonts w:ascii="宋体" w:hAnsi="宋体" w:eastAsia="宋体" w:cs="宋体"/>
          <w:spacing w:val="-5"/>
          <w:sz w:val="24"/>
          <w:szCs w:val="24"/>
        </w:rPr>
        <w:t>10</w:t>
      </w:r>
      <w:r>
        <w:rPr>
          <w:rFonts w:ascii="宋体" w:hAnsi="宋体" w:eastAsia="宋体" w:cs="宋体"/>
          <w:spacing w:val="-49"/>
          <w:sz w:val="24"/>
          <w:szCs w:val="24"/>
        </w:rPr>
        <w:t xml:space="preserve"> </w:t>
      </w:r>
      <w:r>
        <w:rPr>
          <w:rFonts w:ascii="宋体" w:hAnsi="宋体" w:eastAsia="宋体" w:cs="宋体"/>
          <w:spacing w:val="-5"/>
          <w:sz w:val="24"/>
          <w:szCs w:val="24"/>
        </w:rPr>
        <w:t>人以下或营业</w:t>
      </w:r>
      <w:r>
        <w:rPr>
          <w:rFonts w:ascii="宋体" w:hAnsi="宋体" w:eastAsia="宋体" w:cs="宋体"/>
          <w:spacing w:val="-6"/>
          <w:sz w:val="24"/>
          <w:szCs w:val="24"/>
        </w:rPr>
        <w:t>收入</w:t>
      </w:r>
      <w:r>
        <w:rPr>
          <w:rFonts w:ascii="宋体" w:hAnsi="宋体" w:eastAsia="宋体" w:cs="宋体"/>
          <w:spacing w:val="-33"/>
          <w:sz w:val="24"/>
          <w:szCs w:val="24"/>
        </w:rPr>
        <w:t xml:space="preserve"> </w:t>
      </w:r>
      <w:r>
        <w:rPr>
          <w:rFonts w:ascii="宋体" w:hAnsi="宋体" w:eastAsia="宋体" w:cs="宋体"/>
          <w:spacing w:val="-6"/>
          <w:sz w:val="24"/>
          <w:szCs w:val="24"/>
        </w:rPr>
        <w:t>100</w:t>
      </w:r>
      <w:r>
        <w:rPr>
          <w:rFonts w:ascii="宋体" w:hAnsi="宋体" w:eastAsia="宋体" w:cs="宋体"/>
          <w:spacing w:val="-45"/>
          <w:sz w:val="24"/>
          <w:szCs w:val="24"/>
        </w:rPr>
        <w:t xml:space="preserve"> </w:t>
      </w:r>
      <w:r>
        <w:rPr>
          <w:rFonts w:ascii="宋体" w:hAnsi="宋体" w:eastAsia="宋体" w:cs="宋体"/>
          <w:spacing w:val="-6"/>
          <w:sz w:val="24"/>
          <w:szCs w:val="24"/>
        </w:rPr>
        <w:t>万元以</w:t>
      </w:r>
      <w:r>
        <w:rPr>
          <w:rFonts w:ascii="宋体" w:hAnsi="宋体" w:eastAsia="宋体" w:cs="宋体"/>
          <w:sz w:val="24"/>
          <w:szCs w:val="24"/>
        </w:rPr>
        <w:t xml:space="preserve"> </w:t>
      </w:r>
      <w:r>
        <w:rPr>
          <w:rFonts w:ascii="宋体" w:hAnsi="宋体" w:eastAsia="宋体" w:cs="宋体"/>
          <w:spacing w:val="-3"/>
          <w:sz w:val="24"/>
          <w:szCs w:val="24"/>
        </w:rPr>
        <w:t>下的为微型企业。</w:t>
      </w:r>
    </w:p>
    <w:p w14:paraId="44A84A9A">
      <w:pPr>
        <w:spacing w:before="32" w:line="425" w:lineRule="auto"/>
        <w:ind w:left="15" w:right="80" w:firstLine="484"/>
        <w:jc w:val="both"/>
        <w:rPr>
          <w:rFonts w:ascii="宋体" w:hAnsi="宋体" w:eastAsia="宋体" w:cs="宋体"/>
          <w:sz w:val="24"/>
          <w:szCs w:val="24"/>
        </w:rPr>
      </w:pPr>
      <w:r>
        <w:rPr>
          <w:rFonts w:ascii="宋体" w:hAnsi="宋体" w:eastAsia="宋体" w:cs="宋体"/>
          <w:spacing w:val="-2"/>
          <w:sz w:val="24"/>
          <w:szCs w:val="24"/>
        </w:rPr>
        <w:t>（十）餐饮业。从业人员</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32"/>
          <w:sz w:val="24"/>
          <w:szCs w:val="24"/>
        </w:rPr>
        <w:t xml:space="preserve"> </w:t>
      </w:r>
      <w:r>
        <w:rPr>
          <w:rFonts w:ascii="宋体" w:hAnsi="宋体" w:eastAsia="宋体" w:cs="宋体"/>
          <w:spacing w:val="-2"/>
          <w:sz w:val="24"/>
          <w:szCs w:val="24"/>
        </w:rPr>
        <w:t>10000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w:t>
      </w:r>
      <w:r>
        <w:rPr>
          <w:rFonts w:ascii="宋体" w:hAnsi="宋体" w:eastAsia="宋体" w:cs="宋体"/>
          <w:spacing w:val="-3"/>
          <w:sz w:val="24"/>
          <w:szCs w:val="24"/>
        </w:rPr>
        <w:t>中小微型企业。其</w:t>
      </w:r>
      <w:r>
        <w:rPr>
          <w:rFonts w:ascii="宋体" w:hAnsi="宋体" w:eastAsia="宋体" w:cs="宋体"/>
          <w:sz w:val="24"/>
          <w:szCs w:val="24"/>
        </w:rPr>
        <w:t xml:space="preserve"> </w:t>
      </w:r>
      <w:r>
        <w:rPr>
          <w:rFonts w:ascii="宋体" w:hAnsi="宋体" w:eastAsia="宋体" w:cs="宋体"/>
          <w:spacing w:val="-3"/>
          <w:sz w:val="24"/>
          <w:szCs w:val="24"/>
        </w:rPr>
        <w:t>中，从业人员</w:t>
      </w:r>
      <w:r>
        <w:rPr>
          <w:rFonts w:ascii="宋体" w:hAnsi="宋体" w:eastAsia="宋体" w:cs="宋体"/>
          <w:spacing w:val="-26"/>
          <w:sz w:val="24"/>
          <w:szCs w:val="24"/>
        </w:rPr>
        <w:t xml:space="preserve"> </w:t>
      </w:r>
      <w:r>
        <w:rPr>
          <w:rFonts w:ascii="宋体" w:hAnsi="宋体" w:eastAsia="宋体" w:cs="宋体"/>
          <w:spacing w:val="-3"/>
          <w:sz w:val="24"/>
          <w:szCs w:val="24"/>
        </w:rPr>
        <w:t>100</w:t>
      </w:r>
      <w:r>
        <w:rPr>
          <w:rFonts w:ascii="宋体" w:hAnsi="宋体" w:eastAsia="宋体" w:cs="宋体"/>
          <w:spacing w:val="-49"/>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3"/>
          <w:sz w:val="24"/>
          <w:szCs w:val="24"/>
        </w:rPr>
        <w:t>2000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万元及以上的为中型企业；从业人员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8"/>
          <w:sz w:val="24"/>
          <w:szCs w:val="24"/>
        </w:rPr>
        <w:t xml:space="preserve"> </w:t>
      </w:r>
      <w:r>
        <w:rPr>
          <w:rFonts w:ascii="宋体" w:hAnsi="宋体" w:eastAsia="宋体" w:cs="宋体"/>
          <w:spacing w:val="-3"/>
          <w:sz w:val="24"/>
          <w:szCs w:val="24"/>
        </w:rPr>
        <w:t>人及</w:t>
      </w:r>
      <w:r>
        <w:rPr>
          <w:rFonts w:ascii="宋体" w:hAnsi="宋体" w:eastAsia="宋体" w:cs="宋体"/>
          <w:sz w:val="24"/>
          <w:szCs w:val="24"/>
        </w:rPr>
        <w:t xml:space="preserve"> </w:t>
      </w:r>
      <w:r>
        <w:rPr>
          <w:rFonts w:ascii="宋体" w:hAnsi="宋体" w:eastAsia="宋体" w:cs="宋体"/>
          <w:spacing w:val="-5"/>
          <w:sz w:val="24"/>
          <w:szCs w:val="24"/>
        </w:rPr>
        <w:t>以上，且营业收入</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万元及以上的为小型企业；从业人员</w:t>
      </w:r>
      <w:r>
        <w:rPr>
          <w:rFonts w:ascii="宋体" w:hAnsi="宋体" w:eastAsia="宋体" w:cs="宋体"/>
          <w:spacing w:val="-32"/>
          <w:sz w:val="24"/>
          <w:szCs w:val="24"/>
        </w:rPr>
        <w:t xml:space="preserve"> </w:t>
      </w:r>
      <w:r>
        <w:rPr>
          <w:rFonts w:ascii="宋体" w:hAnsi="宋体" w:eastAsia="宋体" w:cs="宋体"/>
          <w:spacing w:val="-5"/>
          <w:sz w:val="24"/>
          <w:szCs w:val="24"/>
        </w:rPr>
        <w:t>10</w:t>
      </w:r>
      <w:r>
        <w:rPr>
          <w:rFonts w:ascii="宋体" w:hAnsi="宋体" w:eastAsia="宋体" w:cs="宋体"/>
          <w:spacing w:val="-49"/>
          <w:sz w:val="24"/>
          <w:szCs w:val="24"/>
        </w:rPr>
        <w:t xml:space="preserve"> </w:t>
      </w:r>
      <w:r>
        <w:rPr>
          <w:rFonts w:ascii="宋体" w:hAnsi="宋体" w:eastAsia="宋体" w:cs="宋体"/>
          <w:spacing w:val="-5"/>
          <w:sz w:val="24"/>
          <w:szCs w:val="24"/>
        </w:rPr>
        <w:t>人以下或营业</w:t>
      </w:r>
      <w:r>
        <w:rPr>
          <w:rFonts w:ascii="宋体" w:hAnsi="宋体" w:eastAsia="宋体" w:cs="宋体"/>
          <w:spacing w:val="-6"/>
          <w:sz w:val="24"/>
          <w:szCs w:val="24"/>
        </w:rPr>
        <w:t>收入</w:t>
      </w:r>
      <w:r>
        <w:rPr>
          <w:rFonts w:ascii="宋体" w:hAnsi="宋体" w:eastAsia="宋体" w:cs="宋体"/>
          <w:spacing w:val="-33"/>
          <w:sz w:val="24"/>
          <w:szCs w:val="24"/>
        </w:rPr>
        <w:t xml:space="preserve"> </w:t>
      </w:r>
      <w:r>
        <w:rPr>
          <w:rFonts w:ascii="宋体" w:hAnsi="宋体" w:eastAsia="宋体" w:cs="宋体"/>
          <w:spacing w:val="-6"/>
          <w:sz w:val="24"/>
          <w:szCs w:val="24"/>
        </w:rPr>
        <w:t>100</w:t>
      </w:r>
      <w:r>
        <w:rPr>
          <w:rFonts w:ascii="宋体" w:hAnsi="宋体" w:eastAsia="宋体" w:cs="宋体"/>
          <w:spacing w:val="-45"/>
          <w:sz w:val="24"/>
          <w:szCs w:val="24"/>
        </w:rPr>
        <w:t xml:space="preserve"> </w:t>
      </w:r>
      <w:r>
        <w:rPr>
          <w:rFonts w:ascii="宋体" w:hAnsi="宋体" w:eastAsia="宋体" w:cs="宋体"/>
          <w:spacing w:val="-6"/>
          <w:sz w:val="24"/>
          <w:szCs w:val="24"/>
        </w:rPr>
        <w:t>万元以</w:t>
      </w:r>
      <w:r>
        <w:rPr>
          <w:rFonts w:ascii="宋体" w:hAnsi="宋体" w:eastAsia="宋体" w:cs="宋体"/>
          <w:sz w:val="24"/>
          <w:szCs w:val="24"/>
        </w:rPr>
        <w:t xml:space="preserve"> </w:t>
      </w:r>
      <w:r>
        <w:rPr>
          <w:rFonts w:ascii="宋体" w:hAnsi="宋体" w:eastAsia="宋体" w:cs="宋体"/>
          <w:spacing w:val="-3"/>
          <w:sz w:val="24"/>
          <w:szCs w:val="24"/>
        </w:rPr>
        <w:t>下的为微型企业。</w:t>
      </w:r>
    </w:p>
    <w:p w14:paraId="24C8367F">
      <w:pPr>
        <w:spacing w:line="425" w:lineRule="auto"/>
        <w:rPr>
          <w:rFonts w:ascii="宋体" w:hAnsi="宋体" w:eastAsia="宋体" w:cs="宋体"/>
          <w:sz w:val="24"/>
          <w:szCs w:val="24"/>
        </w:rPr>
        <w:sectPr>
          <w:footerReference r:id="rId15" w:type="default"/>
          <w:pgSz w:w="11906" w:h="16839"/>
          <w:pgMar w:top="960" w:right="1054" w:bottom="916" w:left="1134" w:header="945" w:footer="754" w:gutter="0"/>
          <w:cols w:space="720" w:num="1"/>
        </w:sectPr>
      </w:pPr>
    </w:p>
    <w:p w14:paraId="3569CA5D">
      <w:pPr>
        <w:spacing w:before="210" w:line="424" w:lineRule="auto"/>
        <w:ind w:left="11" w:right="80" w:firstLine="487"/>
        <w:jc w:val="both"/>
        <w:rPr>
          <w:rFonts w:ascii="宋体" w:hAnsi="宋体" w:eastAsia="宋体" w:cs="宋体"/>
          <w:sz w:val="24"/>
          <w:szCs w:val="24"/>
        </w:rPr>
      </w:pPr>
      <w:r>
        <w:rPr>
          <w:rFonts w:ascii="宋体" w:hAnsi="宋体" w:eastAsia="宋体" w:cs="宋体"/>
          <w:spacing w:val="-2"/>
          <w:sz w:val="24"/>
          <w:szCs w:val="24"/>
        </w:rPr>
        <w:t>（十一）信息传输业。从业人员</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32"/>
          <w:sz w:val="24"/>
          <w:szCs w:val="24"/>
        </w:rPr>
        <w:t xml:space="preserve"> </w:t>
      </w:r>
      <w:r>
        <w:rPr>
          <w:rFonts w:ascii="宋体" w:hAnsi="宋体" w:eastAsia="宋体" w:cs="宋体"/>
          <w:spacing w:val="-2"/>
          <w:sz w:val="24"/>
          <w:szCs w:val="24"/>
        </w:rPr>
        <w:t>100000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w:t>
      </w:r>
      <w:r>
        <w:rPr>
          <w:rFonts w:ascii="宋体" w:hAnsi="宋体" w:eastAsia="宋体" w:cs="宋体"/>
          <w:spacing w:val="-3"/>
          <w:sz w:val="24"/>
          <w:szCs w:val="24"/>
        </w:rPr>
        <w:t>中小微型</w:t>
      </w:r>
      <w:r>
        <w:rPr>
          <w:rFonts w:ascii="宋体" w:hAnsi="宋体" w:eastAsia="宋体" w:cs="宋体"/>
          <w:sz w:val="24"/>
          <w:szCs w:val="24"/>
        </w:rPr>
        <w:t xml:space="preserve"> </w:t>
      </w:r>
      <w:r>
        <w:rPr>
          <w:rFonts w:ascii="宋体" w:hAnsi="宋体" w:eastAsia="宋体" w:cs="宋体"/>
          <w:spacing w:val="-4"/>
          <w:sz w:val="24"/>
          <w:szCs w:val="24"/>
        </w:rPr>
        <w:t>企业。其中，从业人员</w:t>
      </w:r>
      <w:r>
        <w:rPr>
          <w:rFonts w:ascii="宋体" w:hAnsi="宋体" w:eastAsia="宋体" w:cs="宋体"/>
          <w:spacing w:val="-33"/>
          <w:sz w:val="24"/>
          <w:szCs w:val="24"/>
        </w:rPr>
        <w:t xml:space="preserve"> </w:t>
      </w:r>
      <w:r>
        <w:rPr>
          <w:rFonts w:ascii="宋体" w:hAnsi="宋体" w:eastAsia="宋体" w:cs="宋体"/>
          <w:spacing w:val="-4"/>
          <w:sz w:val="24"/>
          <w:szCs w:val="24"/>
        </w:rPr>
        <w:t>100</w:t>
      </w:r>
      <w:r>
        <w:rPr>
          <w:rFonts w:ascii="宋体" w:hAnsi="宋体" w:eastAsia="宋体" w:cs="宋体"/>
          <w:spacing w:val="-49"/>
          <w:sz w:val="24"/>
          <w:szCs w:val="24"/>
        </w:rPr>
        <w:t xml:space="preserve"> </w:t>
      </w:r>
      <w:r>
        <w:rPr>
          <w:rFonts w:ascii="宋体" w:hAnsi="宋体" w:eastAsia="宋体" w:cs="宋体"/>
          <w:spacing w:val="-4"/>
          <w:sz w:val="24"/>
          <w:szCs w:val="24"/>
        </w:rPr>
        <w:t>人及以上，且营业收入</w:t>
      </w:r>
      <w:r>
        <w:rPr>
          <w:rFonts w:ascii="宋体" w:hAnsi="宋体" w:eastAsia="宋体" w:cs="宋体"/>
          <w:spacing w:val="-32"/>
          <w:sz w:val="24"/>
          <w:szCs w:val="24"/>
        </w:rPr>
        <w:t xml:space="preserve"> </w:t>
      </w:r>
      <w:r>
        <w:rPr>
          <w:rFonts w:ascii="宋体" w:hAnsi="宋体" w:eastAsia="宋体" w:cs="宋体"/>
          <w:spacing w:val="-4"/>
          <w:sz w:val="24"/>
          <w:szCs w:val="24"/>
        </w:rPr>
        <w:t>1000</w:t>
      </w:r>
      <w:r>
        <w:rPr>
          <w:rFonts w:ascii="宋体" w:hAnsi="宋体" w:eastAsia="宋体" w:cs="宋体"/>
          <w:spacing w:val="-45"/>
          <w:sz w:val="24"/>
          <w:szCs w:val="24"/>
        </w:rPr>
        <w:t xml:space="preserve"> </w:t>
      </w:r>
      <w:r>
        <w:rPr>
          <w:rFonts w:ascii="宋体" w:hAnsi="宋体" w:eastAsia="宋体" w:cs="宋体"/>
          <w:spacing w:val="-4"/>
          <w:sz w:val="24"/>
          <w:szCs w:val="24"/>
        </w:rPr>
        <w:t>万元及以上的为中型企业</w:t>
      </w:r>
      <w:r>
        <w:rPr>
          <w:rFonts w:ascii="宋体" w:hAnsi="宋体" w:eastAsia="宋体" w:cs="宋体"/>
          <w:spacing w:val="-5"/>
          <w:sz w:val="24"/>
          <w:szCs w:val="24"/>
        </w:rPr>
        <w:t>；从业人员</w:t>
      </w:r>
      <w:r>
        <w:rPr>
          <w:rFonts w:ascii="宋体" w:hAnsi="宋体" w:eastAsia="宋体" w:cs="宋体"/>
          <w:sz w:val="24"/>
          <w:szCs w:val="24"/>
        </w:rPr>
        <w:t xml:space="preserve"> </w:t>
      </w:r>
      <w:r>
        <w:rPr>
          <w:rFonts w:ascii="宋体" w:hAnsi="宋体" w:eastAsia="宋体" w:cs="宋体"/>
          <w:spacing w:val="-5"/>
          <w:sz w:val="24"/>
          <w:szCs w:val="24"/>
        </w:rPr>
        <w:t>10</w:t>
      </w:r>
      <w:r>
        <w:rPr>
          <w:rFonts w:ascii="宋体" w:hAnsi="宋体" w:eastAsia="宋体" w:cs="宋体"/>
          <w:spacing w:val="-44"/>
          <w:sz w:val="24"/>
          <w:szCs w:val="24"/>
        </w:rPr>
        <w:t xml:space="preserve"> </w:t>
      </w:r>
      <w:r>
        <w:rPr>
          <w:rFonts w:ascii="宋体" w:hAnsi="宋体" w:eastAsia="宋体" w:cs="宋体"/>
          <w:spacing w:val="-5"/>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万元及以上的为小型企业；从业人员</w:t>
      </w:r>
      <w:r>
        <w:rPr>
          <w:rFonts w:ascii="宋体" w:hAnsi="宋体" w:eastAsia="宋体" w:cs="宋体"/>
          <w:spacing w:val="-33"/>
          <w:sz w:val="24"/>
          <w:szCs w:val="24"/>
        </w:rPr>
        <w:t xml:space="preserve"> </w:t>
      </w:r>
      <w:r>
        <w:rPr>
          <w:rFonts w:ascii="宋体" w:hAnsi="宋体" w:eastAsia="宋体" w:cs="宋体"/>
          <w:spacing w:val="-5"/>
          <w:sz w:val="24"/>
          <w:szCs w:val="24"/>
        </w:rPr>
        <w:t>10</w:t>
      </w:r>
      <w:r>
        <w:rPr>
          <w:rFonts w:ascii="宋体" w:hAnsi="宋体" w:eastAsia="宋体" w:cs="宋体"/>
          <w:spacing w:val="-48"/>
          <w:sz w:val="24"/>
          <w:szCs w:val="24"/>
        </w:rPr>
        <w:t xml:space="preserve"> </w:t>
      </w:r>
      <w:r>
        <w:rPr>
          <w:rFonts w:ascii="宋体" w:hAnsi="宋体" w:eastAsia="宋体" w:cs="宋体"/>
          <w:spacing w:val="-5"/>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z w:val="24"/>
          <w:szCs w:val="24"/>
        </w:rPr>
        <w:t xml:space="preserve"> </w:t>
      </w:r>
      <w:r>
        <w:rPr>
          <w:rFonts w:ascii="宋体" w:hAnsi="宋体" w:eastAsia="宋体" w:cs="宋体"/>
          <w:spacing w:val="-2"/>
          <w:sz w:val="24"/>
          <w:szCs w:val="24"/>
        </w:rPr>
        <w:t>万元以下的为微型企业。</w:t>
      </w:r>
    </w:p>
    <w:p w14:paraId="70A04036">
      <w:pPr>
        <w:spacing w:before="36" w:line="424" w:lineRule="auto"/>
        <w:ind w:left="11" w:right="59" w:firstLine="488"/>
        <w:jc w:val="both"/>
        <w:rPr>
          <w:rFonts w:ascii="宋体" w:hAnsi="宋体" w:eastAsia="宋体" w:cs="宋体"/>
          <w:sz w:val="24"/>
          <w:szCs w:val="24"/>
        </w:rPr>
      </w:pPr>
      <w:r>
        <w:rPr>
          <w:rFonts w:ascii="宋体" w:hAnsi="宋体" w:eastAsia="宋体" w:cs="宋体"/>
          <w:spacing w:val="-2"/>
          <w:sz w:val="24"/>
          <w:szCs w:val="24"/>
        </w:rPr>
        <w:t>（十二）软件和信息技术服务业。从业人员</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32"/>
          <w:sz w:val="24"/>
          <w:szCs w:val="24"/>
        </w:rPr>
        <w:t xml:space="preserve"> </w:t>
      </w:r>
      <w:r>
        <w:rPr>
          <w:rFonts w:ascii="宋体" w:hAnsi="宋体" w:eastAsia="宋体" w:cs="宋体"/>
          <w:spacing w:val="-2"/>
          <w:sz w:val="24"/>
          <w:szCs w:val="24"/>
        </w:rPr>
        <w:t>100</w:t>
      </w:r>
      <w:r>
        <w:rPr>
          <w:rFonts w:ascii="宋体" w:hAnsi="宋体" w:eastAsia="宋体" w:cs="宋体"/>
          <w:spacing w:val="-3"/>
          <w:sz w:val="24"/>
          <w:szCs w:val="24"/>
        </w:rPr>
        <w:t>00</w:t>
      </w:r>
      <w:r>
        <w:rPr>
          <w:rFonts w:ascii="宋体" w:hAnsi="宋体" w:eastAsia="宋体" w:cs="宋体"/>
          <w:spacing w:val="-45"/>
          <w:sz w:val="24"/>
          <w:szCs w:val="24"/>
        </w:rPr>
        <w:t xml:space="preserve"> </w:t>
      </w:r>
      <w:r>
        <w:rPr>
          <w:rFonts w:ascii="宋体" w:hAnsi="宋体" w:eastAsia="宋体" w:cs="宋体"/>
          <w:spacing w:val="-3"/>
          <w:sz w:val="24"/>
          <w:szCs w:val="24"/>
        </w:rPr>
        <w:t>万元以下的为</w:t>
      </w:r>
      <w:r>
        <w:rPr>
          <w:rFonts w:ascii="宋体" w:hAnsi="宋体" w:eastAsia="宋体" w:cs="宋体"/>
          <w:sz w:val="24"/>
          <w:szCs w:val="24"/>
        </w:rPr>
        <w:t xml:space="preserve"> </w:t>
      </w:r>
      <w:r>
        <w:rPr>
          <w:rFonts w:ascii="宋体" w:hAnsi="宋体" w:eastAsia="宋体" w:cs="宋体"/>
          <w:spacing w:val="-4"/>
          <w:sz w:val="24"/>
          <w:szCs w:val="24"/>
        </w:rPr>
        <w:t>中小微型企业。其中，从业人员</w:t>
      </w:r>
      <w:r>
        <w:rPr>
          <w:rFonts w:ascii="宋体" w:hAnsi="宋体" w:eastAsia="宋体" w:cs="宋体"/>
          <w:spacing w:val="-16"/>
          <w:sz w:val="24"/>
          <w:szCs w:val="24"/>
        </w:rPr>
        <w:t xml:space="preserve"> </w:t>
      </w:r>
      <w:r>
        <w:rPr>
          <w:rFonts w:ascii="宋体" w:hAnsi="宋体" w:eastAsia="宋体" w:cs="宋体"/>
          <w:spacing w:val="-4"/>
          <w:sz w:val="24"/>
          <w:szCs w:val="24"/>
        </w:rPr>
        <w:t>100</w:t>
      </w:r>
      <w:r>
        <w:rPr>
          <w:rFonts w:ascii="宋体" w:hAnsi="宋体" w:eastAsia="宋体" w:cs="宋体"/>
          <w:spacing w:val="-49"/>
          <w:sz w:val="24"/>
          <w:szCs w:val="24"/>
        </w:rPr>
        <w:t xml:space="preserve"> </w:t>
      </w:r>
      <w:r>
        <w:rPr>
          <w:rFonts w:ascii="宋体" w:hAnsi="宋体" w:eastAsia="宋体" w:cs="宋体"/>
          <w:spacing w:val="-4"/>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4"/>
          <w:sz w:val="24"/>
          <w:szCs w:val="24"/>
        </w:rPr>
        <w:t>1000</w:t>
      </w:r>
      <w:r>
        <w:rPr>
          <w:rFonts w:ascii="宋体" w:hAnsi="宋体" w:eastAsia="宋体" w:cs="宋体"/>
          <w:spacing w:val="-45"/>
          <w:sz w:val="24"/>
          <w:szCs w:val="24"/>
        </w:rPr>
        <w:t xml:space="preserve"> </w:t>
      </w:r>
      <w:r>
        <w:rPr>
          <w:rFonts w:ascii="宋体" w:hAnsi="宋体" w:eastAsia="宋体" w:cs="宋体"/>
          <w:spacing w:val="-4"/>
          <w:sz w:val="24"/>
          <w:szCs w:val="24"/>
        </w:rPr>
        <w:t>万元及以上的为中型企业；</w:t>
      </w:r>
      <w:r>
        <w:rPr>
          <w:rFonts w:ascii="宋体" w:hAnsi="宋体" w:eastAsia="宋体" w:cs="宋体"/>
          <w:sz w:val="24"/>
          <w:szCs w:val="24"/>
        </w:rPr>
        <w:t xml:space="preserve"> </w:t>
      </w:r>
      <w:r>
        <w:rPr>
          <w:rFonts w:ascii="宋体" w:hAnsi="宋体" w:eastAsia="宋体" w:cs="宋体"/>
          <w:spacing w:val="-5"/>
          <w:sz w:val="24"/>
          <w:szCs w:val="24"/>
        </w:rPr>
        <w:t>从业人员</w:t>
      </w:r>
      <w:r>
        <w:rPr>
          <w:rFonts w:ascii="宋体" w:hAnsi="宋体" w:eastAsia="宋体" w:cs="宋体"/>
          <w:spacing w:val="-24"/>
          <w:sz w:val="24"/>
          <w:szCs w:val="24"/>
        </w:rPr>
        <w:t xml:space="preserve"> </w:t>
      </w:r>
      <w:r>
        <w:rPr>
          <w:rFonts w:ascii="宋体" w:hAnsi="宋体" w:eastAsia="宋体" w:cs="宋体"/>
          <w:spacing w:val="-5"/>
          <w:sz w:val="24"/>
          <w:szCs w:val="24"/>
        </w:rPr>
        <w:t>10</w:t>
      </w:r>
      <w:r>
        <w:rPr>
          <w:rFonts w:ascii="宋体" w:hAnsi="宋体" w:eastAsia="宋体" w:cs="宋体"/>
          <w:spacing w:val="-49"/>
          <w:sz w:val="24"/>
          <w:szCs w:val="24"/>
        </w:rPr>
        <w:t xml:space="preserve"> </w:t>
      </w:r>
      <w:r>
        <w:rPr>
          <w:rFonts w:ascii="宋体" w:hAnsi="宋体" w:eastAsia="宋体" w:cs="宋体"/>
          <w:spacing w:val="-5"/>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5"/>
          <w:sz w:val="24"/>
          <w:szCs w:val="24"/>
        </w:rPr>
        <w:t>50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万元及以上的为小型企业；从业人员</w:t>
      </w:r>
      <w:r>
        <w:rPr>
          <w:rFonts w:ascii="宋体" w:hAnsi="宋体" w:eastAsia="宋体" w:cs="宋体"/>
          <w:spacing w:val="-33"/>
          <w:sz w:val="24"/>
          <w:szCs w:val="24"/>
        </w:rPr>
        <w:t xml:space="preserve"> </w:t>
      </w:r>
      <w:r>
        <w:rPr>
          <w:rFonts w:ascii="宋体" w:hAnsi="宋体" w:eastAsia="宋体" w:cs="宋体"/>
          <w:spacing w:val="-5"/>
          <w:sz w:val="24"/>
          <w:szCs w:val="24"/>
        </w:rPr>
        <w:t>10</w:t>
      </w:r>
      <w:r>
        <w:rPr>
          <w:rFonts w:ascii="宋体" w:hAnsi="宋体" w:eastAsia="宋体" w:cs="宋体"/>
          <w:spacing w:val="-48"/>
          <w:sz w:val="24"/>
          <w:szCs w:val="24"/>
        </w:rPr>
        <w:t xml:space="preserve"> </w:t>
      </w:r>
      <w:r>
        <w:rPr>
          <w:rFonts w:ascii="宋体" w:hAnsi="宋体" w:eastAsia="宋体" w:cs="宋体"/>
          <w:spacing w:val="-5"/>
          <w:sz w:val="24"/>
          <w:szCs w:val="24"/>
        </w:rPr>
        <w:t>人以下或营业</w:t>
      </w:r>
      <w:r>
        <w:rPr>
          <w:rFonts w:ascii="宋体" w:hAnsi="宋体" w:eastAsia="宋体" w:cs="宋体"/>
          <w:sz w:val="24"/>
          <w:szCs w:val="24"/>
        </w:rPr>
        <w:t xml:space="preserve"> </w:t>
      </w:r>
      <w:r>
        <w:rPr>
          <w:rFonts w:ascii="宋体" w:hAnsi="宋体" w:eastAsia="宋体" w:cs="宋体"/>
          <w:spacing w:val="-3"/>
          <w:sz w:val="24"/>
          <w:szCs w:val="24"/>
        </w:rPr>
        <w:t>收入</w:t>
      </w:r>
      <w:r>
        <w:rPr>
          <w:rFonts w:ascii="宋体" w:hAnsi="宋体" w:eastAsia="宋体" w:cs="宋体"/>
          <w:spacing w:val="-44"/>
          <w:sz w:val="24"/>
          <w:szCs w:val="24"/>
        </w:rPr>
        <w:t xml:space="preserve"> </w:t>
      </w:r>
      <w:r>
        <w:rPr>
          <w:rFonts w:ascii="宋体" w:hAnsi="宋体" w:eastAsia="宋体" w:cs="宋体"/>
          <w:spacing w:val="-3"/>
          <w:sz w:val="24"/>
          <w:szCs w:val="24"/>
        </w:rPr>
        <w:t>50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361974E3">
      <w:pPr>
        <w:spacing w:before="34" w:line="424" w:lineRule="auto"/>
        <w:ind w:left="14" w:right="21" w:firstLine="458"/>
        <w:jc w:val="both"/>
        <w:rPr>
          <w:rFonts w:ascii="宋体" w:hAnsi="宋体" w:eastAsia="宋体" w:cs="宋体"/>
          <w:sz w:val="24"/>
          <w:szCs w:val="24"/>
        </w:rPr>
      </w:pPr>
      <w:r>
        <w:rPr>
          <w:rFonts w:ascii="宋体" w:hAnsi="宋体" w:eastAsia="宋体" w:cs="宋体"/>
          <w:spacing w:val="-3"/>
          <w:sz w:val="24"/>
          <w:szCs w:val="24"/>
        </w:rPr>
        <w:t>（十三）房地产开发经营。营业收入</w:t>
      </w:r>
      <w:r>
        <w:rPr>
          <w:rFonts w:ascii="宋体" w:hAnsi="宋体" w:eastAsia="宋体" w:cs="宋体"/>
          <w:spacing w:val="-48"/>
          <w:sz w:val="24"/>
          <w:szCs w:val="24"/>
        </w:rPr>
        <w:t xml:space="preserve"> </w:t>
      </w:r>
      <w:r>
        <w:rPr>
          <w:rFonts w:ascii="宋体" w:hAnsi="宋体" w:eastAsia="宋体" w:cs="宋体"/>
          <w:spacing w:val="-3"/>
          <w:sz w:val="24"/>
          <w:szCs w:val="24"/>
        </w:rPr>
        <w:t>200000</w:t>
      </w:r>
      <w:r>
        <w:rPr>
          <w:rFonts w:ascii="宋体" w:hAnsi="宋体" w:eastAsia="宋体" w:cs="宋体"/>
          <w:spacing w:val="-45"/>
          <w:sz w:val="24"/>
          <w:szCs w:val="24"/>
        </w:rPr>
        <w:t xml:space="preserve"> </w:t>
      </w:r>
      <w:r>
        <w:rPr>
          <w:rFonts w:ascii="宋体" w:hAnsi="宋体" w:eastAsia="宋体" w:cs="宋体"/>
          <w:spacing w:val="-3"/>
          <w:sz w:val="24"/>
          <w:szCs w:val="24"/>
        </w:rPr>
        <w:t>万元以</w:t>
      </w:r>
      <w:r>
        <w:rPr>
          <w:rFonts w:ascii="宋体" w:hAnsi="宋体" w:eastAsia="宋体" w:cs="宋体"/>
          <w:spacing w:val="-4"/>
          <w:sz w:val="24"/>
          <w:szCs w:val="24"/>
        </w:rPr>
        <w:t>下或资产总额</w:t>
      </w:r>
      <w:r>
        <w:rPr>
          <w:rFonts w:ascii="宋体" w:hAnsi="宋体" w:eastAsia="宋体" w:cs="宋体"/>
          <w:spacing w:val="-33"/>
          <w:sz w:val="24"/>
          <w:szCs w:val="24"/>
        </w:rPr>
        <w:t xml:space="preserve"> </w:t>
      </w:r>
      <w:r>
        <w:rPr>
          <w:rFonts w:ascii="宋体" w:hAnsi="宋体" w:eastAsia="宋体" w:cs="宋体"/>
          <w:spacing w:val="-4"/>
          <w:sz w:val="24"/>
          <w:szCs w:val="24"/>
        </w:rPr>
        <w:t>10000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w:t>
      </w:r>
      <w:r>
        <w:rPr>
          <w:rFonts w:ascii="宋体" w:hAnsi="宋体" w:eastAsia="宋体" w:cs="宋体"/>
          <w:sz w:val="24"/>
          <w:szCs w:val="24"/>
        </w:rPr>
        <w:t xml:space="preserve"> </w:t>
      </w:r>
      <w:r>
        <w:rPr>
          <w:rFonts w:ascii="宋体" w:hAnsi="宋体" w:eastAsia="宋体" w:cs="宋体"/>
          <w:spacing w:val="-5"/>
          <w:sz w:val="24"/>
          <w:szCs w:val="24"/>
        </w:rPr>
        <w:t>小微型企业。其中，营业收入</w:t>
      </w:r>
      <w:r>
        <w:rPr>
          <w:rFonts w:ascii="宋体" w:hAnsi="宋体" w:eastAsia="宋体" w:cs="宋体"/>
          <w:spacing w:val="-33"/>
          <w:sz w:val="24"/>
          <w:szCs w:val="24"/>
        </w:rPr>
        <w:t xml:space="preserve"> </w:t>
      </w:r>
      <w:r>
        <w:rPr>
          <w:rFonts w:ascii="宋体" w:hAnsi="宋体" w:eastAsia="宋体" w:cs="宋体"/>
          <w:spacing w:val="-5"/>
          <w:sz w:val="24"/>
          <w:szCs w:val="24"/>
        </w:rPr>
        <w:t>1000</w:t>
      </w:r>
      <w:r>
        <w:rPr>
          <w:rFonts w:ascii="宋体" w:hAnsi="宋体" w:eastAsia="宋体" w:cs="宋体"/>
          <w:spacing w:val="-44"/>
          <w:sz w:val="24"/>
          <w:szCs w:val="24"/>
        </w:rPr>
        <w:t xml:space="preserve"> </w:t>
      </w:r>
      <w:r>
        <w:rPr>
          <w:rFonts w:ascii="宋体" w:hAnsi="宋体" w:eastAsia="宋体" w:cs="宋体"/>
          <w:spacing w:val="-5"/>
          <w:sz w:val="24"/>
          <w:szCs w:val="24"/>
        </w:rPr>
        <w:t>万元及以上，且资产总额</w:t>
      </w:r>
      <w:r>
        <w:rPr>
          <w:rFonts w:ascii="宋体" w:hAnsi="宋体" w:eastAsia="宋体" w:cs="宋体"/>
          <w:spacing w:val="-46"/>
          <w:sz w:val="24"/>
          <w:szCs w:val="24"/>
        </w:rPr>
        <w:t xml:space="preserve"> </w:t>
      </w:r>
      <w:r>
        <w:rPr>
          <w:rFonts w:ascii="宋体" w:hAnsi="宋体" w:eastAsia="宋体" w:cs="宋体"/>
          <w:spacing w:val="-5"/>
          <w:sz w:val="24"/>
          <w:szCs w:val="24"/>
        </w:rPr>
        <w:t>5000</w:t>
      </w:r>
      <w:r>
        <w:rPr>
          <w:rFonts w:ascii="宋体" w:hAnsi="宋体" w:eastAsia="宋体" w:cs="宋体"/>
          <w:spacing w:val="-45"/>
          <w:sz w:val="24"/>
          <w:szCs w:val="24"/>
        </w:rPr>
        <w:t xml:space="preserve"> </w:t>
      </w:r>
      <w:r>
        <w:rPr>
          <w:rFonts w:ascii="宋体" w:hAnsi="宋体" w:eastAsia="宋体" w:cs="宋体"/>
          <w:spacing w:val="-6"/>
          <w:sz w:val="24"/>
          <w:szCs w:val="24"/>
        </w:rPr>
        <w:t>万元及以上的为中型企业；</w:t>
      </w:r>
      <w:r>
        <w:rPr>
          <w:rFonts w:ascii="宋体" w:hAnsi="宋体" w:eastAsia="宋体" w:cs="宋体"/>
          <w:sz w:val="24"/>
          <w:szCs w:val="24"/>
        </w:rPr>
        <w:t xml:space="preserve"> </w:t>
      </w:r>
      <w:r>
        <w:rPr>
          <w:rFonts w:ascii="宋体" w:hAnsi="宋体" w:eastAsia="宋体" w:cs="宋体"/>
          <w:spacing w:val="-5"/>
          <w:sz w:val="24"/>
          <w:szCs w:val="24"/>
        </w:rPr>
        <w:t>营业收入</w:t>
      </w:r>
      <w:r>
        <w:rPr>
          <w:rFonts w:ascii="宋体" w:hAnsi="宋体" w:eastAsia="宋体" w:cs="宋体"/>
          <w:spacing w:val="-24"/>
          <w:sz w:val="24"/>
          <w:szCs w:val="24"/>
        </w:rPr>
        <w:t xml:space="preserve"> </w:t>
      </w:r>
      <w:r>
        <w:rPr>
          <w:rFonts w:ascii="宋体" w:hAnsi="宋体" w:eastAsia="宋体" w:cs="宋体"/>
          <w:spacing w:val="-5"/>
          <w:sz w:val="24"/>
          <w:szCs w:val="24"/>
        </w:rPr>
        <w:t>100</w:t>
      </w:r>
      <w:r>
        <w:rPr>
          <w:rFonts w:ascii="宋体" w:hAnsi="宋体" w:eastAsia="宋体" w:cs="宋体"/>
          <w:spacing w:val="-45"/>
          <w:sz w:val="24"/>
          <w:szCs w:val="24"/>
        </w:rPr>
        <w:t xml:space="preserve"> </w:t>
      </w:r>
      <w:r>
        <w:rPr>
          <w:rFonts w:ascii="宋体" w:hAnsi="宋体" w:eastAsia="宋体" w:cs="宋体"/>
          <w:spacing w:val="-5"/>
          <w:sz w:val="24"/>
          <w:szCs w:val="24"/>
        </w:rPr>
        <w:t>万元及以上，且资产总额</w:t>
      </w:r>
      <w:r>
        <w:rPr>
          <w:rFonts w:ascii="宋体" w:hAnsi="宋体" w:eastAsia="宋体" w:cs="宋体"/>
          <w:spacing w:val="-47"/>
          <w:sz w:val="24"/>
          <w:szCs w:val="24"/>
        </w:rPr>
        <w:t xml:space="preserve"> </w:t>
      </w:r>
      <w:r>
        <w:rPr>
          <w:rFonts w:ascii="宋体" w:hAnsi="宋体" w:eastAsia="宋体" w:cs="宋体"/>
          <w:spacing w:val="-5"/>
          <w:sz w:val="24"/>
          <w:szCs w:val="24"/>
        </w:rPr>
        <w:t>2000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万元及以上的为小型企业；营业收入</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pacing w:val="-45"/>
          <w:sz w:val="24"/>
          <w:szCs w:val="24"/>
        </w:rPr>
        <w:t xml:space="preserve"> </w:t>
      </w:r>
      <w:r>
        <w:rPr>
          <w:rFonts w:ascii="宋体" w:hAnsi="宋体" w:eastAsia="宋体" w:cs="宋体"/>
          <w:spacing w:val="-5"/>
          <w:sz w:val="24"/>
          <w:szCs w:val="24"/>
        </w:rPr>
        <w:t>万元以</w:t>
      </w:r>
      <w:r>
        <w:rPr>
          <w:rFonts w:ascii="宋体" w:hAnsi="宋体" w:eastAsia="宋体" w:cs="宋体"/>
          <w:sz w:val="24"/>
          <w:szCs w:val="24"/>
        </w:rPr>
        <w:t xml:space="preserve"> </w:t>
      </w:r>
      <w:r>
        <w:rPr>
          <w:rFonts w:ascii="宋体" w:hAnsi="宋体" w:eastAsia="宋体" w:cs="宋体"/>
          <w:spacing w:val="-3"/>
          <w:sz w:val="24"/>
          <w:szCs w:val="24"/>
        </w:rPr>
        <w:t>下或资产总额</w:t>
      </w:r>
      <w:r>
        <w:rPr>
          <w:rFonts w:ascii="宋体" w:hAnsi="宋体" w:eastAsia="宋体" w:cs="宋体"/>
          <w:spacing w:val="-29"/>
          <w:sz w:val="24"/>
          <w:szCs w:val="24"/>
        </w:rPr>
        <w:t xml:space="preserve"> </w:t>
      </w:r>
      <w:r>
        <w:rPr>
          <w:rFonts w:ascii="宋体" w:hAnsi="宋体" w:eastAsia="宋体" w:cs="宋体"/>
          <w:spacing w:val="-3"/>
          <w:sz w:val="24"/>
          <w:szCs w:val="24"/>
        </w:rPr>
        <w:t>2000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254C7368">
      <w:pPr>
        <w:spacing w:before="36" w:line="424" w:lineRule="auto"/>
        <w:ind w:left="7" w:firstLine="466"/>
        <w:jc w:val="both"/>
        <w:rPr>
          <w:rFonts w:ascii="宋体" w:hAnsi="宋体" w:eastAsia="宋体" w:cs="宋体"/>
          <w:sz w:val="24"/>
          <w:szCs w:val="24"/>
        </w:rPr>
      </w:pPr>
      <w:r>
        <w:rPr>
          <w:rFonts w:ascii="宋体" w:hAnsi="宋体" w:eastAsia="宋体" w:cs="宋体"/>
          <w:spacing w:val="-4"/>
          <w:sz w:val="24"/>
          <w:szCs w:val="24"/>
        </w:rPr>
        <w:t>（十四）物业管理。从业人员</w:t>
      </w:r>
      <w:r>
        <w:rPr>
          <w:rFonts w:ascii="宋体" w:hAnsi="宋体" w:eastAsia="宋体" w:cs="宋体"/>
          <w:spacing w:val="-33"/>
          <w:sz w:val="24"/>
          <w:szCs w:val="24"/>
        </w:rPr>
        <w:t xml:space="preserve"> </w:t>
      </w:r>
      <w:r>
        <w:rPr>
          <w:rFonts w:ascii="宋体" w:hAnsi="宋体" w:eastAsia="宋体" w:cs="宋体"/>
          <w:spacing w:val="-4"/>
          <w:sz w:val="24"/>
          <w:szCs w:val="24"/>
        </w:rPr>
        <w:t>1000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45"/>
          <w:sz w:val="24"/>
          <w:szCs w:val="24"/>
        </w:rPr>
        <w:t xml:space="preserve"> </w:t>
      </w:r>
      <w:r>
        <w:rPr>
          <w:rFonts w:ascii="宋体" w:hAnsi="宋体" w:eastAsia="宋体" w:cs="宋体"/>
          <w:spacing w:val="-5"/>
          <w:sz w:val="24"/>
          <w:szCs w:val="24"/>
        </w:rPr>
        <w:t>5000</w:t>
      </w:r>
      <w:r>
        <w:rPr>
          <w:rFonts w:ascii="宋体" w:hAnsi="宋体" w:eastAsia="宋体" w:cs="宋体"/>
          <w:spacing w:val="-45"/>
          <w:sz w:val="24"/>
          <w:szCs w:val="24"/>
        </w:rPr>
        <w:t xml:space="preserve"> </w:t>
      </w:r>
      <w:r>
        <w:rPr>
          <w:rFonts w:ascii="宋体" w:hAnsi="宋体" w:eastAsia="宋体" w:cs="宋体"/>
          <w:spacing w:val="-5"/>
          <w:sz w:val="24"/>
          <w:szCs w:val="24"/>
        </w:rPr>
        <w:t>万元以下的为中小微型企业。</w:t>
      </w:r>
      <w:r>
        <w:rPr>
          <w:rFonts w:ascii="宋体" w:hAnsi="宋体" w:eastAsia="宋体" w:cs="宋体"/>
          <w:sz w:val="24"/>
          <w:szCs w:val="24"/>
        </w:rPr>
        <w:t xml:space="preserve"> </w:t>
      </w:r>
      <w:r>
        <w:rPr>
          <w:rFonts w:ascii="宋体" w:hAnsi="宋体" w:eastAsia="宋体" w:cs="宋体"/>
          <w:spacing w:val="-4"/>
          <w:sz w:val="24"/>
          <w:szCs w:val="24"/>
        </w:rPr>
        <w:t>其中，从业人员</w:t>
      </w:r>
      <w:r>
        <w:rPr>
          <w:rFonts w:ascii="宋体" w:hAnsi="宋体" w:eastAsia="宋体" w:cs="宋体"/>
          <w:spacing w:val="-45"/>
          <w:sz w:val="24"/>
          <w:szCs w:val="24"/>
        </w:rPr>
        <w:t xml:space="preserve"> </w:t>
      </w:r>
      <w:r>
        <w:rPr>
          <w:rFonts w:ascii="宋体" w:hAnsi="宋体" w:eastAsia="宋体" w:cs="宋体"/>
          <w:spacing w:val="-4"/>
          <w:sz w:val="24"/>
          <w:szCs w:val="24"/>
        </w:rPr>
        <w:t>300</w:t>
      </w:r>
      <w:r>
        <w:rPr>
          <w:rFonts w:ascii="宋体" w:hAnsi="宋体" w:eastAsia="宋体" w:cs="宋体"/>
          <w:spacing w:val="-49"/>
          <w:sz w:val="24"/>
          <w:szCs w:val="24"/>
        </w:rPr>
        <w:t xml:space="preserve"> </w:t>
      </w:r>
      <w:r>
        <w:rPr>
          <w:rFonts w:ascii="宋体" w:hAnsi="宋体" w:eastAsia="宋体" w:cs="宋体"/>
          <w:spacing w:val="-4"/>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4"/>
          <w:sz w:val="24"/>
          <w:szCs w:val="24"/>
        </w:rPr>
        <w:t>10</w:t>
      </w:r>
      <w:r>
        <w:rPr>
          <w:rFonts w:ascii="宋体" w:hAnsi="宋体" w:eastAsia="宋体" w:cs="宋体"/>
          <w:spacing w:val="-5"/>
          <w:sz w:val="24"/>
          <w:szCs w:val="24"/>
        </w:rPr>
        <w:t>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万元及以上的为中型企业；从业人员</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pacing w:val="-49"/>
          <w:sz w:val="24"/>
          <w:szCs w:val="24"/>
        </w:rPr>
        <w:t xml:space="preserve"> </w:t>
      </w:r>
      <w:r>
        <w:rPr>
          <w:rFonts w:ascii="宋体" w:hAnsi="宋体" w:eastAsia="宋体" w:cs="宋体"/>
          <w:spacing w:val="-5"/>
          <w:sz w:val="24"/>
          <w:szCs w:val="24"/>
        </w:rPr>
        <w:t>人</w:t>
      </w:r>
      <w:r>
        <w:rPr>
          <w:rFonts w:ascii="宋体" w:hAnsi="宋体" w:eastAsia="宋体" w:cs="宋体"/>
          <w:sz w:val="24"/>
          <w:szCs w:val="24"/>
        </w:rPr>
        <w:t xml:space="preserve"> </w:t>
      </w:r>
      <w:r>
        <w:rPr>
          <w:rFonts w:ascii="宋体" w:hAnsi="宋体" w:eastAsia="宋体" w:cs="宋体"/>
          <w:spacing w:val="-2"/>
          <w:sz w:val="24"/>
          <w:szCs w:val="24"/>
        </w:rPr>
        <w:t>及以上，且营业收入</w:t>
      </w:r>
      <w:r>
        <w:rPr>
          <w:rFonts w:ascii="宋体" w:hAnsi="宋体" w:eastAsia="宋体" w:cs="宋体"/>
          <w:spacing w:val="-46"/>
          <w:sz w:val="24"/>
          <w:szCs w:val="24"/>
        </w:rPr>
        <w:t xml:space="preserve"> </w:t>
      </w:r>
      <w:r>
        <w:rPr>
          <w:rFonts w:ascii="宋体" w:hAnsi="宋体" w:eastAsia="宋体" w:cs="宋体"/>
          <w:spacing w:val="-2"/>
          <w:sz w:val="24"/>
          <w:szCs w:val="24"/>
        </w:rPr>
        <w:t>500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万元及以上的为小型企</w:t>
      </w:r>
      <w:r>
        <w:rPr>
          <w:rFonts w:ascii="宋体" w:hAnsi="宋体" w:eastAsia="宋体" w:cs="宋体"/>
          <w:spacing w:val="-3"/>
          <w:sz w:val="24"/>
          <w:szCs w:val="24"/>
        </w:rPr>
        <w:t>业；从业人员</w:t>
      </w:r>
      <w:r>
        <w:rPr>
          <w:rFonts w:ascii="宋体" w:hAnsi="宋体" w:eastAsia="宋体" w:cs="宋体"/>
          <w:spacing w:val="-32"/>
          <w:sz w:val="24"/>
          <w:szCs w:val="24"/>
        </w:rPr>
        <w:t xml:space="preserve"> </w:t>
      </w:r>
      <w:r>
        <w:rPr>
          <w:rFonts w:ascii="宋体" w:hAnsi="宋体" w:eastAsia="宋体" w:cs="宋体"/>
          <w:spacing w:val="-3"/>
          <w:sz w:val="24"/>
          <w:szCs w:val="24"/>
        </w:rPr>
        <w:t>100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3"/>
          <w:sz w:val="24"/>
          <w:szCs w:val="24"/>
        </w:rPr>
        <w:t>500</w:t>
      </w:r>
      <w:r>
        <w:rPr>
          <w:rFonts w:ascii="宋体" w:hAnsi="宋体" w:eastAsia="宋体" w:cs="宋体"/>
          <w:spacing w:val="-45"/>
          <w:sz w:val="24"/>
          <w:szCs w:val="24"/>
        </w:rPr>
        <w:t xml:space="preserve"> </w:t>
      </w:r>
      <w:r>
        <w:rPr>
          <w:rFonts w:ascii="宋体" w:hAnsi="宋体" w:eastAsia="宋体" w:cs="宋体"/>
          <w:spacing w:val="-3"/>
          <w:sz w:val="24"/>
          <w:szCs w:val="24"/>
        </w:rPr>
        <w:t>万</w:t>
      </w:r>
      <w:r>
        <w:rPr>
          <w:rFonts w:ascii="宋体" w:hAnsi="宋体" w:eastAsia="宋体" w:cs="宋体"/>
          <w:sz w:val="24"/>
          <w:szCs w:val="24"/>
        </w:rPr>
        <w:t xml:space="preserve">  </w:t>
      </w:r>
      <w:r>
        <w:rPr>
          <w:rFonts w:ascii="宋体" w:hAnsi="宋体" w:eastAsia="宋体" w:cs="宋体"/>
          <w:spacing w:val="-1"/>
          <w:sz w:val="24"/>
          <w:szCs w:val="24"/>
        </w:rPr>
        <w:t>元以下的为微型企业。</w:t>
      </w:r>
    </w:p>
    <w:p w14:paraId="519C01B6">
      <w:pPr>
        <w:spacing w:before="37" w:line="424" w:lineRule="auto"/>
        <w:ind w:left="8" w:right="80" w:firstLine="465"/>
        <w:jc w:val="both"/>
        <w:rPr>
          <w:rFonts w:ascii="宋体" w:hAnsi="宋体" w:eastAsia="宋体" w:cs="宋体"/>
          <w:sz w:val="24"/>
          <w:szCs w:val="24"/>
        </w:rPr>
      </w:pPr>
      <w:r>
        <w:rPr>
          <w:rFonts w:ascii="宋体" w:hAnsi="宋体" w:eastAsia="宋体" w:cs="宋体"/>
          <w:spacing w:val="-3"/>
          <w:sz w:val="24"/>
          <w:szCs w:val="24"/>
        </w:rPr>
        <w:t>（十五）租赁和商务服务业。从业人员</w:t>
      </w:r>
      <w:r>
        <w:rPr>
          <w:rFonts w:ascii="宋体" w:hAnsi="宋体" w:eastAsia="宋体" w:cs="宋体"/>
          <w:spacing w:val="-46"/>
          <w:sz w:val="24"/>
          <w:szCs w:val="24"/>
        </w:rPr>
        <w:t xml:space="preserve"> </w:t>
      </w:r>
      <w:r>
        <w:rPr>
          <w:rFonts w:ascii="宋体" w:hAnsi="宋体" w:eastAsia="宋体" w:cs="宋体"/>
          <w:spacing w:val="-3"/>
          <w:sz w:val="24"/>
          <w:szCs w:val="24"/>
        </w:rPr>
        <w:t>300</w:t>
      </w:r>
      <w:r>
        <w:rPr>
          <w:rFonts w:ascii="宋体" w:hAnsi="宋体" w:eastAsia="宋体" w:cs="宋体"/>
          <w:spacing w:val="-49"/>
          <w:sz w:val="24"/>
          <w:szCs w:val="24"/>
        </w:rPr>
        <w:t xml:space="preserve"> </w:t>
      </w:r>
      <w:r>
        <w:rPr>
          <w:rFonts w:ascii="宋体" w:hAnsi="宋体" w:eastAsia="宋体" w:cs="宋体"/>
          <w:spacing w:val="-3"/>
          <w:sz w:val="24"/>
          <w:szCs w:val="24"/>
        </w:rPr>
        <w:t>人以下</w:t>
      </w:r>
      <w:r>
        <w:rPr>
          <w:rFonts w:ascii="宋体" w:hAnsi="宋体" w:eastAsia="宋体" w:cs="宋体"/>
          <w:spacing w:val="-4"/>
          <w:sz w:val="24"/>
          <w:szCs w:val="24"/>
        </w:rPr>
        <w:t>或资产总额</w:t>
      </w:r>
      <w:r>
        <w:rPr>
          <w:rFonts w:ascii="宋体" w:hAnsi="宋体" w:eastAsia="宋体" w:cs="宋体"/>
          <w:spacing w:val="-33"/>
          <w:sz w:val="24"/>
          <w:szCs w:val="24"/>
        </w:rPr>
        <w:t xml:space="preserve"> </w:t>
      </w:r>
      <w:r>
        <w:rPr>
          <w:rFonts w:ascii="宋体" w:hAnsi="宋体" w:eastAsia="宋体" w:cs="宋体"/>
          <w:spacing w:val="-4"/>
          <w:sz w:val="24"/>
          <w:szCs w:val="24"/>
        </w:rPr>
        <w:t>120000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万元以下的为中小</w:t>
      </w:r>
      <w:r>
        <w:rPr>
          <w:rFonts w:ascii="宋体" w:hAnsi="宋体" w:eastAsia="宋体" w:cs="宋体"/>
          <w:sz w:val="24"/>
          <w:szCs w:val="24"/>
        </w:rPr>
        <w:t xml:space="preserve"> </w:t>
      </w:r>
      <w:r>
        <w:rPr>
          <w:rFonts w:ascii="宋体" w:hAnsi="宋体" w:eastAsia="宋体" w:cs="宋体"/>
          <w:spacing w:val="-4"/>
          <w:sz w:val="24"/>
          <w:szCs w:val="24"/>
        </w:rPr>
        <w:t>微型企业。其中，从业人员</w:t>
      </w:r>
      <w:r>
        <w:rPr>
          <w:rFonts w:ascii="宋体" w:hAnsi="宋体" w:eastAsia="宋体" w:cs="宋体"/>
          <w:spacing w:val="-17"/>
          <w:sz w:val="24"/>
          <w:szCs w:val="24"/>
        </w:rPr>
        <w:t xml:space="preserve"> </w:t>
      </w:r>
      <w:r>
        <w:rPr>
          <w:rFonts w:ascii="宋体" w:hAnsi="宋体" w:eastAsia="宋体" w:cs="宋体"/>
          <w:spacing w:val="-4"/>
          <w:sz w:val="24"/>
          <w:szCs w:val="24"/>
        </w:rPr>
        <w:t>100</w:t>
      </w:r>
      <w:r>
        <w:rPr>
          <w:rFonts w:ascii="宋体" w:hAnsi="宋体" w:eastAsia="宋体" w:cs="宋体"/>
          <w:spacing w:val="-49"/>
          <w:sz w:val="24"/>
          <w:szCs w:val="24"/>
        </w:rPr>
        <w:t xml:space="preserve"> </w:t>
      </w:r>
      <w:r>
        <w:rPr>
          <w:rFonts w:ascii="宋体" w:hAnsi="宋体" w:eastAsia="宋体" w:cs="宋体"/>
          <w:spacing w:val="-4"/>
          <w:sz w:val="24"/>
          <w:szCs w:val="24"/>
        </w:rPr>
        <w:t>人及以上，且资产总额</w:t>
      </w:r>
      <w:r>
        <w:rPr>
          <w:rFonts w:ascii="宋体" w:hAnsi="宋体" w:eastAsia="宋体" w:cs="宋体"/>
          <w:spacing w:val="-50"/>
          <w:sz w:val="24"/>
          <w:szCs w:val="24"/>
        </w:rPr>
        <w:t xml:space="preserve"> </w:t>
      </w:r>
      <w:r>
        <w:rPr>
          <w:rFonts w:ascii="宋体" w:hAnsi="宋体" w:eastAsia="宋体" w:cs="宋体"/>
          <w:spacing w:val="-4"/>
          <w:sz w:val="24"/>
          <w:szCs w:val="24"/>
        </w:rPr>
        <w:t>8000</w:t>
      </w:r>
      <w:r>
        <w:rPr>
          <w:rFonts w:ascii="宋体" w:hAnsi="宋体" w:eastAsia="宋体" w:cs="宋体"/>
          <w:spacing w:val="-44"/>
          <w:sz w:val="24"/>
          <w:szCs w:val="24"/>
        </w:rPr>
        <w:t xml:space="preserve"> </w:t>
      </w:r>
      <w:r>
        <w:rPr>
          <w:rFonts w:ascii="宋体" w:hAnsi="宋体" w:eastAsia="宋体" w:cs="宋体"/>
          <w:spacing w:val="-4"/>
          <w:sz w:val="24"/>
          <w:szCs w:val="24"/>
        </w:rPr>
        <w:t>万元及以上的为中型企业；从业</w:t>
      </w:r>
      <w:r>
        <w:rPr>
          <w:rFonts w:ascii="宋体" w:hAnsi="宋体" w:eastAsia="宋体" w:cs="宋体"/>
          <w:sz w:val="24"/>
          <w:szCs w:val="24"/>
        </w:rPr>
        <w:t xml:space="preserve"> </w:t>
      </w:r>
      <w:r>
        <w:rPr>
          <w:rFonts w:ascii="宋体" w:hAnsi="宋体" w:eastAsia="宋体" w:cs="宋体"/>
          <w:spacing w:val="-3"/>
          <w:sz w:val="24"/>
          <w:szCs w:val="24"/>
        </w:rPr>
        <w:t>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8"/>
          <w:sz w:val="24"/>
          <w:szCs w:val="24"/>
        </w:rPr>
        <w:t xml:space="preserve"> </w:t>
      </w:r>
      <w:r>
        <w:rPr>
          <w:rFonts w:ascii="宋体" w:hAnsi="宋体" w:eastAsia="宋体" w:cs="宋体"/>
          <w:spacing w:val="-3"/>
          <w:sz w:val="24"/>
          <w:szCs w:val="24"/>
        </w:rPr>
        <w:t>人及以上，且资产总额</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万元及以上的为小型企业；从业人员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人以下</w:t>
      </w:r>
      <w:r>
        <w:rPr>
          <w:rFonts w:ascii="宋体" w:hAnsi="宋体" w:eastAsia="宋体" w:cs="宋体"/>
          <w:spacing w:val="-4"/>
          <w:sz w:val="24"/>
          <w:szCs w:val="24"/>
        </w:rPr>
        <w:t>或资产总</w:t>
      </w:r>
      <w:r>
        <w:rPr>
          <w:rFonts w:ascii="宋体" w:hAnsi="宋体" w:eastAsia="宋体" w:cs="宋体"/>
          <w:sz w:val="24"/>
          <w:szCs w:val="24"/>
        </w:rPr>
        <w:t xml:space="preserve"> </w:t>
      </w:r>
      <w:r>
        <w:rPr>
          <w:rFonts w:ascii="宋体" w:hAnsi="宋体" w:eastAsia="宋体" w:cs="宋体"/>
          <w:spacing w:val="-4"/>
          <w:sz w:val="24"/>
          <w:szCs w:val="24"/>
        </w:rPr>
        <w:t>额</w:t>
      </w:r>
      <w:r>
        <w:rPr>
          <w:rFonts w:ascii="宋体" w:hAnsi="宋体" w:eastAsia="宋体" w:cs="宋体"/>
          <w:spacing w:val="-26"/>
          <w:sz w:val="24"/>
          <w:szCs w:val="24"/>
        </w:rPr>
        <w:t xml:space="preserve"> </w:t>
      </w:r>
      <w:r>
        <w:rPr>
          <w:rFonts w:ascii="宋体" w:hAnsi="宋体" w:eastAsia="宋体" w:cs="宋体"/>
          <w:spacing w:val="-4"/>
          <w:sz w:val="24"/>
          <w:szCs w:val="24"/>
        </w:rPr>
        <w:t>100</w:t>
      </w:r>
      <w:r>
        <w:rPr>
          <w:rFonts w:ascii="宋体" w:hAnsi="宋体" w:eastAsia="宋体" w:cs="宋体"/>
          <w:spacing w:val="-45"/>
          <w:sz w:val="24"/>
          <w:szCs w:val="24"/>
        </w:rPr>
        <w:t xml:space="preserve"> </w:t>
      </w:r>
      <w:r>
        <w:rPr>
          <w:rFonts w:ascii="宋体" w:hAnsi="宋体" w:eastAsia="宋体" w:cs="宋体"/>
          <w:spacing w:val="-4"/>
          <w:sz w:val="24"/>
          <w:szCs w:val="24"/>
        </w:rPr>
        <w:t>万元以下的为微型企业。</w:t>
      </w:r>
    </w:p>
    <w:p w14:paraId="450E55EA">
      <w:pPr>
        <w:spacing w:before="34" w:line="425" w:lineRule="auto"/>
        <w:ind w:left="10" w:right="80" w:firstLine="463"/>
        <w:jc w:val="both"/>
        <w:rPr>
          <w:rFonts w:ascii="宋体" w:hAnsi="宋体" w:eastAsia="宋体" w:cs="宋体"/>
          <w:sz w:val="24"/>
          <w:szCs w:val="24"/>
        </w:rPr>
      </w:pPr>
      <w:r>
        <w:rPr>
          <w:rFonts w:ascii="宋体" w:hAnsi="宋体" w:eastAsia="宋体" w:cs="宋体"/>
          <w:spacing w:val="-5"/>
          <w:sz w:val="24"/>
          <w:szCs w:val="24"/>
        </w:rPr>
        <w:t>（十六）其他未列明行业。从业人员</w:t>
      </w:r>
      <w:r>
        <w:rPr>
          <w:rFonts w:ascii="宋体" w:hAnsi="宋体" w:eastAsia="宋体" w:cs="宋体"/>
          <w:spacing w:val="-31"/>
          <w:sz w:val="24"/>
          <w:szCs w:val="24"/>
        </w:rPr>
        <w:t xml:space="preserve"> </w:t>
      </w:r>
      <w:r>
        <w:rPr>
          <w:rFonts w:ascii="宋体" w:hAnsi="宋体" w:eastAsia="宋体" w:cs="宋体"/>
          <w:spacing w:val="-5"/>
          <w:sz w:val="24"/>
          <w:szCs w:val="24"/>
        </w:rPr>
        <w:t>300</w:t>
      </w:r>
      <w:r>
        <w:rPr>
          <w:rFonts w:ascii="宋体" w:hAnsi="宋体" w:eastAsia="宋体" w:cs="宋体"/>
          <w:spacing w:val="-49"/>
          <w:sz w:val="24"/>
          <w:szCs w:val="24"/>
        </w:rPr>
        <w:t xml:space="preserve"> </w:t>
      </w:r>
      <w:r>
        <w:rPr>
          <w:rFonts w:ascii="宋体" w:hAnsi="宋体" w:eastAsia="宋体" w:cs="宋体"/>
          <w:spacing w:val="-5"/>
          <w:sz w:val="24"/>
          <w:szCs w:val="24"/>
        </w:rPr>
        <w:t>人以下的为中小微型企业。其中，从业人员</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z w:val="24"/>
          <w:szCs w:val="24"/>
        </w:rPr>
        <w:t xml:space="preserve"> </w:t>
      </w:r>
      <w:r>
        <w:rPr>
          <w:rFonts w:ascii="宋体" w:hAnsi="宋体" w:eastAsia="宋体" w:cs="宋体"/>
          <w:spacing w:val="-2"/>
          <w:sz w:val="24"/>
          <w:szCs w:val="24"/>
        </w:rPr>
        <w:t>人及以上的为中型企业；从业人员</w:t>
      </w:r>
      <w:r>
        <w:rPr>
          <w:rFonts w:ascii="宋体" w:hAnsi="宋体" w:eastAsia="宋体" w:cs="宋体"/>
          <w:spacing w:val="-32"/>
          <w:sz w:val="24"/>
          <w:szCs w:val="24"/>
        </w:rPr>
        <w:t xml:space="preserve"> </w:t>
      </w:r>
      <w:r>
        <w:rPr>
          <w:rFonts w:ascii="宋体" w:hAnsi="宋体" w:eastAsia="宋体" w:cs="宋体"/>
          <w:spacing w:val="-2"/>
          <w:sz w:val="24"/>
          <w:szCs w:val="24"/>
        </w:rPr>
        <w:t>10</w:t>
      </w:r>
      <w:r>
        <w:rPr>
          <w:rFonts w:ascii="宋体" w:hAnsi="宋体" w:eastAsia="宋体" w:cs="宋体"/>
          <w:spacing w:val="-49"/>
          <w:sz w:val="24"/>
          <w:szCs w:val="24"/>
        </w:rPr>
        <w:t xml:space="preserve"> </w:t>
      </w:r>
      <w:r>
        <w:rPr>
          <w:rFonts w:ascii="宋体" w:hAnsi="宋体" w:eastAsia="宋体" w:cs="宋体"/>
          <w:spacing w:val="-2"/>
          <w:sz w:val="24"/>
          <w:szCs w:val="24"/>
        </w:rPr>
        <w:t>人及以上的为小型企业；从业人员</w:t>
      </w:r>
      <w:r>
        <w:rPr>
          <w:rFonts w:ascii="宋体" w:hAnsi="宋体" w:eastAsia="宋体" w:cs="宋体"/>
          <w:spacing w:val="-33"/>
          <w:sz w:val="24"/>
          <w:szCs w:val="24"/>
        </w:rPr>
        <w:t xml:space="preserve"> </w:t>
      </w:r>
      <w:r>
        <w:rPr>
          <w:rFonts w:ascii="宋体" w:hAnsi="宋体" w:eastAsia="宋体" w:cs="宋体"/>
          <w:spacing w:val="-2"/>
          <w:sz w:val="24"/>
          <w:szCs w:val="24"/>
        </w:rPr>
        <w:t>1</w:t>
      </w:r>
      <w:r>
        <w:rPr>
          <w:rFonts w:ascii="宋体" w:hAnsi="宋体" w:eastAsia="宋体" w:cs="宋体"/>
          <w:spacing w:val="-3"/>
          <w:sz w:val="24"/>
          <w:szCs w:val="24"/>
        </w:rPr>
        <w:t>0</w:t>
      </w:r>
      <w:r>
        <w:rPr>
          <w:rFonts w:ascii="宋体" w:hAnsi="宋体" w:eastAsia="宋体" w:cs="宋体"/>
          <w:spacing w:val="-49"/>
          <w:sz w:val="24"/>
          <w:szCs w:val="24"/>
        </w:rPr>
        <w:t xml:space="preserve"> </w:t>
      </w:r>
      <w:r>
        <w:rPr>
          <w:rFonts w:ascii="宋体" w:hAnsi="宋体" w:eastAsia="宋体" w:cs="宋体"/>
          <w:spacing w:val="-3"/>
          <w:sz w:val="24"/>
          <w:szCs w:val="24"/>
        </w:rPr>
        <w:t>人以下的为微型</w:t>
      </w:r>
      <w:r>
        <w:rPr>
          <w:rFonts w:ascii="宋体" w:hAnsi="宋体" w:eastAsia="宋体" w:cs="宋体"/>
          <w:sz w:val="24"/>
          <w:szCs w:val="24"/>
        </w:rPr>
        <w:t xml:space="preserve"> </w:t>
      </w:r>
      <w:r>
        <w:rPr>
          <w:rFonts w:ascii="宋体" w:hAnsi="宋体" w:eastAsia="宋体" w:cs="宋体"/>
          <w:spacing w:val="-4"/>
          <w:sz w:val="24"/>
          <w:szCs w:val="24"/>
        </w:rPr>
        <w:t>企业。</w:t>
      </w:r>
    </w:p>
    <w:p w14:paraId="56E2760C">
      <w:pPr>
        <w:spacing w:before="24" w:line="219" w:lineRule="auto"/>
        <w:ind w:left="492"/>
        <w:rPr>
          <w:rFonts w:ascii="宋体" w:hAnsi="宋体" w:eastAsia="宋体" w:cs="宋体"/>
          <w:sz w:val="24"/>
          <w:szCs w:val="24"/>
        </w:rPr>
      </w:pPr>
      <w:r>
        <w:rPr>
          <w:rFonts w:ascii="宋体" w:hAnsi="宋体" w:eastAsia="宋体" w:cs="宋体"/>
          <w:spacing w:val="-1"/>
          <w:sz w:val="24"/>
          <w:szCs w:val="24"/>
        </w:rPr>
        <w:t>五、企业类型的划分以统计部门的统计数据为依据。</w:t>
      </w:r>
    </w:p>
    <w:p w14:paraId="7DA079EB">
      <w:pPr>
        <w:spacing w:before="276" w:line="418" w:lineRule="auto"/>
        <w:ind w:left="8" w:firstLine="481"/>
        <w:rPr>
          <w:rFonts w:ascii="宋体" w:hAnsi="宋体" w:eastAsia="宋体" w:cs="宋体"/>
          <w:sz w:val="24"/>
          <w:szCs w:val="24"/>
        </w:rPr>
      </w:pPr>
      <w:r>
        <w:rPr>
          <w:rFonts w:ascii="宋体" w:hAnsi="宋体" w:eastAsia="宋体" w:cs="宋体"/>
          <w:spacing w:val="-3"/>
          <w:sz w:val="24"/>
          <w:szCs w:val="24"/>
        </w:rPr>
        <w:t>六、本规定适用于在中华人民共和国境内依法设立</w:t>
      </w:r>
      <w:r>
        <w:rPr>
          <w:rFonts w:ascii="宋体" w:hAnsi="宋体" w:eastAsia="宋体" w:cs="宋体"/>
          <w:spacing w:val="-4"/>
          <w:sz w:val="24"/>
          <w:szCs w:val="24"/>
        </w:rPr>
        <w:t>的各类所有制和各种组织形式的企业。</w:t>
      </w:r>
      <w:r>
        <w:rPr>
          <w:rFonts w:ascii="宋体" w:hAnsi="宋体" w:eastAsia="宋体" w:cs="宋体"/>
          <w:sz w:val="24"/>
          <w:szCs w:val="24"/>
        </w:rPr>
        <w:t xml:space="preserve"> </w:t>
      </w:r>
      <w:r>
        <w:rPr>
          <w:rFonts w:ascii="宋体" w:hAnsi="宋体" w:eastAsia="宋体" w:cs="宋体"/>
          <w:spacing w:val="-1"/>
          <w:sz w:val="24"/>
          <w:szCs w:val="24"/>
        </w:rPr>
        <w:t>个体工商户和本规定以外的行业，参照本规定进行划型。</w:t>
      </w:r>
    </w:p>
    <w:p w14:paraId="34486E2E">
      <w:pPr>
        <w:spacing w:line="418" w:lineRule="auto"/>
        <w:rPr>
          <w:rFonts w:ascii="宋体" w:hAnsi="宋体" w:eastAsia="宋体" w:cs="宋体"/>
          <w:sz w:val="24"/>
          <w:szCs w:val="24"/>
        </w:rPr>
        <w:sectPr>
          <w:footerReference r:id="rId16" w:type="default"/>
          <w:pgSz w:w="11906" w:h="16839"/>
          <w:pgMar w:top="960" w:right="1054" w:bottom="916" w:left="1134" w:header="945" w:footer="754" w:gutter="0"/>
          <w:cols w:space="720" w:num="1"/>
        </w:sectPr>
      </w:pPr>
    </w:p>
    <w:p w14:paraId="3ECFF01B">
      <w:pPr>
        <w:spacing w:before="211" w:line="422" w:lineRule="auto"/>
        <w:ind w:left="14" w:right="39" w:firstLine="472"/>
        <w:jc w:val="both"/>
        <w:rPr>
          <w:rFonts w:ascii="宋体" w:hAnsi="宋体" w:eastAsia="宋体" w:cs="宋体"/>
          <w:sz w:val="24"/>
          <w:szCs w:val="24"/>
        </w:rPr>
      </w:pPr>
      <w:r>
        <w:rPr>
          <w:rFonts w:ascii="宋体" w:hAnsi="宋体" w:eastAsia="宋体" w:cs="宋体"/>
          <w:sz w:val="24"/>
          <w:szCs w:val="24"/>
        </w:rPr>
        <w:t>七、本规定的中型企业标准上限即为大型企业标准的下限，国家</w:t>
      </w:r>
      <w:r>
        <w:rPr>
          <w:rFonts w:ascii="宋体" w:hAnsi="宋体" w:eastAsia="宋体" w:cs="宋体"/>
          <w:spacing w:val="-1"/>
          <w:sz w:val="24"/>
          <w:szCs w:val="24"/>
        </w:rPr>
        <w:t>统计部门据此制定大中</w:t>
      </w:r>
      <w:r>
        <w:rPr>
          <w:rFonts w:ascii="宋体" w:hAnsi="宋体" w:eastAsia="宋体" w:cs="宋体"/>
          <w:sz w:val="24"/>
          <w:szCs w:val="24"/>
        </w:rPr>
        <w:t xml:space="preserve"> 小微型企业的统计分类。国务院有关部门据此进行相</w:t>
      </w:r>
      <w:r>
        <w:rPr>
          <w:rFonts w:ascii="宋体" w:hAnsi="宋体" w:eastAsia="宋体" w:cs="宋体"/>
          <w:spacing w:val="-1"/>
          <w:sz w:val="24"/>
          <w:szCs w:val="24"/>
        </w:rPr>
        <w:t>关数据分析，不得制定与本规定不一致</w:t>
      </w:r>
      <w:r>
        <w:rPr>
          <w:rFonts w:ascii="宋体" w:hAnsi="宋体" w:eastAsia="宋体" w:cs="宋体"/>
          <w:sz w:val="24"/>
          <w:szCs w:val="24"/>
        </w:rPr>
        <w:t xml:space="preserve"> </w:t>
      </w:r>
      <w:r>
        <w:rPr>
          <w:rFonts w:ascii="宋体" w:hAnsi="宋体" w:eastAsia="宋体" w:cs="宋体"/>
          <w:spacing w:val="-2"/>
          <w:sz w:val="24"/>
          <w:szCs w:val="24"/>
        </w:rPr>
        <w:t>的企业划型标准。</w:t>
      </w:r>
    </w:p>
    <w:p w14:paraId="7C89A90F">
      <w:pPr>
        <w:spacing w:before="31" w:line="419" w:lineRule="auto"/>
        <w:ind w:left="11" w:right="39" w:firstLine="480"/>
        <w:rPr>
          <w:rFonts w:ascii="宋体" w:hAnsi="宋体" w:eastAsia="宋体" w:cs="宋体"/>
          <w:sz w:val="24"/>
          <w:szCs w:val="24"/>
        </w:rPr>
      </w:pPr>
      <w:r>
        <w:rPr>
          <w:rFonts w:ascii="宋体" w:hAnsi="宋体" w:eastAsia="宋体" w:cs="宋体"/>
          <w:sz w:val="24"/>
          <w:szCs w:val="24"/>
        </w:rPr>
        <w:t>八、本规定由工业和信息化部、国家统计局会同有关</w:t>
      </w:r>
      <w:r>
        <w:rPr>
          <w:rFonts w:ascii="宋体" w:hAnsi="宋体" w:eastAsia="宋体" w:cs="宋体"/>
          <w:spacing w:val="-1"/>
          <w:sz w:val="24"/>
          <w:szCs w:val="24"/>
        </w:rPr>
        <w:t>部门根据《国民经济行业分类》修</w:t>
      </w:r>
      <w:r>
        <w:rPr>
          <w:rFonts w:ascii="宋体" w:hAnsi="宋体" w:eastAsia="宋体" w:cs="宋体"/>
          <w:sz w:val="24"/>
          <w:szCs w:val="24"/>
        </w:rPr>
        <w:t xml:space="preserve"> </w:t>
      </w:r>
      <w:r>
        <w:rPr>
          <w:rFonts w:ascii="宋体" w:hAnsi="宋体" w:eastAsia="宋体" w:cs="宋体"/>
          <w:spacing w:val="-1"/>
          <w:sz w:val="24"/>
          <w:szCs w:val="24"/>
        </w:rPr>
        <w:t>订情况和企业发展变化情况适时修订。</w:t>
      </w:r>
    </w:p>
    <w:p w14:paraId="149F18C5">
      <w:pPr>
        <w:spacing w:before="31" w:line="219" w:lineRule="auto"/>
        <w:ind w:left="493"/>
        <w:rPr>
          <w:rFonts w:ascii="宋体" w:hAnsi="宋体" w:eastAsia="宋体" w:cs="宋体"/>
          <w:sz w:val="24"/>
          <w:szCs w:val="24"/>
        </w:rPr>
      </w:pPr>
      <w:r>
        <w:rPr>
          <w:rFonts w:ascii="宋体" w:hAnsi="宋体" w:eastAsia="宋体" w:cs="宋体"/>
          <w:spacing w:val="-1"/>
          <w:sz w:val="24"/>
          <w:szCs w:val="24"/>
        </w:rPr>
        <w:t>九、本规定由工业和信息化部、国家统计局会同有关部门负责解释。</w:t>
      </w:r>
    </w:p>
    <w:p w14:paraId="3C256582">
      <w:pPr>
        <w:spacing w:before="275" w:line="418" w:lineRule="auto"/>
        <w:ind w:left="9" w:firstLine="480"/>
        <w:rPr>
          <w:rFonts w:ascii="宋体" w:hAnsi="宋体" w:eastAsia="宋体" w:cs="宋体"/>
          <w:sz w:val="24"/>
          <w:szCs w:val="24"/>
        </w:rPr>
      </w:pPr>
      <w:r>
        <w:rPr>
          <w:rFonts w:ascii="宋体" w:hAnsi="宋体" w:eastAsia="宋体" w:cs="宋体"/>
          <w:spacing w:val="-1"/>
          <w:sz w:val="24"/>
          <w:szCs w:val="24"/>
        </w:rPr>
        <w:t>十、本规定自发布之日起执行，原国家经贸委、原国家计委、财政部和国家统</w:t>
      </w:r>
      <w:r>
        <w:rPr>
          <w:rFonts w:ascii="宋体" w:hAnsi="宋体" w:eastAsia="宋体" w:cs="宋体"/>
          <w:spacing w:val="-2"/>
          <w:sz w:val="24"/>
          <w:szCs w:val="24"/>
        </w:rPr>
        <w:t>计局</w:t>
      </w:r>
      <w:r>
        <w:rPr>
          <w:rFonts w:ascii="宋体" w:hAnsi="宋体" w:eastAsia="宋体" w:cs="宋体"/>
          <w:spacing w:val="-47"/>
          <w:sz w:val="24"/>
          <w:szCs w:val="24"/>
        </w:rPr>
        <w:t xml:space="preserve"> </w:t>
      </w:r>
      <w:r>
        <w:rPr>
          <w:rFonts w:ascii="宋体" w:hAnsi="宋体" w:eastAsia="宋体" w:cs="宋体"/>
          <w:spacing w:val="-2"/>
          <w:sz w:val="24"/>
          <w:szCs w:val="24"/>
        </w:rPr>
        <w:t>2003</w:t>
      </w:r>
      <w:r>
        <w:rPr>
          <w:rFonts w:ascii="宋体" w:hAnsi="宋体" w:eastAsia="宋体" w:cs="宋体"/>
          <w:sz w:val="24"/>
          <w:szCs w:val="24"/>
        </w:rPr>
        <w:t xml:space="preserve"> </w:t>
      </w:r>
      <w:r>
        <w:rPr>
          <w:rFonts w:ascii="宋体" w:hAnsi="宋体" w:eastAsia="宋体" w:cs="宋体"/>
          <w:spacing w:val="-1"/>
          <w:sz w:val="24"/>
          <w:szCs w:val="24"/>
        </w:rPr>
        <w:t>年颁布的《中小企业标准暂行规定》同时废止。</w:t>
      </w:r>
    </w:p>
    <w:p w14:paraId="7462F9C4">
      <w:pPr>
        <w:tabs>
          <w:tab w:val="left" w:pos="0"/>
        </w:tabs>
        <w:wordWrap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bookmarkStart w:id="178" w:name="_Toc424468861"/>
      <w:r>
        <w:rPr>
          <w:rFonts w:hint="eastAsia" w:ascii="宋体" w:hAnsi="宋体" w:cs="宋体"/>
          <w:b/>
          <w:color w:val="auto"/>
          <w:sz w:val="32"/>
          <w:szCs w:val="32"/>
          <w:highlight w:val="none"/>
        </w:rPr>
        <w:t>十</w:t>
      </w:r>
      <w:r>
        <w:rPr>
          <w:rFonts w:hint="eastAsia" w:ascii="宋体" w:hAnsi="宋体" w:cs="宋体"/>
          <w:b/>
          <w:color w:val="auto"/>
          <w:sz w:val="32"/>
          <w:szCs w:val="32"/>
          <w:highlight w:val="none"/>
          <w:lang w:eastAsia="zh-CN"/>
        </w:rPr>
        <w:t>二</w:t>
      </w:r>
      <w:r>
        <w:rPr>
          <w:rFonts w:hint="eastAsia" w:ascii="宋体" w:hAnsi="宋体" w:cs="宋体"/>
          <w:b/>
          <w:color w:val="auto"/>
          <w:sz w:val="32"/>
          <w:szCs w:val="32"/>
          <w:highlight w:val="none"/>
        </w:rPr>
        <w:t>、供应商认为需要提供的其他材料</w:t>
      </w:r>
      <w:bookmarkEnd w:id="178"/>
    </w:p>
    <w:p w14:paraId="28EBC30C">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格式自拟</w:t>
      </w:r>
    </w:p>
    <w:p w14:paraId="212E1D2C">
      <w:pPr>
        <w:pStyle w:val="2"/>
        <w:keepNext w:val="0"/>
        <w:keepLines w:val="0"/>
        <w:wordWrap w:val="0"/>
        <w:spacing w:before="0" w:after="120" w:afterLines="50" w:line="240" w:lineRule="auto"/>
        <w:jc w:val="center"/>
        <w:rPr>
          <w:rFonts w:hint="eastAsia" w:ascii="宋体" w:hAnsi="宋体" w:cs="宋体"/>
          <w:b w:val="0"/>
          <w:bCs w:val="0"/>
          <w:color w:val="auto"/>
          <w:sz w:val="30"/>
          <w:szCs w:val="30"/>
          <w:highlight w:val="none"/>
          <w:lang w:val="zh-CN"/>
        </w:rPr>
      </w:pPr>
      <w:r>
        <w:rPr>
          <w:rFonts w:hint="eastAsia" w:ascii="宋体" w:hAnsi="宋体" w:cs="宋体"/>
          <w:color w:val="auto"/>
          <w:sz w:val="24"/>
          <w:szCs w:val="24"/>
          <w:highlight w:val="none"/>
        </w:rPr>
        <w:br w:type="page"/>
      </w:r>
      <w:bookmarkStart w:id="179" w:name="_Toc2102"/>
      <w:bookmarkStart w:id="180" w:name="_Toc12384"/>
      <w:bookmarkStart w:id="181" w:name="_Toc16528420"/>
      <w:bookmarkStart w:id="182" w:name="_Toc8935"/>
      <w:bookmarkStart w:id="183" w:name="_Toc28341381"/>
      <w:bookmarkStart w:id="184" w:name="_Toc21440"/>
      <w:bookmarkStart w:id="185" w:name="_Toc31659"/>
      <w:bookmarkStart w:id="186" w:name="_Toc5428"/>
      <w:r>
        <w:rPr>
          <w:rFonts w:hint="eastAsia" w:ascii="宋体" w:hAnsi="宋体" w:cs="宋体"/>
          <w:color w:val="auto"/>
          <w:highlight w:val="none"/>
        </w:rPr>
        <w:t>第七章  附件</w:t>
      </w:r>
      <w:bookmarkEnd w:id="179"/>
      <w:bookmarkEnd w:id="180"/>
      <w:bookmarkEnd w:id="181"/>
      <w:bookmarkEnd w:id="182"/>
      <w:bookmarkEnd w:id="183"/>
      <w:bookmarkEnd w:id="184"/>
      <w:bookmarkEnd w:id="185"/>
      <w:bookmarkEnd w:id="186"/>
    </w:p>
    <w:p w14:paraId="2FD1402D">
      <w:pPr>
        <w:pStyle w:val="3"/>
        <w:spacing w:before="360" w:beforeLines="150" w:line="360" w:lineRule="auto"/>
        <w:jc w:val="center"/>
        <w:rPr>
          <w:rFonts w:hint="eastAsia" w:ascii="宋体" w:hAnsi="宋体" w:eastAsia="宋体" w:cs="宋体"/>
          <w:b/>
          <w:color w:val="auto"/>
          <w:highlight w:val="none"/>
        </w:rPr>
      </w:pPr>
      <w:r>
        <w:rPr>
          <w:rFonts w:hint="eastAsia" w:ascii="宋体" w:hAnsi="宋体" w:eastAsia="宋体" w:cs="宋体"/>
          <w:b/>
          <w:bCs/>
          <w:color w:val="auto"/>
          <w:kern w:val="2"/>
          <w:sz w:val="32"/>
          <w:szCs w:val="32"/>
          <w:highlight w:val="none"/>
        </w:rPr>
        <w:t>开标一览表</w:t>
      </w:r>
    </w:p>
    <w:p w14:paraId="2A629CF3">
      <w:pPr>
        <w:wordWrap w:val="0"/>
        <w:spacing w:line="44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p>
    <w:p w14:paraId="69698DC3">
      <w:pPr>
        <w:wordWrap w:val="0"/>
        <w:spacing w:after="120" w:afterLines="50" w:line="44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u w:val="single"/>
        </w:rPr>
        <w:t xml:space="preserve">                </w:t>
      </w:r>
    </w:p>
    <w:tbl>
      <w:tblPr>
        <w:tblStyle w:val="47"/>
        <w:tblW w:w="9523"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2029"/>
        <w:gridCol w:w="1561"/>
        <w:gridCol w:w="1397"/>
        <w:gridCol w:w="1255"/>
        <w:gridCol w:w="1564"/>
      </w:tblGrid>
      <w:tr w14:paraId="7022551F">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jc w:val="center"/>
        </w:trPr>
        <w:tc>
          <w:tcPr>
            <w:tcW w:w="1717" w:type="dxa"/>
            <w:tcBorders>
              <w:top w:val="single" w:color="auto" w:sz="4" w:space="0"/>
              <w:left w:val="single" w:color="auto" w:sz="4" w:space="0"/>
              <w:bottom w:val="single" w:color="auto" w:sz="4" w:space="0"/>
              <w:right w:val="single" w:color="auto" w:sz="4" w:space="0"/>
            </w:tcBorders>
            <w:noWrap w:val="0"/>
            <w:vAlign w:val="center"/>
          </w:tcPr>
          <w:p w14:paraId="65A9611B">
            <w:pPr>
              <w:wordWrap w:val="0"/>
              <w:spacing w:line="440" w:lineRule="exact"/>
              <w:jc w:val="center"/>
              <w:rPr>
                <w:rFonts w:hint="eastAsia" w:ascii="宋体" w:hAnsi="宋体" w:cs="宋体"/>
                <w:color w:val="auto"/>
                <w:sz w:val="24"/>
                <w:szCs w:val="28"/>
                <w:highlight w:val="none"/>
              </w:rPr>
            </w:pPr>
            <w:r>
              <w:rPr>
                <w:rFonts w:hint="eastAsia" w:ascii="宋体" w:hAnsi="宋体" w:cs="宋体"/>
                <w:color w:val="auto"/>
                <w:sz w:val="24"/>
                <w:szCs w:val="28"/>
                <w:highlight w:val="none"/>
              </w:rPr>
              <w:t>供应商名称</w:t>
            </w:r>
          </w:p>
        </w:tc>
        <w:tc>
          <w:tcPr>
            <w:tcW w:w="2029" w:type="dxa"/>
            <w:tcBorders>
              <w:top w:val="single" w:color="auto" w:sz="4" w:space="0"/>
              <w:left w:val="single" w:color="auto" w:sz="4" w:space="0"/>
              <w:bottom w:val="single" w:color="auto" w:sz="4" w:space="0"/>
              <w:right w:val="single" w:color="auto" w:sz="4" w:space="0"/>
            </w:tcBorders>
            <w:noWrap w:val="0"/>
            <w:vAlign w:val="center"/>
          </w:tcPr>
          <w:p w14:paraId="62546BF2">
            <w:pPr>
              <w:wordWrap w:val="0"/>
              <w:spacing w:line="440" w:lineRule="exact"/>
              <w:jc w:val="center"/>
              <w:rPr>
                <w:rFonts w:hint="eastAsia" w:ascii="宋体" w:hAnsi="宋体" w:cs="宋体"/>
                <w:color w:val="auto"/>
                <w:sz w:val="24"/>
                <w:szCs w:val="28"/>
                <w:highlight w:val="none"/>
              </w:rPr>
            </w:pPr>
            <w:r>
              <w:rPr>
                <w:rFonts w:hint="eastAsia" w:ascii="宋体" w:hAnsi="宋体" w:cs="宋体"/>
                <w:color w:val="auto"/>
                <w:sz w:val="24"/>
                <w:szCs w:val="28"/>
                <w:highlight w:val="none"/>
              </w:rPr>
              <w:t>投标报价（元）</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450844B6">
            <w:pPr>
              <w:wordWrap w:val="0"/>
              <w:spacing w:line="440" w:lineRule="exact"/>
              <w:jc w:val="center"/>
              <w:rPr>
                <w:rFonts w:hint="eastAsia" w:ascii="宋体" w:hAnsi="宋体" w:cs="宋体"/>
                <w:color w:val="auto"/>
                <w:sz w:val="24"/>
                <w:szCs w:val="28"/>
                <w:highlight w:val="none"/>
              </w:rPr>
            </w:pPr>
            <w:r>
              <w:rPr>
                <w:rFonts w:hint="eastAsia" w:ascii="宋体" w:hAnsi="宋体" w:cs="宋体"/>
                <w:color w:val="auto"/>
                <w:sz w:val="24"/>
                <w:szCs w:val="28"/>
                <w:highlight w:val="none"/>
              </w:rPr>
              <w:t>投标有效期（天）</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0B5CF9F2">
            <w:pPr>
              <w:wordWrap w:val="0"/>
              <w:spacing w:line="440" w:lineRule="exact"/>
              <w:jc w:val="center"/>
              <w:rPr>
                <w:rFonts w:hint="eastAsia" w:ascii="宋体" w:hAnsi="宋体" w:cs="宋体"/>
                <w:color w:val="auto"/>
                <w:sz w:val="24"/>
                <w:szCs w:val="28"/>
                <w:highlight w:val="none"/>
              </w:rPr>
            </w:pPr>
            <w:r>
              <w:rPr>
                <w:rFonts w:hint="eastAsia" w:ascii="宋体" w:hAnsi="宋体" w:cs="宋体"/>
                <w:color w:val="auto"/>
                <w:sz w:val="24"/>
                <w:szCs w:val="28"/>
                <w:highlight w:val="none"/>
              </w:rPr>
              <w:t>服务期限</w:t>
            </w:r>
          </w:p>
        </w:tc>
        <w:tc>
          <w:tcPr>
            <w:tcW w:w="1255" w:type="dxa"/>
            <w:tcBorders>
              <w:top w:val="single" w:color="auto" w:sz="4" w:space="0"/>
              <w:left w:val="single" w:color="auto" w:sz="4" w:space="0"/>
              <w:bottom w:val="single" w:color="auto" w:sz="4" w:space="0"/>
              <w:right w:val="single" w:color="auto" w:sz="4" w:space="0"/>
            </w:tcBorders>
            <w:noWrap w:val="0"/>
            <w:vAlign w:val="center"/>
          </w:tcPr>
          <w:p w14:paraId="6B237F72">
            <w:pPr>
              <w:wordWrap w:val="0"/>
              <w:spacing w:line="440" w:lineRule="exact"/>
              <w:jc w:val="center"/>
              <w:rPr>
                <w:rFonts w:hint="eastAsia" w:ascii="宋体" w:hAnsi="宋体" w:cs="宋体"/>
                <w:color w:val="auto"/>
                <w:sz w:val="24"/>
                <w:szCs w:val="28"/>
                <w:highlight w:val="none"/>
              </w:rPr>
            </w:pPr>
            <w:r>
              <w:rPr>
                <w:rFonts w:hint="eastAsia" w:ascii="宋体" w:hAnsi="宋体" w:cs="宋体"/>
                <w:color w:val="auto"/>
                <w:sz w:val="24"/>
                <w:szCs w:val="28"/>
                <w:highlight w:val="none"/>
                <w:lang w:val="en-US" w:eastAsia="zh-CN"/>
              </w:rPr>
              <w:t>服务</w:t>
            </w:r>
            <w:r>
              <w:rPr>
                <w:rFonts w:hint="eastAsia" w:ascii="宋体" w:hAnsi="宋体" w:cs="宋体"/>
                <w:color w:val="auto"/>
                <w:sz w:val="24"/>
                <w:szCs w:val="28"/>
                <w:highlight w:val="none"/>
              </w:rPr>
              <w:t>标准</w:t>
            </w:r>
          </w:p>
        </w:tc>
        <w:tc>
          <w:tcPr>
            <w:tcW w:w="1564" w:type="dxa"/>
            <w:tcBorders>
              <w:top w:val="single" w:color="auto" w:sz="4" w:space="0"/>
              <w:left w:val="single" w:color="auto" w:sz="4" w:space="0"/>
              <w:bottom w:val="single" w:color="auto" w:sz="4" w:space="0"/>
              <w:right w:val="single" w:color="auto" w:sz="4" w:space="0"/>
            </w:tcBorders>
            <w:noWrap w:val="0"/>
            <w:vAlign w:val="center"/>
          </w:tcPr>
          <w:p w14:paraId="323E7D04">
            <w:pPr>
              <w:wordWrap w:val="0"/>
              <w:spacing w:line="440" w:lineRule="exact"/>
              <w:jc w:val="center"/>
              <w:rPr>
                <w:rFonts w:hint="eastAsia" w:ascii="宋体" w:hAnsi="宋体" w:cs="宋体"/>
                <w:color w:val="auto"/>
                <w:sz w:val="24"/>
                <w:szCs w:val="28"/>
                <w:highlight w:val="none"/>
              </w:rPr>
            </w:pPr>
            <w:r>
              <w:rPr>
                <w:rFonts w:hint="eastAsia" w:ascii="宋体" w:hAnsi="宋体" w:cs="宋体"/>
                <w:color w:val="auto"/>
                <w:sz w:val="24"/>
                <w:szCs w:val="28"/>
                <w:highlight w:val="none"/>
              </w:rPr>
              <w:t>供应商代表（签字）</w:t>
            </w:r>
          </w:p>
        </w:tc>
      </w:tr>
      <w:tr w14:paraId="43066ED9">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9" w:hRule="atLeast"/>
          <w:jc w:val="center"/>
        </w:trPr>
        <w:tc>
          <w:tcPr>
            <w:tcW w:w="1717" w:type="dxa"/>
            <w:tcBorders>
              <w:top w:val="single" w:color="auto" w:sz="4" w:space="0"/>
              <w:left w:val="single" w:color="auto" w:sz="4" w:space="0"/>
              <w:bottom w:val="single" w:color="auto" w:sz="4" w:space="0"/>
              <w:right w:val="single" w:color="auto" w:sz="4" w:space="0"/>
            </w:tcBorders>
            <w:noWrap w:val="0"/>
            <w:vAlign w:val="center"/>
          </w:tcPr>
          <w:p w14:paraId="2F140C0E">
            <w:pPr>
              <w:wordWrap w:val="0"/>
              <w:spacing w:line="440" w:lineRule="exact"/>
              <w:jc w:val="center"/>
              <w:rPr>
                <w:rFonts w:hint="eastAsia" w:ascii="宋体" w:hAnsi="宋体" w:cs="宋体"/>
                <w:color w:val="auto"/>
                <w:sz w:val="24"/>
                <w:szCs w:val="28"/>
                <w:highlight w:val="none"/>
              </w:rPr>
            </w:pPr>
          </w:p>
        </w:tc>
        <w:tc>
          <w:tcPr>
            <w:tcW w:w="2029" w:type="dxa"/>
            <w:tcBorders>
              <w:top w:val="single" w:color="auto" w:sz="4" w:space="0"/>
              <w:left w:val="single" w:color="auto" w:sz="4" w:space="0"/>
              <w:bottom w:val="single" w:color="auto" w:sz="4" w:space="0"/>
              <w:right w:val="single" w:color="auto" w:sz="4" w:space="0"/>
            </w:tcBorders>
            <w:noWrap w:val="0"/>
            <w:vAlign w:val="center"/>
          </w:tcPr>
          <w:p w14:paraId="1E3E315F">
            <w:pPr>
              <w:wordWrap w:val="0"/>
              <w:spacing w:line="440" w:lineRule="exact"/>
              <w:jc w:val="center"/>
              <w:rPr>
                <w:rFonts w:hint="eastAsia" w:ascii="宋体" w:hAnsi="宋体" w:cs="宋体"/>
                <w:color w:val="auto"/>
                <w:sz w:val="24"/>
                <w:szCs w:val="28"/>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46D43129">
            <w:pPr>
              <w:wordWrap w:val="0"/>
              <w:spacing w:line="440" w:lineRule="exact"/>
              <w:jc w:val="center"/>
              <w:rPr>
                <w:rFonts w:hint="eastAsia" w:ascii="宋体" w:hAnsi="宋体" w:cs="宋体"/>
                <w:color w:val="auto"/>
                <w:sz w:val="24"/>
                <w:szCs w:val="28"/>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14:paraId="30AB2BBE">
            <w:pPr>
              <w:wordWrap w:val="0"/>
              <w:spacing w:line="440" w:lineRule="exact"/>
              <w:jc w:val="center"/>
              <w:rPr>
                <w:rFonts w:hint="eastAsia" w:ascii="宋体" w:hAnsi="宋体" w:cs="宋体"/>
                <w:color w:val="auto"/>
                <w:sz w:val="24"/>
                <w:szCs w:val="28"/>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7D962ACA">
            <w:pPr>
              <w:wordWrap w:val="0"/>
              <w:spacing w:line="440" w:lineRule="exact"/>
              <w:jc w:val="center"/>
              <w:rPr>
                <w:rFonts w:hint="eastAsia" w:ascii="宋体" w:hAnsi="宋体" w:cs="宋体"/>
                <w:color w:val="auto"/>
                <w:sz w:val="24"/>
                <w:szCs w:val="28"/>
                <w:highlight w:val="none"/>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14:paraId="4420EBB8">
            <w:pPr>
              <w:wordWrap w:val="0"/>
              <w:spacing w:line="440" w:lineRule="exact"/>
              <w:jc w:val="center"/>
              <w:rPr>
                <w:rFonts w:hint="eastAsia" w:ascii="宋体" w:hAnsi="宋体" w:cs="宋体"/>
                <w:color w:val="auto"/>
                <w:sz w:val="24"/>
                <w:szCs w:val="28"/>
                <w:highlight w:val="none"/>
              </w:rPr>
            </w:pPr>
          </w:p>
        </w:tc>
      </w:tr>
    </w:tbl>
    <w:p w14:paraId="06953740">
      <w:pPr>
        <w:pStyle w:val="80"/>
        <w:wordWrap w:val="0"/>
        <w:spacing w:line="440" w:lineRule="exact"/>
        <w:ind w:firstLine="840" w:firstLineChars="350"/>
        <w:rPr>
          <w:rFonts w:hint="eastAsia" w:ascii="宋体" w:hAnsi="宋体" w:eastAsia="宋体" w:cs="宋体"/>
          <w:color w:val="auto"/>
          <w:sz w:val="24"/>
          <w:szCs w:val="24"/>
          <w:highlight w:val="none"/>
        </w:rPr>
      </w:pPr>
    </w:p>
    <w:p w14:paraId="198BE35D">
      <w:pPr>
        <w:pStyle w:val="80"/>
        <w:wordWrap w:val="0"/>
        <w:spacing w:line="440" w:lineRule="exact"/>
        <w:ind w:firstLine="840" w:firstLineChars="350"/>
        <w:rPr>
          <w:rFonts w:hint="eastAsia" w:ascii="宋体" w:hAnsi="宋体" w:eastAsia="宋体" w:cs="宋体"/>
          <w:color w:val="auto"/>
          <w:sz w:val="24"/>
          <w:szCs w:val="24"/>
          <w:highlight w:val="none"/>
        </w:rPr>
      </w:pPr>
    </w:p>
    <w:p w14:paraId="67E4FE59">
      <w:pPr>
        <w:wordWrap w:val="0"/>
        <w:spacing w:line="48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供 应 商：</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（盖单位章）</w:t>
      </w:r>
    </w:p>
    <w:p w14:paraId="2B269606">
      <w:pPr>
        <w:wordWrap w:val="0"/>
        <w:spacing w:line="480" w:lineRule="auto"/>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法定代表人或委托代理人：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（签字）</w:t>
      </w:r>
    </w:p>
    <w:p w14:paraId="72E1B86E">
      <w:pPr>
        <w:tabs>
          <w:tab w:val="left" w:pos="1365"/>
        </w:tabs>
        <w:wordWrap w:val="0"/>
        <w:spacing w:line="480" w:lineRule="auto"/>
        <w:jc w:val="right"/>
        <w:rPr>
          <w:rFonts w:hint="eastAsia" w:ascii="宋体" w:hAnsi="宋体" w:cs="宋体"/>
          <w:b/>
          <w:bCs/>
          <w:color w:val="auto"/>
          <w:sz w:val="32"/>
          <w:szCs w:val="32"/>
          <w:highlight w:val="none"/>
        </w:rPr>
      </w:pP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14:paraId="488F6B4D">
      <w:pPr>
        <w:pStyle w:val="80"/>
        <w:wordWrap w:val="0"/>
        <w:spacing w:line="440" w:lineRule="exact"/>
        <w:ind w:firstLine="840" w:firstLineChars="350"/>
        <w:rPr>
          <w:rFonts w:hint="eastAsia" w:ascii="宋体" w:hAnsi="宋体" w:eastAsia="宋体" w:cs="宋体"/>
          <w:color w:val="auto"/>
          <w:sz w:val="24"/>
          <w:szCs w:val="24"/>
          <w:highlight w:val="none"/>
        </w:rPr>
      </w:pPr>
    </w:p>
    <w:p w14:paraId="0F216C80">
      <w:pPr>
        <w:pStyle w:val="80"/>
        <w:wordWrap w:val="0"/>
        <w:spacing w:line="440" w:lineRule="exact"/>
        <w:ind w:firstLine="840" w:firstLineChars="350"/>
        <w:rPr>
          <w:rFonts w:hint="eastAsia" w:ascii="宋体" w:hAnsi="宋体" w:eastAsia="宋体" w:cs="宋体"/>
          <w:color w:val="auto"/>
          <w:sz w:val="24"/>
          <w:szCs w:val="24"/>
          <w:highlight w:val="none"/>
        </w:rPr>
      </w:pPr>
    </w:p>
    <w:p w14:paraId="6FC3FE56">
      <w:pPr>
        <w:autoSpaceDE w:val="0"/>
        <w:autoSpaceDN w:val="0"/>
        <w:adjustRightInd w:val="0"/>
        <w:rPr>
          <w:rFonts w:hint="eastAsia" w:ascii="黑体" w:eastAsia="黑体"/>
          <w:b/>
          <w:sz w:val="24"/>
          <w:lang w:val="zh-CN"/>
        </w:rPr>
      </w:pPr>
    </w:p>
    <w:p w14:paraId="2562B26D">
      <w:pPr>
        <w:autoSpaceDE w:val="0"/>
        <w:autoSpaceDN w:val="0"/>
        <w:adjustRightInd w:val="0"/>
        <w:rPr>
          <w:rFonts w:hint="eastAsia" w:ascii="黑体" w:eastAsia="黑体"/>
          <w:b/>
          <w:sz w:val="24"/>
          <w:lang w:val="zh-CN"/>
        </w:rPr>
      </w:pPr>
    </w:p>
    <w:p w14:paraId="5793EEBF">
      <w:pPr>
        <w:autoSpaceDE w:val="0"/>
        <w:autoSpaceDN w:val="0"/>
        <w:adjustRightInd w:val="0"/>
        <w:rPr>
          <w:rFonts w:hint="eastAsia" w:ascii="黑体" w:eastAsia="黑体"/>
          <w:b/>
          <w:sz w:val="24"/>
          <w:lang w:val="zh-CN"/>
        </w:rPr>
      </w:pPr>
    </w:p>
    <w:p w14:paraId="2764F608">
      <w:pPr>
        <w:autoSpaceDE w:val="0"/>
        <w:autoSpaceDN w:val="0"/>
        <w:adjustRightInd w:val="0"/>
        <w:rPr>
          <w:rFonts w:hint="eastAsia" w:ascii="黑体" w:eastAsia="黑体"/>
          <w:b/>
          <w:sz w:val="24"/>
          <w:lang w:val="zh-CN"/>
        </w:rPr>
      </w:pPr>
    </w:p>
    <w:p w14:paraId="03FAAEAB">
      <w:pPr>
        <w:autoSpaceDE w:val="0"/>
        <w:autoSpaceDN w:val="0"/>
        <w:adjustRightInd w:val="0"/>
        <w:rPr>
          <w:rFonts w:hint="eastAsia" w:ascii="黑体" w:eastAsia="黑体"/>
          <w:b/>
          <w:sz w:val="24"/>
          <w:lang w:val="zh-CN"/>
        </w:rPr>
      </w:pPr>
    </w:p>
    <w:p w14:paraId="0323082F">
      <w:pPr>
        <w:autoSpaceDE w:val="0"/>
        <w:autoSpaceDN w:val="0"/>
        <w:adjustRightInd w:val="0"/>
        <w:rPr>
          <w:rFonts w:hint="eastAsia" w:ascii="黑体" w:eastAsia="黑体"/>
          <w:b/>
          <w:sz w:val="24"/>
          <w:lang w:val="zh-CN"/>
        </w:rPr>
      </w:pPr>
    </w:p>
    <w:p w14:paraId="4496E120">
      <w:pPr>
        <w:autoSpaceDE w:val="0"/>
        <w:autoSpaceDN w:val="0"/>
        <w:adjustRightInd w:val="0"/>
        <w:rPr>
          <w:rFonts w:hint="eastAsia" w:ascii="黑体" w:eastAsia="黑体"/>
          <w:b/>
          <w:sz w:val="24"/>
          <w:lang w:val="zh-CN"/>
        </w:rPr>
      </w:pPr>
    </w:p>
    <w:p w14:paraId="43D460DE">
      <w:pPr>
        <w:autoSpaceDE w:val="0"/>
        <w:autoSpaceDN w:val="0"/>
        <w:adjustRightInd w:val="0"/>
        <w:rPr>
          <w:rFonts w:hint="eastAsia" w:ascii="黑体" w:eastAsia="黑体"/>
          <w:b/>
          <w:sz w:val="24"/>
          <w:lang w:val="zh-CN"/>
        </w:rPr>
      </w:pPr>
    </w:p>
    <w:p w14:paraId="1A6356B6">
      <w:pPr>
        <w:autoSpaceDE w:val="0"/>
        <w:autoSpaceDN w:val="0"/>
        <w:adjustRightInd w:val="0"/>
        <w:rPr>
          <w:rFonts w:hint="eastAsia" w:ascii="黑体" w:eastAsia="黑体"/>
          <w:b/>
          <w:sz w:val="24"/>
          <w:lang w:val="zh-CN"/>
        </w:rPr>
      </w:pPr>
    </w:p>
    <w:p w14:paraId="2FDDCFB4">
      <w:pPr>
        <w:autoSpaceDE w:val="0"/>
        <w:autoSpaceDN w:val="0"/>
        <w:adjustRightInd w:val="0"/>
        <w:rPr>
          <w:rFonts w:hint="eastAsia" w:ascii="黑体" w:eastAsia="黑体"/>
          <w:b/>
          <w:sz w:val="24"/>
          <w:lang w:val="zh-CN"/>
        </w:rPr>
      </w:pPr>
    </w:p>
    <w:p w14:paraId="3D1A45A4">
      <w:pPr>
        <w:autoSpaceDE w:val="0"/>
        <w:autoSpaceDN w:val="0"/>
        <w:adjustRightInd w:val="0"/>
        <w:rPr>
          <w:rFonts w:hint="eastAsia" w:ascii="黑体" w:eastAsia="黑体"/>
          <w:b/>
          <w:sz w:val="24"/>
          <w:lang w:val="zh-CN"/>
        </w:rPr>
      </w:pPr>
    </w:p>
    <w:p w14:paraId="555DDAE9">
      <w:pPr>
        <w:autoSpaceDE w:val="0"/>
        <w:autoSpaceDN w:val="0"/>
        <w:adjustRightInd w:val="0"/>
        <w:rPr>
          <w:rFonts w:hint="eastAsia" w:ascii="黑体" w:eastAsia="黑体"/>
          <w:b/>
          <w:sz w:val="24"/>
          <w:lang w:val="zh-CN"/>
        </w:rPr>
      </w:pPr>
    </w:p>
    <w:p w14:paraId="2E1D8ABF">
      <w:pPr>
        <w:autoSpaceDE w:val="0"/>
        <w:autoSpaceDN w:val="0"/>
        <w:adjustRightInd w:val="0"/>
        <w:rPr>
          <w:rFonts w:hint="eastAsia" w:ascii="宋体" w:hAnsi="宋体"/>
          <w:i/>
          <w:sz w:val="24"/>
          <w:u w:val="single"/>
        </w:rPr>
      </w:pPr>
    </w:p>
    <w:p w14:paraId="359283B5">
      <w:pPr>
        <w:autoSpaceDE w:val="0"/>
        <w:autoSpaceDN w:val="0"/>
        <w:adjustRightInd w:val="0"/>
        <w:rPr>
          <w:rFonts w:hint="eastAsia" w:ascii="宋体" w:hAnsi="宋体"/>
          <w:i/>
          <w:sz w:val="24"/>
          <w:u w:val="single"/>
        </w:rPr>
      </w:pPr>
    </w:p>
    <w:p w14:paraId="592B18AA">
      <w:pPr>
        <w:autoSpaceDE w:val="0"/>
        <w:autoSpaceDN w:val="0"/>
        <w:adjustRightInd w:val="0"/>
        <w:rPr>
          <w:rFonts w:hint="eastAsia" w:ascii="宋体" w:hAnsi="宋体"/>
          <w:i/>
          <w:sz w:val="24"/>
          <w:u w:val="single"/>
        </w:rPr>
      </w:pPr>
    </w:p>
    <w:p w14:paraId="4760DEC0">
      <w:pPr>
        <w:autoSpaceDE w:val="0"/>
        <w:autoSpaceDN w:val="0"/>
        <w:adjustRightInd w:val="0"/>
        <w:rPr>
          <w:rFonts w:hint="eastAsia" w:ascii="宋体" w:hAnsi="宋体"/>
          <w:i/>
          <w:sz w:val="24"/>
          <w:u w:val="single"/>
        </w:rPr>
      </w:pPr>
    </w:p>
    <w:p w14:paraId="3A8BBFBF">
      <w:pPr>
        <w:autoSpaceDE w:val="0"/>
        <w:autoSpaceDN w:val="0"/>
        <w:adjustRightInd w:val="0"/>
        <w:rPr>
          <w:rFonts w:hint="eastAsia" w:ascii="宋体" w:hAnsi="宋体"/>
          <w:i/>
          <w:sz w:val="24"/>
          <w:u w:val="single"/>
        </w:rPr>
      </w:pPr>
    </w:p>
    <w:p w14:paraId="13830903"/>
    <w:sectPr>
      <w:headerReference r:id="rId17" w:type="default"/>
      <w:footerReference r:id="rId18" w:type="default"/>
      <w:pgSz w:w="11906" w:h="16838"/>
      <w:pgMar w:top="1440" w:right="1080" w:bottom="1440" w:left="1080" w:header="720" w:footer="720"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细黑_x0004_">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5C024">
    <w:pPr>
      <w:pStyle w:val="30"/>
      <w:rPr>
        <w:rStyle w:val="5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6730CDA">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eFY7HoAQAAyQ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KZdSnt77CsAeLgWF4BwNuzXzv8TLSHlqn4x8JEfSjusezumIIhMeksijLHF0cffMB8bOn&#10;dOt8uBegSTRq6nB8SVV2+OjDGDqHxGoG7qRSaYTKkB5Rr8q3Vynj7EJ0ZbBIZDF2G60wbIeJ2haa&#10;IzLDF4EVO3DfKelxH2pqcP0pUR8Myh1XZzbcbGxngxmOiTUNlIzm+zCu2N46uevS0sV+vb3dB+w5&#10;UYltjLWn7nDCSYxpG+MK/XtOUU8vcP0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JeFY7Ho&#10;AQAAyQMAAA4AAAAAAAAAAQAgAAAAIgEAAGRycy9lMm9Eb2MueG1sUEsFBgAAAAAGAAYAWQEAAHwF&#10;AAAAAA==&#10;">
              <v:fill on="f" focussize="0,0"/>
              <v:stroke on="f" weight="1.25pt"/>
              <v:imagedata o:title=""/>
              <o:lock v:ext="edit" aspectratio="f"/>
              <v:textbox inset="0mm,0mm,0mm,0mm" style="mso-fit-shape-to-text:t;">
                <w:txbxContent>
                  <w:p w14:paraId="66730CDA">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14:paraId="6B7AE45C">
    <w:pPr>
      <w:pStyle w:val="3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187DC">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5529C">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CE0EF">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F942AEF">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ag9WxecB&#10;AADJAwAADgAAAAAAAAABACAAAAAiAQAAZHJzL2Uyb0RvYy54bWxQSwUGAAAAAAYABgBZAQAAewUA&#10;AAAA&#10;">
              <v:fill on="f" focussize="0,0"/>
              <v:stroke on="f" weight="1.25pt"/>
              <v:imagedata o:title=""/>
              <o:lock v:ext="edit" aspectratio="f"/>
              <v:textbox inset="0mm,0mm,0mm,0mm" style="mso-fit-shape-to-text:t;">
                <w:txbxContent>
                  <w:p w14:paraId="3F942AEF">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21E19DE">
                          <w:pPr>
                            <w:snapToGrid w:val="0"/>
                            <w:rPr>
                              <w:rFonts w:hint="eastAsia"/>
                              <w:sz w:val="18"/>
                            </w:rPr>
                          </w:pP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XQVC7RAQAApA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rpI+vYcay+49FsbhoxtS7RQHDCbagwwmfZEQwTyqe7qoK4ZIeLpUraqqxBTH3OwgTvF43QeI&#10;d8IZkoyGBny+rCo7foY4ls4lqZt1t0prjLNaW9Ij6nX1/jrfuKQQXVtskliM0yYrDrthorBz7QmZ&#10;9bgDDbW48pToTxYlTusyG2E2drNx8EHtu7xPqT/4D4eI4+QpU4cRdmqMj5d5TouWtuOpn6sef67N&#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V0FQu0QEAAKQDAAAOAAAAAAAAAAEAIAAAACIB&#10;AABkcnMvZTJvRG9jLnhtbFBLBQYAAAAABgAGAFkBAABlBQAAAAA=&#10;">
              <v:fill on="f" focussize="0,0"/>
              <v:stroke on="f" weight="1.25pt"/>
              <v:imagedata o:title=""/>
              <o:lock v:ext="edit" aspectratio="f"/>
              <v:textbox inset="0mm,0mm,0mm,0mm" style="mso-fit-shape-to-text:t;">
                <w:txbxContent>
                  <w:p w14:paraId="021E19DE">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1E295">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7FF55">
    <w:pPr>
      <w:spacing w:line="176" w:lineRule="auto"/>
      <w:ind w:left="477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F6B62">
    <w:pPr>
      <w:spacing w:line="176" w:lineRule="auto"/>
      <w:ind w:left="484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D189E">
    <w:pPr>
      <w:spacing w:line="176" w:lineRule="auto"/>
      <w:ind w:left="484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CAD9D">
    <w:pPr>
      <w:spacing w:line="176" w:lineRule="auto"/>
      <w:ind w:left="484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E13F8">
    <w:pPr>
      <w:spacing w:line="173"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EA17D">
    <w:pPr>
      <w:spacing w:line="176"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4B892">
    <w:pPr>
      <w:spacing w:line="176"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78931">
    <w:pPr>
      <w:ind w:firstLine="2625" w:firstLineChars="1250"/>
      <w:jc w:val="right"/>
      <w:rPr>
        <w:rFonts w:hint="eastAsia"/>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F1CF1">
    <w:pPr>
      <w:pStyle w:val="18"/>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6D099">
    <w:pPr>
      <w:pStyle w:val="18"/>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63F16">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nothing"/>
      <w:lvlText w:val="%1、"/>
      <w:lvlJc w:val="left"/>
      <w:rPr>
        <w:lang w:val="en-US"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pStyle w:val="133"/>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9"/>
    <w:multiLevelType w:val="multilevel"/>
    <w:tmpl w:val="00000009"/>
    <w:lvl w:ilvl="0" w:tentative="0">
      <w:start w:val="1"/>
      <w:numFmt w:val="decimal"/>
      <w:pStyle w:val="14"/>
      <w:lvlText w:val="%1）"/>
      <w:lvlJc w:val="left"/>
      <w:pPr>
        <w:tabs>
          <w:tab w:val="left" w:pos="960"/>
        </w:tabs>
        <w:ind w:left="960" w:hanging="420"/>
      </w:pPr>
      <w:rPr>
        <w:rFonts w:ascii="宋体" w:hAnsi="宋体" w:eastAsia="宋体" w:cs="Times New Roman"/>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2">
    <w:nsid w:val="0000000C"/>
    <w:multiLevelType w:val="singleLevel"/>
    <w:tmpl w:val="0000000C"/>
    <w:lvl w:ilvl="0" w:tentative="0">
      <w:start w:val="1"/>
      <w:numFmt w:val="decimal"/>
      <w:pStyle w:val="89"/>
      <w:lvlText w:val="%1)"/>
      <w:lvlJc w:val="left"/>
      <w:pPr>
        <w:tabs>
          <w:tab w:val="left" w:pos="1758"/>
        </w:tabs>
        <w:ind w:left="1758" w:hanging="511"/>
      </w:pPr>
    </w:lvl>
  </w:abstractNum>
  <w:abstractNum w:abstractNumId="3">
    <w:nsid w:val="3A5B3472"/>
    <w:multiLevelType w:val="singleLevel"/>
    <w:tmpl w:val="3A5B3472"/>
    <w:lvl w:ilvl="0" w:tentative="0">
      <w:start w:val="1"/>
      <w:numFmt w:val="decimal"/>
      <w:suff w:val="nothing"/>
      <w:lvlText w:val="%1、"/>
      <w:lvlJc w:val="left"/>
    </w:lvl>
  </w:abstractNum>
  <w:abstractNum w:abstractNumId="4">
    <w:nsid w:val="666E956A"/>
    <w:multiLevelType w:val="singleLevel"/>
    <w:tmpl w:val="666E956A"/>
    <w:lvl w:ilvl="0" w:tentative="0">
      <w:start w:val="1"/>
      <w:numFmt w:val="decimal"/>
      <w:suff w:val="nothing"/>
      <w:lvlText w:val="%1、"/>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zOGQzZTE2N2RlMDk0YWExY2FiZDA5ZTA4ZWFjNzYifQ=="/>
  </w:docVars>
  <w:rsids>
    <w:rsidRoot w:val="00172A27"/>
    <w:rsid w:val="000004FB"/>
    <w:rsid w:val="00000DD0"/>
    <w:rsid w:val="00001AB6"/>
    <w:rsid w:val="00014A53"/>
    <w:rsid w:val="00015FE6"/>
    <w:rsid w:val="00017768"/>
    <w:rsid w:val="00017F13"/>
    <w:rsid w:val="00020EB6"/>
    <w:rsid w:val="00024761"/>
    <w:rsid w:val="00025027"/>
    <w:rsid w:val="00027D9D"/>
    <w:rsid w:val="00027DD2"/>
    <w:rsid w:val="00037EF7"/>
    <w:rsid w:val="00040269"/>
    <w:rsid w:val="00043D32"/>
    <w:rsid w:val="000567A6"/>
    <w:rsid w:val="00061E1E"/>
    <w:rsid w:val="00064318"/>
    <w:rsid w:val="00067FD9"/>
    <w:rsid w:val="00072174"/>
    <w:rsid w:val="00073640"/>
    <w:rsid w:val="000744DD"/>
    <w:rsid w:val="00075D37"/>
    <w:rsid w:val="000760CA"/>
    <w:rsid w:val="00077897"/>
    <w:rsid w:val="0008480C"/>
    <w:rsid w:val="00084C5B"/>
    <w:rsid w:val="00091F8C"/>
    <w:rsid w:val="00092725"/>
    <w:rsid w:val="000969C5"/>
    <w:rsid w:val="00097733"/>
    <w:rsid w:val="00097D14"/>
    <w:rsid w:val="000A4633"/>
    <w:rsid w:val="000A540D"/>
    <w:rsid w:val="000A6722"/>
    <w:rsid w:val="000B1F4A"/>
    <w:rsid w:val="000B3108"/>
    <w:rsid w:val="000B351D"/>
    <w:rsid w:val="000C328B"/>
    <w:rsid w:val="000C748F"/>
    <w:rsid w:val="000D0ADE"/>
    <w:rsid w:val="000D11D0"/>
    <w:rsid w:val="000D3C1C"/>
    <w:rsid w:val="000D4A23"/>
    <w:rsid w:val="000D5E88"/>
    <w:rsid w:val="000D7462"/>
    <w:rsid w:val="000E30D3"/>
    <w:rsid w:val="000E7D22"/>
    <w:rsid w:val="0010065A"/>
    <w:rsid w:val="001037E0"/>
    <w:rsid w:val="001047DE"/>
    <w:rsid w:val="00104CFF"/>
    <w:rsid w:val="00107FDB"/>
    <w:rsid w:val="001147FE"/>
    <w:rsid w:val="0011496B"/>
    <w:rsid w:val="00114CF7"/>
    <w:rsid w:val="00116882"/>
    <w:rsid w:val="00120D70"/>
    <w:rsid w:val="00121FFD"/>
    <w:rsid w:val="00126E1C"/>
    <w:rsid w:val="0013507A"/>
    <w:rsid w:val="00137CA4"/>
    <w:rsid w:val="0014183B"/>
    <w:rsid w:val="00145F36"/>
    <w:rsid w:val="001465D4"/>
    <w:rsid w:val="00151413"/>
    <w:rsid w:val="00153148"/>
    <w:rsid w:val="00160D52"/>
    <w:rsid w:val="00171CB0"/>
    <w:rsid w:val="0017378A"/>
    <w:rsid w:val="00177CD6"/>
    <w:rsid w:val="001856A9"/>
    <w:rsid w:val="00190149"/>
    <w:rsid w:val="001939DB"/>
    <w:rsid w:val="0019537B"/>
    <w:rsid w:val="001A47AD"/>
    <w:rsid w:val="001A63D9"/>
    <w:rsid w:val="001B466C"/>
    <w:rsid w:val="001B77E8"/>
    <w:rsid w:val="001C01E7"/>
    <w:rsid w:val="001C0991"/>
    <w:rsid w:val="001C0C15"/>
    <w:rsid w:val="001C105D"/>
    <w:rsid w:val="001C1D8D"/>
    <w:rsid w:val="001D377F"/>
    <w:rsid w:val="001D5DB8"/>
    <w:rsid w:val="001D7682"/>
    <w:rsid w:val="001E1095"/>
    <w:rsid w:val="001E241C"/>
    <w:rsid w:val="001E3AF1"/>
    <w:rsid w:val="001E7CB4"/>
    <w:rsid w:val="001E7EF8"/>
    <w:rsid w:val="001F56B2"/>
    <w:rsid w:val="001F586E"/>
    <w:rsid w:val="00201581"/>
    <w:rsid w:val="002056E3"/>
    <w:rsid w:val="002065AF"/>
    <w:rsid w:val="0021053C"/>
    <w:rsid w:val="002107D7"/>
    <w:rsid w:val="00210D20"/>
    <w:rsid w:val="00210D60"/>
    <w:rsid w:val="00211BA7"/>
    <w:rsid w:val="002131D8"/>
    <w:rsid w:val="00213B2E"/>
    <w:rsid w:val="0021422D"/>
    <w:rsid w:val="00214353"/>
    <w:rsid w:val="00232263"/>
    <w:rsid w:val="00232BD8"/>
    <w:rsid w:val="00234447"/>
    <w:rsid w:val="00236C52"/>
    <w:rsid w:val="00237B01"/>
    <w:rsid w:val="00241624"/>
    <w:rsid w:val="00246AB5"/>
    <w:rsid w:val="0025017D"/>
    <w:rsid w:val="002608C2"/>
    <w:rsid w:val="00260C55"/>
    <w:rsid w:val="00261BA2"/>
    <w:rsid w:val="00261C4E"/>
    <w:rsid w:val="00262DB2"/>
    <w:rsid w:val="0027202A"/>
    <w:rsid w:val="0027450E"/>
    <w:rsid w:val="002806EB"/>
    <w:rsid w:val="00281B22"/>
    <w:rsid w:val="0028460B"/>
    <w:rsid w:val="00285263"/>
    <w:rsid w:val="00287F39"/>
    <w:rsid w:val="00297DD2"/>
    <w:rsid w:val="002A2D02"/>
    <w:rsid w:val="002B052D"/>
    <w:rsid w:val="002B1A48"/>
    <w:rsid w:val="002B506A"/>
    <w:rsid w:val="002C244D"/>
    <w:rsid w:val="002C7AB4"/>
    <w:rsid w:val="002D053F"/>
    <w:rsid w:val="002D10F5"/>
    <w:rsid w:val="002D317C"/>
    <w:rsid w:val="002D3D24"/>
    <w:rsid w:val="002E0B02"/>
    <w:rsid w:val="002F420F"/>
    <w:rsid w:val="003030EF"/>
    <w:rsid w:val="00306501"/>
    <w:rsid w:val="00310809"/>
    <w:rsid w:val="003134C4"/>
    <w:rsid w:val="00313BD6"/>
    <w:rsid w:val="00320D7E"/>
    <w:rsid w:val="00320E86"/>
    <w:rsid w:val="00321AAB"/>
    <w:rsid w:val="00322533"/>
    <w:rsid w:val="003237A0"/>
    <w:rsid w:val="003275BA"/>
    <w:rsid w:val="0033137D"/>
    <w:rsid w:val="00335856"/>
    <w:rsid w:val="00336AB0"/>
    <w:rsid w:val="00340C66"/>
    <w:rsid w:val="00342C43"/>
    <w:rsid w:val="00343B40"/>
    <w:rsid w:val="00347197"/>
    <w:rsid w:val="00350099"/>
    <w:rsid w:val="00350E30"/>
    <w:rsid w:val="00351340"/>
    <w:rsid w:val="00367CD2"/>
    <w:rsid w:val="00370361"/>
    <w:rsid w:val="00372898"/>
    <w:rsid w:val="0038539C"/>
    <w:rsid w:val="00390C03"/>
    <w:rsid w:val="003953A3"/>
    <w:rsid w:val="003A02DC"/>
    <w:rsid w:val="003A370F"/>
    <w:rsid w:val="003A54C1"/>
    <w:rsid w:val="003B2C00"/>
    <w:rsid w:val="003B4CD6"/>
    <w:rsid w:val="003B6A83"/>
    <w:rsid w:val="003C3FC2"/>
    <w:rsid w:val="003D3534"/>
    <w:rsid w:val="003D3BDD"/>
    <w:rsid w:val="003D4C34"/>
    <w:rsid w:val="003E0C08"/>
    <w:rsid w:val="003E2AA3"/>
    <w:rsid w:val="003E7D5C"/>
    <w:rsid w:val="003F16E1"/>
    <w:rsid w:val="003F3037"/>
    <w:rsid w:val="004015B6"/>
    <w:rsid w:val="0040251B"/>
    <w:rsid w:val="004056B6"/>
    <w:rsid w:val="00406264"/>
    <w:rsid w:val="0040705C"/>
    <w:rsid w:val="004110A0"/>
    <w:rsid w:val="00411BB6"/>
    <w:rsid w:val="00416E3A"/>
    <w:rsid w:val="00422DFF"/>
    <w:rsid w:val="0042400D"/>
    <w:rsid w:val="00426502"/>
    <w:rsid w:val="00430025"/>
    <w:rsid w:val="0044575E"/>
    <w:rsid w:val="00451482"/>
    <w:rsid w:val="0045408A"/>
    <w:rsid w:val="00455C45"/>
    <w:rsid w:val="00460A30"/>
    <w:rsid w:val="00462847"/>
    <w:rsid w:val="00464B83"/>
    <w:rsid w:val="00473609"/>
    <w:rsid w:val="0047422A"/>
    <w:rsid w:val="0048403B"/>
    <w:rsid w:val="0048715D"/>
    <w:rsid w:val="004903CD"/>
    <w:rsid w:val="004907CB"/>
    <w:rsid w:val="00493228"/>
    <w:rsid w:val="0049599C"/>
    <w:rsid w:val="0049767A"/>
    <w:rsid w:val="00497E68"/>
    <w:rsid w:val="004A2F87"/>
    <w:rsid w:val="004A33A9"/>
    <w:rsid w:val="004A5F1E"/>
    <w:rsid w:val="004A7178"/>
    <w:rsid w:val="004B38F7"/>
    <w:rsid w:val="004B4337"/>
    <w:rsid w:val="004B52FA"/>
    <w:rsid w:val="004B5BCE"/>
    <w:rsid w:val="004C2A10"/>
    <w:rsid w:val="004C3F86"/>
    <w:rsid w:val="004C4875"/>
    <w:rsid w:val="004C4F81"/>
    <w:rsid w:val="004C7890"/>
    <w:rsid w:val="004C7F7F"/>
    <w:rsid w:val="004D06DD"/>
    <w:rsid w:val="004D29F8"/>
    <w:rsid w:val="004D2A81"/>
    <w:rsid w:val="004D4EF4"/>
    <w:rsid w:val="004D7BF8"/>
    <w:rsid w:val="004E6ED9"/>
    <w:rsid w:val="004F04D6"/>
    <w:rsid w:val="004F2496"/>
    <w:rsid w:val="004F507F"/>
    <w:rsid w:val="004F561F"/>
    <w:rsid w:val="004F6AC6"/>
    <w:rsid w:val="00500217"/>
    <w:rsid w:val="0051113B"/>
    <w:rsid w:val="00516A79"/>
    <w:rsid w:val="00516D8D"/>
    <w:rsid w:val="0052255B"/>
    <w:rsid w:val="005228EE"/>
    <w:rsid w:val="005245F3"/>
    <w:rsid w:val="00524EDD"/>
    <w:rsid w:val="005308A8"/>
    <w:rsid w:val="00535DDD"/>
    <w:rsid w:val="005361C7"/>
    <w:rsid w:val="00536870"/>
    <w:rsid w:val="00536F9C"/>
    <w:rsid w:val="0055168D"/>
    <w:rsid w:val="00554118"/>
    <w:rsid w:val="00554BF7"/>
    <w:rsid w:val="0056336B"/>
    <w:rsid w:val="00563C0B"/>
    <w:rsid w:val="00565D4F"/>
    <w:rsid w:val="005876F4"/>
    <w:rsid w:val="005905CB"/>
    <w:rsid w:val="005A3385"/>
    <w:rsid w:val="005A37F0"/>
    <w:rsid w:val="005B02D6"/>
    <w:rsid w:val="005B36EA"/>
    <w:rsid w:val="005D0025"/>
    <w:rsid w:val="005D1C13"/>
    <w:rsid w:val="005D3177"/>
    <w:rsid w:val="005D4B2C"/>
    <w:rsid w:val="005D4C17"/>
    <w:rsid w:val="005D746B"/>
    <w:rsid w:val="005D7E01"/>
    <w:rsid w:val="005E04E4"/>
    <w:rsid w:val="005E0AA6"/>
    <w:rsid w:val="005E1B29"/>
    <w:rsid w:val="005E58DC"/>
    <w:rsid w:val="005E6130"/>
    <w:rsid w:val="005F33FC"/>
    <w:rsid w:val="005F41F3"/>
    <w:rsid w:val="006106D1"/>
    <w:rsid w:val="00612A73"/>
    <w:rsid w:val="00614904"/>
    <w:rsid w:val="006212DC"/>
    <w:rsid w:val="00622D1E"/>
    <w:rsid w:val="0062715D"/>
    <w:rsid w:val="00631153"/>
    <w:rsid w:val="0064008B"/>
    <w:rsid w:val="00643D87"/>
    <w:rsid w:val="00647170"/>
    <w:rsid w:val="00651889"/>
    <w:rsid w:val="00653E9F"/>
    <w:rsid w:val="00655F9E"/>
    <w:rsid w:val="006615F2"/>
    <w:rsid w:val="006651CC"/>
    <w:rsid w:val="006665C5"/>
    <w:rsid w:val="00672C53"/>
    <w:rsid w:val="00673238"/>
    <w:rsid w:val="00675823"/>
    <w:rsid w:val="006846A1"/>
    <w:rsid w:val="0069258E"/>
    <w:rsid w:val="006A35F7"/>
    <w:rsid w:val="006A3DE0"/>
    <w:rsid w:val="006A41B1"/>
    <w:rsid w:val="006A6BDF"/>
    <w:rsid w:val="006A7401"/>
    <w:rsid w:val="006B09E8"/>
    <w:rsid w:val="006B2426"/>
    <w:rsid w:val="006B2D9C"/>
    <w:rsid w:val="006B364B"/>
    <w:rsid w:val="006B4874"/>
    <w:rsid w:val="006B6F76"/>
    <w:rsid w:val="006C300F"/>
    <w:rsid w:val="006C47DA"/>
    <w:rsid w:val="006C6066"/>
    <w:rsid w:val="006C6616"/>
    <w:rsid w:val="006C7083"/>
    <w:rsid w:val="006C752E"/>
    <w:rsid w:val="006D1AB5"/>
    <w:rsid w:val="006D21DC"/>
    <w:rsid w:val="006D3F48"/>
    <w:rsid w:val="006D6A19"/>
    <w:rsid w:val="006E576D"/>
    <w:rsid w:val="006E7B30"/>
    <w:rsid w:val="006F0D6F"/>
    <w:rsid w:val="006F14D8"/>
    <w:rsid w:val="00704A89"/>
    <w:rsid w:val="0071372E"/>
    <w:rsid w:val="007210D5"/>
    <w:rsid w:val="00721C6E"/>
    <w:rsid w:val="00726E6E"/>
    <w:rsid w:val="007275AF"/>
    <w:rsid w:val="007305EE"/>
    <w:rsid w:val="00736E35"/>
    <w:rsid w:val="00737422"/>
    <w:rsid w:val="007374C1"/>
    <w:rsid w:val="0074622C"/>
    <w:rsid w:val="007533B0"/>
    <w:rsid w:val="00754497"/>
    <w:rsid w:val="00756E3E"/>
    <w:rsid w:val="007607C5"/>
    <w:rsid w:val="00760B8F"/>
    <w:rsid w:val="00760F6D"/>
    <w:rsid w:val="007611F9"/>
    <w:rsid w:val="007623D0"/>
    <w:rsid w:val="00763950"/>
    <w:rsid w:val="00773D87"/>
    <w:rsid w:val="00773F0A"/>
    <w:rsid w:val="007742BA"/>
    <w:rsid w:val="0077532A"/>
    <w:rsid w:val="00783D49"/>
    <w:rsid w:val="00783F95"/>
    <w:rsid w:val="007911CA"/>
    <w:rsid w:val="007919CB"/>
    <w:rsid w:val="00793F7F"/>
    <w:rsid w:val="0079440C"/>
    <w:rsid w:val="007973F4"/>
    <w:rsid w:val="007A03C0"/>
    <w:rsid w:val="007A03E1"/>
    <w:rsid w:val="007A2100"/>
    <w:rsid w:val="007A4B1F"/>
    <w:rsid w:val="007B1812"/>
    <w:rsid w:val="007B18BF"/>
    <w:rsid w:val="007B7786"/>
    <w:rsid w:val="007C0E78"/>
    <w:rsid w:val="007D07E2"/>
    <w:rsid w:val="007D4827"/>
    <w:rsid w:val="007D5A56"/>
    <w:rsid w:val="007D5FCF"/>
    <w:rsid w:val="007D719F"/>
    <w:rsid w:val="007E29AF"/>
    <w:rsid w:val="007E39C9"/>
    <w:rsid w:val="007E5433"/>
    <w:rsid w:val="007E55DE"/>
    <w:rsid w:val="007E569B"/>
    <w:rsid w:val="007F77A9"/>
    <w:rsid w:val="00800E4A"/>
    <w:rsid w:val="00805BA9"/>
    <w:rsid w:val="008062CB"/>
    <w:rsid w:val="00811678"/>
    <w:rsid w:val="008120DB"/>
    <w:rsid w:val="00812D2D"/>
    <w:rsid w:val="00821BDD"/>
    <w:rsid w:val="00832F56"/>
    <w:rsid w:val="00835D3B"/>
    <w:rsid w:val="008400B0"/>
    <w:rsid w:val="00841BAF"/>
    <w:rsid w:val="008436B6"/>
    <w:rsid w:val="008502B8"/>
    <w:rsid w:val="00854E3E"/>
    <w:rsid w:val="00856A59"/>
    <w:rsid w:val="008579E9"/>
    <w:rsid w:val="00857E27"/>
    <w:rsid w:val="00862B55"/>
    <w:rsid w:val="00863DFD"/>
    <w:rsid w:val="0086423F"/>
    <w:rsid w:val="00874550"/>
    <w:rsid w:val="008749E2"/>
    <w:rsid w:val="00876858"/>
    <w:rsid w:val="008850AC"/>
    <w:rsid w:val="00893DA1"/>
    <w:rsid w:val="00895479"/>
    <w:rsid w:val="008A37E3"/>
    <w:rsid w:val="008A39E1"/>
    <w:rsid w:val="008A6766"/>
    <w:rsid w:val="008A6887"/>
    <w:rsid w:val="008B0EFB"/>
    <w:rsid w:val="008B1021"/>
    <w:rsid w:val="008B102A"/>
    <w:rsid w:val="008B5D97"/>
    <w:rsid w:val="008B6AB6"/>
    <w:rsid w:val="008C40CD"/>
    <w:rsid w:val="008C7F07"/>
    <w:rsid w:val="008D1C34"/>
    <w:rsid w:val="008D4C5F"/>
    <w:rsid w:val="008D55E2"/>
    <w:rsid w:val="008E308E"/>
    <w:rsid w:val="008E4899"/>
    <w:rsid w:val="008F2F0D"/>
    <w:rsid w:val="008F5007"/>
    <w:rsid w:val="00902590"/>
    <w:rsid w:val="00904D2C"/>
    <w:rsid w:val="009072C3"/>
    <w:rsid w:val="00910849"/>
    <w:rsid w:val="009139BA"/>
    <w:rsid w:val="009176D0"/>
    <w:rsid w:val="00923FD2"/>
    <w:rsid w:val="0092595F"/>
    <w:rsid w:val="00930531"/>
    <w:rsid w:val="00932285"/>
    <w:rsid w:val="00936C71"/>
    <w:rsid w:val="0093785B"/>
    <w:rsid w:val="00941844"/>
    <w:rsid w:val="00942C64"/>
    <w:rsid w:val="0094779A"/>
    <w:rsid w:val="0095119F"/>
    <w:rsid w:val="00954EEA"/>
    <w:rsid w:val="009672ED"/>
    <w:rsid w:val="0097057A"/>
    <w:rsid w:val="00970A1B"/>
    <w:rsid w:val="00974BEC"/>
    <w:rsid w:val="009764FE"/>
    <w:rsid w:val="009850EE"/>
    <w:rsid w:val="00987EE4"/>
    <w:rsid w:val="009927EC"/>
    <w:rsid w:val="009931FF"/>
    <w:rsid w:val="009A0A50"/>
    <w:rsid w:val="009A7DC1"/>
    <w:rsid w:val="009B6C4A"/>
    <w:rsid w:val="009C1CC7"/>
    <w:rsid w:val="009D2F3A"/>
    <w:rsid w:val="009E66E5"/>
    <w:rsid w:val="009F66BD"/>
    <w:rsid w:val="009F6EA5"/>
    <w:rsid w:val="009F7C8D"/>
    <w:rsid w:val="00A001BC"/>
    <w:rsid w:val="00A06357"/>
    <w:rsid w:val="00A12ED0"/>
    <w:rsid w:val="00A17B1E"/>
    <w:rsid w:val="00A20668"/>
    <w:rsid w:val="00A20A9E"/>
    <w:rsid w:val="00A226C4"/>
    <w:rsid w:val="00A26433"/>
    <w:rsid w:val="00A30910"/>
    <w:rsid w:val="00A321E9"/>
    <w:rsid w:val="00A32F76"/>
    <w:rsid w:val="00A33868"/>
    <w:rsid w:val="00A34DE2"/>
    <w:rsid w:val="00A432FF"/>
    <w:rsid w:val="00A46FB1"/>
    <w:rsid w:val="00A4725D"/>
    <w:rsid w:val="00A477EC"/>
    <w:rsid w:val="00A47A46"/>
    <w:rsid w:val="00A612B1"/>
    <w:rsid w:val="00A657E6"/>
    <w:rsid w:val="00A67833"/>
    <w:rsid w:val="00A67BEB"/>
    <w:rsid w:val="00A71CDE"/>
    <w:rsid w:val="00A73072"/>
    <w:rsid w:val="00A73FBC"/>
    <w:rsid w:val="00A747D6"/>
    <w:rsid w:val="00A7639D"/>
    <w:rsid w:val="00A764BF"/>
    <w:rsid w:val="00A77128"/>
    <w:rsid w:val="00A80A26"/>
    <w:rsid w:val="00A80DA0"/>
    <w:rsid w:val="00A81606"/>
    <w:rsid w:val="00A91B06"/>
    <w:rsid w:val="00A91F22"/>
    <w:rsid w:val="00AA0E36"/>
    <w:rsid w:val="00AA301F"/>
    <w:rsid w:val="00AA50DF"/>
    <w:rsid w:val="00AB35B9"/>
    <w:rsid w:val="00AB3A93"/>
    <w:rsid w:val="00AB4F06"/>
    <w:rsid w:val="00AB6131"/>
    <w:rsid w:val="00AD3755"/>
    <w:rsid w:val="00AE0DA6"/>
    <w:rsid w:val="00AE1848"/>
    <w:rsid w:val="00AE280C"/>
    <w:rsid w:val="00AF1798"/>
    <w:rsid w:val="00B02953"/>
    <w:rsid w:val="00B03AF0"/>
    <w:rsid w:val="00B10010"/>
    <w:rsid w:val="00B13438"/>
    <w:rsid w:val="00B13AB7"/>
    <w:rsid w:val="00B13DF3"/>
    <w:rsid w:val="00B31C92"/>
    <w:rsid w:val="00B3658A"/>
    <w:rsid w:val="00B42DE0"/>
    <w:rsid w:val="00B52D9C"/>
    <w:rsid w:val="00B550D2"/>
    <w:rsid w:val="00B5590E"/>
    <w:rsid w:val="00B56AE1"/>
    <w:rsid w:val="00B62500"/>
    <w:rsid w:val="00B6587F"/>
    <w:rsid w:val="00B74EE7"/>
    <w:rsid w:val="00B76247"/>
    <w:rsid w:val="00B829B5"/>
    <w:rsid w:val="00B841B3"/>
    <w:rsid w:val="00B84997"/>
    <w:rsid w:val="00B877D3"/>
    <w:rsid w:val="00B904DD"/>
    <w:rsid w:val="00BA63F4"/>
    <w:rsid w:val="00BA799D"/>
    <w:rsid w:val="00BB0436"/>
    <w:rsid w:val="00BB4EA5"/>
    <w:rsid w:val="00BC0279"/>
    <w:rsid w:val="00BC0ED4"/>
    <w:rsid w:val="00BC196F"/>
    <w:rsid w:val="00BD1332"/>
    <w:rsid w:val="00BD52A5"/>
    <w:rsid w:val="00BD5E3E"/>
    <w:rsid w:val="00BE333C"/>
    <w:rsid w:val="00BE591C"/>
    <w:rsid w:val="00BE5FE2"/>
    <w:rsid w:val="00BF12AC"/>
    <w:rsid w:val="00BF2FD9"/>
    <w:rsid w:val="00BF6F66"/>
    <w:rsid w:val="00BF7A9E"/>
    <w:rsid w:val="00C05D3D"/>
    <w:rsid w:val="00C07DF4"/>
    <w:rsid w:val="00C106C7"/>
    <w:rsid w:val="00C119C8"/>
    <w:rsid w:val="00C12DD4"/>
    <w:rsid w:val="00C37C84"/>
    <w:rsid w:val="00C410CB"/>
    <w:rsid w:val="00C442C5"/>
    <w:rsid w:val="00C46B77"/>
    <w:rsid w:val="00C47CEA"/>
    <w:rsid w:val="00C53549"/>
    <w:rsid w:val="00C5354A"/>
    <w:rsid w:val="00C55FD9"/>
    <w:rsid w:val="00C6001E"/>
    <w:rsid w:val="00C64A6C"/>
    <w:rsid w:val="00C73196"/>
    <w:rsid w:val="00C7339C"/>
    <w:rsid w:val="00C7603A"/>
    <w:rsid w:val="00C77DEF"/>
    <w:rsid w:val="00C81262"/>
    <w:rsid w:val="00C84940"/>
    <w:rsid w:val="00C94E53"/>
    <w:rsid w:val="00CA0458"/>
    <w:rsid w:val="00CA1D74"/>
    <w:rsid w:val="00CB00DD"/>
    <w:rsid w:val="00CB31A5"/>
    <w:rsid w:val="00CB414A"/>
    <w:rsid w:val="00CB4258"/>
    <w:rsid w:val="00CB7EF5"/>
    <w:rsid w:val="00CC17EC"/>
    <w:rsid w:val="00CC257D"/>
    <w:rsid w:val="00CC2684"/>
    <w:rsid w:val="00CC7812"/>
    <w:rsid w:val="00CD12B8"/>
    <w:rsid w:val="00CD4AA1"/>
    <w:rsid w:val="00CE0FEB"/>
    <w:rsid w:val="00CE21F7"/>
    <w:rsid w:val="00CE52DF"/>
    <w:rsid w:val="00CE5FC2"/>
    <w:rsid w:val="00CF749D"/>
    <w:rsid w:val="00D009B1"/>
    <w:rsid w:val="00D05CF9"/>
    <w:rsid w:val="00D10A92"/>
    <w:rsid w:val="00D15773"/>
    <w:rsid w:val="00D20C96"/>
    <w:rsid w:val="00D26881"/>
    <w:rsid w:val="00D26C37"/>
    <w:rsid w:val="00D312A3"/>
    <w:rsid w:val="00D32A45"/>
    <w:rsid w:val="00D338D4"/>
    <w:rsid w:val="00D3398C"/>
    <w:rsid w:val="00D37865"/>
    <w:rsid w:val="00D40396"/>
    <w:rsid w:val="00D457D6"/>
    <w:rsid w:val="00D460D3"/>
    <w:rsid w:val="00D47203"/>
    <w:rsid w:val="00D6021A"/>
    <w:rsid w:val="00D6296E"/>
    <w:rsid w:val="00D64733"/>
    <w:rsid w:val="00D66E8B"/>
    <w:rsid w:val="00D73458"/>
    <w:rsid w:val="00D906FA"/>
    <w:rsid w:val="00D90EC1"/>
    <w:rsid w:val="00D9116A"/>
    <w:rsid w:val="00D95036"/>
    <w:rsid w:val="00DA005E"/>
    <w:rsid w:val="00DA66EE"/>
    <w:rsid w:val="00DB433D"/>
    <w:rsid w:val="00DB44E4"/>
    <w:rsid w:val="00DB78BE"/>
    <w:rsid w:val="00DC0B79"/>
    <w:rsid w:val="00DC0D37"/>
    <w:rsid w:val="00DC470C"/>
    <w:rsid w:val="00DC61CB"/>
    <w:rsid w:val="00DD4037"/>
    <w:rsid w:val="00DD5323"/>
    <w:rsid w:val="00DD580A"/>
    <w:rsid w:val="00DF4A97"/>
    <w:rsid w:val="00DF5557"/>
    <w:rsid w:val="00E0079A"/>
    <w:rsid w:val="00E0126B"/>
    <w:rsid w:val="00E04419"/>
    <w:rsid w:val="00E047CF"/>
    <w:rsid w:val="00E0579B"/>
    <w:rsid w:val="00E0788A"/>
    <w:rsid w:val="00E11607"/>
    <w:rsid w:val="00E16494"/>
    <w:rsid w:val="00E20DF0"/>
    <w:rsid w:val="00E21FDD"/>
    <w:rsid w:val="00E2317C"/>
    <w:rsid w:val="00E30E48"/>
    <w:rsid w:val="00E37FAA"/>
    <w:rsid w:val="00E442C5"/>
    <w:rsid w:val="00E4724A"/>
    <w:rsid w:val="00E47E23"/>
    <w:rsid w:val="00E50472"/>
    <w:rsid w:val="00E55C6D"/>
    <w:rsid w:val="00E56D14"/>
    <w:rsid w:val="00E630BD"/>
    <w:rsid w:val="00E7125E"/>
    <w:rsid w:val="00E859C5"/>
    <w:rsid w:val="00E86E00"/>
    <w:rsid w:val="00E9011C"/>
    <w:rsid w:val="00E90467"/>
    <w:rsid w:val="00E90BED"/>
    <w:rsid w:val="00E91FF7"/>
    <w:rsid w:val="00E95348"/>
    <w:rsid w:val="00EA095E"/>
    <w:rsid w:val="00EA09B5"/>
    <w:rsid w:val="00EA10B5"/>
    <w:rsid w:val="00EA2144"/>
    <w:rsid w:val="00EA5C97"/>
    <w:rsid w:val="00EA5FC7"/>
    <w:rsid w:val="00EB136B"/>
    <w:rsid w:val="00EC1929"/>
    <w:rsid w:val="00EC361E"/>
    <w:rsid w:val="00EC3F85"/>
    <w:rsid w:val="00ED070B"/>
    <w:rsid w:val="00ED1749"/>
    <w:rsid w:val="00ED1F95"/>
    <w:rsid w:val="00ED2FDF"/>
    <w:rsid w:val="00ED58EC"/>
    <w:rsid w:val="00EE14B8"/>
    <w:rsid w:val="00EE24AE"/>
    <w:rsid w:val="00EE5227"/>
    <w:rsid w:val="00EE5435"/>
    <w:rsid w:val="00EF0D6E"/>
    <w:rsid w:val="00EF248F"/>
    <w:rsid w:val="00EF306A"/>
    <w:rsid w:val="00F00D47"/>
    <w:rsid w:val="00F00E39"/>
    <w:rsid w:val="00F046FC"/>
    <w:rsid w:val="00F05477"/>
    <w:rsid w:val="00F110BF"/>
    <w:rsid w:val="00F119DB"/>
    <w:rsid w:val="00F120A7"/>
    <w:rsid w:val="00F158A5"/>
    <w:rsid w:val="00F21BCB"/>
    <w:rsid w:val="00F240F4"/>
    <w:rsid w:val="00F3799B"/>
    <w:rsid w:val="00F37D34"/>
    <w:rsid w:val="00F421A8"/>
    <w:rsid w:val="00F43145"/>
    <w:rsid w:val="00F508B2"/>
    <w:rsid w:val="00F567B7"/>
    <w:rsid w:val="00F61657"/>
    <w:rsid w:val="00F61859"/>
    <w:rsid w:val="00F71525"/>
    <w:rsid w:val="00F72040"/>
    <w:rsid w:val="00F76A7C"/>
    <w:rsid w:val="00F77903"/>
    <w:rsid w:val="00F811A9"/>
    <w:rsid w:val="00F81BC5"/>
    <w:rsid w:val="00F821CE"/>
    <w:rsid w:val="00F834C9"/>
    <w:rsid w:val="00F8557F"/>
    <w:rsid w:val="00F91781"/>
    <w:rsid w:val="00F9521F"/>
    <w:rsid w:val="00F97477"/>
    <w:rsid w:val="00FA25F3"/>
    <w:rsid w:val="00FA68F6"/>
    <w:rsid w:val="00FC0FF9"/>
    <w:rsid w:val="00FC4239"/>
    <w:rsid w:val="00FC761F"/>
    <w:rsid w:val="00FD2E0F"/>
    <w:rsid w:val="00FD5602"/>
    <w:rsid w:val="00FE1310"/>
    <w:rsid w:val="00FF3AC2"/>
    <w:rsid w:val="01050F22"/>
    <w:rsid w:val="011D6CD4"/>
    <w:rsid w:val="012C687B"/>
    <w:rsid w:val="013417D6"/>
    <w:rsid w:val="014B2704"/>
    <w:rsid w:val="016B7DD3"/>
    <w:rsid w:val="0185498B"/>
    <w:rsid w:val="01CC5F21"/>
    <w:rsid w:val="01CE1437"/>
    <w:rsid w:val="01D943BA"/>
    <w:rsid w:val="01E054EB"/>
    <w:rsid w:val="01FD1959"/>
    <w:rsid w:val="02610CDF"/>
    <w:rsid w:val="02647ECA"/>
    <w:rsid w:val="026B3589"/>
    <w:rsid w:val="02702D13"/>
    <w:rsid w:val="02816CCE"/>
    <w:rsid w:val="029562D6"/>
    <w:rsid w:val="02A94B7D"/>
    <w:rsid w:val="02B701C1"/>
    <w:rsid w:val="02B81FC4"/>
    <w:rsid w:val="02C4107E"/>
    <w:rsid w:val="02D20053"/>
    <w:rsid w:val="02DA018C"/>
    <w:rsid w:val="02ED7EC0"/>
    <w:rsid w:val="0378236D"/>
    <w:rsid w:val="03C54999"/>
    <w:rsid w:val="03D6755C"/>
    <w:rsid w:val="03FB1FCA"/>
    <w:rsid w:val="040C173C"/>
    <w:rsid w:val="04262BAF"/>
    <w:rsid w:val="042F77BA"/>
    <w:rsid w:val="0451478F"/>
    <w:rsid w:val="045F165D"/>
    <w:rsid w:val="04B30C95"/>
    <w:rsid w:val="04E44D61"/>
    <w:rsid w:val="055A0B7B"/>
    <w:rsid w:val="05722829"/>
    <w:rsid w:val="059470DA"/>
    <w:rsid w:val="05A21435"/>
    <w:rsid w:val="05AD6835"/>
    <w:rsid w:val="05BF6538"/>
    <w:rsid w:val="05F3647C"/>
    <w:rsid w:val="05F51599"/>
    <w:rsid w:val="06336531"/>
    <w:rsid w:val="0636005F"/>
    <w:rsid w:val="064B2D53"/>
    <w:rsid w:val="06563FCE"/>
    <w:rsid w:val="067A224C"/>
    <w:rsid w:val="06976AC0"/>
    <w:rsid w:val="06A10FD1"/>
    <w:rsid w:val="070E3C70"/>
    <w:rsid w:val="07511094"/>
    <w:rsid w:val="07BB67D3"/>
    <w:rsid w:val="07C05BA3"/>
    <w:rsid w:val="07E86CFB"/>
    <w:rsid w:val="07EC2430"/>
    <w:rsid w:val="07F53E98"/>
    <w:rsid w:val="08043B69"/>
    <w:rsid w:val="080E5E9A"/>
    <w:rsid w:val="080F5C0F"/>
    <w:rsid w:val="082D0D5E"/>
    <w:rsid w:val="08447638"/>
    <w:rsid w:val="08542D5F"/>
    <w:rsid w:val="08770A71"/>
    <w:rsid w:val="087E0619"/>
    <w:rsid w:val="08960750"/>
    <w:rsid w:val="08964B56"/>
    <w:rsid w:val="090E0B90"/>
    <w:rsid w:val="09411B2E"/>
    <w:rsid w:val="09446DE8"/>
    <w:rsid w:val="096D58B6"/>
    <w:rsid w:val="097A6AC9"/>
    <w:rsid w:val="09946D2D"/>
    <w:rsid w:val="09A83C3F"/>
    <w:rsid w:val="09AB4631"/>
    <w:rsid w:val="09C34041"/>
    <w:rsid w:val="09DB4F16"/>
    <w:rsid w:val="09ED4F46"/>
    <w:rsid w:val="09FA41BD"/>
    <w:rsid w:val="0A0D6497"/>
    <w:rsid w:val="0A2A66B2"/>
    <w:rsid w:val="0A456C7B"/>
    <w:rsid w:val="0A4D56E8"/>
    <w:rsid w:val="0A59476C"/>
    <w:rsid w:val="0A5F6BE4"/>
    <w:rsid w:val="0A616013"/>
    <w:rsid w:val="0A95718E"/>
    <w:rsid w:val="0AAC68B2"/>
    <w:rsid w:val="0AD26E88"/>
    <w:rsid w:val="0ADD4CBE"/>
    <w:rsid w:val="0AF3628F"/>
    <w:rsid w:val="0AF67B2D"/>
    <w:rsid w:val="0B352404"/>
    <w:rsid w:val="0B5A00BC"/>
    <w:rsid w:val="0B884C29"/>
    <w:rsid w:val="0B8E5BEE"/>
    <w:rsid w:val="0B940138"/>
    <w:rsid w:val="0BBB27BC"/>
    <w:rsid w:val="0BBC48D3"/>
    <w:rsid w:val="0BD70D04"/>
    <w:rsid w:val="0BE616E7"/>
    <w:rsid w:val="0BF8603B"/>
    <w:rsid w:val="0C131DE7"/>
    <w:rsid w:val="0C1776D8"/>
    <w:rsid w:val="0C1C796E"/>
    <w:rsid w:val="0C6C00A7"/>
    <w:rsid w:val="0C8B7478"/>
    <w:rsid w:val="0C9B098C"/>
    <w:rsid w:val="0CB40DE6"/>
    <w:rsid w:val="0CE314DC"/>
    <w:rsid w:val="0CE642FD"/>
    <w:rsid w:val="0CE9794A"/>
    <w:rsid w:val="0CF32576"/>
    <w:rsid w:val="0D0429D6"/>
    <w:rsid w:val="0D1D7A64"/>
    <w:rsid w:val="0D2B747E"/>
    <w:rsid w:val="0D2C7710"/>
    <w:rsid w:val="0D3C6984"/>
    <w:rsid w:val="0D4731DE"/>
    <w:rsid w:val="0D7C256C"/>
    <w:rsid w:val="0DAE298D"/>
    <w:rsid w:val="0DC07E37"/>
    <w:rsid w:val="0DE303E5"/>
    <w:rsid w:val="0DFC0D38"/>
    <w:rsid w:val="0DFD03FA"/>
    <w:rsid w:val="0E083E00"/>
    <w:rsid w:val="0E4868F2"/>
    <w:rsid w:val="0E5232CD"/>
    <w:rsid w:val="0E8862F1"/>
    <w:rsid w:val="0E8A0CB9"/>
    <w:rsid w:val="0E8B04D9"/>
    <w:rsid w:val="0E8F48E3"/>
    <w:rsid w:val="0E9B3CA5"/>
    <w:rsid w:val="0EB57A4D"/>
    <w:rsid w:val="0EDB39C9"/>
    <w:rsid w:val="0EE54042"/>
    <w:rsid w:val="0EFD592E"/>
    <w:rsid w:val="0F022F45"/>
    <w:rsid w:val="0F182768"/>
    <w:rsid w:val="0F4C27CC"/>
    <w:rsid w:val="0F59664D"/>
    <w:rsid w:val="0F7244C4"/>
    <w:rsid w:val="0F7F6D6C"/>
    <w:rsid w:val="0F8050EF"/>
    <w:rsid w:val="0F8C16B4"/>
    <w:rsid w:val="0F991EFA"/>
    <w:rsid w:val="0FAD6545"/>
    <w:rsid w:val="0FB73D2F"/>
    <w:rsid w:val="0FD86CD0"/>
    <w:rsid w:val="101567A5"/>
    <w:rsid w:val="102E6819"/>
    <w:rsid w:val="10303AE2"/>
    <w:rsid w:val="10691803"/>
    <w:rsid w:val="10741C20"/>
    <w:rsid w:val="109D5849"/>
    <w:rsid w:val="10A67900"/>
    <w:rsid w:val="10C4552B"/>
    <w:rsid w:val="110805BA"/>
    <w:rsid w:val="112146D9"/>
    <w:rsid w:val="112B220E"/>
    <w:rsid w:val="1136446A"/>
    <w:rsid w:val="117A47A1"/>
    <w:rsid w:val="119018D4"/>
    <w:rsid w:val="11A303F8"/>
    <w:rsid w:val="11B35303"/>
    <w:rsid w:val="11C77AFF"/>
    <w:rsid w:val="11DC7A7D"/>
    <w:rsid w:val="1221242B"/>
    <w:rsid w:val="125759C3"/>
    <w:rsid w:val="1266127C"/>
    <w:rsid w:val="12B10F0A"/>
    <w:rsid w:val="12CC681D"/>
    <w:rsid w:val="12EF3BFD"/>
    <w:rsid w:val="13072A44"/>
    <w:rsid w:val="13185BD4"/>
    <w:rsid w:val="136252DC"/>
    <w:rsid w:val="13AF2F6F"/>
    <w:rsid w:val="13DE00E2"/>
    <w:rsid w:val="13EA360C"/>
    <w:rsid w:val="14060A38"/>
    <w:rsid w:val="14355AF1"/>
    <w:rsid w:val="1446419E"/>
    <w:rsid w:val="14576EEE"/>
    <w:rsid w:val="1462007C"/>
    <w:rsid w:val="148466EE"/>
    <w:rsid w:val="149E34A8"/>
    <w:rsid w:val="14A34882"/>
    <w:rsid w:val="14DD66B7"/>
    <w:rsid w:val="14F94927"/>
    <w:rsid w:val="14FE41AE"/>
    <w:rsid w:val="150C23AD"/>
    <w:rsid w:val="151B4D60"/>
    <w:rsid w:val="151D55BB"/>
    <w:rsid w:val="155C2C83"/>
    <w:rsid w:val="157E2125"/>
    <w:rsid w:val="15D241DC"/>
    <w:rsid w:val="15D67EFF"/>
    <w:rsid w:val="160B0931"/>
    <w:rsid w:val="161E1E26"/>
    <w:rsid w:val="16284C71"/>
    <w:rsid w:val="162B0FD3"/>
    <w:rsid w:val="16B16B57"/>
    <w:rsid w:val="16DD1D90"/>
    <w:rsid w:val="16ED44DA"/>
    <w:rsid w:val="17173305"/>
    <w:rsid w:val="176E674F"/>
    <w:rsid w:val="17755742"/>
    <w:rsid w:val="177D47DC"/>
    <w:rsid w:val="17A252C5"/>
    <w:rsid w:val="17B31280"/>
    <w:rsid w:val="180D298C"/>
    <w:rsid w:val="18324C3F"/>
    <w:rsid w:val="184D1481"/>
    <w:rsid w:val="185B32B0"/>
    <w:rsid w:val="185D11EC"/>
    <w:rsid w:val="18713770"/>
    <w:rsid w:val="18A91EA8"/>
    <w:rsid w:val="18C91753"/>
    <w:rsid w:val="18D804FE"/>
    <w:rsid w:val="18F02060"/>
    <w:rsid w:val="19007F28"/>
    <w:rsid w:val="190E3B48"/>
    <w:rsid w:val="190F25D9"/>
    <w:rsid w:val="19142554"/>
    <w:rsid w:val="191F1AB0"/>
    <w:rsid w:val="193B777F"/>
    <w:rsid w:val="19A15EFF"/>
    <w:rsid w:val="19A87563"/>
    <w:rsid w:val="19C850DC"/>
    <w:rsid w:val="19D83220"/>
    <w:rsid w:val="19DA1AF8"/>
    <w:rsid w:val="19DC060A"/>
    <w:rsid w:val="1A0F63C0"/>
    <w:rsid w:val="1A4010FF"/>
    <w:rsid w:val="1A5328A6"/>
    <w:rsid w:val="1A6A6BAA"/>
    <w:rsid w:val="1A7B640B"/>
    <w:rsid w:val="1A872F16"/>
    <w:rsid w:val="1AAD7CE9"/>
    <w:rsid w:val="1AC333F3"/>
    <w:rsid w:val="1AD276D0"/>
    <w:rsid w:val="1AD43086"/>
    <w:rsid w:val="1AD75067"/>
    <w:rsid w:val="1AE27BA8"/>
    <w:rsid w:val="1B0B3181"/>
    <w:rsid w:val="1BD64E50"/>
    <w:rsid w:val="1BF82106"/>
    <w:rsid w:val="1BFE7D90"/>
    <w:rsid w:val="1C055E22"/>
    <w:rsid w:val="1C2C6CC2"/>
    <w:rsid w:val="1C2D1948"/>
    <w:rsid w:val="1C6F14EE"/>
    <w:rsid w:val="1C7A3345"/>
    <w:rsid w:val="1C8C49F5"/>
    <w:rsid w:val="1C901B90"/>
    <w:rsid w:val="1C961170"/>
    <w:rsid w:val="1CA14E90"/>
    <w:rsid w:val="1CB735C0"/>
    <w:rsid w:val="1CD659B8"/>
    <w:rsid w:val="1CEE68B6"/>
    <w:rsid w:val="1CF251B2"/>
    <w:rsid w:val="1D120041"/>
    <w:rsid w:val="1D434E54"/>
    <w:rsid w:val="1D592EF8"/>
    <w:rsid w:val="1D6C517F"/>
    <w:rsid w:val="1D6D50D7"/>
    <w:rsid w:val="1D895ED4"/>
    <w:rsid w:val="1D8A2F60"/>
    <w:rsid w:val="1E1131E2"/>
    <w:rsid w:val="1E36787F"/>
    <w:rsid w:val="1E44231C"/>
    <w:rsid w:val="1E4F7829"/>
    <w:rsid w:val="1E507AB9"/>
    <w:rsid w:val="1E6A33E1"/>
    <w:rsid w:val="1EA77665"/>
    <w:rsid w:val="1EC34C39"/>
    <w:rsid w:val="1EC510F6"/>
    <w:rsid w:val="1EEB7551"/>
    <w:rsid w:val="1EF11369"/>
    <w:rsid w:val="1EFA1543"/>
    <w:rsid w:val="1F022AED"/>
    <w:rsid w:val="1F026649"/>
    <w:rsid w:val="1F271CAA"/>
    <w:rsid w:val="1F69712F"/>
    <w:rsid w:val="1F705CA9"/>
    <w:rsid w:val="1F7075DA"/>
    <w:rsid w:val="1F83603F"/>
    <w:rsid w:val="1FA509AD"/>
    <w:rsid w:val="1FE70258"/>
    <w:rsid w:val="1FF42436"/>
    <w:rsid w:val="2005154A"/>
    <w:rsid w:val="200D34F7"/>
    <w:rsid w:val="203330F9"/>
    <w:rsid w:val="203637DC"/>
    <w:rsid w:val="203B0065"/>
    <w:rsid w:val="208452A8"/>
    <w:rsid w:val="208E3924"/>
    <w:rsid w:val="20957D50"/>
    <w:rsid w:val="209C4C28"/>
    <w:rsid w:val="20AF45AF"/>
    <w:rsid w:val="20B35E4D"/>
    <w:rsid w:val="20B81496"/>
    <w:rsid w:val="20D10C5F"/>
    <w:rsid w:val="20E114D0"/>
    <w:rsid w:val="20E56222"/>
    <w:rsid w:val="2115638C"/>
    <w:rsid w:val="214467A1"/>
    <w:rsid w:val="21564B23"/>
    <w:rsid w:val="21593BA1"/>
    <w:rsid w:val="219D4A77"/>
    <w:rsid w:val="21B539CE"/>
    <w:rsid w:val="21C47874"/>
    <w:rsid w:val="21EB71E7"/>
    <w:rsid w:val="21F4790B"/>
    <w:rsid w:val="22042FC2"/>
    <w:rsid w:val="221E6B0C"/>
    <w:rsid w:val="222A4072"/>
    <w:rsid w:val="22333EAB"/>
    <w:rsid w:val="223411B3"/>
    <w:rsid w:val="22365587"/>
    <w:rsid w:val="223B5BF3"/>
    <w:rsid w:val="22740D0F"/>
    <w:rsid w:val="228F6D2C"/>
    <w:rsid w:val="2290402C"/>
    <w:rsid w:val="22941CAE"/>
    <w:rsid w:val="229A35E9"/>
    <w:rsid w:val="22C05782"/>
    <w:rsid w:val="22CB5324"/>
    <w:rsid w:val="2304036E"/>
    <w:rsid w:val="23190CD2"/>
    <w:rsid w:val="232D5671"/>
    <w:rsid w:val="23335C2F"/>
    <w:rsid w:val="235F07AD"/>
    <w:rsid w:val="236C6569"/>
    <w:rsid w:val="237D609B"/>
    <w:rsid w:val="23D9610A"/>
    <w:rsid w:val="243B1A1F"/>
    <w:rsid w:val="243D39CE"/>
    <w:rsid w:val="245C1CD3"/>
    <w:rsid w:val="246F0E97"/>
    <w:rsid w:val="249341DB"/>
    <w:rsid w:val="249350C9"/>
    <w:rsid w:val="249E2CA0"/>
    <w:rsid w:val="24A65CC9"/>
    <w:rsid w:val="25076CCD"/>
    <w:rsid w:val="25092CB6"/>
    <w:rsid w:val="25115F5F"/>
    <w:rsid w:val="252206D1"/>
    <w:rsid w:val="2522453A"/>
    <w:rsid w:val="252754F4"/>
    <w:rsid w:val="25317C88"/>
    <w:rsid w:val="25341526"/>
    <w:rsid w:val="257C3D00"/>
    <w:rsid w:val="259B266D"/>
    <w:rsid w:val="25A86080"/>
    <w:rsid w:val="25D6523C"/>
    <w:rsid w:val="25DC06EA"/>
    <w:rsid w:val="25ED0053"/>
    <w:rsid w:val="25FB2DC9"/>
    <w:rsid w:val="25FB4531"/>
    <w:rsid w:val="2628108B"/>
    <w:rsid w:val="267A53F0"/>
    <w:rsid w:val="268D7140"/>
    <w:rsid w:val="26992D13"/>
    <w:rsid w:val="26B40B71"/>
    <w:rsid w:val="26B730EF"/>
    <w:rsid w:val="26FD42C6"/>
    <w:rsid w:val="27075144"/>
    <w:rsid w:val="270D1B20"/>
    <w:rsid w:val="272C0399"/>
    <w:rsid w:val="272E2055"/>
    <w:rsid w:val="273706A0"/>
    <w:rsid w:val="27473BD5"/>
    <w:rsid w:val="274912B9"/>
    <w:rsid w:val="274C2B57"/>
    <w:rsid w:val="27660E89"/>
    <w:rsid w:val="278422F1"/>
    <w:rsid w:val="279D288C"/>
    <w:rsid w:val="27BD3B39"/>
    <w:rsid w:val="27C65F23"/>
    <w:rsid w:val="27E67AFE"/>
    <w:rsid w:val="27F6508D"/>
    <w:rsid w:val="280F3D84"/>
    <w:rsid w:val="280F726E"/>
    <w:rsid w:val="28331948"/>
    <w:rsid w:val="286D1AD1"/>
    <w:rsid w:val="28C668F3"/>
    <w:rsid w:val="28CD4924"/>
    <w:rsid w:val="28FF2C1B"/>
    <w:rsid w:val="29100D72"/>
    <w:rsid w:val="291624C7"/>
    <w:rsid w:val="29257B04"/>
    <w:rsid w:val="2938533E"/>
    <w:rsid w:val="294E56D7"/>
    <w:rsid w:val="29551D8D"/>
    <w:rsid w:val="29B449E4"/>
    <w:rsid w:val="29BA1256"/>
    <w:rsid w:val="29D24C5F"/>
    <w:rsid w:val="2A3F69A3"/>
    <w:rsid w:val="2A85151B"/>
    <w:rsid w:val="2A8866AE"/>
    <w:rsid w:val="2A9F177E"/>
    <w:rsid w:val="2AA5564B"/>
    <w:rsid w:val="2AA936B1"/>
    <w:rsid w:val="2AB56D6E"/>
    <w:rsid w:val="2AC31382"/>
    <w:rsid w:val="2AC5206B"/>
    <w:rsid w:val="2ADC6FA3"/>
    <w:rsid w:val="2AF93B6E"/>
    <w:rsid w:val="2B094708"/>
    <w:rsid w:val="2B7C22BA"/>
    <w:rsid w:val="2B7C3AE8"/>
    <w:rsid w:val="2BE24667"/>
    <w:rsid w:val="2BED66CE"/>
    <w:rsid w:val="2BEE7B9F"/>
    <w:rsid w:val="2BF7098E"/>
    <w:rsid w:val="2C0559CB"/>
    <w:rsid w:val="2C0E4F6B"/>
    <w:rsid w:val="2C217570"/>
    <w:rsid w:val="2C992661"/>
    <w:rsid w:val="2CA06B08"/>
    <w:rsid w:val="2CAE1BBE"/>
    <w:rsid w:val="2CB01DDA"/>
    <w:rsid w:val="2CBC6445"/>
    <w:rsid w:val="2CCE420F"/>
    <w:rsid w:val="2CF53BCC"/>
    <w:rsid w:val="2CF66D41"/>
    <w:rsid w:val="2D073867"/>
    <w:rsid w:val="2D0A62AC"/>
    <w:rsid w:val="2D1044E1"/>
    <w:rsid w:val="2D285470"/>
    <w:rsid w:val="2D7B3DCC"/>
    <w:rsid w:val="2D870D8D"/>
    <w:rsid w:val="2DAD283C"/>
    <w:rsid w:val="2DE572C4"/>
    <w:rsid w:val="2E163EBF"/>
    <w:rsid w:val="2E304D3F"/>
    <w:rsid w:val="2E6E5AA9"/>
    <w:rsid w:val="2E922BF6"/>
    <w:rsid w:val="2EAB2859"/>
    <w:rsid w:val="2EC670BD"/>
    <w:rsid w:val="2ECC1AD7"/>
    <w:rsid w:val="2ECD27D0"/>
    <w:rsid w:val="2ED33374"/>
    <w:rsid w:val="2EF835C5"/>
    <w:rsid w:val="2F1819BF"/>
    <w:rsid w:val="2F230642"/>
    <w:rsid w:val="2F340AA1"/>
    <w:rsid w:val="2F3953B7"/>
    <w:rsid w:val="2F601896"/>
    <w:rsid w:val="2F621305"/>
    <w:rsid w:val="2F713AA3"/>
    <w:rsid w:val="2F792957"/>
    <w:rsid w:val="2F7E52FE"/>
    <w:rsid w:val="2F835584"/>
    <w:rsid w:val="2FB86BE8"/>
    <w:rsid w:val="2FC2473A"/>
    <w:rsid w:val="2FD830C3"/>
    <w:rsid w:val="2FE61B98"/>
    <w:rsid w:val="2FFD0EEC"/>
    <w:rsid w:val="300F21E4"/>
    <w:rsid w:val="304C0FFB"/>
    <w:rsid w:val="305727DF"/>
    <w:rsid w:val="30711E07"/>
    <w:rsid w:val="308E68A4"/>
    <w:rsid w:val="30A64E73"/>
    <w:rsid w:val="30A65A08"/>
    <w:rsid w:val="30B6688F"/>
    <w:rsid w:val="30D07063"/>
    <w:rsid w:val="30DA39D6"/>
    <w:rsid w:val="30DB190B"/>
    <w:rsid w:val="312531C3"/>
    <w:rsid w:val="315674D0"/>
    <w:rsid w:val="315D000D"/>
    <w:rsid w:val="316B62D0"/>
    <w:rsid w:val="31E00A6C"/>
    <w:rsid w:val="321C57BD"/>
    <w:rsid w:val="32317152"/>
    <w:rsid w:val="32342B66"/>
    <w:rsid w:val="323808A8"/>
    <w:rsid w:val="323D1C14"/>
    <w:rsid w:val="32926B90"/>
    <w:rsid w:val="32963820"/>
    <w:rsid w:val="32BF68D3"/>
    <w:rsid w:val="32C8207F"/>
    <w:rsid w:val="32FF3174"/>
    <w:rsid w:val="3303555E"/>
    <w:rsid w:val="330866AD"/>
    <w:rsid w:val="33402C25"/>
    <w:rsid w:val="334212B2"/>
    <w:rsid w:val="336239BE"/>
    <w:rsid w:val="33912B1A"/>
    <w:rsid w:val="33976525"/>
    <w:rsid w:val="339E298D"/>
    <w:rsid w:val="33DC6039"/>
    <w:rsid w:val="34140B9C"/>
    <w:rsid w:val="3421711A"/>
    <w:rsid w:val="34313801"/>
    <w:rsid w:val="346B3592"/>
    <w:rsid w:val="3484737E"/>
    <w:rsid w:val="349B275D"/>
    <w:rsid w:val="34AD683E"/>
    <w:rsid w:val="34BA7049"/>
    <w:rsid w:val="34C11B51"/>
    <w:rsid w:val="34D80120"/>
    <w:rsid w:val="34E64532"/>
    <w:rsid w:val="34E940DB"/>
    <w:rsid w:val="34EC3BCC"/>
    <w:rsid w:val="34FA70C8"/>
    <w:rsid w:val="35313974"/>
    <w:rsid w:val="35440A6C"/>
    <w:rsid w:val="35440E75"/>
    <w:rsid w:val="354457B6"/>
    <w:rsid w:val="357339A5"/>
    <w:rsid w:val="358856A2"/>
    <w:rsid w:val="35AD6098"/>
    <w:rsid w:val="35BA6F50"/>
    <w:rsid w:val="36084D9A"/>
    <w:rsid w:val="36114A6A"/>
    <w:rsid w:val="3629097E"/>
    <w:rsid w:val="36470A32"/>
    <w:rsid w:val="364A2B4E"/>
    <w:rsid w:val="36667D3A"/>
    <w:rsid w:val="366E1D9C"/>
    <w:rsid w:val="368C2F70"/>
    <w:rsid w:val="369725AC"/>
    <w:rsid w:val="369C00C1"/>
    <w:rsid w:val="36B033CF"/>
    <w:rsid w:val="36CF10AF"/>
    <w:rsid w:val="371B2276"/>
    <w:rsid w:val="37324E8D"/>
    <w:rsid w:val="373B64AD"/>
    <w:rsid w:val="37427AD3"/>
    <w:rsid w:val="374C62C8"/>
    <w:rsid w:val="37783257"/>
    <w:rsid w:val="37C130EE"/>
    <w:rsid w:val="38391840"/>
    <w:rsid w:val="38393102"/>
    <w:rsid w:val="387A337F"/>
    <w:rsid w:val="38832151"/>
    <w:rsid w:val="38E617A3"/>
    <w:rsid w:val="38F8733C"/>
    <w:rsid w:val="39255B4E"/>
    <w:rsid w:val="3958245A"/>
    <w:rsid w:val="39596CA5"/>
    <w:rsid w:val="39665CFB"/>
    <w:rsid w:val="39730926"/>
    <w:rsid w:val="39A51C5B"/>
    <w:rsid w:val="39BC3B6C"/>
    <w:rsid w:val="39BE48F9"/>
    <w:rsid w:val="39CF2A49"/>
    <w:rsid w:val="39D236E8"/>
    <w:rsid w:val="39DB5E42"/>
    <w:rsid w:val="39E3734B"/>
    <w:rsid w:val="3A131AED"/>
    <w:rsid w:val="3A4A4679"/>
    <w:rsid w:val="3A5A383F"/>
    <w:rsid w:val="3AC32A96"/>
    <w:rsid w:val="3AF630AE"/>
    <w:rsid w:val="3B085ABF"/>
    <w:rsid w:val="3B1D4989"/>
    <w:rsid w:val="3B2012CB"/>
    <w:rsid w:val="3B6A57F1"/>
    <w:rsid w:val="3B8732EB"/>
    <w:rsid w:val="3B934138"/>
    <w:rsid w:val="3B9D4AB1"/>
    <w:rsid w:val="3BB0325D"/>
    <w:rsid w:val="3BC0486E"/>
    <w:rsid w:val="3BDD3B8B"/>
    <w:rsid w:val="3BE556D1"/>
    <w:rsid w:val="3BF17376"/>
    <w:rsid w:val="3C294CFB"/>
    <w:rsid w:val="3C3E6594"/>
    <w:rsid w:val="3C8C6120"/>
    <w:rsid w:val="3CA81716"/>
    <w:rsid w:val="3CC354E9"/>
    <w:rsid w:val="3CF3278F"/>
    <w:rsid w:val="3CFE26EE"/>
    <w:rsid w:val="3D0F0457"/>
    <w:rsid w:val="3D24741F"/>
    <w:rsid w:val="3D360847"/>
    <w:rsid w:val="3D37175C"/>
    <w:rsid w:val="3D624A2B"/>
    <w:rsid w:val="3DE92A77"/>
    <w:rsid w:val="3DFD034B"/>
    <w:rsid w:val="3E0230ED"/>
    <w:rsid w:val="3E112729"/>
    <w:rsid w:val="3E3242DB"/>
    <w:rsid w:val="3E894239"/>
    <w:rsid w:val="3E9A01F4"/>
    <w:rsid w:val="3EA11583"/>
    <w:rsid w:val="3EA477D4"/>
    <w:rsid w:val="3EB90543"/>
    <w:rsid w:val="3F11495A"/>
    <w:rsid w:val="3F240239"/>
    <w:rsid w:val="3F257B63"/>
    <w:rsid w:val="3F3441A5"/>
    <w:rsid w:val="3F382246"/>
    <w:rsid w:val="3F406FEE"/>
    <w:rsid w:val="3F4563B2"/>
    <w:rsid w:val="3F5050B9"/>
    <w:rsid w:val="3F572283"/>
    <w:rsid w:val="3F5D194E"/>
    <w:rsid w:val="3F6070A1"/>
    <w:rsid w:val="3F616160"/>
    <w:rsid w:val="3F724CCD"/>
    <w:rsid w:val="3FAF5CE4"/>
    <w:rsid w:val="3FCB3319"/>
    <w:rsid w:val="400C5043"/>
    <w:rsid w:val="40152228"/>
    <w:rsid w:val="404D7440"/>
    <w:rsid w:val="40505569"/>
    <w:rsid w:val="40672358"/>
    <w:rsid w:val="409655EF"/>
    <w:rsid w:val="40A966E5"/>
    <w:rsid w:val="40DB4E75"/>
    <w:rsid w:val="40E01335"/>
    <w:rsid w:val="40F15E32"/>
    <w:rsid w:val="41061E61"/>
    <w:rsid w:val="41473A0A"/>
    <w:rsid w:val="4157473C"/>
    <w:rsid w:val="41BC03D0"/>
    <w:rsid w:val="41DF2AEE"/>
    <w:rsid w:val="41E55C2A"/>
    <w:rsid w:val="41EA5032"/>
    <w:rsid w:val="42393C27"/>
    <w:rsid w:val="426463ED"/>
    <w:rsid w:val="42674891"/>
    <w:rsid w:val="426D634C"/>
    <w:rsid w:val="42711E8D"/>
    <w:rsid w:val="427C7225"/>
    <w:rsid w:val="42997141"/>
    <w:rsid w:val="42A133E8"/>
    <w:rsid w:val="42C43049"/>
    <w:rsid w:val="42DC7E9F"/>
    <w:rsid w:val="42DF267A"/>
    <w:rsid w:val="431A4C2F"/>
    <w:rsid w:val="43244A62"/>
    <w:rsid w:val="432602A9"/>
    <w:rsid w:val="432F4ACC"/>
    <w:rsid w:val="434B202E"/>
    <w:rsid w:val="43503578"/>
    <w:rsid w:val="43576CDF"/>
    <w:rsid w:val="437E71E3"/>
    <w:rsid w:val="43BF01D5"/>
    <w:rsid w:val="43D913AE"/>
    <w:rsid w:val="43DC1B95"/>
    <w:rsid w:val="43F14D5A"/>
    <w:rsid w:val="43F41212"/>
    <w:rsid w:val="43F86025"/>
    <w:rsid w:val="441F0387"/>
    <w:rsid w:val="442A4B75"/>
    <w:rsid w:val="44356037"/>
    <w:rsid w:val="443707DB"/>
    <w:rsid w:val="445B15B3"/>
    <w:rsid w:val="4475788E"/>
    <w:rsid w:val="44761D90"/>
    <w:rsid w:val="447B1DAF"/>
    <w:rsid w:val="449B0822"/>
    <w:rsid w:val="44C63AF1"/>
    <w:rsid w:val="44DA759D"/>
    <w:rsid w:val="44F3060D"/>
    <w:rsid w:val="453C2005"/>
    <w:rsid w:val="45822E33"/>
    <w:rsid w:val="45B2219A"/>
    <w:rsid w:val="46364CA7"/>
    <w:rsid w:val="46C6602A"/>
    <w:rsid w:val="46EF15F6"/>
    <w:rsid w:val="47411B55"/>
    <w:rsid w:val="47883971"/>
    <w:rsid w:val="4792415F"/>
    <w:rsid w:val="47930F65"/>
    <w:rsid w:val="479368EF"/>
    <w:rsid w:val="47A7007C"/>
    <w:rsid w:val="47CC2B9D"/>
    <w:rsid w:val="47D07465"/>
    <w:rsid w:val="47D4046E"/>
    <w:rsid w:val="47EA5D49"/>
    <w:rsid w:val="48025F7C"/>
    <w:rsid w:val="48084421"/>
    <w:rsid w:val="48112949"/>
    <w:rsid w:val="4894280E"/>
    <w:rsid w:val="48A04659"/>
    <w:rsid w:val="48AC74A2"/>
    <w:rsid w:val="48C57DD8"/>
    <w:rsid w:val="48FD7CFE"/>
    <w:rsid w:val="490E5A67"/>
    <w:rsid w:val="491E67B5"/>
    <w:rsid w:val="495835DA"/>
    <w:rsid w:val="49595FEF"/>
    <w:rsid w:val="495A5D38"/>
    <w:rsid w:val="495B5627"/>
    <w:rsid w:val="496C55B5"/>
    <w:rsid w:val="498D5B4F"/>
    <w:rsid w:val="4991704F"/>
    <w:rsid w:val="499A554C"/>
    <w:rsid w:val="499E2B31"/>
    <w:rsid w:val="49BB0B75"/>
    <w:rsid w:val="49F96717"/>
    <w:rsid w:val="4A1E71A6"/>
    <w:rsid w:val="4A455361"/>
    <w:rsid w:val="4A4F0834"/>
    <w:rsid w:val="4A653DAC"/>
    <w:rsid w:val="4A7605A5"/>
    <w:rsid w:val="4A794512"/>
    <w:rsid w:val="4A952C21"/>
    <w:rsid w:val="4AD11442"/>
    <w:rsid w:val="4ADF76BB"/>
    <w:rsid w:val="4AE03060"/>
    <w:rsid w:val="4AEC28A3"/>
    <w:rsid w:val="4AFE0B02"/>
    <w:rsid w:val="4AFE607D"/>
    <w:rsid w:val="4B315A3D"/>
    <w:rsid w:val="4B6F3171"/>
    <w:rsid w:val="4B720D9C"/>
    <w:rsid w:val="4B90551F"/>
    <w:rsid w:val="4BAE70AD"/>
    <w:rsid w:val="4BD20FCE"/>
    <w:rsid w:val="4BE64F44"/>
    <w:rsid w:val="4C675BBA"/>
    <w:rsid w:val="4C8238A0"/>
    <w:rsid w:val="4C84400A"/>
    <w:rsid w:val="4CAA5AA7"/>
    <w:rsid w:val="4CB61534"/>
    <w:rsid w:val="4CC45486"/>
    <w:rsid w:val="4D0109AF"/>
    <w:rsid w:val="4D112CBE"/>
    <w:rsid w:val="4D221AE1"/>
    <w:rsid w:val="4D9261CA"/>
    <w:rsid w:val="4D93016A"/>
    <w:rsid w:val="4DA96CE7"/>
    <w:rsid w:val="4DC0189A"/>
    <w:rsid w:val="4DC960B8"/>
    <w:rsid w:val="4DE07BD1"/>
    <w:rsid w:val="4DFB6175"/>
    <w:rsid w:val="4E192EE4"/>
    <w:rsid w:val="4E1F1C89"/>
    <w:rsid w:val="4E3B7554"/>
    <w:rsid w:val="4E4633F4"/>
    <w:rsid w:val="4E561117"/>
    <w:rsid w:val="4E656D5C"/>
    <w:rsid w:val="4E6D0BF7"/>
    <w:rsid w:val="4EE664E5"/>
    <w:rsid w:val="4EFC5C77"/>
    <w:rsid w:val="4F0A4205"/>
    <w:rsid w:val="4F1D6A04"/>
    <w:rsid w:val="4F3C2CBE"/>
    <w:rsid w:val="4F686B17"/>
    <w:rsid w:val="4F6E725F"/>
    <w:rsid w:val="4F754DE4"/>
    <w:rsid w:val="4F7C2E75"/>
    <w:rsid w:val="4F9F18D2"/>
    <w:rsid w:val="4FB70C06"/>
    <w:rsid w:val="4FE83829"/>
    <w:rsid w:val="4FF359B6"/>
    <w:rsid w:val="50095F5C"/>
    <w:rsid w:val="50395ABF"/>
    <w:rsid w:val="504B75A0"/>
    <w:rsid w:val="5066537E"/>
    <w:rsid w:val="50710D48"/>
    <w:rsid w:val="507C3BFE"/>
    <w:rsid w:val="50802485"/>
    <w:rsid w:val="50884351"/>
    <w:rsid w:val="50A33AF0"/>
    <w:rsid w:val="50D52EA4"/>
    <w:rsid w:val="51032C26"/>
    <w:rsid w:val="512247A5"/>
    <w:rsid w:val="515F763E"/>
    <w:rsid w:val="516B614C"/>
    <w:rsid w:val="516F72BF"/>
    <w:rsid w:val="51743B84"/>
    <w:rsid w:val="51EB11CD"/>
    <w:rsid w:val="51FD0A72"/>
    <w:rsid w:val="52132340"/>
    <w:rsid w:val="5233653E"/>
    <w:rsid w:val="523A167B"/>
    <w:rsid w:val="524109BE"/>
    <w:rsid w:val="5247111C"/>
    <w:rsid w:val="524B0CF1"/>
    <w:rsid w:val="525F2866"/>
    <w:rsid w:val="52644168"/>
    <w:rsid w:val="526B60AD"/>
    <w:rsid w:val="52856A45"/>
    <w:rsid w:val="52B47F2F"/>
    <w:rsid w:val="52BB41F6"/>
    <w:rsid w:val="52C55FA4"/>
    <w:rsid w:val="52D70E30"/>
    <w:rsid w:val="52F80EDD"/>
    <w:rsid w:val="52FB727D"/>
    <w:rsid w:val="53051C89"/>
    <w:rsid w:val="531B7E68"/>
    <w:rsid w:val="53284BAD"/>
    <w:rsid w:val="53590D25"/>
    <w:rsid w:val="5383069C"/>
    <w:rsid w:val="53852DC9"/>
    <w:rsid w:val="53856948"/>
    <w:rsid w:val="538708F0"/>
    <w:rsid w:val="538E6B22"/>
    <w:rsid w:val="53B2564B"/>
    <w:rsid w:val="53C953AC"/>
    <w:rsid w:val="53D845F6"/>
    <w:rsid w:val="53D86CBA"/>
    <w:rsid w:val="53D8739D"/>
    <w:rsid w:val="53DE1235"/>
    <w:rsid w:val="53E36095"/>
    <w:rsid w:val="54430CEC"/>
    <w:rsid w:val="54813F0F"/>
    <w:rsid w:val="54822E0B"/>
    <w:rsid w:val="54995832"/>
    <w:rsid w:val="54DB28F9"/>
    <w:rsid w:val="554640F6"/>
    <w:rsid w:val="5557610E"/>
    <w:rsid w:val="556A4212"/>
    <w:rsid w:val="55701BBB"/>
    <w:rsid w:val="5578074A"/>
    <w:rsid w:val="557967A4"/>
    <w:rsid w:val="55A03CA3"/>
    <w:rsid w:val="55AF4145"/>
    <w:rsid w:val="55D819C9"/>
    <w:rsid w:val="55E6607A"/>
    <w:rsid w:val="55E71B19"/>
    <w:rsid w:val="560A3BF6"/>
    <w:rsid w:val="562B4DF0"/>
    <w:rsid w:val="56372AA1"/>
    <w:rsid w:val="564139D6"/>
    <w:rsid w:val="5648272F"/>
    <w:rsid w:val="564B654C"/>
    <w:rsid w:val="56577746"/>
    <w:rsid w:val="565A75E0"/>
    <w:rsid w:val="565F3938"/>
    <w:rsid w:val="56610C58"/>
    <w:rsid w:val="566446F0"/>
    <w:rsid w:val="56705FB3"/>
    <w:rsid w:val="5679101F"/>
    <w:rsid w:val="56821842"/>
    <w:rsid w:val="568850AA"/>
    <w:rsid w:val="56A65547"/>
    <w:rsid w:val="56BA07E2"/>
    <w:rsid w:val="56BA3B34"/>
    <w:rsid w:val="56C80DAB"/>
    <w:rsid w:val="56D4695B"/>
    <w:rsid w:val="56DB041B"/>
    <w:rsid w:val="57324AEF"/>
    <w:rsid w:val="57417E07"/>
    <w:rsid w:val="57860F78"/>
    <w:rsid w:val="57B579D6"/>
    <w:rsid w:val="57BA671A"/>
    <w:rsid w:val="57C77E54"/>
    <w:rsid w:val="57E16E3D"/>
    <w:rsid w:val="58366D88"/>
    <w:rsid w:val="588562C6"/>
    <w:rsid w:val="589A1E95"/>
    <w:rsid w:val="58AA4AF2"/>
    <w:rsid w:val="58AF0C56"/>
    <w:rsid w:val="58E70DE8"/>
    <w:rsid w:val="5908723D"/>
    <w:rsid w:val="590A7F50"/>
    <w:rsid w:val="59633BAD"/>
    <w:rsid w:val="596A3E5E"/>
    <w:rsid w:val="597615BA"/>
    <w:rsid w:val="597B0EF6"/>
    <w:rsid w:val="59A47E22"/>
    <w:rsid w:val="59D70922"/>
    <w:rsid w:val="5A085DDA"/>
    <w:rsid w:val="5A1629DB"/>
    <w:rsid w:val="5A2275C4"/>
    <w:rsid w:val="5A4532B2"/>
    <w:rsid w:val="5A6C1172"/>
    <w:rsid w:val="5AA47FD9"/>
    <w:rsid w:val="5AA62BA8"/>
    <w:rsid w:val="5AAE2C06"/>
    <w:rsid w:val="5AC25185"/>
    <w:rsid w:val="5ACA5594"/>
    <w:rsid w:val="5AF6002C"/>
    <w:rsid w:val="5B150ED7"/>
    <w:rsid w:val="5B34263C"/>
    <w:rsid w:val="5B3E2D68"/>
    <w:rsid w:val="5B4516CD"/>
    <w:rsid w:val="5BC529A5"/>
    <w:rsid w:val="5BEA5EBF"/>
    <w:rsid w:val="5BF1724E"/>
    <w:rsid w:val="5BF52AD4"/>
    <w:rsid w:val="5C6E6AF1"/>
    <w:rsid w:val="5C7218A8"/>
    <w:rsid w:val="5C8F7379"/>
    <w:rsid w:val="5CAD6864"/>
    <w:rsid w:val="5CC47E84"/>
    <w:rsid w:val="5CD1657E"/>
    <w:rsid w:val="5CD223F7"/>
    <w:rsid w:val="5D1816D0"/>
    <w:rsid w:val="5D1B35FD"/>
    <w:rsid w:val="5D780793"/>
    <w:rsid w:val="5D9A411F"/>
    <w:rsid w:val="5DB12FCE"/>
    <w:rsid w:val="5DDC7A8A"/>
    <w:rsid w:val="5DF179D9"/>
    <w:rsid w:val="5E6934F3"/>
    <w:rsid w:val="5E78243B"/>
    <w:rsid w:val="5E9F5BCB"/>
    <w:rsid w:val="5EA62929"/>
    <w:rsid w:val="5EDD3605"/>
    <w:rsid w:val="5F1A293A"/>
    <w:rsid w:val="5F1F0576"/>
    <w:rsid w:val="5FA97E40"/>
    <w:rsid w:val="5FBE7330"/>
    <w:rsid w:val="5FCF41A2"/>
    <w:rsid w:val="607907F7"/>
    <w:rsid w:val="608552D2"/>
    <w:rsid w:val="60944519"/>
    <w:rsid w:val="609543ED"/>
    <w:rsid w:val="60D5554C"/>
    <w:rsid w:val="60DD5FF3"/>
    <w:rsid w:val="60F82E2D"/>
    <w:rsid w:val="60F956D0"/>
    <w:rsid w:val="612176D9"/>
    <w:rsid w:val="612E3ED9"/>
    <w:rsid w:val="614A7E55"/>
    <w:rsid w:val="61530665"/>
    <w:rsid w:val="61720387"/>
    <w:rsid w:val="61774699"/>
    <w:rsid w:val="61804701"/>
    <w:rsid w:val="61A40734"/>
    <w:rsid w:val="61A46882"/>
    <w:rsid w:val="61AD5228"/>
    <w:rsid w:val="61B0166F"/>
    <w:rsid w:val="61CE1DDF"/>
    <w:rsid w:val="61FC6FEA"/>
    <w:rsid w:val="62051CA5"/>
    <w:rsid w:val="620F67EC"/>
    <w:rsid w:val="6223212B"/>
    <w:rsid w:val="6224150A"/>
    <w:rsid w:val="6239395F"/>
    <w:rsid w:val="62441245"/>
    <w:rsid w:val="627209BD"/>
    <w:rsid w:val="62B31701"/>
    <w:rsid w:val="62C437B5"/>
    <w:rsid w:val="62C5672A"/>
    <w:rsid w:val="62CA7BF9"/>
    <w:rsid w:val="62FC018D"/>
    <w:rsid w:val="62FD472A"/>
    <w:rsid w:val="6300286E"/>
    <w:rsid w:val="63343EC4"/>
    <w:rsid w:val="633C1F19"/>
    <w:rsid w:val="634E03F5"/>
    <w:rsid w:val="63670148"/>
    <w:rsid w:val="63A454EE"/>
    <w:rsid w:val="63B70D7D"/>
    <w:rsid w:val="63CF276F"/>
    <w:rsid w:val="63D26282"/>
    <w:rsid w:val="63D80CF3"/>
    <w:rsid w:val="63EB0B2D"/>
    <w:rsid w:val="63FF5162"/>
    <w:rsid w:val="64043048"/>
    <w:rsid w:val="641E1543"/>
    <w:rsid w:val="64333C25"/>
    <w:rsid w:val="643B26CC"/>
    <w:rsid w:val="64632CB3"/>
    <w:rsid w:val="646677F9"/>
    <w:rsid w:val="64763B09"/>
    <w:rsid w:val="647B09FE"/>
    <w:rsid w:val="650007FC"/>
    <w:rsid w:val="65021814"/>
    <w:rsid w:val="65141DA0"/>
    <w:rsid w:val="6563267C"/>
    <w:rsid w:val="656942F9"/>
    <w:rsid w:val="659D6CDB"/>
    <w:rsid w:val="65AC33C8"/>
    <w:rsid w:val="65C140D7"/>
    <w:rsid w:val="65C24241"/>
    <w:rsid w:val="65C658FB"/>
    <w:rsid w:val="65F33509"/>
    <w:rsid w:val="65F91B21"/>
    <w:rsid w:val="65FA13F5"/>
    <w:rsid w:val="660C531D"/>
    <w:rsid w:val="66147E70"/>
    <w:rsid w:val="663871AD"/>
    <w:rsid w:val="664D59C9"/>
    <w:rsid w:val="666F37E0"/>
    <w:rsid w:val="669C24AC"/>
    <w:rsid w:val="66A60EF8"/>
    <w:rsid w:val="66C204D2"/>
    <w:rsid w:val="66DB1DE4"/>
    <w:rsid w:val="673C0BE0"/>
    <w:rsid w:val="675B29A9"/>
    <w:rsid w:val="677156E7"/>
    <w:rsid w:val="679113F7"/>
    <w:rsid w:val="67B5796E"/>
    <w:rsid w:val="67EF42AE"/>
    <w:rsid w:val="67F94C97"/>
    <w:rsid w:val="68091DC3"/>
    <w:rsid w:val="68132768"/>
    <w:rsid w:val="68192C9D"/>
    <w:rsid w:val="68323ABC"/>
    <w:rsid w:val="68442DFB"/>
    <w:rsid w:val="684C69B2"/>
    <w:rsid w:val="685079F2"/>
    <w:rsid w:val="686A408D"/>
    <w:rsid w:val="68A072C5"/>
    <w:rsid w:val="68CB5C7C"/>
    <w:rsid w:val="68DB402F"/>
    <w:rsid w:val="68FB45EF"/>
    <w:rsid w:val="690E33F5"/>
    <w:rsid w:val="69270753"/>
    <w:rsid w:val="693E3CEF"/>
    <w:rsid w:val="698450AA"/>
    <w:rsid w:val="69943DF4"/>
    <w:rsid w:val="69A15B71"/>
    <w:rsid w:val="69AF492B"/>
    <w:rsid w:val="69B021E5"/>
    <w:rsid w:val="69B67D37"/>
    <w:rsid w:val="69BE2739"/>
    <w:rsid w:val="69BF695B"/>
    <w:rsid w:val="69F148BD"/>
    <w:rsid w:val="6A1D1DA5"/>
    <w:rsid w:val="6A2A1AA4"/>
    <w:rsid w:val="6A3800D8"/>
    <w:rsid w:val="6A465F8A"/>
    <w:rsid w:val="6A6600BF"/>
    <w:rsid w:val="6A6E5F0E"/>
    <w:rsid w:val="6A9C6F1F"/>
    <w:rsid w:val="6AA80231"/>
    <w:rsid w:val="6AEA27D0"/>
    <w:rsid w:val="6B074F8D"/>
    <w:rsid w:val="6B0D309A"/>
    <w:rsid w:val="6B34706D"/>
    <w:rsid w:val="6B39651C"/>
    <w:rsid w:val="6B426304"/>
    <w:rsid w:val="6B4E68E1"/>
    <w:rsid w:val="6B5B46E4"/>
    <w:rsid w:val="6B5D28C2"/>
    <w:rsid w:val="6BCE3108"/>
    <w:rsid w:val="6BE36E3C"/>
    <w:rsid w:val="6C045B36"/>
    <w:rsid w:val="6C06707A"/>
    <w:rsid w:val="6C264CF2"/>
    <w:rsid w:val="6C6121CE"/>
    <w:rsid w:val="6C6C0A53"/>
    <w:rsid w:val="6C802746"/>
    <w:rsid w:val="6C81017A"/>
    <w:rsid w:val="6C884656"/>
    <w:rsid w:val="6C983A2C"/>
    <w:rsid w:val="6CA16A6E"/>
    <w:rsid w:val="6CA3310B"/>
    <w:rsid w:val="6CDF30F3"/>
    <w:rsid w:val="6D03730F"/>
    <w:rsid w:val="6D127D62"/>
    <w:rsid w:val="6DA725B5"/>
    <w:rsid w:val="6DCB42A4"/>
    <w:rsid w:val="6DD24A05"/>
    <w:rsid w:val="6DD73BC1"/>
    <w:rsid w:val="6DE9682F"/>
    <w:rsid w:val="6DEE183F"/>
    <w:rsid w:val="6DF90DFC"/>
    <w:rsid w:val="6E13574A"/>
    <w:rsid w:val="6E3D6FFE"/>
    <w:rsid w:val="6E59158A"/>
    <w:rsid w:val="6E7206C2"/>
    <w:rsid w:val="6E7A1325"/>
    <w:rsid w:val="6E865653"/>
    <w:rsid w:val="6E93290D"/>
    <w:rsid w:val="6EC94784"/>
    <w:rsid w:val="6EDD18B4"/>
    <w:rsid w:val="6EDF17E0"/>
    <w:rsid w:val="6EF07923"/>
    <w:rsid w:val="6F0C6DF4"/>
    <w:rsid w:val="6F410095"/>
    <w:rsid w:val="6F686A54"/>
    <w:rsid w:val="6FA26D85"/>
    <w:rsid w:val="6FB25240"/>
    <w:rsid w:val="6FC10E6C"/>
    <w:rsid w:val="6FD45FAA"/>
    <w:rsid w:val="6FD67088"/>
    <w:rsid w:val="6FDF09B4"/>
    <w:rsid w:val="6FE05419"/>
    <w:rsid w:val="6FE80510"/>
    <w:rsid w:val="6FF52779"/>
    <w:rsid w:val="70002C0E"/>
    <w:rsid w:val="700412E9"/>
    <w:rsid w:val="70383547"/>
    <w:rsid w:val="705F07D2"/>
    <w:rsid w:val="705F6A24"/>
    <w:rsid w:val="706A7177"/>
    <w:rsid w:val="707B1DDA"/>
    <w:rsid w:val="709F32C5"/>
    <w:rsid w:val="70A367DC"/>
    <w:rsid w:val="70CE3BAA"/>
    <w:rsid w:val="70F93BAE"/>
    <w:rsid w:val="7157599E"/>
    <w:rsid w:val="71593474"/>
    <w:rsid w:val="719E6674"/>
    <w:rsid w:val="71B110C4"/>
    <w:rsid w:val="71B548E2"/>
    <w:rsid w:val="71BB5EDC"/>
    <w:rsid w:val="71CC36A8"/>
    <w:rsid w:val="71ED1927"/>
    <w:rsid w:val="720A2136"/>
    <w:rsid w:val="72206B6D"/>
    <w:rsid w:val="722C6635"/>
    <w:rsid w:val="723536EF"/>
    <w:rsid w:val="723B5301"/>
    <w:rsid w:val="723F73F7"/>
    <w:rsid w:val="724D0AFE"/>
    <w:rsid w:val="725614EF"/>
    <w:rsid w:val="72CF172D"/>
    <w:rsid w:val="72D92B78"/>
    <w:rsid w:val="72F71196"/>
    <w:rsid w:val="73047240"/>
    <w:rsid w:val="73530B3B"/>
    <w:rsid w:val="7354539B"/>
    <w:rsid w:val="735B7C4E"/>
    <w:rsid w:val="736D1C44"/>
    <w:rsid w:val="737A1DC7"/>
    <w:rsid w:val="73854316"/>
    <w:rsid w:val="7389134A"/>
    <w:rsid w:val="738D1AFA"/>
    <w:rsid w:val="73920EBF"/>
    <w:rsid w:val="73D918A2"/>
    <w:rsid w:val="73DC4D25"/>
    <w:rsid w:val="73E3171A"/>
    <w:rsid w:val="7420296E"/>
    <w:rsid w:val="74500DA3"/>
    <w:rsid w:val="74730CF0"/>
    <w:rsid w:val="748051BB"/>
    <w:rsid w:val="74964153"/>
    <w:rsid w:val="74BE5695"/>
    <w:rsid w:val="74DA4B18"/>
    <w:rsid w:val="75275A4F"/>
    <w:rsid w:val="75432B94"/>
    <w:rsid w:val="75432CCF"/>
    <w:rsid w:val="755C5140"/>
    <w:rsid w:val="756248C1"/>
    <w:rsid w:val="758D381C"/>
    <w:rsid w:val="75A26BEE"/>
    <w:rsid w:val="75B25BCB"/>
    <w:rsid w:val="75BE600F"/>
    <w:rsid w:val="75C64E50"/>
    <w:rsid w:val="76165514"/>
    <w:rsid w:val="76313F48"/>
    <w:rsid w:val="76856AB9"/>
    <w:rsid w:val="76964680"/>
    <w:rsid w:val="769E7DAB"/>
    <w:rsid w:val="76AA5BE8"/>
    <w:rsid w:val="76C72039"/>
    <w:rsid w:val="76CE144F"/>
    <w:rsid w:val="76D417EE"/>
    <w:rsid w:val="76DA32A9"/>
    <w:rsid w:val="76E00193"/>
    <w:rsid w:val="77101BD6"/>
    <w:rsid w:val="77584F74"/>
    <w:rsid w:val="775E4966"/>
    <w:rsid w:val="77943700"/>
    <w:rsid w:val="77A737CA"/>
    <w:rsid w:val="77BC5C81"/>
    <w:rsid w:val="77E077E7"/>
    <w:rsid w:val="780270F1"/>
    <w:rsid w:val="780739AA"/>
    <w:rsid w:val="78087293"/>
    <w:rsid w:val="780879A1"/>
    <w:rsid w:val="782C2E1C"/>
    <w:rsid w:val="7842248A"/>
    <w:rsid w:val="78711EA5"/>
    <w:rsid w:val="788E104F"/>
    <w:rsid w:val="78967EE6"/>
    <w:rsid w:val="789A73DA"/>
    <w:rsid w:val="78D06479"/>
    <w:rsid w:val="78D244C8"/>
    <w:rsid w:val="78EF290F"/>
    <w:rsid w:val="790953D2"/>
    <w:rsid w:val="792E2A6F"/>
    <w:rsid w:val="792F71B0"/>
    <w:rsid w:val="793E0E40"/>
    <w:rsid w:val="79414871"/>
    <w:rsid w:val="79414E73"/>
    <w:rsid w:val="79625133"/>
    <w:rsid w:val="799A0ACD"/>
    <w:rsid w:val="79B778D1"/>
    <w:rsid w:val="79D0466C"/>
    <w:rsid w:val="7A0B5527"/>
    <w:rsid w:val="7A0D63E1"/>
    <w:rsid w:val="7A1B1C61"/>
    <w:rsid w:val="7A2F605F"/>
    <w:rsid w:val="7A3F3423"/>
    <w:rsid w:val="7A794B87"/>
    <w:rsid w:val="7A7C31A6"/>
    <w:rsid w:val="7A830B8F"/>
    <w:rsid w:val="7A831561"/>
    <w:rsid w:val="7A9C22F3"/>
    <w:rsid w:val="7AA55283"/>
    <w:rsid w:val="7AD341B7"/>
    <w:rsid w:val="7AD51975"/>
    <w:rsid w:val="7AF41370"/>
    <w:rsid w:val="7B1B7628"/>
    <w:rsid w:val="7B251EE7"/>
    <w:rsid w:val="7B3537A0"/>
    <w:rsid w:val="7B5A16BD"/>
    <w:rsid w:val="7B7610C6"/>
    <w:rsid w:val="7B7D0330"/>
    <w:rsid w:val="7B9F58E0"/>
    <w:rsid w:val="7BEC31E9"/>
    <w:rsid w:val="7C2B3C5E"/>
    <w:rsid w:val="7C366787"/>
    <w:rsid w:val="7C3A20F4"/>
    <w:rsid w:val="7C9F525B"/>
    <w:rsid w:val="7CD33028"/>
    <w:rsid w:val="7CEC47BA"/>
    <w:rsid w:val="7CFD384D"/>
    <w:rsid w:val="7D080871"/>
    <w:rsid w:val="7D1E5C9A"/>
    <w:rsid w:val="7D284642"/>
    <w:rsid w:val="7D3D3DC1"/>
    <w:rsid w:val="7D466F15"/>
    <w:rsid w:val="7D951CD7"/>
    <w:rsid w:val="7D985EE7"/>
    <w:rsid w:val="7DA737B9"/>
    <w:rsid w:val="7DB257F0"/>
    <w:rsid w:val="7DC91981"/>
    <w:rsid w:val="7DE91FA1"/>
    <w:rsid w:val="7E30764B"/>
    <w:rsid w:val="7E357016"/>
    <w:rsid w:val="7E5356EF"/>
    <w:rsid w:val="7E5C5697"/>
    <w:rsid w:val="7E5F4093"/>
    <w:rsid w:val="7E622C3D"/>
    <w:rsid w:val="7E813419"/>
    <w:rsid w:val="7E9F1976"/>
    <w:rsid w:val="7EBF4B32"/>
    <w:rsid w:val="7EC32874"/>
    <w:rsid w:val="7ECB797B"/>
    <w:rsid w:val="7ED71E7C"/>
    <w:rsid w:val="7EE37844"/>
    <w:rsid w:val="7EEF2A99"/>
    <w:rsid w:val="7EF649F8"/>
    <w:rsid w:val="7EFC2813"/>
    <w:rsid w:val="7F157994"/>
    <w:rsid w:val="7F3D6C7C"/>
    <w:rsid w:val="7F421174"/>
    <w:rsid w:val="7F4C286A"/>
    <w:rsid w:val="7F8D69DE"/>
    <w:rsid w:val="7F913256"/>
    <w:rsid w:val="7FD62796"/>
    <w:rsid w:val="7FFA33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sdException w:qFormat="1" w:unhideWhenUsed="0" w:uiPriority="0" w:semiHidden="0"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autoRedefine/>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paragraph" w:styleId="3">
    <w:name w:val="heading 2"/>
    <w:basedOn w:val="1"/>
    <w:next w:val="1"/>
    <w:link w:val="66"/>
    <w:autoRedefine/>
    <w:qFormat/>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paragraph" w:styleId="4">
    <w:name w:val="heading 3"/>
    <w:basedOn w:val="1"/>
    <w:next w:val="5"/>
    <w:link w:val="67"/>
    <w:autoRedefine/>
    <w:qFormat/>
    <w:uiPriority w:val="0"/>
    <w:pPr>
      <w:keepNext/>
      <w:keepLines/>
      <w:spacing w:before="260" w:beforeLines="0" w:after="260" w:afterLines="0" w:line="413" w:lineRule="auto"/>
      <w:outlineLvl w:val="2"/>
    </w:pPr>
    <w:rPr>
      <w:rFonts w:eastAsia="宋体"/>
      <w:b/>
      <w:bCs/>
      <w:kern w:val="2"/>
      <w:sz w:val="32"/>
      <w:szCs w:val="32"/>
      <w:lang w:val="en-US" w:eastAsia="zh-CN" w:bidi="ar-SA"/>
    </w:rPr>
  </w:style>
  <w:style w:type="paragraph" w:styleId="6">
    <w:name w:val="heading 4"/>
    <w:basedOn w:val="1"/>
    <w:next w:val="1"/>
    <w:link w:val="68"/>
    <w:autoRedefine/>
    <w:qFormat/>
    <w:uiPriority w:val="0"/>
    <w:pPr>
      <w:keepNext/>
      <w:keepLines/>
      <w:spacing w:before="280" w:beforeLines="0" w:after="290" w:afterLines="0" w:line="372" w:lineRule="auto"/>
      <w:outlineLvl w:val="3"/>
    </w:pPr>
    <w:rPr>
      <w:rFonts w:ascii="Arial" w:hAnsi="Arial" w:eastAsia="黑体"/>
      <w:b/>
      <w:bCs/>
      <w:kern w:val="2"/>
      <w:sz w:val="28"/>
      <w:szCs w:val="28"/>
      <w:lang w:val="en-US" w:eastAsia="zh-CN" w:bidi="ar-SA"/>
    </w:rPr>
  </w:style>
  <w:style w:type="paragraph" w:styleId="7">
    <w:name w:val="heading 6"/>
    <w:basedOn w:val="1"/>
    <w:next w:val="1"/>
    <w:autoRedefine/>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rPr>
  </w:style>
  <w:style w:type="paragraph" w:styleId="8">
    <w:name w:val="heading 7"/>
    <w:basedOn w:val="1"/>
    <w:next w:val="1"/>
    <w:autoRedefine/>
    <w:qFormat/>
    <w:uiPriority w:val="0"/>
    <w:pPr>
      <w:keepNext/>
      <w:keepLines/>
      <w:widowControl/>
      <w:tabs>
        <w:tab w:val="left" w:pos="2520"/>
      </w:tabs>
      <w:spacing w:before="240" w:beforeLines="0" w:after="64" w:afterLines="0" w:line="317" w:lineRule="auto"/>
      <w:ind w:left="1296" w:hanging="1296"/>
      <w:jc w:val="left"/>
      <w:outlineLvl w:val="6"/>
    </w:pPr>
    <w:rPr>
      <w:b/>
      <w:bCs/>
      <w:kern w:val="0"/>
      <w:sz w:val="24"/>
    </w:rPr>
  </w:style>
  <w:style w:type="paragraph" w:styleId="9">
    <w:name w:val="heading 8"/>
    <w:basedOn w:val="1"/>
    <w:next w:val="1"/>
    <w:autoRedefine/>
    <w:qFormat/>
    <w:uiPriority w:val="0"/>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rPr>
  </w:style>
  <w:style w:type="paragraph" w:styleId="10">
    <w:name w:val="heading 9"/>
    <w:basedOn w:val="1"/>
    <w:next w:val="1"/>
    <w:autoRedefine/>
    <w:qFormat/>
    <w:uiPriority w:val="0"/>
    <w:pPr>
      <w:keepNext/>
      <w:keepLines/>
      <w:widowControl/>
      <w:tabs>
        <w:tab w:val="left" w:pos="1584"/>
      </w:tabs>
      <w:spacing w:before="240" w:beforeLines="0" w:after="64" w:afterLines="0" w:line="317" w:lineRule="auto"/>
      <w:ind w:left="1584" w:hanging="1584"/>
      <w:jc w:val="left"/>
      <w:outlineLvl w:val="8"/>
    </w:pPr>
    <w:rPr>
      <w:rFonts w:ascii="Arial" w:hAnsi="Arial" w:eastAsia="黑体"/>
      <w:kern w:val="0"/>
      <w:szCs w:val="21"/>
    </w:rPr>
  </w:style>
  <w:style w:type="character" w:default="1" w:styleId="49">
    <w:name w:val="Default Paragraph Font"/>
    <w:autoRedefine/>
    <w:qFormat/>
    <w:uiPriority w:val="0"/>
  </w:style>
  <w:style w:type="table" w:default="1" w:styleId="47">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11">
    <w:name w:val="toc 7"/>
    <w:basedOn w:val="1"/>
    <w:next w:val="1"/>
    <w:autoRedefine/>
    <w:qFormat/>
    <w:uiPriority w:val="0"/>
    <w:pPr>
      <w:ind w:left="1260"/>
      <w:jc w:val="left"/>
    </w:pPr>
    <w:rPr>
      <w:sz w:val="18"/>
      <w:szCs w:val="18"/>
    </w:rPr>
  </w:style>
  <w:style w:type="paragraph" w:styleId="12">
    <w:name w:val="caption"/>
    <w:basedOn w:val="1"/>
    <w:next w:val="1"/>
    <w:link w:val="69"/>
    <w:autoRedefine/>
    <w:qFormat/>
    <w:uiPriority w:val="35"/>
    <w:pPr>
      <w:spacing w:beforeLines="50" w:afterLines="50" w:line="360" w:lineRule="auto"/>
      <w:jc w:val="center"/>
    </w:pPr>
    <w:rPr>
      <w:rFonts w:ascii="Arial" w:hAnsi="Arial" w:eastAsia="黑体"/>
      <w:sz w:val="24"/>
      <w:szCs w:val="20"/>
    </w:rPr>
  </w:style>
  <w:style w:type="paragraph" w:styleId="13">
    <w:name w:val="index 5"/>
    <w:basedOn w:val="1"/>
    <w:next w:val="1"/>
    <w:autoRedefine/>
    <w:qFormat/>
    <w:uiPriority w:val="0"/>
    <w:pPr>
      <w:adjustRightInd w:val="0"/>
      <w:snapToGrid w:val="0"/>
      <w:spacing w:line="360" w:lineRule="auto"/>
      <w:jc w:val="center"/>
    </w:pPr>
    <w:rPr>
      <w:rFonts w:ascii="宋体" w:hAnsi="宋体" w:cs="宋体"/>
      <w:bCs/>
      <w:kern w:val="0"/>
      <w:szCs w:val="21"/>
    </w:rPr>
  </w:style>
  <w:style w:type="paragraph" w:styleId="14">
    <w:name w:val="List Bullet"/>
    <w:basedOn w:val="1"/>
    <w:autoRedefine/>
    <w:qFormat/>
    <w:uiPriority w:val="0"/>
    <w:pPr>
      <w:numPr>
        <w:ilvl w:val="0"/>
        <w:numId w:val="1"/>
      </w:numPr>
      <w:contextualSpacing/>
    </w:pPr>
  </w:style>
  <w:style w:type="paragraph" w:styleId="15">
    <w:name w:val="Document Map"/>
    <w:basedOn w:val="1"/>
    <w:link w:val="70"/>
    <w:autoRedefine/>
    <w:qFormat/>
    <w:uiPriority w:val="0"/>
    <w:pPr>
      <w:shd w:val="clear" w:color="auto" w:fill="000080"/>
    </w:pPr>
    <w:rPr>
      <w:rFonts w:eastAsia="宋体"/>
      <w:kern w:val="2"/>
      <w:sz w:val="21"/>
      <w:szCs w:val="24"/>
      <w:lang w:val="en-US" w:eastAsia="zh-CN" w:bidi="ar-SA"/>
    </w:rPr>
  </w:style>
  <w:style w:type="paragraph" w:styleId="16">
    <w:name w:val="annotation text"/>
    <w:basedOn w:val="1"/>
    <w:link w:val="71"/>
    <w:autoRedefine/>
    <w:qFormat/>
    <w:uiPriority w:val="0"/>
    <w:pPr>
      <w:jc w:val="left"/>
    </w:pPr>
    <w:rPr>
      <w:rFonts w:eastAsia="宋体"/>
      <w:kern w:val="2"/>
      <w:sz w:val="24"/>
      <w:szCs w:val="24"/>
      <w:lang w:val="en-US" w:eastAsia="zh-CN" w:bidi="ar-SA"/>
    </w:rPr>
  </w:style>
  <w:style w:type="paragraph" w:styleId="17">
    <w:name w:val="Body Text 3"/>
    <w:basedOn w:val="1"/>
    <w:autoRedefine/>
    <w:qFormat/>
    <w:uiPriority w:val="0"/>
    <w:rPr>
      <w:rFonts w:ascii="宋体"/>
      <w:sz w:val="24"/>
      <w:szCs w:val="20"/>
    </w:rPr>
  </w:style>
  <w:style w:type="paragraph" w:styleId="18">
    <w:name w:val="Body Text"/>
    <w:basedOn w:val="1"/>
    <w:link w:val="72"/>
    <w:autoRedefine/>
    <w:qFormat/>
    <w:uiPriority w:val="0"/>
    <w:pPr>
      <w:spacing w:after="120" w:afterLines="0"/>
    </w:pPr>
    <w:rPr>
      <w:rFonts w:eastAsia="宋体"/>
      <w:kern w:val="2"/>
      <w:sz w:val="21"/>
      <w:szCs w:val="24"/>
      <w:lang w:val="en-US" w:eastAsia="zh-CN" w:bidi="ar-SA"/>
    </w:rPr>
  </w:style>
  <w:style w:type="paragraph" w:styleId="19">
    <w:name w:val="Body Text Indent"/>
    <w:basedOn w:val="20"/>
    <w:next w:val="22"/>
    <w:autoRedefine/>
    <w:qFormat/>
    <w:uiPriority w:val="0"/>
    <w:pPr>
      <w:spacing w:after="120" w:afterLines="0"/>
      <w:ind w:left="420" w:leftChars="200"/>
    </w:pPr>
  </w:style>
  <w:style w:type="paragraph" w:customStyle="1" w:styleId="20">
    <w:name w:val="正文_3"/>
    <w:next w:val="2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1">
    <w:name w:val="Body Text First Indent 2"/>
    <w:basedOn w:val="19"/>
    <w:autoRedefine/>
    <w:unhideWhenUsed/>
    <w:qFormat/>
    <w:uiPriority w:val="99"/>
    <w:pPr>
      <w:ind w:firstLine="420" w:firstLineChars="200"/>
    </w:pPr>
  </w:style>
  <w:style w:type="paragraph" w:styleId="22">
    <w:name w:val="envelope return"/>
    <w:basedOn w:val="1"/>
    <w:autoRedefine/>
    <w:qFormat/>
    <w:uiPriority w:val="99"/>
    <w:pPr>
      <w:snapToGrid w:val="0"/>
    </w:pPr>
    <w:rPr>
      <w:rFonts w:ascii="Arial" w:hAnsi="Arial" w:cs="Arial"/>
    </w:rPr>
  </w:style>
  <w:style w:type="paragraph" w:styleId="23">
    <w:name w:val="toc 5"/>
    <w:basedOn w:val="1"/>
    <w:next w:val="1"/>
    <w:autoRedefine/>
    <w:qFormat/>
    <w:uiPriority w:val="0"/>
    <w:pPr>
      <w:ind w:left="840"/>
      <w:jc w:val="left"/>
    </w:pPr>
    <w:rPr>
      <w:sz w:val="18"/>
      <w:szCs w:val="18"/>
    </w:rPr>
  </w:style>
  <w:style w:type="paragraph" w:styleId="24">
    <w:name w:val="toc 3"/>
    <w:basedOn w:val="1"/>
    <w:next w:val="1"/>
    <w:autoRedefine/>
    <w:qFormat/>
    <w:uiPriority w:val="39"/>
    <w:pPr>
      <w:ind w:left="420"/>
      <w:jc w:val="left"/>
    </w:pPr>
    <w:rPr>
      <w:i/>
      <w:iCs/>
      <w:sz w:val="20"/>
      <w:szCs w:val="20"/>
    </w:rPr>
  </w:style>
  <w:style w:type="paragraph" w:styleId="25">
    <w:name w:val="Plain Text"/>
    <w:basedOn w:val="1"/>
    <w:link w:val="73"/>
    <w:autoRedefine/>
    <w:qFormat/>
    <w:uiPriority w:val="0"/>
    <w:rPr>
      <w:rFonts w:ascii="Courier New" w:hAnsi="Courier New"/>
      <w:szCs w:val="20"/>
    </w:rPr>
  </w:style>
  <w:style w:type="paragraph" w:styleId="26">
    <w:name w:val="toc 8"/>
    <w:basedOn w:val="1"/>
    <w:next w:val="1"/>
    <w:autoRedefine/>
    <w:qFormat/>
    <w:uiPriority w:val="0"/>
    <w:pPr>
      <w:ind w:left="1470"/>
      <w:jc w:val="left"/>
    </w:pPr>
    <w:rPr>
      <w:sz w:val="18"/>
      <w:szCs w:val="18"/>
    </w:rPr>
  </w:style>
  <w:style w:type="paragraph" w:styleId="27">
    <w:name w:val="Date"/>
    <w:basedOn w:val="1"/>
    <w:next w:val="1"/>
    <w:autoRedefine/>
    <w:qFormat/>
    <w:uiPriority w:val="0"/>
    <w:rPr>
      <w:sz w:val="24"/>
      <w:szCs w:val="20"/>
    </w:rPr>
  </w:style>
  <w:style w:type="paragraph" w:styleId="28">
    <w:name w:val="Body Text Indent 2"/>
    <w:basedOn w:val="1"/>
    <w:autoRedefine/>
    <w:qFormat/>
    <w:uiPriority w:val="0"/>
    <w:pPr>
      <w:spacing w:after="120" w:line="480" w:lineRule="auto"/>
      <w:ind w:left="420" w:leftChars="200"/>
    </w:pPr>
  </w:style>
  <w:style w:type="paragraph" w:styleId="29">
    <w:name w:val="Balloon Text"/>
    <w:basedOn w:val="1"/>
    <w:autoRedefine/>
    <w:qFormat/>
    <w:uiPriority w:val="0"/>
    <w:rPr>
      <w:sz w:val="18"/>
      <w:szCs w:val="18"/>
    </w:rPr>
  </w:style>
  <w:style w:type="paragraph" w:styleId="30">
    <w:name w:val="footer"/>
    <w:basedOn w:val="1"/>
    <w:link w:val="74"/>
    <w:autoRedefine/>
    <w:qFormat/>
    <w:uiPriority w:val="0"/>
    <w:pPr>
      <w:tabs>
        <w:tab w:val="center" w:pos="4153"/>
        <w:tab w:val="right" w:pos="8306"/>
      </w:tabs>
      <w:snapToGrid w:val="0"/>
      <w:jc w:val="left"/>
    </w:pPr>
    <w:rPr>
      <w:rFonts w:eastAsia="宋体"/>
      <w:kern w:val="2"/>
      <w:sz w:val="18"/>
      <w:szCs w:val="18"/>
      <w:lang w:val="en-US" w:eastAsia="zh-CN" w:bidi="ar-SA"/>
    </w:rPr>
  </w:style>
  <w:style w:type="paragraph" w:styleId="31">
    <w:name w:val="header"/>
    <w:basedOn w:val="1"/>
    <w:link w:val="75"/>
    <w:autoRedefine/>
    <w:qFormat/>
    <w:uiPriority w:val="99"/>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32">
    <w:name w:val="toc 1"/>
    <w:basedOn w:val="1"/>
    <w:next w:val="1"/>
    <w:autoRedefine/>
    <w:qFormat/>
    <w:uiPriority w:val="39"/>
    <w:pPr>
      <w:spacing w:before="120" w:beforeLines="0" w:after="120" w:afterLines="0"/>
      <w:jc w:val="left"/>
    </w:pPr>
    <w:rPr>
      <w:b/>
      <w:bCs/>
      <w:caps/>
      <w:sz w:val="20"/>
      <w:szCs w:val="20"/>
    </w:rPr>
  </w:style>
  <w:style w:type="paragraph" w:styleId="33">
    <w:name w:val="toc 4"/>
    <w:basedOn w:val="1"/>
    <w:next w:val="1"/>
    <w:autoRedefine/>
    <w:qFormat/>
    <w:uiPriority w:val="39"/>
    <w:pPr>
      <w:ind w:left="630"/>
      <w:jc w:val="left"/>
    </w:pPr>
    <w:rPr>
      <w:sz w:val="18"/>
      <w:szCs w:val="18"/>
    </w:rPr>
  </w:style>
  <w:style w:type="paragraph" w:styleId="34">
    <w:name w:val="footnote text"/>
    <w:basedOn w:val="1"/>
    <w:autoRedefine/>
    <w:qFormat/>
    <w:uiPriority w:val="0"/>
    <w:rPr>
      <w:sz w:val="20"/>
      <w:szCs w:val="20"/>
    </w:rPr>
  </w:style>
  <w:style w:type="paragraph" w:styleId="35">
    <w:name w:val="toc 6"/>
    <w:basedOn w:val="1"/>
    <w:next w:val="1"/>
    <w:autoRedefine/>
    <w:qFormat/>
    <w:uiPriority w:val="0"/>
    <w:pPr>
      <w:ind w:left="1050"/>
      <w:jc w:val="left"/>
    </w:pPr>
    <w:rPr>
      <w:sz w:val="18"/>
      <w:szCs w:val="18"/>
    </w:rPr>
  </w:style>
  <w:style w:type="paragraph" w:styleId="36">
    <w:name w:val="Body Text Indent 3"/>
    <w:basedOn w:val="1"/>
    <w:autoRedefine/>
    <w:qFormat/>
    <w:uiPriority w:val="0"/>
    <w:pPr>
      <w:spacing w:after="120" w:afterLines="0"/>
      <w:ind w:left="420" w:leftChars="200"/>
    </w:pPr>
    <w:rPr>
      <w:sz w:val="16"/>
      <w:szCs w:val="16"/>
    </w:rPr>
  </w:style>
  <w:style w:type="paragraph" w:styleId="37">
    <w:name w:val="table of figures"/>
    <w:basedOn w:val="1"/>
    <w:next w:val="1"/>
    <w:autoRedefine/>
    <w:qFormat/>
    <w:uiPriority w:val="0"/>
    <w:pPr>
      <w:ind w:left="200" w:leftChars="200" w:hanging="200" w:hangingChars="200"/>
    </w:pPr>
  </w:style>
  <w:style w:type="paragraph" w:styleId="38">
    <w:name w:val="toc 2"/>
    <w:basedOn w:val="1"/>
    <w:next w:val="1"/>
    <w:autoRedefine/>
    <w:qFormat/>
    <w:uiPriority w:val="39"/>
    <w:pPr>
      <w:ind w:left="210"/>
      <w:jc w:val="left"/>
    </w:pPr>
    <w:rPr>
      <w:smallCaps/>
      <w:sz w:val="20"/>
      <w:szCs w:val="20"/>
    </w:rPr>
  </w:style>
  <w:style w:type="paragraph" w:styleId="39">
    <w:name w:val="toc 9"/>
    <w:basedOn w:val="1"/>
    <w:next w:val="1"/>
    <w:autoRedefine/>
    <w:qFormat/>
    <w:uiPriority w:val="0"/>
    <w:pPr>
      <w:ind w:left="1680"/>
      <w:jc w:val="left"/>
    </w:pPr>
    <w:rPr>
      <w:sz w:val="18"/>
      <w:szCs w:val="18"/>
    </w:rPr>
  </w:style>
  <w:style w:type="paragraph" w:styleId="40">
    <w:name w:val="Body Text 2"/>
    <w:basedOn w:val="1"/>
    <w:autoRedefine/>
    <w:qFormat/>
    <w:uiPriority w:val="0"/>
    <w:pPr>
      <w:spacing w:after="120" w:line="480" w:lineRule="auto"/>
    </w:pPr>
  </w:style>
  <w:style w:type="paragraph" w:styleId="41">
    <w:name w:val="HTML Preformatted"/>
    <w:basedOn w:val="1"/>
    <w:autoRedefine/>
    <w:unhideWhenUsed/>
    <w:qFormat/>
    <w:uiPriority w:val="99"/>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微软雅黑" w:hAnsi="微软雅黑" w:eastAsia="微软雅黑" w:cs="微软雅黑"/>
      <w:kern w:val="0"/>
      <w:sz w:val="24"/>
      <w:szCs w:val="24"/>
      <w:lang w:val="en-US" w:eastAsia="zh-CN" w:bidi="ar"/>
    </w:rPr>
  </w:style>
  <w:style w:type="paragraph" w:styleId="42">
    <w:name w:val="Normal (Web)"/>
    <w:basedOn w:val="1"/>
    <w:autoRedefine/>
    <w:qFormat/>
    <w:uiPriority w:val="99"/>
    <w:pPr>
      <w:widowControl/>
      <w:spacing w:before="100" w:beforeLines="0" w:beforeAutospacing="1" w:after="100" w:afterLines="0" w:afterAutospacing="1"/>
      <w:jc w:val="left"/>
    </w:pPr>
    <w:rPr>
      <w:rFonts w:ascii="??" w:hAnsi="??" w:cs="宋体"/>
      <w:kern w:val="0"/>
      <w:sz w:val="24"/>
    </w:rPr>
  </w:style>
  <w:style w:type="paragraph" w:styleId="43">
    <w:name w:val="index 1"/>
    <w:basedOn w:val="1"/>
    <w:next w:val="1"/>
    <w:autoRedefine/>
    <w:qFormat/>
    <w:uiPriority w:val="0"/>
    <w:pPr>
      <w:spacing w:line="220" w:lineRule="exact"/>
      <w:jc w:val="center"/>
    </w:pPr>
    <w:rPr>
      <w:rFonts w:ascii="仿宋_GB2312" w:eastAsia="仿宋_GB2312"/>
      <w:szCs w:val="21"/>
    </w:rPr>
  </w:style>
  <w:style w:type="paragraph" w:styleId="44">
    <w:name w:val="Title"/>
    <w:basedOn w:val="1"/>
    <w:link w:val="76"/>
    <w:autoRedefine/>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45">
    <w:name w:val="annotation subject"/>
    <w:basedOn w:val="16"/>
    <w:next w:val="16"/>
    <w:link w:val="77"/>
    <w:autoRedefine/>
    <w:qFormat/>
    <w:uiPriority w:val="0"/>
    <w:rPr>
      <w:b/>
      <w:bCs/>
    </w:rPr>
  </w:style>
  <w:style w:type="paragraph" w:styleId="46">
    <w:name w:val="Body Text First Indent"/>
    <w:basedOn w:val="18"/>
    <w:link w:val="78"/>
    <w:autoRedefine/>
    <w:qFormat/>
    <w:uiPriority w:val="0"/>
    <w:pPr>
      <w:spacing w:line="312" w:lineRule="auto"/>
      <w:ind w:firstLine="420"/>
    </w:pPr>
  </w:style>
  <w:style w:type="table" w:styleId="48">
    <w:name w:val="Table Grid"/>
    <w:basedOn w:val="4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autoRedefine/>
    <w:qFormat/>
    <w:uiPriority w:val="0"/>
    <w:rPr>
      <w:rFonts w:cs="Times New Roman"/>
      <w:b/>
      <w:bCs/>
    </w:rPr>
  </w:style>
  <w:style w:type="character" w:styleId="51">
    <w:name w:val="page number"/>
    <w:basedOn w:val="49"/>
    <w:autoRedefine/>
    <w:qFormat/>
    <w:uiPriority w:val="0"/>
    <w:rPr>
      <w:rFonts w:cs="Times New Roman"/>
    </w:rPr>
  </w:style>
  <w:style w:type="character" w:styleId="52">
    <w:name w:val="FollowedHyperlink"/>
    <w:basedOn w:val="49"/>
    <w:autoRedefine/>
    <w:qFormat/>
    <w:uiPriority w:val="0"/>
    <w:rPr>
      <w:rFonts w:cs="Times New Roman"/>
      <w:color w:val="800080"/>
      <w:u w:val="single"/>
    </w:rPr>
  </w:style>
  <w:style w:type="character" w:styleId="53">
    <w:name w:val="Emphasis"/>
    <w:basedOn w:val="49"/>
    <w:autoRedefine/>
    <w:qFormat/>
    <w:uiPriority w:val="20"/>
  </w:style>
  <w:style w:type="character" w:styleId="54">
    <w:name w:val="HTML Definition"/>
    <w:basedOn w:val="49"/>
    <w:autoRedefine/>
    <w:unhideWhenUsed/>
    <w:qFormat/>
    <w:uiPriority w:val="99"/>
  </w:style>
  <w:style w:type="character" w:styleId="55">
    <w:name w:val="HTML Typewriter"/>
    <w:basedOn w:val="49"/>
    <w:autoRedefine/>
    <w:unhideWhenUsed/>
    <w:qFormat/>
    <w:uiPriority w:val="99"/>
    <w:rPr>
      <w:rFonts w:hint="default" w:ascii="monospace" w:hAnsi="monospace" w:eastAsia="monospace" w:cs="monospace"/>
      <w:sz w:val="20"/>
    </w:rPr>
  </w:style>
  <w:style w:type="character" w:styleId="56">
    <w:name w:val="HTML Acronym"/>
    <w:basedOn w:val="49"/>
    <w:autoRedefine/>
    <w:unhideWhenUsed/>
    <w:qFormat/>
    <w:uiPriority w:val="99"/>
  </w:style>
  <w:style w:type="character" w:styleId="57">
    <w:name w:val="HTML Variable"/>
    <w:basedOn w:val="49"/>
    <w:autoRedefine/>
    <w:unhideWhenUsed/>
    <w:qFormat/>
    <w:uiPriority w:val="99"/>
  </w:style>
  <w:style w:type="character" w:styleId="58">
    <w:name w:val="Hyperlink"/>
    <w:basedOn w:val="49"/>
    <w:autoRedefine/>
    <w:qFormat/>
    <w:uiPriority w:val="99"/>
    <w:rPr>
      <w:rFonts w:cs="Times New Roman"/>
      <w:color w:val="0000FF"/>
      <w:u w:val="single"/>
    </w:rPr>
  </w:style>
  <w:style w:type="character" w:styleId="59">
    <w:name w:val="HTML Code"/>
    <w:basedOn w:val="49"/>
    <w:autoRedefine/>
    <w:unhideWhenUsed/>
    <w:qFormat/>
    <w:uiPriority w:val="99"/>
    <w:rPr>
      <w:rFonts w:hint="default" w:ascii="monospace" w:hAnsi="monospace" w:eastAsia="monospace" w:cs="monospace"/>
      <w:sz w:val="20"/>
    </w:rPr>
  </w:style>
  <w:style w:type="character" w:styleId="60">
    <w:name w:val="annotation reference"/>
    <w:basedOn w:val="49"/>
    <w:autoRedefine/>
    <w:qFormat/>
    <w:uiPriority w:val="0"/>
    <w:rPr>
      <w:rFonts w:cs="Times New Roman"/>
      <w:sz w:val="21"/>
      <w:szCs w:val="21"/>
    </w:rPr>
  </w:style>
  <w:style w:type="character" w:styleId="61">
    <w:name w:val="HTML Cite"/>
    <w:basedOn w:val="49"/>
    <w:autoRedefine/>
    <w:unhideWhenUsed/>
    <w:qFormat/>
    <w:uiPriority w:val="99"/>
  </w:style>
  <w:style w:type="character" w:styleId="62">
    <w:name w:val="footnote reference"/>
    <w:basedOn w:val="49"/>
    <w:autoRedefine/>
    <w:qFormat/>
    <w:uiPriority w:val="0"/>
    <w:rPr>
      <w:rFonts w:cs="Times New Roman"/>
      <w:vertAlign w:val="superscript"/>
    </w:rPr>
  </w:style>
  <w:style w:type="character" w:styleId="63">
    <w:name w:val="HTML Keyboard"/>
    <w:basedOn w:val="49"/>
    <w:autoRedefine/>
    <w:unhideWhenUsed/>
    <w:qFormat/>
    <w:uiPriority w:val="99"/>
    <w:rPr>
      <w:rFonts w:ascii="monospace" w:hAnsi="monospace" w:eastAsia="monospace" w:cs="monospace"/>
      <w:sz w:val="20"/>
    </w:rPr>
  </w:style>
  <w:style w:type="character" w:styleId="64">
    <w:name w:val="HTML Sample"/>
    <w:basedOn w:val="49"/>
    <w:autoRedefine/>
    <w:unhideWhenUsed/>
    <w:qFormat/>
    <w:uiPriority w:val="99"/>
    <w:rPr>
      <w:rFonts w:hint="default" w:ascii="monospace" w:hAnsi="monospace" w:eastAsia="monospace" w:cs="monospace"/>
    </w:rPr>
  </w:style>
  <w:style w:type="character" w:customStyle="1" w:styleId="65">
    <w:name w:val="标题 1 Char"/>
    <w:basedOn w:val="49"/>
    <w:link w:val="2"/>
    <w:autoRedefine/>
    <w:qFormat/>
    <w:uiPriority w:val="0"/>
    <w:rPr>
      <w:rFonts w:eastAsia="宋体"/>
      <w:b/>
      <w:bCs/>
      <w:kern w:val="44"/>
      <w:sz w:val="44"/>
      <w:szCs w:val="44"/>
      <w:lang w:val="en-US" w:eastAsia="zh-CN" w:bidi="ar-SA"/>
    </w:rPr>
  </w:style>
  <w:style w:type="character" w:customStyle="1" w:styleId="66">
    <w:name w:val="标题 2 Char"/>
    <w:basedOn w:val="49"/>
    <w:link w:val="3"/>
    <w:autoRedefine/>
    <w:qFormat/>
    <w:uiPriority w:val="0"/>
    <w:rPr>
      <w:rFonts w:ascii="Arial" w:hAnsi="Arial" w:eastAsia="黑体"/>
      <w:b/>
      <w:bCs/>
      <w:kern w:val="2"/>
      <w:sz w:val="32"/>
      <w:szCs w:val="32"/>
      <w:lang w:val="en-US" w:eastAsia="zh-CN" w:bidi="ar-SA"/>
    </w:rPr>
  </w:style>
  <w:style w:type="character" w:customStyle="1" w:styleId="67">
    <w:name w:val="标题 3 Char"/>
    <w:basedOn w:val="49"/>
    <w:link w:val="4"/>
    <w:autoRedefine/>
    <w:qFormat/>
    <w:uiPriority w:val="0"/>
    <w:rPr>
      <w:rFonts w:eastAsia="宋体"/>
      <w:b/>
      <w:bCs/>
      <w:kern w:val="2"/>
      <w:sz w:val="32"/>
      <w:szCs w:val="32"/>
      <w:lang w:val="en-US" w:eastAsia="zh-CN" w:bidi="ar-SA"/>
    </w:rPr>
  </w:style>
  <w:style w:type="character" w:customStyle="1" w:styleId="68">
    <w:name w:val="标题 4 Char"/>
    <w:basedOn w:val="49"/>
    <w:link w:val="6"/>
    <w:autoRedefine/>
    <w:qFormat/>
    <w:uiPriority w:val="0"/>
    <w:rPr>
      <w:rFonts w:ascii="Arial" w:hAnsi="Arial" w:eastAsia="黑体"/>
      <w:b/>
      <w:bCs/>
      <w:kern w:val="2"/>
      <w:sz w:val="28"/>
      <w:szCs w:val="28"/>
      <w:lang w:val="en-US" w:eastAsia="zh-CN" w:bidi="ar-SA"/>
    </w:rPr>
  </w:style>
  <w:style w:type="character" w:customStyle="1" w:styleId="69">
    <w:name w:val="题注 Char"/>
    <w:link w:val="12"/>
    <w:autoRedefine/>
    <w:qFormat/>
    <w:uiPriority w:val="35"/>
    <w:rPr>
      <w:rFonts w:ascii="Arial" w:hAnsi="Arial" w:eastAsia="黑体" w:cs="Arial"/>
      <w:kern w:val="2"/>
      <w:sz w:val="24"/>
    </w:rPr>
  </w:style>
  <w:style w:type="character" w:customStyle="1" w:styleId="70">
    <w:name w:val="文档结构图 Char"/>
    <w:basedOn w:val="49"/>
    <w:link w:val="15"/>
    <w:autoRedefine/>
    <w:qFormat/>
    <w:uiPriority w:val="0"/>
    <w:rPr>
      <w:rFonts w:eastAsia="宋体"/>
      <w:kern w:val="2"/>
      <w:sz w:val="21"/>
      <w:szCs w:val="24"/>
      <w:lang w:val="en-US" w:eastAsia="zh-CN" w:bidi="ar-SA"/>
    </w:rPr>
  </w:style>
  <w:style w:type="character" w:customStyle="1" w:styleId="71">
    <w:name w:val="批注文字 Char"/>
    <w:basedOn w:val="49"/>
    <w:link w:val="16"/>
    <w:autoRedefine/>
    <w:qFormat/>
    <w:uiPriority w:val="0"/>
    <w:rPr>
      <w:rFonts w:eastAsia="宋体"/>
      <w:kern w:val="2"/>
      <w:sz w:val="24"/>
      <w:szCs w:val="24"/>
      <w:lang w:val="en-US" w:eastAsia="zh-CN" w:bidi="ar-SA"/>
    </w:rPr>
  </w:style>
  <w:style w:type="character" w:customStyle="1" w:styleId="72">
    <w:name w:val="正文文本 Char1"/>
    <w:basedOn w:val="49"/>
    <w:link w:val="18"/>
    <w:autoRedefine/>
    <w:qFormat/>
    <w:uiPriority w:val="0"/>
    <w:rPr>
      <w:rFonts w:eastAsia="宋体"/>
      <w:kern w:val="2"/>
      <w:sz w:val="21"/>
      <w:szCs w:val="24"/>
      <w:lang w:val="en-US" w:eastAsia="zh-CN" w:bidi="ar-SA"/>
    </w:rPr>
  </w:style>
  <w:style w:type="character" w:customStyle="1" w:styleId="73">
    <w:name w:val="纯文本 Char"/>
    <w:basedOn w:val="49"/>
    <w:link w:val="25"/>
    <w:autoRedefine/>
    <w:qFormat/>
    <w:uiPriority w:val="0"/>
    <w:rPr>
      <w:rFonts w:ascii="Courier New" w:hAnsi="Courier New" w:eastAsia="宋体"/>
      <w:kern w:val="2"/>
      <w:sz w:val="21"/>
      <w:lang w:val="en-US" w:eastAsia="zh-CN" w:bidi="ar-SA"/>
    </w:rPr>
  </w:style>
  <w:style w:type="character" w:customStyle="1" w:styleId="74">
    <w:name w:val="页脚 Char"/>
    <w:basedOn w:val="49"/>
    <w:link w:val="30"/>
    <w:autoRedefine/>
    <w:qFormat/>
    <w:uiPriority w:val="0"/>
    <w:rPr>
      <w:rFonts w:eastAsia="宋体"/>
      <w:kern w:val="2"/>
      <w:sz w:val="18"/>
      <w:szCs w:val="18"/>
      <w:lang w:val="en-US" w:eastAsia="zh-CN" w:bidi="ar-SA"/>
    </w:rPr>
  </w:style>
  <w:style w:type="character" w:customStyle="1" w:styleId="75">
    <w:name w:val="页眉 Char"/>
    <w:basedOn w:val="49"/>
    <w:link w:val="31"/>
    <w:autoRedefine/>
    <w:qFormat/>
    <w:uiPriority w:val="99"/>
    <w:rPr>
      <w:rFonts w:eastAsia="宋体"/>
      <w:kern w:val="2"/>
      <w:sz w:val="18"/>
      <w:szCs w:val="18"/>
      <w:lang w:val="en-US" w:eastAsia="zh-CN" w:bidi="ar-SA"/>
    </w:rPr>
  </w:style>
  <w:style w:type="character" w:customStyle="1" w:styleId="76">
    <w:name w:val="标题 Char"/>
    <w:link w:val="44"/>
    <w:autoRedefine/>
    <w:qFormat/>
    <w:uiPriority w:val="0"/>
    <w:rPr>
      <w:rFonts w:ascii="Arial" w:hAnsi="Arial"/>
      <w:b/>
      <w:sz w:val="32"/>
    </w:rPr>
  </w:style>
  <w:style w:type="character" w:customStyle="1" w:styleId="77">
    <w:name w:val="批注主题 Char"/>
    <w:basedOn w:val="71"/>
    <w:link w:val="45"/>
    <w:autoRedefine/>
    <w:qFormat/>
    <w:uiPriority w:val="0"/>
    <w:rPr>
      <w:b/>
      <w:bCs/>
    </w:rPr>
  </w:style>
  <w:style w:type="character" w:customStyle="1" w:styleId="78">
    <w:name w:val="正文首行缩进 Char"/>
    <w:basedOn w:val="79"/>
    <w:link w:val="46"/>
    <w:autoRedefine/>
    <w:qFormat/>
    <w:uiPriority w:val="0"/>
  </w:style>
  <w:style w:type="character" w:customStyle="1" w:styleId="79">
    <w:name w:val="正文文本 Char"/>
    <w:basedOn w:val="49"/>
    <w:autoRedefine/>
    <w:qFormat/>
    <w:uiPriority w:val="0"/>
    <w:rPr>
      <w:rFonts w:eastAsia="宋体" w:cs="Times New Roman"/>
      <w:kern w:val="2"/>
      <w:sz w:val="24"/>
      <w:szCs w:val="24"/>
      <w:lang w:val="en-US" w:eastAsia="zh-CN" w:bidi="ar-SA"/>
    </w:rPr>
  </w:style>
  <w:style w:type="paragraph" w:customStyle="1" w:styleId="80">
    <w:name w:val="Default"/>
    <w:next w:val="30"/>
    <w:autoRedefine/>
    <w:qFormat/>
    <w:uiPriority w:val="0"/>
    <w:pPr>
      <w:widowControl w:val="0"/>
      <w:autoSpaceDE w:val="0"/>
      <w:autoSpaceDN w:val="0"/>
      <w:adjustRightInd w:val="0"/>
    </w:pPr>
    <w:rPr>
      <w:rFonts w:ascii="华文细黑_x0004_" w:hAnsi="Times New Roman" w:eastAsia="华文细黑_x0004_" w:cs="华文细黑_x0004_"/>
      <w:color w:val="000000"/>
      <w:sz w:val="24"/>
      <w:szCs w:val="24"/>
      <w:lang w:val="en-US" w:eastAsia="zh-CN" w:bidi="ar-SA"/>
    </w:rPr>
  </w:style>
  <w:style w:type="character" w:customStyle="1" w:styleId="81">
    <w:name w:val="txt1"/>
    <w:autoRedefine/>
    <w:qFormat/>
    <w:uiPriority w:val="0"/>
    <w:rPr>
      <w:color w:val="000000"/>
      <w:sz w:val="18"/>
      <w:u w:val="none"/>
    </w:rPr>
  </w:style>
  <w:style w:type="character" w:customStyle="1" w:styleId="82">
    <w:name w:val="ca-3"/>
    <w:basedOn w:val="49"/>
    <w:autoRedefine/>
    <w:qFormat/>
    <w:uiPriority w:val="0"/>
  </w:style>
  <w:style w:type="character" w:customStyle="1" w:styleId="83">
    <w:name w:val="Char Char8"/>
    <w:basedOn w:val="49"/>
    <w:autoRedefine/>
    <w:qFormat/>
    <w:uiPriority w:val="0"/>
    <w:rPr>
      <w:rFonts w:ascii="Arial" w:hAnsi="Arial" w:eastAsia="黑体" w:cs="Times New Roman"/>
      <w:b/>
      <w:bCs/>
      <w:kern w:val="2"/>
      <w:sz w:val="32"/>
      <w:szCs w:val="32"/>
      <w:lang w:val="en-US" w:eastAsia="zh-CN" w:bidi="ar-SA"/>
    </w:rPr>
  </w:style>
  <w:style w:type="character" w:customStyle="1" w:styleId="84">
    <w:name w:val="font21"/>
    <w:basedOn w:val="49"/>
    <w:autoRedefine/>
    <w:qFormat/>
    <w:uiPriority w:val="0"/>
    <w:rPr>
      <w:rFonts w:hint="eastAsia" w:ascii="宋体" w:hAnsi="宋体" w:eastAsia="宋体" w:cs="宋体"/>
      <w:color w:val="000000"/>
      <w:sz w:val="18"/>
      <w:szCs w:val="18"/>
      <w:u w:val="none"/>
    </w:rPr>
  </w:style>
  <w:style w:type="character" w:customStyle="1" w:styleId="85">
    <w:name w:val="NormalCharacter"/>
    <w:autoRedefine/>
    <w:qFormat/>
    <w:uiPriority w:val="0"/>
  </w:style>
  <w:style w:type="character" w:customStyle="1" w:styleId="86">
    <w:name w:val="Char Char7"/>
    <w:basedOn w:val="49"/>
    <w:autoRedefine/>
    <w:qFormat/>
    <w:uiPriority w:val="0"/>
    <w:rPr>
      <w:rFonts w:ascii="Arial" w:hAnsi="Arial" w:eastAsia="黑体" w:cs="Times New Roman"/>
      <w:b/>
      <w:bCs/>
      <w:kern w:val="2"/>
      <w:sz w:val="32"/>
      <w:szCs w:val="32"/>
      <w:lang w:val="en-US" w:eastAsia="zh-CN" w:bidi="ar-SA"/>
    </w:rPr>
  </w:style>
  <w:style w:type="character" w:customStyle="1" w:styleId="87">
    <w:name w:val="普通文字1 Char"/>
    <w:basedOn w:val="49"/>
    <w:autoRedefine/>
    <w:qFormat/>
    <w:uiPriority w:val="0"/>
    <w:rPr>
      <w:rFonts w:ascii="宋体" w:hAnsi="Courier New" w:eastAsia="仿宋_GB2312"/>
      <w:kern w:val="2"/>
      <w:sz w:val="21"/>
      <w:lang w:bidi="ar-SA"/>
    </w:rPr>
  </w:style>
  <w:style w:type="character" w:customStyle="1" w:styleId="88">
    <w:name w:val="4正文 Char"/>
    <w:basedOn w:val="49"/>
    <w:link w:val="89"/>
    <w:autoRedefine/>
    <w:qFormat/>
    <w:uiPriority w:val="0"/>
    <w:rPr>
      <w:rFonts w:hAnsi="宋体" w:eastAsia="宋体" w:cs="Arial"/>
      <w:spacing w:val="30"/>
      <w:sz w:val="24"/>
      <w:szCs w:val="24"/>
      <w:lang w:val="en-GB" w:eastAsia="zh-CN" w:bidi="ar-SA"/>
    </w:rPr>
  </w:style>
  <w:style w:type="paragraph" w:customStyle="1" w:styleId="89">
    <w:name w:val="4正文"/>
    <w:basedOn w:val="18"/>
    <w:link w:val="88"/>
    <w:autoRedefine/>
    <w:qFormat/>
    <w:uiPriority w:val="0"/>
    <w:pPr>
      <w:numPr>
        <w:ilvl w:val="0"/>
        <w:numId w:val="2"/>
      </w:numPr>
      <w:adjustRightInd w:val="0"/>
      <w:snapToGrid w:val="0"/>
      <w:spacing w:before="218" w:beforeLines="70" w:after="218" w:afterLines="70" w:line="360" w:lineRule="exact"/>
      <w:textAlignment w:val="baseline"/>
    </w:pPr>
    <w:rPr>
      <w:rFonts w:hAnsi="宋体" w:eastAsia="宋体" w:cs="Arial"/>
      <w:spacing w:val="30"/>
      <w:sz w:val="24"/>
      <w:szCs w:val="24"/>
      <w:lang w:val="en-GB" w:eastAsia="zh-CN" w:bidi="ar-SA"/>
    </w:rPr>
  </w:style>
  <w:style w:type="character" w:customStyle="1" w:styleId="90">
    <w:name w:val="正文首行缩进 Char1"/>
    <w:basedOn w:val="72"/>
    <w:autoRedefine/>
    <w:qFormat/>
    <w:uiPriority w:val="0"/>
  </w:style>
  <w:style w:type="character" w:customStyle="1" w:styleId="91">
    <w:name w:val="列出段落 Char"/>
    <w:link w:val="92"/>
    <w:autoRedefine/>
    <w:qFormat/>
    <w:uiPriority w:val="34"/>
    <w:rPr>
      <w:rFonts w:ascii="Calibri" w:hAnsi="Calibri"/>
      <w:kern w:val="2"/>
      <w:sz w:val="21"/>
      <w:szCs w:val="22"/>
    </w:rPr>
  </w:style>
  <w:style w:type="paragraph" w:customStyle="1" w:styleId="92">
    <w:name w:val="列出段落1"/>
    <w:basedOn w:val="1"/>
    <w:link w:val="91"/>
    <w:autoRedefine/>
    <w:qFormat/>
    <w:uiPriority w:val="34"/>
    <w:pPr>
      <w:ind w:firstLine="420" w:firstLineChars="200"/>
    </w:pPr>
    <w:rPr>
      <w:rFonts w:ascii="Calibri" w:hAnsi="Calibri"/>
      <w:szCs w:val="22"/>
    </w:rPr>
  </w:style>
  <w:style w:type="character" w:customStyle="1" w:styleId="93">
    <w:name w:val="font11"/>
    <w:basedOn w:val="49"/>
    <w:autoRedefine/>
    <w:qFormat/>
    <w:uiPriority w:val="0"/>
    <w:rPr>
      <w:rFonts w:hint="eastAsia" w:ascii="宋体" w:hAnsi="宋体" w:eastAsia="宋体" w:cs="宋体"/>
      <w:color w:val="000000"/>
      <w:sz w:val="20"/>
      <w:szCs w:val="20"/>
      <w:u w:val="none"/>
    </w:rPr>
  </w:style>
  <w:style w:type="character" w:customStyle="1" w:styleId="94">
    <w:name w:val="font161"/>
    <w:basedOn w:val="49"/>
    <w:autoRedefine/>
    <w:qFormat/>
    <w:uiPriority w:val="0"/>
    <w:rPr>
      <w:rFonts w:cs="Times New Roman"/>
      <w:b/>
      <w:bCs/>
      <w:sz w:val="32"/>
      <w:szCs w:val="32"/>
    </w:rPr>
  </w:style>
  <w:style w:type="character" w:customStyle="1" w:styleId="95">
    <w:name w:val="Char Char2"/>
    <w:basedOn w:val="49"/>
    <w:autoRedefine/>
    <w:qFormat/>
    <w:uiPriority w:val="0"/>
    <w:rPr>
      <w:rFonts w:eastAsia="宋体" w:cs="Times New Roman"/>
      <w:kern w:val="2"/>
      <w:sz w:val="24"/>
      <w:szCs w:val="24"/>
      <w:lang w:val="en-US" w:eastAsia="zh-CN" w:bidi="ar-SA"/>
    </w:rPr>
  </w:style>
  <w:style w:type="character" w:customStyle="1" w:styleId="96">
    <w:name w:val="Char Char"/>
    <w:basedOn w:val="49"/>
    <w:autoRedefine/>
    <w:qFormat/>
    <w:uiPriority w:val="0"/>
    <w:rPr>
      <w:rFonts w:ascii="Arial" w:hAnsi="Arial" w:eastAsia="黑体" w:cs="Times New Roman"/>
      <w:b/>
      <w:bCs/>
      <w:kern w:val="2"/>
      <w:sz w:val="32"/>
      <w:szCs w:val="32"/>
      <w:lang w:val="en-US" w:eastAsia="zh-CN" w:bidi="ar-SA"/>
    </w:rPr>
  </w:style>
  <w:style w:type="character" w:customStyle="1" w:styleId="97">
    <w:name w:val="font01"/>
    <w:basedOn w:val="49"/>
    <w:autoRedefine/>
    <w:qFormat/>
    <w:uiPriority w:val="0"/>
    <w:rPr>
      <w:rFonts w:hint="eastAsia" w:ascii="宋体" w:hAnsi="宋体" w:eastAsia="宋体" w:cs="宋体"/>
      <w:color w:val="000000"/>
      <w:sz w:val="24"/>
      <w:szCs w:val="24"/>
      <w:u w:val="none"/>
    </w:rPr>
  </w:style>
  <w:style w:type="paragraph" w:customStyle="1" w:styleId="98">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9">
    <w:name w:val=" Char Char Char Char"/>
    <w:basedOn w:val="1"/>
    <w:autoRedefine/>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00">
    <w:name w:val="样式 样式 宋体 小三 首行缩进:  2 字符 + 首行缩进:  2 字符"/>
    <w:basedOn w:val="1"/>
    <w:autoRedefine/>
    <w:qFormat/>
    <w:uiPriority w:val="0"/>
    <w:pPr>
      <w:spacing w:line="360" w:lineRule="auto"/>
      <w:ind w:firstLine="200" w:firstLineChars="200"/>
    </w:pPr>
    <w:rPr>
      <w:rFonts w:ascii="宋体" w:hAnsi="宋体"/>
      <w:sz w:val="28"/>
      <w:szCs w:val="20"/>
    </w:rPr>
  </w:style>
  <w:style w:type="paragraph" w:customStyle="1" w:styleId="101">
    <w:name w:val="Char1"/>
    <w:basedOn w:val="1"/>
    <w:autoRedefine/>
    <w:qFormat/>
    <w:uiPriority w:val="0"/>
    <w:pPr>
      <w:tabs>
        <w:tab w:val="left" w:pos="360"/>
      </w:tabs>
    </w:pPr>
    <w:rPr>
      <w:sz w:val="24"/>
    </w:rPr>
  </w:style>
  <w:style w:type="paragraph" w:customStyle="1" w:styleId="102">
    <w:name w:val="样式4"/>
    <w:basedOn w:val="4"/>
    <w:autoRedefine/>
    <w:qFormat/>
    <w:uiPriority w:val="0"/>
    <w:rPr>
      <w:rFonts w:eastAsia="Times New Roman"/>
    </w:rPr>
  </w:style>
  <w:style w:type="paragraph" w:customStyle="1" w:styleId="103">
    <w:name w:val="样式 标题 2 + Times New Roman 四号 非加粗 段前: 5 磅 段后: 0 磅 行距: 固定值 20..."/>
    <w:basedOn w:val="3"/>
    <w:next w:val="1"/>
    <w:autoRedefine/>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04">
    <w:name w:val="_Style 3"/>
    <w:basedOn w:val="1"/>
    <w:autoRedefine/>
    <w:qFormat/>
    <w:uiPriority w:val="34"/>
    <w:pPr>
      <w:ind w:firstLine="420" w:firstLineChars="200"/>
    </w:pPr>
  </w:style>
  <w:style w:type="paragraph" w:customStyle="1" w:styleId="105">
    <w:name w:val="正文2"/>
    <w:basedOn w:val="1"/>
    <w:autoRedefine/>
    <w:qFormat/>
    <w:uiPriority w:val="0"/>
    <w:pPr>
      <w:keepLines/>
      <w:widowControl/>
      <w:adjustRightInd w:val="0"/>
      <w:snapToGrid w:val="0"/>
      <w:spacing w:before="218" w:beforeLines="70" w:after="218" w:afterLines="70" w:line="360" w:lineRule="exact"/>
      <w:ind w:left="1247"/>
      <w:textAlignment w:val="baseline"/>
    </w:pPr>
    <w:rPr>
      <w:rFonts w:cs="Arial"/>
      <w:snapToGrid w:val="0"/>
      <w:spacing w:val="30"/>
      <w:kern w:val="0"/>
      <w:sz w:val="24"/>
      <w:lang w:val="en-GB"/>
    </w:rPr>
  </w:style>
  <w:style w:type="paragraph" w:customStyle="1" w:styleId="106">
    <w:name w:val="List Paragraph1"/>
    <w:basedOn w:val="1"/>
    <w:autoRedefine/>
    <w:qFormat/>
    <w:uiPriority w:val="0"/>
    <w:pPr>
      <w:ind w:firstLine="420" w:firstLineChars="200"/>
    </w:pPr>
  </w:style>
  <w:style w:type="paragraph" w:customStyle="1" w:styleId="107">
    <w:name w:val="Char2"/>
    <w:basedOn w:val="1"/>
    <w:autoRedefine/>
    <w:qFormat/>
    <w:uiPriority w:val="0"/>
    <w:pPr>
      <w:tabs>
        <w:tab w:val="left" w:pos="360"/>
      </w:tabs>
    </w:pPr>
    <w:rPr>
      <w:sz w:val="24"/>
    </w:rPr>
  </w:style>
  <w:style w:type="paragraph" w:customStyle="1" w:styleId="108">
    <w:name w:val="_Style 7"/>
    <w:basedOn w:val="1"/>
    <w:autoRedefine/>
    <w:qFormat/>
    <w:uiPriority w:val="99"/>
    <w:pPr>
      <w:ind w:firstLine="420" w:firstLineChars="200"/>
    </w:pPr>
    <w:rPr>
      <w:rFonts w:ascii="Calibri" w:hAnsi="Calibri"/>
      <w:kern w:val="0"/>
      <w:sz w:val="20"/>
    </w:rPr>
  </w:style>
  <w:style w:type="paragraph" w:customStyle="1" w:styleId="109">
    <w:name w:val="p0"/>
    <w:basedOn w:val="1"/>
    <w:autoRedefine/>
    <w:qFormat/>
    <w:uiPriority w:val="0"/>
    <w:pPr>
      <w:widowControl/>
    </w:pPr>
    <w:rPr>
      <w:kern w:val="0"/>
      <w:szCs w:val="21"/>
    </w:rPr>
  </w:style>
  <w:style w:type="paragraph" w:customStyle="1" w:styleId="110">
    <w:name w:val="样式 标题 1 + 黑体 三号 非加粗 居中 段前: 6 磅 段后: 6 磅 行距: 固定值 20 磅"/>
    <w:basedOn w:val="2"/>
    <w:autoRedefine/>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11">
    <w:name w:val="表格"/>
    <w:basedOn w:val="1"/>
    <w:autoRedefine/>
    <w:qFormat/>
    <w:uiPriority w:val="0"/>
    <w:pPr>
      <w:jc w:val="center"/>
      <w:textAlignment w:val="center"/>
    </w:pPr>
    <w:rPr>
      <w:rFonts w:ascii="华文细黑" w:hAnsi="华文细黑"/>
      <w:kern w:val="0"/>
      <w:szCs w:val="20"/>
    </w:rPr>
  </w:style>
  <w:style w:type="paragraph" w:customStyle="1" w:styleId="112">
    <w:name w:val="样式 小四 段前: 5 磅 段后: 5 磅 首行缩进:  2 字符"/>
    <w:basedOn w:val="1"/>
    <w:autoRedefine/>
    <w:qFormat/>
    <w:uiPriority w:val="0"/>
    <w:pPr>
      <w:spacing w:line="360" w:lineRule="auto"/>
    </w:pPr>
    <w:rPr>
      <w:rFonts w:ascii="宋体" w:hAnsi="宋体"/>
      <w:sz w:val="24"/>
      <w:szCs w:val="21"/>
    </w:rPr>
  </w:style>
  <w:style w:type="paragraph" w:customStyle="1" w:styleId="113">
    <w:name w:val="样式1"/>
    <w:basedOn w:val="4"/>
    <w:autoRedefine/>
    <w:qFormat/>
    <w:uiPriority w:val="0"/>
    <w:rPr>
      <w:rFonts w:eastAsia="Times New Roman"/>
    </w:rPr>
  </w:style>
  <w:style w:type="paragraph" w:styleId="114">
    <w:name w:val="List Paragraph"/>
    <w:basedOn w:val="1"/>
    <w:autoRedefine/>
    <w:qFormat/>
    <w:uiPriority w:val="99"/>
    <w:pPr>
      <w:ind w:firstLine="420" w:firstLineChars="200"/>
    </w:pPr>
    <w:rPr>
      <w:rFonts w:ascii="Calibri" w:hAnsi="Calibri"/>
      <w:szCs w:val="22"/>
    </w:rPr>
  </w:style>
  <w:style w:type="paragraph" w:customStyle="1" w:styleId="115">
    <w:name w:val="表格文字"/>
    <w:basedOn w:val="1"/>
    <w:autoRedefine/>
    <w:qFormat/>
    <w:uiPriority w:val="0"/>
    <w:pPr>
      <w:adjustRightInd w:val="0"/>
      <w:spacing w:line="420" w:lineRule="atLeast"/>
      <w:jc w:val="left"/>
      <w:textAlignment w:val="baseline"/>
    </w:pPr>
    <w:rPr>
      <w:kern w:val="0"/>
      <w:szCs w:val="20"/>
    </w:rPr>
  </w:style>
  <w:style w:type="paragraph" w:customStyle="1" w:styleId="116">
    <w:name w:val="Char"/>
    <w:basedOn w:val="1"/>
    <w:autoRedefine/>
    <w:qFormat/>
    <w:uiPriority w:val="0"/>
    <w:pPr>
      <w:tabs>
        <w:tab w:val="left" w:pos="360"/>
      </w:tabs>
    </w:pPr>
    <w:rPr>
      <w:sz w:val="24"/>
    </w:rPr>
  </w:style>
  <w:style w:type="paragraph" w:customStyle="1" w:styleId="117">
    <w:name w:val="Revision1"/>
    <w:autoRedefine/>
    <w:qFormat/>
    <w:uiPriority w:val="0"/>
    <w:rPr>
      <w:rFonts w:ascii="Times New Roman" w:hAnsi="Times New Roman" w:eastAsia="宋体" w:cs="Times New Roman"/>
      <w:kern w:val="2"/>
      <w:sz w:val="21"/>
      <w:szCs w:val="24"/>
      <w:lang w:val="en-US" w:eastAsia="zh-CN" w:bidi="ar-SA"/>
    </w:rPr>
  </w:style>
  <w:style w:type="paragraph" w:customStyle="1" w:styleId="118">
    <w:name w:val="_Style 2"/>
    <w:basedOn w:val="1"/>
    <w:autoRedefine/>
    <w:qFormat/>
    <w:uiPriority w:val="34"/>
    <w:pPr>
      <w:ind w:firstLine="420" w:firstLineChars="200"/>
    </w:pPr>
  </w:style>
  <w:style w:type="paragraph" w:customStyle="1" w:styleId="119">
    <w:name w:val="Char Char Char Char Char Char1 Char"/>
    <w:basedOn w:val="1"/>
    <w:autoRedefine/>
    <w:qFormat/>
    <w:uiPriority w:val="0"/>
    <w:pPr>
      <w:widowControl/>
      <w:spacing w:after="160" w:afterLines="0" w:line="240" w:lineRule="exact"/>
      <w:jc w:val="left"/>
    </w:pPr>
    <w:rPr>
      <w:rFonts w:ascii="Verdana" w:hAnsi="Verdana"/>
      <w:kern w:val="0"/>
      <w:szCs w:val="20"/>
      <w:lang w:eastAsia="en-US"/>
    </w:rPr>
  </w:style>
  <w:style w:type="paragraph" w:customStyle="1" w:styleId="120">
    <w:name w:val="普通正文缩进2字符"/>
    <w:basedOn w:val="1"/>
    <w:autoRedefine/>
    <w:qFormat/>
    <w:uiPriority w:val="99"/>
    <w:pPr>
      <w:adjustRightInd w:val="0"/>
      <w:snapToGrid w:val="0"/>
      <w:spacing w:line="300" w:lineRule="auto"/>
      <w:ind w:firstLine="200" w:firstLineChars="200"/>
      <w:jc w:val="left"/>
    </w:pPr>
    <w:rPr>
      <w:rFonts w:ascii="宋体" w:hAnsi="宋体" w:cs="宋体"/>
      <w:sz w:val="24"/>
    </w:rPr>
  </w:style>
  <w:style w:type="paragraph" w:customStyle="1" w:styleId="121">
    <w:name w:val="t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2">
    <w:name w:val="样式 标题 3 + (中文) 黑体 小四 非加粗 段前: 7.8 磅 段后: 0 磅 行距: 固定值 20 磅"/>
    <w:basedOn w:val="4"/>
    <w:autoRedefine/>
    <w:qFormat/>
    <w:uiPriority w:val="0"/>
    <w:pPr>
      <w:spacing w:before="0" w:beforeLines="0" w:after="0" w:afterLines="0" w:line="400" w:lineRule="exact"/>
    </w:pPr>
    <w:rPr>
      <w:rFonts w:eastAsia="黑体" w:cs="宋体"/>
      <w:b w:val="0"/>
      <w:bCs w:val="0"/>
      <w:sz w:val="24"/>
      <w:szCs w:val="20"/>
    </w:rPr>
  </w:style>
  <w:style w:type="paragraph" w:customStyle="1" w:styleId="123">
    <w:name w:val="样式3"/>
    <w:basedOn w:val="4"/>
    <w:autoRedefine/>
    <w:qFormat/>
    <w:uiPriority w:val="0"/>
    <w:rPr>
      <w:rFonts w:eastAsia="Times New Roman"/>
    </w:rPr>
  </w:style>
  <w:style w:type="paragraph" w:customStyle="1" w:styleId="124">
    <w:name w:val="1"/>
    <w:basedOn w:val="1"/>
    <w:next w:val="1"/>
    <w:autoRedefine/>
    <w:qFormat/>
    <w:uiPriority w:val="0"/>
  </w:style>
  <w:style w:type="paragraph" w:customStyle="1" w:styleId="125">
    <w:name w:val="样式2"/>
    <w:basedOn w:val="4"/>
    <w:autoRedefine/>
    <w:qFormat/>
    <w:uiPriority w:val="0"/>
  </w:style>
  <w:style w:type="paragraph" w:customStyle="1" w:styleId="126">
    <w:name w:val="默认段落字体 Para Char Char Char Char"/>
    <w:basedOn w:val="1"/>
    <w:autoRedefine/>
    <w:qFormat/>
    <w:uiPriority w:val="0"/>
  </w:style>
  <w:style w:type="paragraph" w:customStyle="1" w:styleId="127">
    <w:name w:val="3-正文-1-样式 行距: 1.5 倍行距 首行缩进:  2 字符"/>
    <w:basedOn w:val="1"/>
    <w:autoRedefine/>
    <w:qFormat/>
    <w:uiPriority w:val="0"/>
    <w:pPr>
      <w:spacing w:line="360" w:lineRule="auto"/>
      <w:ind w:firstLine="485" w:firstLineChars="202"/>
    </w:pPr>
    <w:rPr>
      <w:rFonts w:ascii="华文仿宋" w:hAnsi="华文仿宋" w:eastAsia="仿宋_GB2312" w:cs="宋体"/>
      <w:sz w:val="24"/>
      <w:szCs w:val="20"/>
    </w:rPr>
  </w:style>
  <w:style w:type="paragraph" w:customStyle="1" w:styleId="128">
    <w:name w:val="1正文"/>
    <w:basedOn w:val="1"/>
    <w:autoRedefine/>
    <w:qFormat/>
    <w:uiPriority w:val="0"/>
    <w:pPr>
      <w:widowControl/>
      <w:adjustRightInd w:val="0"/>
      <w:spacing w:line="360" w:lineRule="auto"/>
      <w:ind w:left="-38" w:leftChars="-38" w:firstLine="482"/>
      <w:jc w:val="left"/>
      <w:textAlignment w:val="baseline"/>
    </w:pPr>
    <w:rPr>
      <w:rFonts w:ascii="宋体" w:hAnsi="宋体" w:eastAsia="宋体" w:cs="Times New Roman"/>
      <w:kern w:val="0"/>
      <w:sz w:val="24"/>
      <w:szCs w:val="20"/>
    </w:rPr>
  </w:style>
  <w:style w:type="paragraph" w:customStyle="1" w:styleId="129">
    <w:name w:val="样式 小四"/>
    <w:autoRedefine/>
    <w:qFormat/>
    <w:uiPriority w:val="99"/>
    <w:pPr>
      <w:widowControl w:val="0"/>
      <w:adjustRightInd w:val="0"/>
      <w:spacing w:line="360" w:lineRule="atLeast"/>
      <w:textAlignment w:val="baseline"/>
    </w:pPr>
    <w:rPr>
      <w:rFonts w:ascii="Calibri" w:hAnsi="Calibri" w:eastAsia="宋体" w:cs="Calibri"/>
      <w:sz w:val="24"/>
      <w:szCs w:val="24"/>
      <w:lang w:val="en-US" w:eastAsia="zh-CN" w:bidi="ar-SA"/>
    </w:rPr>
  </w:style>
  <w:style w:type="character" w:customStyle="1" w:styleId="130">
    <w:name w:val="font71"/>
    <w:basedOn w:val="49"/>
    <w:autoRedefine/>
    <w:qFormat/>
    <w:uiPriority w:val="0"/>
    <w:rPr>
      <w:rFonts w:hint="eastAsia" w:ascii="宋体" w:hAnsi="宋体" w:eastAsia="宋体" w:cs="宋体"/>
      <w:b/>
      <w:bCs/>
      <w:color w:val="000000"/>
      <w:sz w:val="22"/>
      <w:szCs w:val="22"/>
      <w:u w:val="none"/>
    </w:rPr>
  </w:style>
  <w:style w:type="character" w:customStyle="1" w:styleId="131">
    <w:name w:val="font51"/>
    <w:basedOn w:val="49"/>
    <w:autoRedefine/>
    <w:qFormat/>
    <w:uiPriority w:val="0"/>
    <w:rPr>
      <w:rFonts w:hint="eastAsia" w:ascii="宋体" w:hAnsi="宋体" w:eastAsia="宋体" w:cs="宋体"/>
      <w:b/>
      <w:bCs/>
      <w:color w:val="000000"/>
      <w:sz w:val="22"/>
      <w:szCs w:val="22"/>
      <w:u w:val="none"/>
    </w:rPr>
  </w:style>
  <w:style w:type="character" w:customStyle="1" w:styleId="132">
    <w:name w:val="font81"/>
    <w:basedOn w:val="49"/>
    <w:autoRedefine/>
    <w:qFormat/>
    <w:uiPriority w:val="0"/>
    <w:rPr>
      <w:rFonts w:hint="eastAsia" w:ascii="宋体" w:hAnsi="宋体" w:eastAsia="宋体" w:cs="宋体"/>
      <w:color w:val="000000"/>
      <w:sz w:val="22"/>
      <w:szCs w:val="22"/>
      <w:u w:val="none"/>
    </w:rPr>
  </w:style>
  <w:style w:type="paragraph" w:customStyle="1" w:styleId="133">
    <w:name w:val="标题 5（有编号）（绿盟科技）"/>
    <w:basedOn w:val="1"/>
    <w:next w:val="134"/>
    <w:autoRedefine/>
    <w:qFormat/>
    <w:uiPriority w:val="0"/>
    <w:pPr>
      <w:keepNext/>
      <w:keepLines/>
      <w:numPr>
        <w:ilvl w:val="4"/>
        <w:numId w:val="3"/>
      </w:numPr>
      <w:spacing w:before="280" w:after="156" w:line="377" w:lineRule="auto"/>
      <w:jc w:val="left"/>
      <w:outlineLvl w:val="4"/>
    </w:pPr>
    <w:rPr>
      <w:rFonts w:ascii="Arial" w:hAnsi="Arial" w:eastAsia="黑体"/>
      <w:b/>
      <w:kern w:val="0"/>
      <w:sz w:val="24"/>
      <w:szCs w:val="28"/>
    </w:rPr>
  </w:style>
  <w:style w:type="paragraph" w:customStyle="1" w:styleId="134">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135">
    <w:name w:val="Table Paragraph"/>
    <w:basedOn w:val="1"/>
    <w:autoRedefine/>
    <w:qFormat/>
    <w:uiPriority w:val="1"/>
    <w:rPr>
      <w:rFonts w:ascii="宋体" w:hAnsi="宋体" w:eastAsia="宋体" w:cs="宋体"/>
    </w:rPr>
  </w:style>
  <w:style w:type="character" w:customStyle="1" w:styleId="136">
    <w:name w:val="font61"/>
    <w:basedOn w:val="49"/>
    <w:autoRedefine/>
    <w:qFormat/>
    <w:uiPriority w:val="0"/>
    <w:rPr>
      <w:rFonts w:hint="eastAsia" w:ascii="宋体" w:hAnsi="宋体" w:eastAsia="宋体" w:cs="宋体"/>
      <w:color w:val="000000"/>
      <w:sz w:val="20"/>
      <w:szCs w:val="20"/>
      <w:u w:val="none"/>
    </w:rPr>
  </w:style>
  <w:style w:type="character" w:customStyle="1" w:styleId="137">
    <w:name w:val="font91"/>
    <w:basedOn w:val="49"/>
    <w:autoRedefine/>
    <w:qFormat/>
    <w:uiPriority w:val="0"/>
    <w:rPr>
      <w:rFonts w:hint="default" w:ascii="Arial" w:hAnsi="Arial" w:cs="Arial"/>
      <w:color w:val="000000"/>
      <w:sz w:val="20"/>
      <w:szCs w:val="20"/>
      <w:u w:val="none"/>
    </w:rPr>
  </w:style>
  <w:style w:type="character" w:customStyle="1" w:styleId="138">
    <w:name w:val="font101"/>
    <w:basedOn w:val="49"/>
    <w:autoRedefine/>
    <w:qFormat/>
    <w:uiPriority w:val="0"/>
    <w:rPr>
      <w:rFonts w:hint="eastAsia" w:ascii="宋体" w:hAnsi="宋体" w:eastAsia="宋体" w:cs="宋体"/>
      <w:b/>
      <w:bCs/>
      <w:color w:val="000000"/>
      <w:sz w:val="28"/>
      <w:szCs w:val="28"/>
      <w:u w:val="none"/>
    </w:rPr>
  </w:style>
  <w:style w:type="paragraph" w:customStyle="1" w:styleId="139">
    <w:name w:val="Normal_73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0">
    <w:name w:val="样式 正文（首行缩进两字） + 宋体 小四"/>
    <w:basedOn w:val="5"/>
    <w:autoRedefine/>
    <w:qFormat/>
    <w:uiPriority w:val="0"/>
    <w:pPr>
      <w:spacing w:line="100" w:lineRule="atLeast"/>
      <w:ind w:firstLine="614" w:firstLineChars="192"/>
      <w:jc w:val="left"/>
    </w:pPr>
    <w:rPr>
      <w:rFonts w:ascii="仿宋_GB2312" w:hAnsi="宋体" w:eastAsia="仿宋_GB2312" w:cs="Times New Roman"/>
      <w:sz w:val="32"/>
      <w:szCs w:val="20"/>
    </w:rPr>
  </w:style>
  <w:style w:type="paragraph" w:styleId="141">
    <w:name w:val="No Spacing"/>
    <w:autoRedefine/>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142">
    <w:name w:val="Table Text"/>
    <w:basedOn w:val="1"/>
    <w:semiHidden/>
    <w:qFormat/>
    <w:uiPriority w:val="0"/>
    <w:rPr>
      <w:rFonts w:ascii="宋体" w:hAnsi="宋体" w:eastAsia="宋体" w:cs="宋体"/>
      <w:sz w:val="24"/>
      <w:szCs w:val="24"/>
      <w:lang w:val="en-US" w:eastAsia="en-US" w:bidi="ar-SA"/>
    </w:rPr>
  </w:style>
  <w:style w:type="table" w:customStyle="1" w:styleId="14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header" Target="header4.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72</Pages>
  <Words>5013</Words>
  <Characters>5794</Characters>
  <Lines>236</Lines>
  <Paragraphs>66</Paragraphs>
  <TotalTime>15</TotalTime>
  <ScaleCrop>false</ScaleCrop>
  <LinksUpToDate>false</LinksUpToDate>
  <CharactersWithSpaces>5858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2023-06-15T08:10:00Z</dcterms:created>
  <dc:creator>dgh</dc:creator>
  <cp:lastModifiedBy>Administrator</cp:lastModifiedBy>
  <cp:lastPrinted>2024-03-12T08:20:00Z</cp:lastPrinted>
  <dcterms:modified xsi:type="dcterms:W3CDTF">2025-07-07T06:35:34Z</dcterms:modified>
  <dc:title>招标文件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FC402892B84B4FE684CAA2A5FDB486CD_13</vt:lpwstr>
  </property>
  <property fmtid="{D5CDD505-2E9C-101B-9397-08002B2CF9AE}" pid="4" name="KSOTemplateDocerSaveRecord">
    <vt:lpwstr>eyJoZGlkIjoiOGFkZThmYTNlNWE2NWUwOTRjMDIwZDZiMzNlNjU3ODgifQ==</vt:lpwstr>
  </property>
</Properties>
</file>