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EF7EC">
      <w:pPr>
        <w:pStyle w:val="8"/>
        <w:spacing w:line="281" w:lineRule="auto"/>
        <w:rPr>
          <w:rFonts w:hint="eastAsia" w:ascii="宋体" w:hAnsi="宋体" w:eastAsia="宋体" w:cs="宋体"/>
          <w:color w:val="auto"/>
          <w:highlight w:val="none"/>
        </w:rPr>
      </w:pPr>
    </w:p>
    <w:p w14:paraId="2698A516">
      <w:pPr>
        <w:pStyle w:val="8"/>
        <w:spacing w:line="282" w:lineRule="auto"/>
        <w:rPr>
          <w:rFonts w:hint="eastAsia" w:ascii="宋体" w:hAnsi="宋体" w:eastAsia="宋体" w:cs="宋体"/>
          <w:color w:val="auto"/>
          <w:highlight w:val="none"/>
        </w:rPr>
      </w:pPr>
    </w:p>
    <w:p w14:paraId="75EE4382">
      <w:pPr>
        <w:pStyle w:val="8"/>
        <w:spacing w:line="282" w:lineRule="auto"/>
        <w:rPr>
          <w:rFonts w:hint="eastAsia" w:ascii="宋体" w:hAnsi="宋体" w:eastAsia="宋体" w:cs="宋体"/>
          <w:color w:val="auto"/>
          <w:highlight w:val="none"/>
        </w:rPr>
      </w:pPr>
    </w:p>
    <w:p w14:paraId="284B5E78">
      <w:pPr>
        <w:pStyle w:val="8"/>
        <w:spacing w:line="282" w:lineRule="auto"/>
        <w:rPr>
          <w:rFonts w:hint="eastAsia" w:ascii="宋体" w:hAnsi="宋体" w:eastAsia="宋体" w:cs="宋体"/>
          <w:color w:val="auto"/>
          <w:highlight w:val="none"/>
        </w:rPr>
      </w:pPr>
    </w:p>
    <w:p w14:paraId="30D0705F">
      <w:pPr>
        <w:spacing w:before="114" w:line="224" w:lineRule="auto"/>
        <w:ind w:left="27"/>
        <w:jc w:val="center"/>
        <w:rPr>
          <w:rFonts w:hint="eastAsia" w:ascii="宋体" w:hAnsi="宋体" w:eastAsia="宋体" w:cs="宋体"/>
          <w:color w:val="auto"/>
          <w:sz w:val="56"/>
          <w:szCs w:val="56"/>
          <w:highlight w:val="none"/>
          <w:lang w:eastAsia="zh-CN"/>
        </w:rPr>
      </w:pPr>
      <w:r>
        <w:rPr>
          <w:rFonts w:hint="eastAsia" w:ascii="宋体" w:hAnsi="宋体" w:cs="宋体"/>
          <w:b/>
          <w:bCs/>
          <w:color w:val="auto"/>
          <w:spacing w:val="7"/>
          <w:sz w:val="56"/>
          <w:szCs w:val="56"/>
          <w:highlight w:val="none"/>
          <w:lang w:eastAsia="zh-CN"/>
        </w:rPr>
        <w:t>长春新区教育局学校多媒体教室设备采购项目（一）</w:t>
      </w:r>
    </w:p>
    <w:p w14:paraId="1C642BA9">
      <w:pPr>
        <w:pStyle w:val="8"/>
        <w:spacing w:line="260" w:lineRule="auto"/>
        <w:rPr>
          <w:rFonts w:hint="eastAsia" w:ascii="宋体" w:hAnsi="宋体" w:eastAsia="宋体" w:cs="宋体"/>
          <w:color w:val="auto"/>
          <w:highlight w:val="none"/>
          <w:lang w:eastAsia="zh-CN"/>
        </w:rPr>
      </w:pPr>
    </w:p>
    <w:p w14:paraId="0734E7DE">
      <w:pPr>
        <w:pStyle w:val="8"/>
        <w:spacing w:line="261" w:lineRule="auto"/>
        <w:rPr>
          <w:rFonts w:hint="eastAsia" w:ascii="宋体" w:hAnsi="宋体" w:eastAsia="宋体" w:cs="宋体"/>
          <w:color w:val="auto"/>
          <w:highlight w:val="none"/>
          <w:lang w:eastAsia="zh-CN"/>
        </w:rPr>
      </w:pPr>
    </w:p>
    <w:p w14:paraId="68172886">
      <w:pPr>
        <w:pStyle w:val="8"/>
        <w:spacing w:line="261" w:lineRule="auto"/>
        <w:rPr>
          <w:rFonts w:hint="eastAsia" w:ascii="宋体" w:hAnsi="宋体" w:eastAsia="宋体" w:cs="宋体"/>
          <w:color w:val="auto"/>
          <w:highlight w:val="none"/>
          <w:lang w:eastAsia="zh-CN"/>
        </w:rPr>
      </w:pPr>
    </w:p>
    <w:p w14:paraId="5DCB8D75">
      <w:pPr>
        <w:pStyle w:val="8"/>
        <w:spacing w:line="261" w:lineRule="auto"/>
        <w:rPr>
          <w:rFonts w:hint="eastAsia" w:ascii="宋体" w:hAnsi="宋体" w:eastAsia="宋体" w:cs="宋体"/>
          <w:color w:val="auto"/>
          <w:highlight w:val="none"/>
          <w:lang w:eastAsia="zh-CN"/>
        </w:rPr>
      </w:pPr>
    </w:p>
    <w:p w14:paraId="218E0B07">
      <w:pPr>
        <w:rPr>
          <w:rFonts w:hint="eastAsia" w:ascii="宋体" w:hAnsi="宋体" w:eastAsia="宋体" w:cs="宋体"/>
          <w:color w:val="auto"/>
          <w:highlight w:val="none"/>
          <w:lang w:eastAsia="zh-CN"/>
        </w:rPr>
      </w:pPr>
    </w:p>
    <w:p w14:paraId="62FCC1CC">
      <w:pPr>
        <w:pStyle w:val="2"/>
        <w:numPr>
          <w:ilvl w:val="0"/>
          <w:numId w:val="0"/>
        </w:numPr>
        <w:ind w:left="540" w:leftChars="0"/>
        <w:rPr>
          <w:rFonts w:hint="eastAsia"/>
          <w:color w:val="auto"/>
          <w:highlight w:val="none"/>
          <w:lang w:eastAsia="zh-CN"/>
        </w:rPr>
      </w:pPr>
    </w:p>
    <w:p w14:paraId="13FC5F02">
      <w:pPr>
        <w:rPr>
          <w:rFonts w:hint="eastAsia"/>
          <w:color w:val="auto"/>
          <w:highlight w:val="none"/>
          <w:lang w:eastAsia="zh-CN"/>
        </w:rPr>
      </w:pPr>
    </w:p>
    <w:p w14:paraId="6BBC0BEA">
      <w:pPr>
        <w:pStyle w:val="8"/>
        <w:spacing w:line="261" w:lineRule="auto"/>
        <w:rPr>
          <w:rFonts w:hint="eastAsia" w:ascii="宋体" w:hAnsi="宋体" w:eastAsia="宋体" w:cs="宋体"/>
          <w:color w:val="auto"/>
          <w:highlight w:val="none"/>
          <w:lang w:eastAsia="zh-CN"/>
        </w:rPr>
      </w:pPr>
    </w:p>
    <w:p w14:paraId="18392E39">
      <w:pPr>
        <w:spacing w:before="305" w:line="200" w:lineRule="auto"/>
        <w:ind w:left="1698"/>
        <w:outlineLvl w:val="0"/>
        <w:rPr>
          <w:rFonts w:hint="eastAsia" w:ascii="宋体" w:hAnsi="宋体" w:eastAsia="宋体" w:cs="宋体"/>
          <w:color w:val="auto"/>
          <w:sz w:val="96"/>
          <w:szCs w:val="96"/>
          <w:highlight w:val="none"/>
          <w:lang w:eastAsia="zh-CN"/>
        </w:rPr>
      </w:pPr>
      <w:bookmarkStart w:id="0" w:name="_Toc79"/>
      <w:bookmarkStart w:id="1" w:name="_Toc18778"/>
      <w:r>
        <w:rPr>
          <w:rFonts w:hint="eastAsia" w:ascii="宋体" w:hAnsi="宋体" w:eastAsia="宋体" w:cs="宋体"/>
          <w:b/>
          <w:bCs/>
          <w:color w:val="auto"/>
          <w:spacing w:val="-25"/>
          <w:sz w:val="96"/>
          <w:szCs w:val="96"/>
          <w:highlight w:val="none"/>
          <w:lang w:eastAsia="zh-CN"/>
        </w:rPr>
        <w:t>招 标 文 件</w:t>
      </w:r>
      <w:bookmarkEnd w:id="0"/>
      <w:bookmarkEnd w:id="1"/>
    </w:p>
    <w:p w14:paraId="1A1197BA">
      <w:pPr>
        <w:pStyle w:val="8"/>
        <w:spacing w:line="264" w:lineRule="auto"/>
        <w:rPr>
          <w:rFonts w:hint="eastAsia" w:ascii="宋体" w:hAnsi="宋体" w:eastAsia="宋体" w:cs="宋体"/>
          <w:color w:val="auto"/>
          <w:highlight w:val="none"/>
          <w:lang w:eastAsia="zh-CN"/>
        </w:rPr>
      </w:pPr>
    </w:p>
    <w:p w14:paraId="705DAA04">
      <w:pPr>
        <w:pStyle w:val="8"/>
        <w:spacing w:line="264" w:lineRule="auto"/>
        <w:rPr>
          <w:rFonts w:hint="eastAsia" w:ascii="宋体" w:hAnsi="宋体" w:eastAsia="宋体" w:cs="宋体"/>
          <w:color w:val="auto"/>
          <w:highlight w:val="none"/>
          <w:lang w:eastAsia="zh-CN"/>
        </w:rPr>
      </w:pPr>
    </w:p>
    <w:p w14:paraId="3A3D6F7E">
      <w:pPr>
        <w:spacing w:before="101" w:line="225" w:lineRule="auto"/>
        <w:jc w:val="center"/>
        <w:rPr>
          <w:rFonts w:hint="default" w:ascii="宋体" w:hAnsi="宋体" w:eastAsia="宋体" w:cs="宋体"/>
          <w:color w:val="auto"/>
          <w:sz w:val="31"/>
          <w:szCs w:val="31"/>
          <w:highlight w:val="none"/>
          <w:lang w:val="en-US" w:eastAsia="zh-CN"/>
        </w:rPr>
      </w:pPr>
      <w:r>
        <w:rPr>
          <w:rFonts w:hint="eastAsia" w:ascii="宋体" w:hAnsi="宋体" w:eastAsia="宋体" w:cs="宋体"/>
          <w:b/>
          <w:bCs/>
          <w:color w:val="auto"/>
          <w:spacing w:val="4"/>
          <w:sz w:val="31"/>
          <w:szCs w:val="31"/>
          <w:highlight w:val="none"/>
          <w:lang w:eastAsia="zh-CN"/>
        </w:rPr>
        <w:t>项目编号：</w:t>
      </w:r>
      <w:r>
        <w:rPr>
          <w:rFonts w:hint="eastAsia" w:ascii="宋体" w:hAnsi="宋体" w:cs="宋体"/>
          <w:b/>
          <w:bCs/>
          <w:color w:val="auto"/>
          <w:spacing w:val="4"/>
          <w:sz w:val="31"/>
          <w:szCs w:val="31"/>
          <w:highlight w:val="none"/>
          <w:lang w:eastAsia="zh-CN"/>
        </w:rPr>
        <w:t>XQZC2025-031</w:t>
      </w:r>
    </w:p>
    <w:p w14:paraId="4E726716">
      <w:pPr>
        <w:pStyle w:val="8"/>
        <w:spacing w:line="247" w:lineRule="auto"/>
        <w:rPr>
          <w:rFonts w:hint="eastAsia" w:ascii="宋体" w:hAnsi="宋体" w:eastAsia="宋体" w:cs="宋体"/>
          <w:color w:val="auto"/>
          <w:highlight w:val="none"/>
          <w:lang w:eastAsia="zh-CN"/>
        </w:rPr>
      </w:pPr>
    </w:p>
    <w:p w14:paraId="08A5307B">
      <w:pPr>
        <w:pStyle w:val="8"/>
        <w:spacing w:line="247" w:lineRule="auto"/>
        <w:rPr>
          <w:rFonts w:hint="eastAsia" w:ascii="宋体" w:hAnsi="宋体" w:eastAsia="宋体" w:cs="宋体"/>
          <w:color w:val="auto"/>
          <w:highlight w:val="none"/>
          <w:lang w:eastAsia="zh-CN"/>
        </w:rPr>
      </w:pPr>
    </w:p>
    <w:p w14:paraId="73E32D94">
      <w:pPr>
        <w:pStyle w:val="8"/>
        <w:spacing w:line="247" w:lineRule="auto"/>
        <w:rPr>
          <w:rFonts w:hint="eastAsia" w:ascii="宋体" w:hAnsi="宋体" w:eastAsia="宋体" w:cs="宋体"/>
          <w:color w:val="auto"/>
          <w:highlight w:val="none"/>
          <w:lang w:eastAsia="zh-CN"/>
        </w:rPr>
      </w:pPr>
    </w:p>
    <w:p w14:paraId="40A2CF7B">
      <w:pPr>
        <w:pStyle w:val="8"/>
        <w:spacing w:line="247" w:lineRule="auto"/>
        <w:rPr>
          <w:rFonts w:hint="eastAsia" w:ascii="宋体" w:hAnsi="宋体" w:eastAsia="宋体" w:cs="宋体"/>
          <w:color w:val="auto"/>
          <w:highlight w:val="none"/>
          <w:lang w:eastAsia="zh-CN"/>
        </w:rPr>
      </w:pPr>
    </w:p>
    <w:p w14:paraId="41374E32">
      <w:pPr>
        <w:pStyle w:val="8"/>
        <w:spacing w:line="247" w:lineRule="auto"/>
        <w:rPr>
          <w:rFonts w:hint="eastAsia" w:ascii="宋体" w:hAnsi="宋体" w:eastAsia="宋体" w:cs="宋体"/>
          <w:color w:val="auto"/>
          <w:highlight w:val="none"/>
          <w:lang w:eastAsia="zh-CN"/>
        </w:rPr>
      </w:pPr>
    </w:p>
    <w:p w14:paraId="7DA46267">
      <w:pPr>
        <w:pStyle w:val="8"/>
        <w:spacing w:line="247" w:lineRule="auto"/>
        <w:rPr>
          <w:rFonts w:hint="eastAsia" w:ascii="宋体" w:hAnsi="宋体" w:eastAsia="宋体" w:cs="宋体"/>
          <w:color w:val="auto"/>
          <w:highlight w:val="none"/>
          <w:lang w:eastAsia="zh-CN"/>
        </w:rPr>
      </w:pPr>
    </w:p>
    <w:p w14:paraId="45E22181">
      <w:pPr>
        <w:pStyle w:val="8"/>
        <w:spacing w:line="247" w:lineRule="auto"/>
        <w:rPr>
          <w:rFonts w:hint="eastAsia" w:ascii="宋体" w:hAnsi="宋体" w:eastAsia="宋体" w:cs="宋体"/>
          <w:color w:val="auto"/>
          <w:highlight w:val="none"/>
          <w:lang w:eastAsia="zh-CN"/>
        </w:rPr>
      </w:pPr>
    </w:p>
    <w:p w14:paraId="6D11883B">
      <w:pPr>
        <w:pStyle w:val="8"/>
        <w:spacing w:line="248" w:lineRule="auto"/>
        <w:rPr>
          <w:rFonts w:hint="eastAsia" w:ascii="宋体" w:hAnsi="宋体" w:eastAsia="宋体" w:cs="宋体"/>
          <w:color w:val="auto"/>
          <w:highlight w:val="none"/>
          <w:lang w:eastAsia="zh-CN"/>
        </w:rPr>
      </w:pPr>
    </w:p>
    <w:p w14:paraId="3F58C504">
      <w:pPr>
        <w:rPr>
          <w:rFonts w:hint="eastAsia" w:ascii="宋体" w:hAnsi="宋体" w:eastAsia="宋体" w:cs="宋体"/>
          <w:color w:val="auto"/>
          <w:highlight w:val="none"/>
          <w:lang w:eastAsia="zh-CN"/>
        </w:rPr>
      </w:pPr>
    </w:p>
    <w:p w14:paraId="33893373">
      <w:pPr>
        <w:pStyle w:val="8"/>
        <w:rPr>
          <w:rFonts w:hint="eastAsia" w:ascii="宋体" w:hAnsi="宋体" w:eastAsia="宋体" w:cs="宋体"/>
          <w:color w:val="auto"/>
          <w:highlight w:val="none"/>
          <w:lang w:eastAsia="zh-CN"/>
        </w:rPr>
      </w:pPr>
    </w:p>
    <w:p w14:paraId="5237593D">
      <w:pPr>
        <w:rPr>
          <w:rFonts w:hint="eastAsia"/>
          <w:color w:val="auto"/>
          <w:highlight w:val="none"/>
          <w:lang w:eastAsia="zh-CN"/>
        </w:rPr>
      </w:pPr>
    </w:p>
    <w:p w14:paraId="3F16DDAB">
      <w:pPr>
        <w:pStyle w:val="8"/>
        <w:spacing w:line="248" w:lineRule="auto"/>
        <w:rPr>
          <w:rFonts w:hint="eastAsia" w:ascii="宋体" w:hAnsi="宋体" w:eastAsia="宋体" w:cs="宋体"/>
          <w:color w:val="auto"/>
          <w:highlight w:val="none"/>
          <w:lang w:eastAsia="zh-CN"/>
        </w:rPr>
      </w:pPr>
    </w:p>
    <w:p w14:paraId="3B4CA899">
      <w:pPr>
        <w:pStyle w:val="8"/>
        <w:spacing w:line="248" w:lineRule="auto"/>
        <w:rPr>
          <w:rFonts w:hint="eastAsia" w:ascii="宋体" w:hAnsi="宋体" w:eastAsia="宋体" w:cs="宋体"/>
          <w:color w:val="auto"/>
          <w:highlight w:val="none"/>
          <w:lang w:eastAsia="zh-CN"/>
        </w:rPr>
      </w:pPr>
    </w:p>
    <w:p w14:paraId="63C22487">
      <w:pPr>
        <w:spacing w:before="91" w:line="219" w:lineRule="auto"/>
        <w:jc w:val="center"/>
        <w:rPr>
          <w:rFonts w:hint="eastAsia" w:ascii="宋体" w:hAnsi="宋体" w:eastAsia="宋体" w:cs="宋体"/>
          <w:color w:val="auto"/>
          <w:sz w:val="28"/>
          <w:szCs w:val="28"/>
          <w:highlight w:val="none"/>
          <w:u w:val="none"/>
          <w:lang w:eastAsia="zh-CN"/>
        </w:rPr>
      </w:pPr>
      <w:r>
        <w:rPr>
          <w:rFonts w:hint="eastAsia" w:ascii="宋体" w:hAnsi="宋体" w:eastAsia="宋体" w:cs="宋体"/>
          <w:b/>
          <w:bCs/>
          <w:color w:val="auto"/>
          <w:spacing w:val="-2"/>
          <w:sz w:val="28"/>
          <w:szCs w:val="28"/>
          <w:highlight w:val="none"/>
          <w:lang w:eastAsia="zh-CN"/>
        </w:rPr>
        <w:t>采</w:t>
      </w:r>
      <w:r>
        <w:rPr>
          <w:rFonts w:hint="eastAsia" w:ascii="宋体" w:hAnsi="宋体" w:cs="宋体"/>
          <w:b/>
          <w:bCs/>
          <w:color w:val="auto"/>
          <w:spacing w:val="-2"/>
          <w:sz w:val="28"/>
          <w:szCs w:val="28"/>
          <w:highlight w:val="none"/>
          <w:lang w:val="en-US" w:eastAsia="zh-CN"/>
        </w:rPr>
        <w:t xml:space="preserve">  </w:t>
      </w:r>
      <w:r>
        <w:rPr>
          <w:rFonts w:hint="eastAsia" w:ascii="宋体" w:hAnsi="宋体" w:eastAsia="宋体" w:cs="宋体"/>
          <w:b/>
          <w:bCs/>
          <w:color w:val="auto"/>
          <w:spacing w:val="-2"/>
          <w:sz w:val="28"/>
          <w:szCs w:val="28"/>
          <w:highlight w:val="none"/>
          <w:lang w:eastAsia="zh-CN"/>
        </w:rPr>
        <w:t>购</w:t>
      </w:r>
      <w:r>
        <w:rPr>
          <w:rFonts w:hint="eastAsia" w:ascii="宋体" w:hAnsi="宋体" w:cs="宋体"/>
          <w:b/>
          <w:bCs/>
          <w:color w:val="auto"/>
          <w:spacing w:val="-2"/>
          <w:sz w:val="28"/>
          <w:szCs w:val="28"/>
          <w:highlight w:val="none"/>
          <w:lang w:val="en-US" w:eastAsia="zh-CN"/>
        </w:rPr>
        <w:t xml:space="preserve">  </w:t>
      </w:r>
      <w:r>
        <w:rPr>
          <w:rFonts w:hint="eastAsia" w:ascii="宋体" w:hAnsi="宋体" w:eastAsia="宋体" w:cs="宋体"/>
          <w:b/>
          <w:bCs/>
          <w:color w:val="auto"/>
          <w:spacing w:val="-2"/>
          <w:sz w:val="28"/>
          <w:szCs w:val="28"/>
          <w:highlight w:val="none"/>
          <w:lang w:eastAsia="zh-CN"/>
        </w:rPr>
        <w:t>人：</w:t>
      </w:r>
      <w:r>
        <w:rPr>
          <w:rFonts w:hint="eastAsia" w:ascii="宋体" w:hAnsi="宋体" w:eastAsia="宋体" w:cs="宋体"/>
          <w:b/>
          <w:bCs/>
          <w:color w:val="auto"/>
          <w:spacing w:val="-2"/>
          <w:sz w:val="28"/>
          <w:szCs w:val="28"/>
          <w:highlight w:val="none"/>
          <w:u w:val="none"/>
          <w:lang w:eastAsia="zh-CN"/>
        </w:rPr>
        <w:t>长春新区教育局</w:t>
      </w:r>
    </w:p>
    <w:p w14:paraId="26538258">
      <w:pPr>
        <w:spacing w:before="291" w:line="219" w:lineRule="auto"/>
        <w:ind w:left="146"/>
        <w:jc w:val="center"/>
        <w:rPr>
          <w:rFonts w:hint="eastAsia" w:ascii="宋体" w:hAnsi="宋体" w:eastAsia="宋体" w:cs="宋体"/>
          <w:b/>
          <w:bCs/>
          <w:color w:val="auto"/>
          <w:spacing w:val="-4"/>
          <w:sz w:val="28"/>
          <w:szCs w:val="28"/>
          <w:highlight w:val="none"/>
          <w:u w:val="none"/>
          <w:lang w:eastAsia="zh-CN"/>
        </w:rPr>
      </w:pPr>
    </w:p>
    <w:p w14:paraId="29A09F73">
      <w:pPr>
        <w:spacing w:before="291" w:line="219" w:lineRule="auto"/>
        <w:ind w:left="146"/>
        <w:jc w:val="center"/>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u w:val="none"/>
          <w:lang w:eastAsia="zh-CN"/>
        </w:rPr>
        <w:t>采购代理机构：</w:t>
      </w:r>
      <w:r>
        <w:rPr>
          <w:rFonts w:hint="eastAsia" w:ascii="宋体" w:hAnsi="宋体" w:cs="宋体"/>
          <w:b/>
          <w:bCs/>
          <w:color w:val="auto"/>
          <w:spacing w:val="-4"/>
          <w:sz w:val="28"/>
          <w:szCs w:val="28"/>
          <w:highlight w:val="none"/>
          <w:u w:val="none"/>
          <w:lang w:eastAsia="zh-CN"/>
        </w:rPr>
        <w:t>吉林省安晟项目管理有限公司</w:t>
      </w:r>
    </w:p>
    <w:p w14:paraId="529F8941">
      <w:pPr>
        <w:spacing w:before="291" w:line="219" w:lineRule="auto"/>
        <w:ind w:left="146"/>
        <w:jc w:val="center"/>
        <w:rPr>
          <w:rFonts w:hint="eastAsia" w:ascii="宋体" w:hAnsi="宋体" w:eastAsia="宋体" w:cs="宋体"/>
          <w:b/>
          <w:bCs/>
          <w:color w:val="auto"/>
          <w:spacing w:val="-4"/>
          <w:sz w:val="28"/>
          <w:szCs w:val="28"/>
          <w:highlight w:val="none"/>
          <w:lang w:eastAsia="zh-CN"/>
        </w:rPr>
      </w:pPr>
    </w:p>
    <w:p w14:paraId="59ABA5CC">
      <w:pPr>
        <w:spacing w:before="291" w:line="219" w:lineRule="auto"/>
        <w:ind w:left="146"/>
        <w:jc w:val="center"/>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日期：202</w:t>
      </w:r>
      <w:r>
        <w:rPr>
          <w:rFonts w:hint="eastAsia" w:ascii="宋体" w:hAnsi="宋体" w:cs="宋体"/>
          <w:b/>
          <w:bCs/>
          <w:color w:val="auto"/>
          <w:spacing w:val="-4"/>
          <w:sz w:val="28"/>
          <w:szCs w:val="28"/>
          <w:highlight w:val="none"/>
          <w:lang w:val="en-US" w:eastAsia="zh-CN"/>
        </w:rPr>
        <w:t>5</w:t>
      </w:r>
      <w:r>
        <w:rPr>
          <w:rFonts w:hint="eastAsia" w:ascii="宋体" w:hAnsi="宋体" w:eastAsia="宋体" w:cs="宋体"/>
          <w:b/>
          <w:bCs/>
          <w:color w:val="auto"/>
          <w:spacing w:val="-4"/>
          <w:sz w:val="28"/>
          <w:szCs w:val="28"/>
          <w:highlight w:val="none"/>
          <w:lang w:eastAsia="zh-CN"/>
        </w:rPr>
        <w:t>年</w:t>
      </w:r>
      <w:r>
        <w:rPr>
          <w:rFonts w:hint="eastAsia" w:ascii="宋体" w:hAnsi="宋体" w:cs="宋体"/>
          <w:b/>
          <w:bCs/>
          <w:color w:val="auto"/>
          <w:spacing w:val="-4"/>
          <w:sz w:val="28"/>
          <w:szCs w:val="28"/>
          <w:highlight w:val="none"/>
          <w:lang w:val="en-US" w:eastAsia="zh-CN"/>
        </w:rPr>
        <w:t>6</w:t>
      </w:r>
      <w:r>
        <w:rPr>
          <w:rFonts w:hint="eastAsia" w:ascii="宋体" w:hAnsi="宋体" w:eastAsia="宋体" w:cs="宋体"/>
          <w:b/>
          <w:bCs/>
          <w:color w:val="auto"/>
          <w:spacing w:val="-4"/>
          <w:sz w:val="28"/>
          <w:szCs w:val="28"/>
          <w:highlight w:val="none"/>
          <w:lang w:eastAsia="zh-CN"/>
        </w:rPr>
        <w:t>月</w:t>
      </w:r>
    </w:p>
    <w:p w14:paraId="4E51BDD7">
      <w:pPr>
        <w:spacing w:line="228" w:lineRule="auto"/>
        <w:rPr>
          <w:rFonts w:hint="eastAsia" w:ascii="宋体" w:hAnsi="宋体" w:eastAsia="宋体" w:cs="宋体"/>
          <w:color w:val="auto"/>
          <w:sz w:val="31"/>
          <w:szCs w:val="31"/>
          <w:highlight w:val="none"/>
          <w:lang w:eastAsia="zh-CN"/>
        </w:rPr>
        <w:sectPr>
          <w:headerReference r:id="rId3" w:type="default"/>
          <w:pgSz w:w="11906" w:h="16839"/>
          <w:pgMar w:top="1431" w:right="1785" w:bottom="567" w:left="1785" w:header="0" w:footer="0" w:gutter="0"/>
          <w:cols w:space="720" w:num="1"/>
        </w:sectPr>
      </w:pPr>
    </w:p>
    <w:p w14:paraId="0C40A762">
      <w:pPr>
        <w:pStyle w:val="8"/>
        <w:spacing w:line="282"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目 录</w:t>
      </w:r>
    </w:p>
    <w:p w14:paraId="21789A68">
      <w:pPr>
        <w:pStyle w:val="16"/>
        <w:tabs>
          <w:tab w:val="right" w:leader="dot" w:pos="8753"/>
        </w:tabs>
        <w:rPr>
          <w:color w:val="auto"/>
          <w:sz w:val="28"/>
          <w:szCs w:val="28"/>
          <w:highlight w:val="none"/>
        </w:rPr>
      </w:pPr>
      <w:r>
        <w:rPr>
          <w:rFonts w:hint="eastAsia" w:ascii="宋体" w:hAnsi="宋体" w:eastAsia="宋体" w:cs="宋体"/>
          <w:b/>
          <w:bCs/>
          <w:color w:val="auto"/>
          <w:sz w:val="36"/>
          <w:szCs w:val="36"/>
          <w:highlight w:val="none"/>
          <w:lang w:val="en-US" w:eastAsia="zh-CN"/>
        </w:rPr>
        <w:fldChar w:fldCharType="begin"/>
      </w:r>
      <w:r>
        <w:rPr>
          <w:rFonts w:hint="eastAsia" w:ascii="宋体" w:hAnsi="宋体" w:eastAsia="宋体" w:cs="宋体"/>
          <w:b/>
          <w:bCs/>
          <w:color w:val="auto"/>
          <w:sz w:val="36"/>
          <w:szCs w:val="36"/>
          <w:highlight w:val="none"/>
          <w:lang w:val="en-US" w:eastAsia="zh-CN"/>
        </w:rPr>
        <w:instrText xml:space="preserve">TOC \o "1-3" \h \u </w:instrText>
      </w:r>
      <w:r>
        <w:rPr>
          <w:rFonts w:hint="eastAsia" w:ascii="宋体" w:hAnsi="宋体" w:eastAsia="宋体" w:cs="宋体"/>
          <w:b/>
          <w:bCs/>
          <w:color w:val="auto"/>
          <w:sz w:val="36"/>
          <w:szCs w:val="36"/>
          <w:highlight w:val="none"/>
          <w:lang w:val="en-US" w:eastAsia="zh-CN"/>
        </w:rPr>
        <w:fldChar w:fldCharType="separate"/>
      </w: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_Toc27313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lang w:eastAsia="zh-CN"/>
        </w:rPr>
        <w:t>第一部分招标公告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_Toc27313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4F8C2325">
      <w:pPr>
        <w:pStyle w:val="16"/>
        <w:tabs>
          <w:tab w:val="right" w:leader="dot" w:pos="8753"/>
        </w:tabs>
        <w:rPr>
          <w:color w:val="auto"/>
          <w:sz w:val="28"/>
          <w:szCs w:val="28"/>
          <w:highlight w:val="none"/>
        </w:rPr>
      </w:pP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_Toc19085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lang w:eastAsia="zh-CN"/>
        </w:rPr>
        <w:t>第二部分投标人须知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_Toc19085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02A86C33">
      <w:pPr>
        <w:pStyle w:val="16"/>
        <w:tabs>
          <w:tab w:val="right" w:leader="dot" w:pos="8753"/>
        </w:tabs>
        <w:rPr>
          <w:color w:val="auto"/>
          <w:sz w:val="28"/>
          <w:szCs w:val="28"/>
          <w:highlight w:val="none"/>
        </w:rPr>
      </w:pP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_Toc17054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lang w:eastAsia="zh-CN"/>
        </w:rPr>
        <w:t>第三部分评标办法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_Toc17054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247CB1C0">
      <w:pPr>
        <w:pStyle w:val="16"/>
        <w:tabs>
          <w:tab w:val="right" w:leader="dot" w:pos="8753"/>
        </w:tabs>
        <w:rPr>
          <w:color w:val="auto"/>
          <w:sz w:val="28"/>
          <w:szCs w:val="28"/>
          <w:highlight w:val="none"/>
        </w:rPr>
      </w:pP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_Toc13572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rPr>
        <w:t>第四部分采购需求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_Toc13572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4DC0BDAA">
      <w:pPr>
        <w:pStyle w:val="16"/>
        <w:tabs>
          <w:tab w:val="right" w:leader="dot" w:pos="8753"/>
        </w:tabs>
        <w:rPr>
          <w:color w:val="auto"/>
          <w:sz w:val="28"/>
          <w:szCs w:val="28"/>
          <w:highlight w:val="none"/>
        </w:rPr>
      </w:pP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_Toc6306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rPr>
        <w:t>第五部分合同条款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_Toc6306 \h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52AB2FED">
      <w:pPr>
        <w:pStyle w:val="16"/>
        <w:tabs>
          <w:tab w:val="right" w:leader="dot" w:pos="8753"/>
        </w:tabs>
        <w:rPr>
          <w:color w:val="auto"/>
          <w:highlight w:val="none"/>
        </w:rPr>
      </w:pPr>
      <w:r>
        <w:rPr>
          <w:rFonts w:hint="eastAsia" w:ascii="宋体" w:hAnsi="宋体" w:eastAsia="宋体" w:cs="宋体"/>
          <w:bCs/>
          <w:color w:val="auto"/>
          <w:sz w:val="28"/>
          <w:szCs w:val="48"/>
          <w:highlight w:val="none"/>
          <w:lang w:val="en-US" w:eastAsia="zh-CN"/>
        </w:rPr>
        <w:fldChar w:fldCharType="begin"/>
      </w:r>
      <w:r>
        <w:rPr>
          <w:rFonts w:hint="eastAsia" w:ascii="宋体" w:hAnsi="宋体" w:eastAsia="宋体" w:cs="宋体"/>
          <w:bCs/>
          <w:color w:val="auto"/>
          <w:sz w:val="28"/>
          <w:szCs w:val="48"/>
          <w:highlight w:val="none"/>
          <w:lang w:val="en-US" w:eastAsia="zh-CN"/>
        </w:rPr>
        <w:instrText xml:space="preserve"> HYPERLINK \l _Toc10677 </w:instrText>
      </w:r>
      <w:r>
        <w:rPr>
          <w:rFonts w:hint="eastAsia" w:ascii="宋体" w:hAnsi="宋体" w:eastAsia="宋体" w:cs="宋体"/>
          <w:bCs/>
          <w:color w:val="auto"/>
          <w:sz w:val="28"/>
          <w:szCs w:val="48"/>
          <w:highlight w:val="none"/>
          <w:lang w:val="en-US" w:eastAsia="zh-CN"/>
        </w:rPr>
        <w:fldChar w:fldCharType="separate"/>
      </w:r>
      <w:r>
        <w:rPr>
          <w:rFonts w:hint="eastAsia" w:ascii="宋体" w:hAnsi="宋体" w:eastAsia="宋体" w:cs="宋体"/>
          <w:color w:val="auto"/>
          <w:sz w:val="28"/>
          <w:szCs w:val="28"/>
          <w:highlight w:val="none"/>
          <w:lang w:eastAsia="zh-CN"/>
        </w:rPr>
        <w:t>第六部分投标文件格式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_Toc10677 \h </w:instrText>
      </w:r>
      <w:r>
        <w:rPr>
          <w:color w:val="auto"/>
          <w:sz w:val="28"/>
          <w:szCs w:val="28"/>
          <w:highlight w:val="none"/>
        </w:rPr>
        <w:fldChar w:fldCharType="separate"/>
      </w:r>
      <w:r>
        <w:rPr>
          <w:color w:val="auto"/>
          <w:sz w:val="28"/>
          <w:szCs w:val="28"/>
          <w:highlight w:val="none"/>
        </w:rPr>
        <w:t>38</w:t>
      </w:r>
      <w:r>
        <w:rPr>
          <w:color w:val="auto"/>
          <w:sz w:val="28"/>
          <w:szCs w:val="28"/>
          <w:highlight w:val="none"/>
        </w:rPr>
        <w:fldChar w:fldCharType="end"/>
      </w:r>
      <w:r>
        <w:rPr>
          <w:rFonts w:hint="eastAsia" w:ascii="宋体" w:hAnsi="宋体" w:eastAsia="宋体" w:cs="宋体"/>
          <w:bCs/>
          <w:color w:val="auto"/>
          <w:sz w:val="28"/>
          <w:szCs w:val="48"/>
          <w:highlight w:val="none"/>
          <w:lang w:val="en-US" w:eastAsia="zh-CN"/>
        </w:rPr>
        <w:fldChar w:fldCharType="end"/>
      </w:r>
    </w:p>
    <w:p w14:paraId="1C4FF3BA">
      <w:pPr>
        <w:pStyle w:val="8"/>
        <w:spacing w:line="282" w:lineRule="auto"/>
        <w:rPr>
          <w:rFonts w:hint="eastAsia" w:ascii="宋体" w:hAnsi="宋体" w:eastAsia="宋体" w:cs="宋体"/>
          <w:color w:val="auto"/>
          <w:highlight w:val="none"/>
          <w:lang w:val="en-US" w:eastAsia="zh-CN"/>
        </w:rPr>
      </w:pPr>
      <w:r>
        <w:rPr>
          <w:rFonts w:hint="eastAsia" w:ascii="宋体" w:hAnsi="宋体" w:eastAsia="宋体" w:cs="宋体"/>
          <w:bCs/>
          <w:color w:val="auto"/>
          <w:szCs w:val="36"/>
          <w:highlight w:val="none"/>
          <w:lang w:val="en-US" w:eastAsia="zh-CN"/>
        </w:rPr>
        <w:fldChar w:fldCharType="end"/>
      </w:r>
    </w:p>
    <w:p w14:paraId="1A2A546A">
      <w:pPr>
        <w:pStyle w:val="8"/>
        <w:spacing w:line="282" w:lineRule="auto"/>
        <w:rPr>
          <w:rFonts w:hint="eastAsia" w:ascii="宋体" w:hAnsi="宋体" w:eastAsia="宋体" w:cs="宋体"/>
          <w:color w:val="auto"/>
          <w:highlight w:val="none"/>
          <w:lang w:eastAsia="zh-CN"/>
        </w:rPr>
      </w:pPr>
    </w:p>
    <w:p w14:paraId="11D4BEB0">
      <w:pPr>
        <w:pStyle w:val="8"/>
        <w:spacing w:line="282" w:lineRule="auto"/>
        <w:rPr>
          <w:rFonts w:hint="eastAsia" w:ascii="宋体" w:hAnsi="宋体" w:eastAsia="宋体" w:cs="宋体"/>
          <w:color w:val="auto"/>
          <w:highlight w:val="none"/>
          <w:lang w:eastAsia="zh-CN"/>
        </w:rPr>
      </w:pPr>
    </w:p>
    <w:p w14:paraId="7CEAF166">
      <w:pPr>
        <w:pStyle w:val="8"/>
        <w:spacing w:line="283" w:lineRule="auto"/>
        <w:rPr>
          <w:rFonts w:hint="eastAsia" w:ascii="宋体" w:hAnsi="宋体" w:eastAsia="宋体" w:cs="宋体"/>
          <w:color w:val="auto"/>
          <w:highlight w:val="none"/>
          <w:lang w:eastAsia="zh-CN"/>
        </w:rPr>
      </w:pPr>
    </w:p>
    <w:p w14:paraId="42F51A73">
      <w:pPr>
        <w:spacing w:before="102" w:line="225" w:lineRule="auto"/>
        <w:rPr>
          <w:rFonts w:hint="eastAsia" w:ascii="宋体" w:hAnsi="宋体" w:eastAsia="宋体" w:cs="宋体"/>
          <w:color w:val="auto"/>
          <w:sz w:val="31"/>
          <w:szCs w:val="31"/>
          <w:highlight w:val="none"/>
          <w:lang w:eastAsia="zh-CN"/>
        </w:rPr>
      </w:pPr>
    </w:p>
    <w:p w14:paraId="743FB9C7">
      <w:pPr>
        <w:pStyle w:val="2"/>
        <w:numPr>
          <w:ilvl w:val="0"/>
          <w:numId w:val="0"/>
        </w:numPr>
        <w:ind w:left="540" w:leftChars="0"/>
        <w:rPr>
          <w:rFonts w:hint="eastAsia"/>
          <w:color w:val="auto"/>
          <w:highlight w:val="none"/>
          <w:lang w:eastAsia="zh-CN"/>
        </w:rPr>
      </w:pPr>
    </w:p>
    <w:p w14:paraId="53EF0660">
      <w:pPr>
        <w:spacing w:line="225" w:lineRule="auto"/>
        <w:rPr>
          <w:rFonts w:hint="eastAsia" w:ascii="宋体" w:hAnsi="宋体" w:eastAsia="宋体" w:cs="宋体"/>
          <w:color w:val="auto"/>
          <w:sz w:val="31"/>
          <w:szCs w:val="31"/>
          <w:highlight w:val="none"/>
          <w:lang w:eastAsia="zh-CN"/>
        </w:rPr>
      </w:pPr>
    </w:p>
    <w:p w14:paraId="795D80E6">
      <w:pPr>
        <w:bidi w:val="0"/>
        <w:rPr>
          <w:rFonts w:hint="eastAsia" w:ascii="宋体" w:hAnsi="宋体" w:eastAsia="宋体" w:cs="宋体"/>
          <w:snapToGrid w:val="0"/>
          <w:color w:val="auto"/>
          <w:sz w:val="21"/>
          <w:szCs w:val="21"/>
          <w:highlight w:val="none"/>
          <w:lang w:val="en-US" w:eastAsia="zh-CN" w:bidi="ar-SA"/>
        </w:rPr>
      </w:pPr>
    </w:p>
    <w:p w14:paraId="30A1B609">
      <w:pPr>
        <w:bidi w:val="0"/>
        <w:rPr>
          <w:rFonts w:hint="eastAsia" w:ascii="宋体" w:hAnsi="宋体" w:eastAsia="宋体" w:cs="宋体"/>
          <w:color w:val="auto"/>
          <w:highlight w:val="none"/>
          <w:lang w:val="en-US" w:eastAsia="zh-CN"/>
        </w:rPr>
      </w:pPr>
    </w:p>
    <w:p w14:paraId="64448C5B">
      <w:pPr>
        <w:bidi w:val="0"/>
        <w:rPr>
          <w:rFonts w:hint="eastAsia" w:ascii="宋体" w:hAnsi="宋体" w:eastAsia="宋体" w:cs="宋体"/>
          <w:color w:val="auto"/>
          <w:highlight w:val="none"/>
          <w:lang w:val="en-US" w:eastAsia="zh-CN"/>
        </w:rPr>
      </w:pPr>
    </w:p>
    <w:p w14:paraId="06F4585A">
      <w:pPr>
        <w:bidi w:val="0"/>
        <w:rPr>
          <w:rFonts w:hint="eastAsia" w:ascii="宋体" w:hAnsi="宋体" w:eastAsia="宋体" w:cs="宋体"/>
          <w:color w:val="auto"/>
          <w:highlight w:val="none"/>
          <w:lang w:val="en-US" w:eastAsia="zh-CN"/>
        </w:rPr>
      </w:pPr>
    </w:p>
    <w:p w14:paraId="1C4BA4E6">
      <w:pPr>
        <w:bidi w:val="0"/>
        <w:rPr>
          <w:rFonts w:hint="eastAsia" w:ascii="宋体" w:hAnsi="宋体" w:eastAsia="宋体" w:cs="宋体"/>
          <w:color w:val="auto"/>
          <w:highlight w:val="none"/>
          <w:lang w:val="en-US" w:eastAsia="zh-CN"/>
        </w:rPr>
      </w:pPr>
    </w:p>
    <w:p w14:paraId="588C95FD">
      <w:pPr>
        <w:bidi w:val="0"/>
        <w:rPr>
          <w:rFonts w:hint="eastAsia" w:ascii="宋体" w:hAnsi="宋体" w:eastAsia="宋体" w:cs="宋体"/>
          <w:color w:val="auto"/>
          <w:highlight w:val="none"/>
          <w:lang w:val="en-US" w:eastAsia="zh-CN"/>
        </w:rPr>
      </w:pPr>
    </w:p>
    <w:p w14:paraId="15D79C9A">
      <w:pPr>
        <w:bidi w:val="0"/>
        <w:rPr>
          <w:rFonts w:hint="eastAsia" w:ascii="宋体" w:hAnsi="宋体" w:eastAsia="宋体" w:cs="宋体"/>
          <w:color w:val="auto"/>
          <w:highlight w:val="none"/>
          <w:lang w:val="en-US" w:eastAsia="zh-CN"/>
        </w:rPr>
      </w:pPr>
    </w:p>
    <w:p w14:paraId="191941E4">
      <w:pPr>
        <w:bidi w:val="0"/>
        <w:rPr>
          <w:rFonts w:hint="eastAsia" w:ascii="宋体" w:hAnsi="宋体" w:eastAsia="宋体" w:cs="宋体"/>
          <w:color w:val="auto"/>
          <w:highlight w:val="none"/>
          <w:lang w:val="en-US" w:eastAsia="zh-CN"/>
        </w:rPr>
      </w:pPr>
    </w:p>
    <w:p w14:paraId="241FB468">
      <w:pPr>
        <w:bidi w:val="0"/>
        <w:rPr>
          <w:rFonts w:hint="eastAsia" w:ascii="宋体" w:hAnsi="宋体" w:eastAsia="宋体" w:cs="宋体"/>
          <w:color w:val="auto"/>
          <w:highlight w:val="none"/>
          <w:lang w:val="en-US" w:eastAsia="zh-CN"/>
        </w:rPr>
      </w:pPr>
    </w:p>
    <w:p w14:paraId="349CF43E">
      <w:pPr>
        <w:bidi w:val="0"/>
        <w:rPr>
          <w:rFonts w:hint="eastAsia" w:ascii="宋体" w:hAnsi="宋体" w:eastAsia="宋体" w:cs="宋体"/>
          <w:color w:val="auto"/>
          <w:highlight w:val="none"/>
          <w:lang w:val="en-US" w:eastAsia="zh-CN"/>
        </w:rPr>
      </w:pPr>
    </w:p>
    <w:p w14:paraId="5CC50EB8">
      <w:pPr>
        <w:bidi w:val="0"/>
        <w:rPr>
          <w:rFonts w:hint="eastAsia" w:ascii="宋体" w:hAnsi="宋体" w:eastAsia="宋体" w:cs="宋体"/>
          <w:color w:val="auto"/>
          <w:highlight w:val="none"/>
          <w:lang w:val="en-US" w:eastAsia="zh-CN"/>
        </w:rPr>
      </w:pPr>
    </w:p>
    <w:p w14:paraId="020C2BD1">
      <w:pPr>
        <w:bidi w:val="0"/>
        <w:rPr>
          <w:rFonts w:hint="eastAsia" w:ascii="宋体" w:hAnsi="宋体" w:eastAsia="宋体" w:cs="宋体"/>
          <w:color w:val="auto"/>
          <w:highlight w:val="none"/>
          <w:lang w:val="en-US" w:eastAsia="zh-CN"/>
        </w:rPr>
      </w:pPr>
    </w:p>
    <w:p w14:paraId="1CC7A69C">
      <w:pPr>
        <w:bidi w:val="0"/>
        <w:rPr>
          <w:rFonts w:hint="eastAsia" w:ascii="宋体" w:hAnsi="宋体" w:eastAsia="宋体" w:cs="宋体"/>
          <w:color w:val="auto"/>
          <w:highlight w:val="none"/>
          <w:lang w:val="en-US" w:eastAsia="zh-CN"/>
        </w:rPr>
      </w:pPr>
    </w:p>
    <w:p w14:paraId="1FA338D9">
      <w:pPr>
        <w:bidi w:val="0"/>
        <w:rPr>
          <w:rFonts w:hint="eastAsia" w:ascii="宋体" w:hAnsi="宋体" w:eastAsia="宋体" w:cs="宋体"/>
          <w:color w:val="auto"/>
          <w:highlight w:val="none"/>
          <w:lang w:val="en-US" w:eastAsia="zh-CN"/>
        </w:rPr>
      </w:pPr>
    </w:p>
    <w:p w14:paraId="13508281">
      <w:pPr>
        <w:bidi w:val="0"/>
        <w:rPr>
          <w:rFonts w:hint="eastAsia" w:ascii="宋体" w:hAnsi="宋体" w:eastAsia="宋体" w:cs="宋体"/>
          <w:color w:val="auto"/>
          <w:highlight w:val="none"/>
          <w:lang w:val="en-US" w:eastAsia="zh-CN"/>
        </w:rPr>
      </w:pPr>
    </w:p>
    <w:p w14:paraId="13855354">
      <w:pPr>
        <w:bidi w:val="0"/>
        <w:rPr>
          <w:rFonts w:hint="eastAsia" w:ascii="宋体" w:hAnsi="宋体" w:eastAsia="宋体" w:cs="宋体"/>
          <w:color w:val="auto"/>
          <w:highlight w:val="none"/>
          <w:lang w:val="en-US" w:eastAsia="zh-CN"/>
        </w:rPr>
      </w:pPr>
    </w:p>
    <w:p w14:paraId="75805F2D">
      <w:pPr>
        <w:pStyle w:val="2"/>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auto"/>
          <w:highlight w:val="none"/>
          <w:lang w:val="en-US" w:eastAsia="zh-CN"/>
        </w:rPr>
      </w:pPr>
    </w:p>
    <w:p w14:paraId="5D109BAC">
      <w:pPr>
        <w:pStyle w:val="2"/>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auto"/>
          <w:highlight w:val="none"/>
          <w:lang w:val="en-US" w:eastAsia="zh-CN"/>
        </w:rPr>
      </w:pPr>
    </w:p>
    <w:p w14:paraId="67A73ECC">
      <w:pPr>
        <w:pStyle w:val="2"/>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auto"/>
          <w:highlight w:val="none"/>
          <w:lang w:val="en-US" w:eastAsia="zh-CN"/>
        </w:rPr>
      </w:pPr>
    </w:p>
    <w:p w14:paraId="47A13AD3">
      <w:pPr>
        <w:pStyle w:val="2"/>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auto"/>
          <w:highlight w:val="none"/>
          <w:lang w:val="en-US" w:eastAsia="zh-CN"/>
        </w:rPr>
      </w:pPr>
    </w:p>
    <w:p w14:paraId="2F0CA984">
      <w:pPr>
        <w:bidi w:val="0"/>
        <w:rPr>
          <w:rFonts w:hint="eastAsia" w:ascii="宋体" w:hAnsi="宋体" w:eastAsia="宋体" w:cs="宋体"/>
          <w:color w:val="auto"/>
          <w:highlight w:val="none"/>
          <w:lang w:val="en-US" w:eastAsia="zh-CN"/>
        </w:rPr>
      </w:pPr>
    </w:p>
    <w:p w14:paraId="1D44B18D">
      <w:pPr>
        <w:bidi w:val="0"/>
        <w:rPr>
          <w:rFonts w:hint="eastAsia" w:ascii="宋体" w:hAnsi="宋体" w:eastAsia="宋体" w:cs="宋体"/>
          <w:color w:val="auto"/>
          <w:highlight w:val="none"/>
          <w:lang w:val="en-US" w:eastAsia="zh-CN"/>
        </w:rPr>
      </w:pPr>
    </w:p>
    <w:p w14:paraId="50C673A4">
      <w:pPr>
        <w:bidi w:val="0"/>
        <w:rPr>
          <w:rFonts w:hint="eastAsia" w:ascii="宋体" w:hAnsi="宋体" w:eastAsia="宋体" w:cs="宋体"/>
          <w:color w:val="auto"/>
          <w:highlight w:val="none"/>
          <w:lang w:val="en-US" w:eastAsia="zh-CN"/>
        </w:rPr>
      </w:pPr>
    </w:p>
    <w:p w14:paraId="259906BB">
      <w:pPr>
        <w:bidi w:val="0"/>
        <w:rPr>
          <w:rFonts w:hint="eastAsia" w:ascii="宋体" w:hAnsi="宋体" w:eastAsia="宋体" w:cs="宋体"/>
          <w:color w:val="auto"/>
          <w:highlight w:val="none"/>
          <w:lang w:val="en-US" w:eastAsia="zh-CN"/>
        </w:rPr>
      </w:pPr>
    </w:p>
    <w:p w14:paraId="47AEECBF">
      <w:pPr>
        <w:bidi w:val="0"/>
        <w:rPr>
          <w:rFonts w:hint="eastAsia" w:ascii="宋体" w:hAnsi="宋体" w:eastAsia="宋体" w:cs="宋体"/>
          <w:color w:val="auto"/>
          <w:highlight w:val="none"/>
          <w:lang w:val="en-US" w:eastAsia="zh-CN"/>
        </w:rPr>
      </w:pPr>
    </w:p>
    <w:p w14:paraId="60EA2678">
      <w:pPr>
        <w:bidi w:val="0"/>
        <w:rPr>
          <w:rFonts w:hint="eastAsia" w:ascii="宋体" w:hAnsi="宋体" w:eastAsia="宋体" w:cs="宋体"/>
          <w:color w:val="auto"/>
          <w:highlight w:val="none"/>
          <w:lang w:val="en-US" w:eastAsia="zh-CN"/>
        </w:rPr>
      </w:pPr>
    </w:p>
    <w:p w14:paraId="0700A1EB">
      <w:pPr>
        <w:bidi w:val="0"/>
        <w:rPr>
          <w:rFonts w:hint="eastAsia" w:ascii="宋体" w:hAnsi="宋体" w:eastAsia="宋体" w:cs="宋体"/>
          <w:color w:val="auto"/>
          <w:highlight w:val="none"/>
          <w:lang w:val="en-US" w:eastAsia="zh-CN"/>
        </w:rPr>
      </w:pPr>
    </w:p>
    <w:p w14:paraId="51CAB08B">
      <w:pPr>
        <w:pStyle w:val="3"/>
        <w:bidi w:val="0"/>
        <w:rPr>
          <w:rFonts w:hint="eastAsia" w:ascii="宋体" w:hAnsi="宋体" w:eastAsia="宋体" w:cs="宋体"/>
          <w:color w:val="auto"/>
          <w:highlight w:val="none"/>
          <w:lang w:eastAsia="zh-CN"/>
        </w:rPr>
      </w:pPr>
      <w:bookmarkStart w:id="2" w:name="_Toc27313"/>
      <w:r>
        <w:rPr>
          <w:rFonts w:hint="eastAsia" w:ascii="宋体" w:hAnsi="宋体" w:eastAsia="宋体" w:cs="宋体"/>
          <w:color w:val="auto"/>
          <w:highlight w:val="none"/>
          <w:lang w:eastAsia="zh-CN"/>
        </w:rPr>
        <w:t>第一部分招标公告</w:t>
      </w:r>
      <w:bookmarkEnd w:id="2"/>
    </w:p>
    <w:p w14:paraId="2B0F3061">
      <w:pPr>
        <w:spacing w:before="64" w:line="228" w:lineRule="auto"/>
        <w:ind w:left="3970"/>
        <w:rPr>
          <w:rFonts w:hint="eastAsia" w:ascii="宋体" w:hAnsi="宋体" w:eastAsia="宋体" w:cs="宋体"/>
          <w:color w:val="auto"/>
          <w:highlight w:val="none"/>
          <w:lang w:eastAsia="zh-CN"/>
        </w:rPr>
      </w:pPr>
      <w:r>
        <w:rPr>
          <w:rFonts w:hint="eastAsia" w:ascii="宋体" w:hAnsi="宋体" w:eastAsia="宋体" w:cs="宋体"/>
          <w:b/>
          <w:bCs/>
          <w:color w:val="auto"/>
          <w:spacing w:val="3"/>
          <w:sz w:val="20"/>
          <w:szCs w:val="20"/>
          <w:highlight w:val="none"/>
          <w:lang w:eastAsia="zh-CN"/>
        </w:rPr>
        <w:t>（资格后审）</w:t>
      </w:r>
    </w:p>
    <w:p w14:paraId="393DB6A9">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项目概况</w:t>
      </w:r>
    </w:p>
    <w:p w14:paraId="5568A23B">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1"/>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8"/>
          <w:sz w:val="20"/>
          <w:szCs w:val="20"/>
          <w:highlight w:val="none"/>
          <w:lang w:eastAsia="zh-CN"/>
        </w:rPr>
        <w:t>长春新区教育局学校多媒体教室设备采购项目（一）</w:t>
      </w:r>
      <w:r>
        <w:rPr>
          <w:rFonts w:hint="eastAsia" w:ascii="宋体" w:hAnsi="宋体" w:eastAsia="宋体" w:cs="宋体"/>
          <w:color w:val="auto"/>
          <w:spacing w:val="9"/>
          <w:sz w:val="20"/>
          <w:szCs w:val="20"/>
          <w:highlight w:val="none"/>
          <w:lang w:eastAsia="zh-CN"/>
        </w:rPr>
        <w:t>的潜在投标人应在“政采云”平台（http：//www.zcygov.cn）获取招标文件，</w:t>
      </w:r>
      <w:r>
        <w:rPr>
          <w:rFonts w:hint="eastAsia" w:ascii="宋体" w:hAnsi="宋体" w:eastAsia="宋体" w:cs="宋体"/>
          <w:color w:val="auto"/>
          <w:spacing w:val="8"/>
          <w:sz w:val="20"/>
          <w:szCs w:val="20"/>
          <w:highlight w:val="none"/>
          <w:lang w:eastAsia="zh-CN"/>
        </w:rPr>
        <w:t>并于</w:t>
      </w:r>
      <w:r>
        <w:rPr>
          <w:rFonts w:hint="eastAsia" w:ascii="宋体" w:hAnsi="宋体" w:cs="宋体"/>
          <w:color w:val="auto"/>
          <w:spacing w:val="8"/>
          <w:sz w:val="20"/>
          <w:szCs w:val="20"/>
          <w:highlight w:val="none"/>
          <w:lang w:eastAsia="zh-CN"/>
        </w:rPr>
        <w:t>2025年07月18日13时30分</w:t>
      </w:r>
      <w:r>
        <w:rPr>
          <w:rFonts w:hint="eastAsia" w:ascii="宋体" w:hAnsi="宋体" w:eastAsia="宋体" w:cs="宋体"/>
          <w:color w:val="auto"/>
          <w:spacing w:val="8"/>
          <w:sz w:val="20"/>
          <w:szCs w:val="20"/>
          <w:highlight w:val="none"/>
          <w:lang w:eastAsia="zh-CN"/>
        </w:rPr>
        <w:t>（北京时间）前提交投标文件。</w:t>
      </w:r>
    </w:p>
    <w:p w14:paraId="26E8D4A4">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7"/>
          <w:sz w:val="20"/>
          <w:szCs w:val="20"/>
          <w:highlight w:val="none"/>
          <w:lang w:eastAsia="zh-CN"/>
        </w:rPr>
        <w:t>一、项目基本情况</w:t>
      </w:r>
    </w:p>
    <w:p w14:paraId="62BA6D03">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8" w:firstLineChars="200"/>
        <w:textAlignment w:val="baseline"/>
        <w:rPr>
          <w:rFonts w:hint="default" w:ascii="宋体" w:hAnsi="宋体" w:eastAsia="宋体" w:cs="宋体"/>
          <w:color w:val="auto"/>
          <w:spacing w:val="7"/>
          <w:sz w:val="20"/>
          <w:szCs w:val="20"/>
          <w:highlight w:val="none"/>
          <w:lang w:val="en-US" w:eastAsia="zh-CN"/>
        </w:rPr>
      </w:pPr>
      <w:r>
        <w:rPr>
          <w:rFonts w:hint="eastAsia" w:ascii="宋体" w:hAnsi="宋体" w:cs="宋体"/>
          <w:color w:val="auto"/>
          <w:spacing w:val="7"/>
          <w:sz w:val="20"/>
          <w:szCs w:val="20"/>
          <w:highlight w:val="none"/>
          <w:lang w:val="en-US" w:eastAsia="zh-CN"/>
        </w:rPr>
        <w:t>1.</w:t>
      </w:r>
      <w:r>
        <w:rPr>
          <w:rFonts w:hint="eastAsia" w:ascii="宋体" w:hAnsi="宋体" w:eastAsia="宋体" w:cs="宋体"/>
          <w:color w:val="auto"/>
          <w:spacing w:val="7"/>
          <w:sz w:val="20"/>
          <w:szCs w:val="20"/>
          <w:highlight w:val="none"/>
          <w:lang w:eastAsia="zh-CN"/>
        </w:rPr>
        <w:t>项目编号：</w:t>
      </w:r>
      <w:r>
        <w:rPr>
          <w:rFonts w:hint="eastAsia" w:ascii="宋体" w:hAnsi="宋体" w:cs="宋体"/>
          <w:color w:val="auto"/>
          <w:spacing w:val="7"/>
          <w:sz w:val="20"/>
          <w:szCs w:val="20"/>
          <w:highlight w:val="none"/>
          <w:lang w:eastAsia="zh-CN"/>
        </w:rPr>
        <w:t>XQZC2025-031；</w:t>
      </w:r>
    </w:p>
    <w:p w14:paraId="02DF1A51">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9"/>
          <w:sz w:val="20"/>
          <w:szCs w:val="20"/>
          <w:highlight w:val="none"/>
          <w:lang w:val="en-US" w:eastAsia="zh-CN"/>
        </w:rPr>
        <w:t>2.</w:t>
      </w:r>
      <w:r>
        <w:rPr>
          <w:rFonts w:hint="eastAsia" w:ascii="宋体" w:hAnsi="宋体" w:eastAsia="宋体" w:cs="宋体"/>
          <w:color w:val="auto"/>
          <w:spacing w:val="9"/>
          <w:sz w:val="20"/>
          <w:szCs w:val="20"/>
          <w:highlight w:val="none"/>
          <w:lang w:eastAsia="zh-CN"/>
        </w:rPr>
        <w:t>项目名称：</w:t>
      </w:r>
      <w:r>
        <w:rPr>
          <w:rFonts w:hint="eastAsia" w:ascii="宋体" w:hAnsi="宋体" w:cs="宋体"/>
          <w:color w:val="auto"/>
          <w:spacing w:val="9"/>
          <w:sz w:val="20"/>
          <w:szCs w:val="20"/>
          <w:highlight w:val="none"/>
          <w:lang w:eastAsia="zh-CN"/>
        </w:rPr>
        <w:t>长春新区教育局学校多媒体教室设备采购项目（一）</w:t>
      </w:r>
      <w:r>
        <w:rPr>
          <w:rFonts w:hint="eastAsia" w:ascii="宋体" w:hAnsi="宋体" w:eastAsia="宋体" w:cs="宋体"/>
          <w:color w:val="auto"/>
          <w:spacing w:val="9"/>
          <w:sz w:val="20"/>
          <w:szCs w:val="20"/>
          <w:highlight w:val="none"/>
          <w:lang w:eastAsia="zh-CN"/>
        </w:rPr>
        <w:t>；</w:t>
      </w:r>
    </w:p>
    <w:p w14:paraId="108C7C9B">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4"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6"/>
          <w:sz w:val="20"/>
          <w:szCs w:val="20"/>
          <w:highlight w:val="none"/>
          <w:lang w:val="en-US" w:eastAsia="zh-CN"/>
        </w:rPr>
        <w:t>3.</w:t>
      </w:r>
      <w:r>
        <w:rPr>
          <w:rFonts w:hint="eastAsia" w:ascii="宋体" w:hAnsi="宋体" w:eastAsia="宋体" w:cs="宋体"/>
          <w:color w:val="auto"/>
          <w:spacing w:val="6"/>
          <w:sz w:val="20"/>
          <w:szCs w:val="20"/>
          <w:highlight w:val="none"/>
          <w:lang w:eastAsia="zh-CN"/>
        </w:rPr>
        <w:t>预算金额：</w:t>
      </w:r>
      <w:r>
        <w:rPr>
          <w:rFonts w:hint="eastAsia" w:ascii="宋体" w:hAnsi="宋体" w:cs="宋体"/>
          <w:color w:val="auto"/>
          <w:spacing w:val="6"/>
          <w:sz w:val="20"/>
          <w:szCs w:val="20"/>
          <w:highlight w:val="none"/>
          <w:lang w:val="en-US" w:eastAsia="zh-CN"/>
        </w:rPr>
        <w:t>2117200</w:t>
      </w:r>
      <w:r>
        <w:rPr>
          <w:rFonts w:hint="eastAsia" w:ascii="宋体" w:hAnsi="宋体" w:eastAsia="宋体" w:cs="宋体"/>
          <w:color w:val="auto"/>
          <w:spacing w:val="6"/>
          <w:sz w:val="20"/>
          <w:szCs w:val="20"/>
          <w:highlight w:val="none"/>
          <w:lang w:eastAsia="zh-CN"/>
        </w:rPr>
        <w:t>元；</w:t>
      </w:r>
    </w:p>
    <w:p w14:paraId="562445B8">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0"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5"/>
          <w:sz w:val="20"/>
          <w:szCs w:val="20"/>
          <w:highlight w:val="none"/>
          <w:lang w:val="en-US" w:eastAsia="zh-CN"/>
        </w:rPr>
        <w:t>4.</w:t>
      </w:r>
      <w:r>
        <w:rPr>
          <w:rFonts w:hint="eastAsia" w:ascii="宋体" w:hAnsi="宋体" w:eastAsia="宋体" w:cs="宋体"/>
          <w:color w:val="auto"/>
          <w:spacing w:val="5"/>
          <w:sz w:val="20"/>
          <w:szCs w:val="20"/>
          <w:highlight w:val="none"/>
          <w:lang w:eastAsia="zh-CN"/>
        </w:rPr>
        <w:t>最高限价：</w:t>
      </w:r>
      <w:r>
        <w:rPr>
          <w:rFonts w:hint="eastAsia" w:ascii="宋体" w:hAnsi="宋体" w:cs="宋体"/>
          <w:color w:val="auto"/>
          <w:spacing w:val="6"/>
          <w:sz w:val="20"/>
          <w:szCs w:val="20"/>
          <w:highlight w:val="none"/>
          <w:lang w:val="en-US" w:eastAsia="zh-CN"/>
        </w:rPr>
        <w:t>2117200</w:t>
      </w:r>
      <w:r>
        <w:rPr>
          <w:rFonts w:hint="eastAsia" w:ascii="宋体" w:hAnsi="宋体" w:eastAsia="宋体" w:cs="宋体"/>
          <w:color w:val="auto"/>
          <w:spacing w:val="6"/>
          <w:sz w:val="20"/>
          <w:szCs w:val="20"/>
          <w:highlight w:val="none"/>
          <w:lang w:eastAsia="zh-CN"/>
        </w:rPr>
        <w:t>元</w:t>
      </w:r>
      <w:r>
        <w:rPr>
          <w:rFonts w:hint="eastAsia" w:ascii="宋体" w:hAnsi="宋体" w:eastAsia="宋体" w:cs="宋体"/>
          <w:color w:val="auto"/>
          <w:spacing w:val="5"/>
          <w:sz w:val="20"/>
          <w:szCs w:val="20"/>
          <w:highlight w:val="none"/>
          <w:lang w:eastAsia="zh-CN"/>
        </w:rPr>
        <w:t>；</w:t>
      </w:r>
    </w:p>
    <w:p w14:paraId="1262D69D">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9"/>
          <w:sz w:val="20"/>
          <w:szCs w:val="20"/>
          <w:highlight w:val="none"/>
          <w:lang w:val="en-US" w:eastAsia="zh-CN"/>
        </w:rPr>
        <w:t>5.</w:t>
      </w:r>
      <w:r>
        <w:rPr>
          <w:rFonts w:hint="eastAsia" w:ascii="宋体" w:hAnsi="宋体" w:eastAsia="宋体" w:cs="宋体"/>
          <w:color w:val="auto"/>
          <w:spacing w:val="9"/>
          <w:sz w:val="20"/>
          <w:szCs w:val="20"/>
          <w:highlight w:val="none"/>
          <w:lang w:eastAsia="zh-CN"/>
        </w:rPr>
        <w:t>采购需求：</w:t>
      </w:r>
      <w:r>
        <w:rPr>
          <w:rFonts w:hint="eastAsia" w:ascii="宋体" w:hAnsi="宋体" w:cs="宋体"/>
          <w:color w:val="auto"/>
          <w:spacing w:val="9"/>
          <w:sz w:val="20"/>
          <w:szCs w:val="20"/>
          <w:highlight w:val="none"/>
          <w:lang w:val="en-US" w:eastAsia="zh-CN"/>
        </w:rPr>
        <w:t>多媒体教室设备</w:t>
      </w:r>
      <w:r>
        <w:rPr>
          <w:rFonts w:hint="eastAsia" w:ascii="宋体" w:hAnsi="宋体" w:eastAsia="宋体" w:cs="宋体"/>
          <w:color w:val="auto"/>
          <w:spacing w:val="9"/>
          <w:sz w:val="20"/>
          <w:szCs w:val="20"/>
          <w:highlight w:val="none"/>
          <w:lang w:val="en-US" w:eastAsia="zh-CN"/>
        </w:rPr>
        <w:t>，详见招标文件</w:t>
      </w:r>
      <w:r>
        <w:rPr>
          <w:rFonts w:hint="eastAsia" w:ascii="宋体" w:hAnsi="宋体" w:eastAsia="宋体" w:cs="宋体"/>
          <w:color w:val="auto"/>
          <w:spacing w:val="9"/>
          <w:sz w:val="20"/>
          <w:szCs w:val="20"/>
          <w:highlight w:val="none"/>
          <w:lang w:eastAsia="zh-CN"/>
        </w:rPr>
        <w:t>；</w:t>
      </w:r>
    </w:p>
    <w:p w14:paraId="700FCA23">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8"/>
          <w:sz w:val="20"/>
          <w:szCs w:val="20"/>
          <w:highlight w:val="none"/>
          <w:lang w:val="en-US" w:eastAsia="zh-CN"/>
        </w:rPr>
        <w:t>6.</w:t>
      </w:r>
      <w:r>
        <w:rPr>
          <w:rFonts w:hint="eastAsia" w:ascii="宋体" w:hAnsi="宋体" w:eastAsia="宋体" w:cs="宋体"/>
          <w:color w:val="auto"/>
          <w:spacing w:val="8"/>
          <w:sz w:val="20"/>
          <w:szCs w:val="20"/>
          <w:highlight w:val="none"/>
          <w:lang w:eastAsia="zh-CN"/>
        </w:rPr>
        <w:t>合同履行期限</w:t>
      </w:r>
      <w:r>
        <w:rPr>
          <w:rFonts w:hint="eastAsia" w:ascii="宋体" w:hAnsi="宋体" w:cs="宋体"/>
          <w:color w:val="auto"/>
          <w:spacing w:val="8"/>
          <w:sz w:val="20"/>
          <w:szCs w:val="20"/>
          <w:highlight w:val="none"/>
          <w:lang w:eastAsia="zh-CN"/>
        </w:rPr>
        <w:t>（</w:t>
      </w:r>
      <w:r>
        <w:rPr>
          <w:rFonts w:hint="eastAsia" w:ascii="宋体" w:hAnsi="宋体" w:cs="宋体"/>
          <w:color w:val="auto"/>
          <w:spacing w:val="8"/>
          <w:sz w:val="20"/>
          <w:szCs w:val="20"/>
          <w:highlight w:val="none"/>
          <w:lang w:val="en-US" w:eastAsia="zh-CN"/>
        </w:rPr>
        <w:t>供货期</w:t>
      </w:r>
      <w:r>
        <w:rPr>
          <w:rFonts w:hint="eastAsia" w:ascii="宋体" w:hAnsi="宋体" w:cs="宋体"/>
          <w:color w:val="auto"/>
          <w:spacing w:val="8"/>
          <w:sz w:val="20"/>
          <w:szCs w:val="20"/>
          <w:highlight w:val="none"/>
          <w:lang w:eastAsia="zh-CN"/>
        </w:rPr>
        <w:t>）</w:t>
      </w:r>
      <w:r>
        <w:rPr>
          <w:rFonts w:hint="eastAsia" w:ascii="宋体" w:hAnsi="宋体" w:eastAsia="宋体" w:cs="宋体"/>
          <w:color w:val="auto"/>
          <w:spacing w:val="8"/>
          <w:sz w:val="20"/>
          <w:szCs w:val="20"/>
          <w:highlight w:val="none"/>
          <w:lang w:eastAsia="zh-CN"/>
        </w:rPr>
        <w:t>：</w:t>
      </w:r>
      <w:r>
        <w:rPr>
          <w:rFonts w:hint="eastAsia" w:ascii="宋体" w:hAnsi="宋体" w:eastAsia="宋体" w:cs="宋体"/>
          <w:color w:val="auto"/>
          <w:spacing w:val="8"/>
          <w:sz w:val="20"/>
          <w:szCs w:val="20"/>
          <w:highlight w:val="none"/>
          <w:lang w:val="en-US" w:eastAsia="zh-CN"/>
        </w:rPr>
        <w:t>接到供货指令后30</w:t>
      </w:r>
      <w:r>
        <w:rPr>
          <w:rFonts w:hint="eastAsia" w:ascii="宋体" w:hAnsi="宋体" w:eastAsia="宋体" w:cs="宋体"/>
          <w:color w:val="auto"/>
          <w:spacing w:val="8"/>
          <w:sz w:val="20"/>
          <w:szCs w:val="20"/>
          <w:highlight w:val="none"/>
          <w:lang w:eastAsia="zh-CN"/>
        </w:rPr>
        <w:t>日内完成供货、安装、调试</w:t>
      </w:r>
      <w:r>
        <w:rPr>
          <w:rFonts w:hint="eastAsia" w:ascii="宋体" w:hAnsi="宋体" w:cs="宋体"/>
          <w:color w:val="auto"/>
          <w:spacing w:val="8"/>
          <w:sz w:val="20"/>
          <w:szCs w:val="20"/>
          <w:highlight w:val="none"/>
          <w:lang w:eastAsia="zh-CN"/>
        </w:rPr>
        <w:t>；</w:t>
      </w:r>
    </w:p>
    <w:p w14:paraId="442028C1">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cs="宋体"/>
          <w:color w:val="auto"/>
          <w:spacing w:val="9"/>
          <w:sz w:val="20"/>
          <w:szCs w:val="20"/>
          <w:highlight w:val="none"/>
          <w:lang w:val="en-US" w:eastAsia="zh-CN"/>
        </w:rPr>
        <w:t>7.</w:t>
      </w:r>
      <w:r>
        <w:rPr>
          <w:rFonts w:hint="eastAsia" w:ascii="宋体" w:hAnsi="宋体" w:eastAsia="宋体" w:cs="宋体"/>
          <w:color w:val="auto"/>
          <w:spacing w:val="9"/>
          <w:sz w:val="20"/>
          <w:szCs w:val="20"/>
          <w:highlight w:val="none"/>
          <w:lang w:eastAsia="zh-CN"/>
        </w:rPr>
        <w:t>本项目不接受联合体</w:t>
      </w:r>
      <w:r>
        <w:rPr>
          <w:rFonts w:hint="eastAsia" w:ascii="宋体" w:hAnsi="宋体" w:cs="宋体"/>
          <w:color w:val="auto"/>
          <w:spacing w:val="9"/>
          <w:sz w:val="20"/>
          <w:szCs w:val="20"/>
          <w:highlight w:val="none"/>
          <w:lang w:eastAsia="zh-CN"/>
        </w:rPr>
        <w:t>；</w:t>
      </w:r>
    </w:p>
    <w:p w14:paraId="356E6B17">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9"/>
          <w:sz w:val="20"/>
          <w:szCs w:val="20"/>
          <w:highlight w:val="none"/>
          <w:lang w:val="en-US" w:eastAsia="zh-CN"/>
        </w:rPr>
        <w:t>8</w:t>
      </w:r>
      <w:r>
        <w:rPr>
          <w:rFonts w:hint="eastAsia" w:ascii="宋体" w:hAnsi="宋体" w:eastAsia="宋体" w:cs="宋体"/>
          <w:color w:val="auto"/>
          <w:spacing w:val="9"/>
          <w:sz w:val="20"/>
          <w:szCs w:val="20"/>
          <w:highlight w:val="none"/>
          <w:lang w:val="en-US" w:eastAsia="zh-CN"/>
        </w:rPr>
        <w:t>是否支持政采贷业务：是</w:t>
      </w:r>
      <w:r>
        <w:rPr>
          <w:rFonts w:hint="eastAsia" w:ascii="宋体" w:hAnsi="宋体" w:cs="宋体"/>
          <w:color w:val="auto"/>
          <w:spacing w:val="9"/>
          <w:sz w:val="20"/>
          <w:szCs w:val="20"/>
          <w:highlight w:val="none"/>
          <w:lang w:val="en-US" w:eastAsia="zh-CN"/>
        </w:rPr>
        <w:t>。</w:t>
      </w:r>
    </w:p>
    <w:p w14:paraId="39730394">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cs="宋体"/>
          <w:b/>
          <w:bCs/>
          <w:color w:val="auto"/>
          <w:spacing w:val="2"/>
          <w:sz w:val="20"/>
          <w:szCs w:val="20"/>
          <w:highlight w:val="none"/>
          <w:lang w:eastAsia="zh-CN"/>
        </w:rPr>
        <w:t>二</w:t>
      </w:r>
      <w:r>
        <w:rPr>
          <w:rFonts w:hint="eastAsia" w:ascii="宋体" w:hAnsi="宋体" w:eastAsia="宋体" w:cs="宋体"/>
          <w:b/>
          <w:bCs/>
          <w:color w:val="auto"/>
          <w:spacing w:val="2"/>
          <w:sz w:val="20"/>
          <w:szCs w:val="20"/>
          <w:highlight w:val="none"/>
          <w:lang w:eastAsia="zh-CN"/>
        </w:rPr>
        <w:t>、申请人的资格要求：</w:t>
      </w:r>
    </w:p>
    <w:p w14:paraId="30E086B9">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1.满足《中华人民共和国政府采购法》第二十二条规定；营业执照经营且在有效期内，并在人员、设备、资金、安装等方面具备相应的能力；</w:t>
      </w:r>
    </w:p>
    <w:p w14:paraId="63184A75">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2.落实政府采购政策需满足的资格要求：本项目</w:t>
      </w:r>
      <w:r>
        <w:rPr>
          <w:rFonts w:hint="eastAsia" w:ascii="宋体" w:hAnsi="宋体" w:cs="宋体"/>
          <w:color w:val="auto"/>
          <w:spacing w:val="9"/>
          <w:position w:val="13"/>
          <w:sz w:val="20"/>
          <w:szCs w:val="20"/>
          <w:highlight w:val="none"/>
          <w:lang w:val="en-US" w:eastAsia="zh-CN"/>
        </w:rPr>
        <w:t>非</w:t>
      </w:r>
      <w:r>
        <w:rPr>
          <w:rFonts w:hint="eastAsia" w:ascii="宋体" w:hAnsi="宋体" w:eastAsia="宋体" w:cs="宋体"/>
          <w:color w:val="auto"/>
          <w:spacing w:val="9"/>
          <w:position w:val="13"/>
          <w:sz w:val="20"/>
          <w:szCs w:val="20"/>
          <w:highlight w:val="none"/>
          <w:lang w:val="en-US" w:eastAsia="zh-CN"/>
        </w:rPr>
        <w:t>专门面向中小企业采购（本项目属于</w:t>
      </w:r>
      <w:r>
        <w:rPr>
          <w:rFonts w:hint="eastAsia" w:ascii="宋体" w:hAnsi="宋体" w:cs="宋体"/>
          <w:color w:val="auto"/>
          <w:spacing w:val="9"/>
          <w:position w:val="13"/>
          <w:sz w:val="20"/>
          <w:szCs w:val="20"/>
          <w:highlight w:val="none"/>
          <w:lang w:val="en-US" w:eastAsia="zh-CN"/>
        </w:rPr>
        <w:t>工业</w:t>
      </w:r>
      <w:r>
        <w:rPr>
          <w:rFonts w:hint="eastAsia" w:ascii="宋体" w:hAnsi="宋体" w:eastAsia="宋体" w:cs="宋体"/>
          <w:color w:val="auto"/>
          <w:spacing w:val="9"/>
          <w:position w:val="13"/>
          <w:sz w:val="20"/>
          <w:szCs w:val="20"/>
          <w:highlight w:val="none"/>
          <w:lang w:val="en-US" w:eastAsia="zh-CN"/>
        </w:rPr>
        <w:t>）；</w:t>
      </w:r>
      <w:r>
        <w:rPr>
          <w:rFonts w:hint="eastAsia" w:ascii="宋体" w:hAnsi="宋体" w:cs="宋体"/>
          <w:color w:val="auto"/>
          <w:spacing w:val="9"/>
          <w:position w:val="13"/>
          <w:sz w:val="20"/>
          <w:szCs w:val="20"/>
          <w:highlight w:val="none"/>
          <w:lang w:val="en-US" w:eastAsia="zh-CN"/>
        </w:rPr>
        <w:t>详见</w:t>
      </w:r>
      <w:r>
        <w:rPr>
          <w:rFonts w:hint="eastAsia" w:ascii="宋体" w:hAnsi="宋体" w:eastAsia="宋体" w:cs="宋体"/>
          <w:color w:val="auto"/>
          <w:spacing w:val="9"/>
          <w:position w:val="13"/>
          <w:sz w:val="20"/>
          <w:szCs w:val="20"/>
          <w:highlight w:val="none"/>
          <w:lang w:val="en-US" w:eastAsia="zh-CN"/>
        </w:rPr>
        <w:t>《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09BADC76">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3.具有良好的商业信誉和健全的财务会计制度，提供202</w:t>
      </w:r>
      <w:r>
        <w:rPr>
          <w:rFonts w:hint="eastAsia" w:ascii="宋体" w:hAnsi="宋体" w:cs="宋体"/>
          <w:color w:val="auto"/>
          <w:spacing w:val="9"/>
          <w:position w:val="13"/>
          <w:sz w:val="20"/>
          <w:szCs w:val="20"/>
          <w:highlight w:val="none"/>
          <w:lang w:val="en-US" w:eastAsia="zh-CN"/>
        </w:rPr>
        <w:t>4</w:t>
      </w:r>
      <w:r>
        <w:rPr>
          <w:rFonts w:hint="eastAsia" w:ascii="宋体" w:hAnsi="宋体" w:eastAsia="宋体" w:cs="宋体"/>
          <w:color w:val="auto"/>
          <w:spacing w:val="9"/>
          <w:position w:val="13"/>
          <w:sz w:val="20"/>
          <w:szCs w:val="20"/>
          <w:highlight w:val="none"/>
          <w:lang w:val="en-US" w:eastAsia="zh-CN"/>
        </w:rPr>
        <w:t>年经审计的财务审计报告（若为202</w:t>
      </w:r>
      <w:r>
        <w:rPr>
          <w:rFonts w:hint="eastAsia" w:ascii="宋体" w:hAnsi="宋体" w:cs="宋体"/>
          <w:color w:val="auto"/>
          <w:spacing w:val="9"/>
          <w:position w:val="13"/>
          <w:sz w:val="20"/>
          <w:szCs w:val="20"/>
          <w:highlight w:val="none"/>
          <w:lang w:val="en-US" w:eastAsia="zh-CN"/>
        </w:rPr>
        <w:t>5</w:t>
      </w:r>
      <w:r>
        <w:rPr>
          <w:rFonts w:hint="eastAsia" w:ascii="宋体" w:hAnsi="宋体" w:eastAsia="宋体" w:cs="宋体"/>
          <w:color w:val="auto"/>
          <w:spacing w:val="9"/>
          <w:position w:val="13"/>
          <w:sz w:val="20"/>
          <w:szCs w:val="20"/>
          <w:highlight w:val="none"/>
          <w:lang w:val="en-US" w:eastAsia="zh-CN"/>
        </w:rPr>
        <w:t>年后成立公司可提供自成立之日起至今的财务报表或近三个月内基本银行账户开具的资信证明</w:t>
      </w:r>
      <w:r>
        <w:rPr>
          <w:rFonts w:hint="eastAsia" w:ascii="宋体" w:hAnsi="宋体" w:cs="宋体"/>
          <w:color w:val="auto"/>
          <w:spacing w:val="9"/>
          <w:position w:val="13"/>
          <w:sz w:val="20"/>
          <w:szCs w:val="20"/>
          <w:highlight w:val="none"/>
          <w:lang w:val="en-US" w:eastAsia="zh-CN"/>
        </w:rPr>
        <w:t>）</w:t>
      </w:r>
      <w:r>
        <w:rPr>
          <w:rFonts w:hint="eastAsia" w:ascii="宋体" w:hAnsi="宋体" w:eastAsia="宋体" w:cs="宋体"/>
          <w:color w:val="auto"/>
          <w:spacing w:val="9"/>
          <w:position w:val="13"/>
          <w:sz w:val="20"/>
          <w:szCs w:val="20"/>
          <w:highlight w:val="none"/>
          <w:lang w:val="en-US" w:eastAsia="zh-CN"/>
        </w:rPr>
        <w:t>；</w:t>
      </w:r>
    </w:p>
    <w:p w14:paraId="036BDCE1">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4.依法缴纳税收和社会保障资金的良好记录，提供近</w:t>
      </w:r>
      <w:r>
        <w:rPr>
          <w:rFonts w:hint="eastAsia" w:ascii="宋体" w:hAnsi="宋体" w:cs="宋体"/>
          <w:color w:val="auto"/>
          <w:spacing w:val="9"/>
          <w:position w:val="13"/>
          <w:sz w:val="20"/>
          <w:szCs w:val="20"/>
          <w:highlight w:val="none"/>
          <w:lang w:val="en-US" w:eastAsia="zh-CN"/>
        </w:rPr>
        <w:t>半年</w:t>
      </w:r>
      <w:r>
        <w:rPr>
          <w:rFonts w:hint="eastAsia" w:ascii="宋体" w:hAnsi="宋体" w:eastAsia="宋体" w:cs="宋体"/>
          <w:color w:val="auto"/>
          <w:spacing w:val="9"/>
          <w:position w:val="13"/>
          <w:sz w:val="20"/>
          <w:szCs w:val="20"/>
          <w:highlight w:val="none"/>
          <w:lang w:val="en-US" w:eastAsia="zh-CN"/>
        </w:rPr>
        <w:t>内任意一个月企业依法缴纳税收及社保的相关材料；</w:t>
      </w:r>
    </w:p>
    <w:p w14:paraId="6B9AA73C">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5.</w:t>
      </w:r>
      <w:r>
        <w:rPr>
          <w:rFonts w:hint="eastAsia" w:ascii="宋体" w:hAnsi="宋体" w:cs="宋体"/>
          <w:color w:val="auto"/>
          <w:spacing w:val="9"/>
          <w:position w:val="13"/>
          <w:sz w:val="20"/>
          <w:szCs w:val="20"/>
          <w:highlight w:val="none"/>
          <w:lang w:val="en-US" w:eastAsia="zh-CN"/>
        </w:rPr>
        <w:t>投标人</w:t>
      </w:r>
      <w:r>
        <w:rPr>
          <w:rFonts w:hint="eastAsia" w:ascii="宋体" w:hAnsi="宋体" w:eastAsia="宋体" w:cs="宋体"/>
          <w:color w:val="auto"/>
          <w:spacing w:val="9"/>
          <w:position w:val="13"/>
          <w:sz w:val="20"/>
          <w:szCs w:val="20"/>
          <w:highlight w:val="none"/>
          <w:lang w:val="en-US" w:eastAsia="zh-CN"/>
        </w:rPr>
        <w:t>须具备参加政府采购活动近三年内（202</w:t>
      </w:r>
      <w:r>
        <w:rPr>
          <w:rFonts w:hint="eastAsia" w:ascii="宋体" w:hAnsi="宋体" w:cs="宋体"/>
          <w:color w:val="auto"/>
          <w:spacing w:val="9"/>
          <w:position w:val="13"/>
          <w:sz w:val="20"/>
          <w:szCs w:val="20"/>
          <w:highlight w:val="none"/>
          <w:lang w:val="en-US" w:eastAsia="zh-CN"/>
        </w:rPr>
        <w:t>2</w:t>
      </w:r>
      <w:r>
        <w:rPr>
          <w:rFonts w:hint="eastAsia" w:ascii="宋体" w:hAnsi="宋体" w:eastAsia="宋体" w:cs="宋体"/>
          <w:color w:val="auto"/>
          <w:spacing w:val="9"/>
          <w:position w:val="13"/>
          <w:sz w:val="20"/>
          <w:szCs w:val="20"/>
          <w:highlight w:val="none"/>
          <w:lang w:val="en-US" w:eastAsia="zh-CN"/>
        </w:rPr>
        <w:t>年1月至今）在经营活动中没有重大违法记录的书面声明；</w:t>
      </w:r>
    </w:p>
    <w:p w14:paraId="7A1EAF35">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6.信誉要求：拒绝列入政府取消投标资格记录期间的企业或个人投标；未被工商行政管理机关在全国企业信用信息公示系统（http://www.gsxt.gov.cn/index.html）中列入严重违法失信企业名单；未被最高人民法院在“信用中国”网站（www.creditchina.gov.cn）中列入失信被执行人和重大税收违法案件当事人名单</w:t>
      </w:r>
      <w:r>
        <w:rPr>
          <w:rFonts w:hint="eastAsia" w:ascii="宋体" w:hAnsi="宋体" w:cs="宋体"/>
          <w:color w:val="auto"/>
          <w:spacing w:val="9"/>
          <w:position w:val="13"/>
          <w:sz w:val="20"/>
          <w:szCs w:val="20"/>
          <w:highlight w:val="none"/>
          <w:lang w:val="en-US" w:eastAsia="zh-CN"/>
        </w:rPr>
        <w:t>投标人</w:t>
      </w:r>
      <w:r>
        <w:rPr>
          <w:rFonts w:hint="eastAsia" w:ascii="宋体" w:hAnsi="宋体" w:eastAsia="宋体" w:cs="宋体"/>
          <w:color w:val="auto"/>
          <w:spacing w:val="9"/>
          <w:position w:val="13"/>
          <w:sz w:val="20"/>
          <w:szCs w:val="20"/>
          <w:highlight w:val="none"/>
          <w:lang w:val="en-US" w:eastAsia="zh-CN"/>
        </w:rPr>
        <w:t>；</w:t>
      </w:r>
      <w:r>
        <w:rPr>
          <w:rFonts w:hint="eastAsia" w:ascii="宋体" w:hAnsi="宋体" w:cs="宋体"/>
          <w:color w:val="auto"/>
          <w:spacing w:val="9"/>
          <w:position w:val="13"/>
          <w:sz w:val="20"/>
          <w:szCs w:val="20"/>
          <w:highlight w:val="none"/>
          <w:lang w:val="en-US" w:eastAsia="zh-CN"/>
        </w:rPr>
        <w:t>投标人</w:t>
      </w:r>
      <w:r>
        <w:rPr>
          <w:rFonts w:hint="eastAsia" w:ascii="宋体" w:hAnsi="宋体" w:eastAsia="宋体" w:cs="宋体"/>
          <w:color w:val="auto"/>
          <w:spacing w:val="9"/>
          <w:position w:val="13"/>
          <w:sz w:val="20"/>
          <w:szCs w:val="20"/>
          <w:highlight w:val="none"/>
          <w:lang w:val="en-US" w:eastAsia="zh-CN"/>
        </w:rPr>
        <w:t>、法定代表人、项目负责人在中国裁判文书网无行贿犯罪记录；</w:t>
      </w:r>
    </w:p>
    <w:p w14:paraId="16BA7DAE">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7.其他要求：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cs="宋体"/>
          <w:color w:val="auto"/>
          <w:spacing w:val="9"/>
          <w:position w:val="13"/>
          <w:sz w:val="20"/>
          <w:szCs w:val="20"/>
          <w:highlight w:val="none"/>
          <w:lang w:val="en-US" w:eastAsia="zh-CN"/>
        </w:rPr>
        <w:t>；</w:t>
      </w:r>
    </w:p>
    <w:p w14:paraId="6801806C">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8.本项目不接受联合体投标</w:t>
      </w:r>
      <w:r>
        <w:rPr>
          <w:rFonts w:hint="eastAsia" w:ascii="宋体" w:hAnsi="宋体" w:cs="宋体"/>
          <w:color w:val="auto"/>
          <w:spacing w:val="9"/>
          <w:position w:val="13"/>
          <w:sz w:val="20"/>
          <w:szCs w:val="20"/>
          <w:highlight w:val="none"/>
          <w:lang w:val="en-US" w:eastAsia="zh-CN"/>
        </w:rPr>
        <w:t>。</w:t>
      </w:r>
    </w:p>
    <w:p w14:paraId="0C9E3D74">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7"/>
          <w:sz w:val="20"/>
          <w:szCs w:val="20"/>
          <w:highlight w:val="none"/>
          <w:lang w:eastAsia="zh-CN"/>
        </w:rPr>
        <w:t>三、获取招标文件</w:t>
      </w:r>
    </w:p>
    <w:p w14:paraId="10E7D69D">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9"/>
          <w:position w:val="13"/>
          <w:sz w:val="20"/>
          <w:szCs w:val="20"/>
          <w:highlight w:val="none"/>
          <w:lang w:val="en-US" w:eastAsia="zh-CN"/>
        </w:rPr>
        <w:t>1.</w:t>
      </w:r>
      <w:r>
        <w:rPr>
          <w:rFonts w:hint="eastAsia" w:ascii="宋体" w:hAnsi="宋体" w:eastAsia="宋体" w:cs="宋体"/>
          <w:color w:val="auto"/>
          <w:spacing w:val="9"/>
          <w:position w:val="13"/>
          <w:sz w:val="20"/>
          <w:szCs w:val="20"/>
          <w:highlight w:val="none"/>
          <w:lang w:eastAsia="zh-CN"/>
        </w:rPr>
        <w:t>时间：202</w:t>
      </w:r>
      <w:r>
        <w:rPr>
          <w:rFonts w:hint="eastAsia" w:ascii="宋体" w:hAnsi="宋体" w:eastAsia="宋体" w:cs="宋体"/>
          <w:color w:val="auto"/>
          <w:spacing w:val="9"/>
          <w:position w:val="13"/>
          <w:sz w:val="20"/>
          <w:szCs w:val="20"/>
          <w:highlight w:val="none"/>
          <w:lang w:val="en-US" w:eastAsia="zh-CN"/>
        </w:rPr>
        <w:t>5</w:t>
      </w:r>
      <w:r>
        <w:rPr>
          <w:rFonts w:hint="eastAsia" w:ascii="宋体" w:hAnsi="宋体" w:eastAsia="宋体" w:cs="宋体"/>
          <w:color w:val="auto"/>
          <w:spacing w:val="9"/>
          <w:position w:val="13"/>
          <w:sz w:val="20"/>
          <w:szCs w:val="20"/>
          <w:highlight w:val="none"/>
          <w:lang w:eastAsia="zh-CN"/>
        </w:rPr>
        <w:t>年</w:t>
      </w:r>
      <w:r>
        <w:rPr>
          <w:rFonts w:hint="eastAsia" w:ascii="宋体" w:hAnsi="宋体" w:eastAsia="宋体" w:cs="宋体"/>
          <w:color w:val="auto"/>
          <w:spacing w:val="9"/>
          <w:position w:val="13"/>
          <w:sz w:val="20"/>
          <w:szCs w:val="20"/>
          <w:highlight w:val="none"/>
          <w:lang w:val="en-US" w:eastAsia="zh-CN"/>
        </w:rPr>
        <w:t>0</w:t>
      </w:r>
      <w:r>
        <w:rPr>
          <w:rFonts w:hint="eastAsia" w:ascii="宋体" w:hAnsi="宋体" w:cs="宋体"/>
          <w:color w:val="auto"/>
          <w:spacing w:val="9"/>
          <w:position w:val="13"/>
          <w:sz w:val="20"/>
          <w:szCs w:val="20"/>
          <w:highlight w:val="none"/>
          <w:lang w:val="en-US" w:eastAsia="zh-CN"/>
        </w:rPr>
        <w:t>6</w:t>
      </w:r>
      <w:r>
        <w:rPr>
          <w:rFonts w:hint="eastAsia" w:ascii="宋体" w:hAnsi="宋体" w:eastAsia="宋体" w:cs="宋体"/>
          <w:color w:val="auto"/>
          <w:spacing w:val="9"/>
          <w:position w:val="13"/>
          <w:sz w:val="20"/>
          <w:szCs w:val="20"/>
          <w:highlight w:val="none"/>
          <w:lang w:eastAsia="zh-CN"/>
        </w:rPr>
        <w:t>月</w:t>
      </w:r>
      <w:r>
        <w:rPr>
          <w:rFonts w:hint="eastAsia" w:ascii="宋体" w:hAnsi="宋体" w:cs="宋体"/>
          <w:color w:val="auto"/>
          <w:spacing w:val="9"/>
          <w:position w:val="13"/>
          <w:sz w:val="20"/>
          <w:szCs w:val="20"/>
          <w:highlight w:val="none"/>
          <w:lang w:val="en-US" w:eastAsia="zh-CN"/>
        </w:rPr>
        <w:t>25</w:t>
      </w:r>
      <w:r>
        <w:rPr>
          <w:rFonts w:hint="eastAsia" w:ascii="宋体" w:hAnsi="宋体" w:eastAsia="宋体" w:cs="宋体"/>
          <w:color w:val="auto"/>
          <w:spacing w:val="9"/>
          <w:position w:val="13"/>
          <w:sz w:val="20"/>
          <w:szCs w:val="20"/>
          <w:highlight w:val="none"/>
          <w:lang w:eastAsia="zh-CN"/>
        </w:rPr>
        <w:t>日至202</w:t>
      </w:r>
      <w:r>
        <w:rPr>
          <w:rFonts w:hint="eastAsia" w:ascii="宋体" w:hAnsi="宋体" w:eastAsia="宋体" w:cs="宋体"/>
          <w:color w:val="auto"/>
          <w:spacing w:val="9"/>
          <w:position w:val="13"/>
          <w:sz w:val="20"/>
          <w:szCs w:val="20"/>
          <w:highlight w:val="none"/>
          <w:lang w:val="en-US" w:eastAsia="zh-CN"/>
        </w:rPr>
        <w:t>5</w:t>
      </w:r>
      <w:r>
        <w:rPr>
          <w:rFonts w:hint="eastAsia" w:ascii="宋体" w:hAnsi="宋体" w:eastAsia="宋体" w:cs="宋体"/>
          <w:color w:val="auto"/>
          <w:spacing w:val="9"/>
          <w:position w:val="13"/>
          <w:sz w:val="20"/>
          <w:szCs w:val="20"/>
          <w:highlight w:val="none"/>
          <w:lang w:eastAsia="zh-CN"/>
        </w:rPr>
        <w:t>年</w:t>
      </w:r>
      <w:r>
        <w:rPr>
          <w:rFonts w:hint="eastAsia" w:ascii="宋体" w:hAnsi="宋体" w:cs="宋体"/>
          <w:color w:val="auto"/>
          <w:spacing w:val="9"/>
          <w:position w:val="13"/>
          <w:sz w:val="20"/>
          <w:szCs w:val="20"/>
          <w:highlight w:val="none"/>
          <w:lang w:val="en-US" w:eastAsia="zh-CN"/>
        </w:rPr>
        <w:t>07</w:t>
      </w:r>
      <w:r>
        <w:rPr>
          <w:rFonts w:hint="eastAsia" w:ascii="宋体" w:hAnsi="宋体" w:eastAsia="宋体" w:cs="宋体"/>
          <w:color w:val="auto"/>
          <w:spacing w:val="9"/>
          <w:position w:val="13"/>
          <w:sz w:val="20"/>
          <w:szCs w:val="20"/>
          <w:highlight w:val="none"/>
          <w:lang w:eastAsia="zh-CN"/>
        </w:rPr>
        <w:t>月</w:t>
      </w:r>
      <w:r>
        <w:rPr>
          <w:rFonts w:hint="eastAsia" w:ascii="宋体" w:hAnsi="宋体" w:cs="宋体"/>
          <w:color w:val="auto"/>
          <w:spacing w:val="9"/>
          <w:position w:val="13"/>
          <w:sz w:val="20"/>
          <w:szCs w:val="20"/>
          <w:highlight w:val="none"/>
          <w:lang w:val="en-US" w:eastAsia="zh-CN"/>
        </w:rPr>
        <w:t>01</w:t>
      </w:r>
      <w:r>
        <w:rPr>
          <w:rFonts w:hint="eastAsia" w:ascii="宋体" w:hAnsi="宋体" w:eastAsia="宋体" w:cs="宋体"/>
          <w:color w:val="auto"/>
          <w:spacing w:val="9"/>
          <w:position w:val="13"/>
          <w:sz w:val="20"/>
          <w:szCs w:val="20"/>
          <w:highlight w:val="none"/>
          <w:lang w:eastAsia="zh-CN"/>
        </w:rPr>
        <w:t>日，每天09时00分至16时00分（北京时间，法定节假日除外）；</w:t>
      </w:r>
    </w:p>
    <w:p w14:paraId="78211CD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cs="宋体"/>
          <w:color w:val="auto"/>
          <w:spacing w:val="9"/>
          <w:position w:val="13"/>
          <w:sz w:val="20"/>
          <w:szCs w:val="20"/>
          <w:highlight w:val="none"/>
          <w:lang w:val="en-US" w:eastAsia="zh-CN"/>
        </w:rPr>
        <w:t>2.</w:t>
      </w:r>
      <w:r>
        <w:rPr>
          <w:rFonts w:hint="eastAsia" w:ascii="宋体" w:hAnsi="宋体" w:eastAsia="宋体" w:cs="宋体"/>
          <w:color w:val="auto"/>
          <w:spacing w:val="9"/>
          <w:position w:val="13"/>
          <w:sz w:val="20"/>
          <w:szCs w:val="20"/>
          <w:highlight w:val="none"/>
          <w:lang w:val="en-US" w:eastAsia="zh-CN"/>
        </w:rPr>
        <w:t>地点：</w:t>
      </w:r>
      <w:r>
        <w:rPr>
          <w:rFonts w:hint="eastAsia" w:ascii="宋体" w:hAnsi="宋体" w:eastAsia="宋体" w:cs="宋体"/>
          <w:color w:val="auto"/>
          <w:spacing w:val="9"/>
          <w:position w:val="13"/>
          <w:sz w:val="20"/>
          <w:szCs w:val="20"/>
          <w:highlight w:val="none"/>
          <w:lang w:eastAsia="zh-CN"/>
        </w:rPr>
        <w:t xml:space="preserve">政府采购云平台（网址：http:// </w:t>
      </w:r>
      <w:r>
        <w:rPr>
          <w:rFonts w:hint="eastAsia" w:ascii="宋体" w:hAnsi="宋体" w:eastAsia="宋体" w:cs="宋体"/>
          <w:color w:val="auto"/>
          <w:spacing w:val="9"/>
          <w:position w:val="13"/>
          <w:sz w:val="20"/>
          <w:szCs w:val="20"/>
          <w:highlight w:val="none"/>
          <w:u w:val="none"/>
          <w:lang w:eastAsia="zh-CN"/>
        </w:rPr>
        <w:t>www.zcygov.cn）</w:t>
      </w:r>
    </w:p>
    <w:p w14:paraId="1444FE67">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position w:val="13"/>
          <w:sz w:val="20"/>
          <w:szCs w:val="20"/>
          <w:highlight w:val="none"/>
          <w:lang w:eastAsia="zh-CN"/>
        </w:rPr>
      </w:pPr>
      <w:r>
        <w:rPr>
          <w:rFonts w:hint="eastAsia" w:ascii="宋体" w:hAnsi="宋体" w:cs="宋体"/>
          <w:color w:val="auto"/>
          <w:spacing w:val="9"/>
          <w:position w:val="13"/>
          <w:sz w:val="20"/>
          <w:szCs w:val="20"/>
          <w:highlight w:val="none"/>
          <w:lang w:val="en-US" w:eastAsia="zh-CN"/>
        </w:rPr>
        <w:t>3.</w:t>
      </w:r>
      <w:r>
        <w:rPr>
          <w:rFonts w:hint="eastAsia" w:ascii="宋体" w:hAnsi="宋体" w:eastAsia="宋体" w:cs="宋体"/>
          <w:color w:val="auto"/>
          <w:spacing w:val="9"/>
          <w:position w:val="13"/>
          <w:sz w:val="20"/>
          <w:szCs w:val="20"/>
          <w:highlight w:val="none"/>
          <w:lang w:eastAsia="zh-CN"/>
        </w:rPr>
        <w:t xml:space="preserve">方式：网上免费获取（潜在投标人自行登录政府采购云平台（网址：http:// </w:t>
      </w:r>
      <w:r>
        <w:rPr>
          <w:rFonts w:hint="eastAsia" w:ascii="宋体" w:hAnsi="宋体" w:eastAsia="宋体" w:cs="宋体"/>
          <w:color w:val="auto"/>
          <w:spacing w:val="9"/>
          <w:position w:val="13"/>
          <w:sz w:val="20"/>
          <w:szCs w:val="20"/>
          <w:highlight w:val="none"/>
          <w:u w:val="none"/>
          <w:lang w:eastAsia="zh-CN"/>
        </w:rPr>
        <w:t>www.zcygov.cn）网上注册并下载招标文件，其他途径获取的招标文件开标时一律按无效投标处理。</w:t>
      </w:r>
    </w:p>
    <w:p w14:paraId="1E015529">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7"/>
          <w:sz w:val="20"/>
          <w:szCs w:val="20"/>
          <w:highlight w:val="none"/>
          <w:lang w:eastAsia="zh-CN"/>
        </w:rPr>
        <w:t>四、提交投标文件截止时间、开标时间和地点</w:t>
      </w:r>
    </w:p>
    <w:p w14:paraId="6258FFD0">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8"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7"/>
          <w:sz w:val="20"/>
          <w:szCs w:val="20"/>
          <w:highlight w:val="none"/>
          <w:lang w:val="en-US" w:eastAsia="zh-CN"/>
        </w:rPr>
        <w:t>1.</w:t>
      </w:r>
      <w:r>
        <w:rPr>
          <w:rFonts w:hint="eastAsia" w:ascii="宋体" w:hAnsi="宋体" w:eastAsia="宋体" w:cs="宋体"/>
          <w:color w:val="auto"/>
          <w:spacing w:val="7"/>
          <w:sz w:val="20"/>
          <w:szCs w:val="20"/>
          <w:highlight w:val="none"/>
          <w:lang w:eastAsia="zh-CN"/>
        </w:rPr>
        <w:t>提交投标文件截止时间、开标时间：</w:t>
      </w:r>
      <w:r>
        <w:rPr>
          <w:rFonts w:hint="eastAsia" w:ascii="宋体" w:hAnsi="宋体" w:cs="宋体"/>
          <w:color w:val="auto"/>
          <w:spacing w:val="8"/>
          <w:sz w:val="20"/>
          <w:szCs w:val="20"/>
          <w:highlight w:val="none"/>
          <w:lang w:eastAsia="zh-CN"/>
        </w:rPr>
        <w:t>2025年07月18日13时30分</w:t>
      </w:r>
      <w:r>
        <w:rPr>
          <w:rFonts w:hint="eastAsia" w:ascii="宋体" w:hAnsi="宋体" w:eastAsia="宋体" w:cs="宋体"/>
          <w:color w:val="auto"/>
          <w:spacing w:val="7"/>
          <w:sz w:val="20"/>
          <w:szCs w:val="20"/>
          <w:highlight w:val="none"/>
          <w:lang w:eastAsia="zh-CN"/>
        </w:rPr>
        <w:t>（北</w:t>
      </w:r>
      <w:r>
        <w:rPr>
          <w:rFonts w:hint="eastAsia" w:ascii="宋体" w:hAnsi="宋体" w:eastAsia="宋体" w:cs="宋体"/>
          <w:color w:val="auto"/>
          <w:spacing w:val="6"/>
          <w:sz w:val="20"/>
          <w:szCs w:val="20"/>
          <w:highlight w:val="none"/>
          <w:lang w:eastAsia="zh-CN"/>
        </w:rPr>
        <w:t>京时间</w:t>
      </w:r>
      <w:r>
        <w:rPr>
          <w:rFonts w:hint="eastAsia" w:ascii="宋体" w:hAnsi="宋体" w:eastAsia="宋体" w:cs="宋体"/>
          <w:color w:val="auto"/>
          <w:sz w:val="20"/>
          <w:szCs w:val="20"/>
          <w:highlight w:val="none"/>
          <w:lang w:eastAsia="zh-CN"/>
        </w:rPr>
        <w:t>）；</w:t>
      </w:r>
    </w:p>
    <w:p w14:paraId="2BF2F975">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8"/>
          <w:sz w:val="20"/>
          <w:szCs w:val="20"/>
          <w:highlight w:val="none"/>
          <w:lang w:val="en-US" w:eastAsia="zh-CN"/>
        </w:rPr>
        <w:t>2.</w:t>
      </w:r>
      <w:r>
        <w:rPr>
          <w:rFonts w:hint="eastAsia" w:ascii="宋体" w:hAnsi="宋体" w:eastAsia="宋体" w:cs="宋体"/>
          <w:color w:val="auto"/>
          <w:spacing w:val="8"/>
          <w:sz w:val="20"/>
          <w:szCs w:val="20"/>
          <w:highlight w:val="none"/>
          <w:lang w:eastAsia="zh-CN"/>
        </w:rPr>
        <w:t>地点：长春新区政务服务中心公共资源交易大厅-二楼</w:t>
      </w:r>
      <w:r>
        <w:rPr>
          <w:rFonts w:hint="eastAsia" w:ascii="宋体" w:hAnsi="宋体" w:eastAsia="宋体" w:cs="宋体"/>
          <w:b w:val="0"/>
          <w:bCs w:val="0"/>
          <w:color w:val="auto"/>
          <w:spacing w:val="5"/>
          <w:sz w:val="20"/>
          <w:szCs w:val="20"/>
          <w:highlight w:val="none"/>
          <w:vertAlign w:val="baseline"/>
          <w:lang w:val="en-US" w:eastAsia="zh-CN"/>
        </w:rPr>
        <w:t>B217中开标室</w:t>
      </w:r>
      <w:r>
        <w:rPr>
          <w:rFonts w:hint="eastAsia" w:ascii="宋体" w:hAnsi="宋体" w:eastAsia="宋体" w:cs="宋体"/>
          <w:color w:val="auto"/>
          <w:spacing w:val="8"/>
          <w:sz w:val="20"/>
          <w:szCs w:val="20"/>
          <w:highlight w:val="none"/>
          <w:lang w:eastAsia="zh-CN"/>
        </w:rPr>
        <w:t>。</w:t>
      </w:r>
    </w:p>
    <w:p w14:paraId="34642F84">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（1）逾期</w:t>
      </w:r>
      <w:r>
        <w:rPr>
          <w:rFonts w:hint="eastAsia" w:ascii="宋体" w:hAnsi="宋体" w:cs="宋体"/>
          <w:color w:val="auto"/>
          <w:spacing w:val="9"/>
          <w:sz w:val="20"/>
          <w:szCs w:val="20"/>
          <w:highlight w:val="none"/>
          <w:lang w:val="en-US" w:eastAsia="zh-CN"/>
        </w:rPr>
        <w:t>上传</w:t>
      </w:r>
      <w:r>
        <w:rPr>
          <w:rFonts w:hint="eastAsia" w:ascii="宋体" w:hAnsi="宋体" w:eastAsia="宋体" w:cs="宋体"/>
          <w:color w:val="auto"/>
          <w:spacing w:val="9"/>
          <w:sz w:val="20"/>
          <w:szCs w:val="20"/>
          <w:highlight w:val="none"/>
        </w:rPr>
        <w:t>的或者未</w:t>
      </w:r>
      <w:r>
        <w:rPr>
          <w:rFonts w:hint="eastAsia" w:ascii="宋体" w:hAnsi="宋体" w:cs="宋体"/>
          <w:color w:val="auto"/>
          <w:spacing w:val="9"/>
          <w:sz w:val="20"/>
          <w:szCs w:val="20"/>
          <w:highlight w:val="none"/>
          <w:lang w:val="en-US" w:eastAsia="zh-CN"/>
        </w:rPr>
        <w:t>上传</w:t>
      </w:r>
      <w:r>
        <w:rPr>
          <w:rFonts w:hint="eastAsia" w:ascii="宋体" w:hAnsi="宋体" w:eastAsia="宋体" w:cs="宋体"/>
          <w:color w:val="auto"/>
          <w:spacing w:val="9"/>
          <w:sz w:val="20"/>
          <w:szCs w:val="20"/>
          <w:highlight w:val="none"/>
        </w:rPr>
        <w:t>指定地点的投标文件，采购人不予受理。</w:t>
      </w:r>
    </w:p>
    <w:p w14:paraId="017A6F73">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val="en-US" w:eastAsia="zh-CN"/>
        </w:rPr>
      </w:pPr>
      <w:r>
        <w:rPr>
          <w:rFonts w:hint="eastAsia" w:ascii="宋体" w:hAnsi="宋体" w:eastAsia="宋体" w:cs="宋体"/>
          <w:color w:val="auto"/>
          <w:spacing w:val="9"/>
          <w:sz w:val="20"/>
          <w:szCs w:val="20"/>
          <w:highlight w:val="none"/>
        </w:rPr>
        <w:t>（2）本项目执行电子化招投标，</w:t>
      </w:r>
      <w:r>
        <w:rPr>
          <w:rFonts w:hint="eastAsia" w:ascii="宋体" w:hAnsi="宋体" w:eastAsia="宋体" w:cs="宋体"/>
          <w:color w:val="auto"/>
          <w:spacing w:val="9"/>
          <w:sz w:val="20"/>
          <w:szCs w:val="20"/>
          <w:highlight w:val="none"/>
          <w:lang w:eastAsia="zh-CN"/>
        </w:rPr>
        <w:t>投标人</w:t>
      </w:r>
      <w:r>
        <w:rPr>
          <w:rFonts w:hint="eastAsia" w:ascii="宋体" w:hAnsi="宋体" w:cs="宋体"/>
          <w:color w:val="auto"/>
          <w:spacing w:val="9"/>
          <w:sz w:val="20"/>
          <w:szCs w:val="20"/>
          <w:highlight w:val="none"/>
          <w:lang w:val="en-US" w:eastAsia="zh-CN"/>
        </w:rPr>
        <w:t>须</w:t>
      </w:r>
      <w:r>
        <w:rPr>
          <w:rFonts w:hint="eastAsia" w:ascii="宋体" w:hAnsi="宋体" w:eastAsia="宋体" w:cs="宋体"/>
          <w:color w:val="auto"/>
          <w:spacing w:val="9"/>
          <w:sz w:val="20"/>
          <w:szCs w:val="20"/>
          <w:highlight w:val="none"/>
        </w:rPr>
        <w:t>自行通过政府采购云平台（网址：http:// www.zcygov.cn）提交电子版投标文件</w:t>
      </w:r>
      <w:r>
        <w:rPr>
          <w:rFonts w:hint="eastAsia" w:ascii="宋体" w:hAnsi="宋体" w:eastAsia="宋体" w:cs="宋体"/>
          <w:color w:val="auto"/>
          <w:spacing w:val="9"/>
          <w:sz w:val="20"/>
          <w:szCs w:val="20"/>
          <w:highlight w:val="none"/>
          <w:lang w:val="en-US" w:eastAsia="zh-CN"/>
        </w:rPr>
        <w:t>，并按规定时间解密成功。</w:t>
      </w:r>
    </w:p>
    <w:p w14:paraId="594B5D9C">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（3）投标操作流程：</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在政府采购云平台网注册入库成为正式</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后，在平台上按《政府采购项目电子交易管理操作指南-</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》进行投标操作。</w:t>
      </w:r>
    </w:p>
    <w:p w14:paraId="1FC424E6">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（4）数字证书办理及投标技术咨询：</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须办理数字证书方可参加投标。</w:t>
      </w:r>
    </w:p>
    <w:p w14:paraId="3250237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（5）办理联系方式：</w:t>
      </w:r>
      <w:r>
        <w:rPr>
          <w:rFonts w:hint="eastAsia" w:ascii="宋体" w:hAnsi="宋体" w:eastAsia="宋体" w:cs="宋体"/>
          <w:color w:val="auto"/>
          <w:spacing w:val="9"/>
          <w:sz w:val="20"/>
          <w:szCs w:val="20"/>
          <w:highlight w:val="none"/>
          <w:lang w:eastAsia="zh-CN"/>
        </w:rPr>
        <w:t>0431-8</w:t>
      </w:r>
      <w:r>
        <w:rPr>
          <w:rFonts w:hint="eastAsia" w:ascii="宋体" w:hAnsi="宋体" w:eastAsia="宋体" w:cs="宋体"/>
          <w:color w:val="auto"/>
          <w:spacing w:val="9"/>
          <w:sz w:val="20"/>
          <w:szCs w:val="20"/>
          <w:highlight w:val="none"/>
          <w:lang w:val="en-US" w:eastAsia="zh-CN"/>
        </w:rPr>
        <w:t>2761717</w:t>
      </w:r>
      <w:r>
        <w:rPr>
          <w:rFonts w:hint="eastAsia" w:ascii="宋体" w:hAnsi="宋体" w:eastAsia="宋体" w:cs="宋体"/>
          <w:color w:val="auto"/>
          <w:spacing w:val="9"/>
          <w:sz w:val="20"/>
          <w:szCs w:val="20"/>
          <w:highlight w:val="none"/>
        </w:rPr>
        <w:t>（数字证书办理时限为1-3个工作日，</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须自行考虑办理时间，因</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自身原因在开标前无法完成办理，后果自负）。</w:t>
      </w:r>
    </w:p>
    <w:p w14:paraId="0CA9ABA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snapToGrid w:val="0"/>
          <w:color w:val="auto"/>
          <w:sz w:val="20"/>
          <w:szCs w:val="20"/>
          <w:highlight w:val="none"/>
          <w:lang w:val="en-US" w:eastAsia="zh-CN" w:bidi="ar-SA"/>
        </w:rPr>
      </w:pPr>
      <w:r>
        <w:rPr>
          <w:rFonts w:hint="eastAsia" w:ascii="宋体" w:hAnsi="宋体" w:eastAsia="宋体" w:cs="宋体"/>
          <w:b/>
          <w:bCs/>
          <w:color w:val="auto"/>
          <w:spacing w:val="6"/>
          <w:sz w:val="20"/>
          <w:szCs w:val="20"/>
          <w:highlight w:val="none"/>
          <w:lang w:eastAsia="zh-CN"/>
        </w:rPr>
        <w:t>五、公告期限</w:t>
      </w:r>
    </w:p>
    <w:p w14:paraId="41B15F7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24"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自本公告发布之日起5个工作日。</w:t>
      </w:r>
    </w:p>
    <w:p w14:paraId="04DD724A">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7"/>
          <w:sz w:val="20"/>
          <w:szCs w:val="20"/>
          <w:highlight w:val="none"/>
          <w:lang w:eastAsia="zh-CN"/>
        </w:rPr>
        <w:t>六、其他补充事宜</w:t>
      </w:r>
    </w:p>
    <w:p w14:paraId="06258354">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本次招标公告在“政采云”平台、中国政府采购网、吉林省政府采购网、长春市公共资源交易网上同时发布。</w:t>
      </w:r>
    </w:p>
    <w:p w14:paraId="33DB315D">
      <w:pPr>
        <w:keepNext w:val="0"/>
        <w:keepLines w:val="0"/>
        <w:pageBreakBefore w:val="0"/>
        <w:widowControl/>
        <w:kinsoku w:val="0"/>
        <w:wordWrap/>
        <w:overflowPunct/>
        <w:topLinePunct w:val="0"/>
        <w:autoSpaceDE w:val="0"/>
        <w:autoSpaceDN w:val="0"/>
        <w:bidi w:val="0"/>
        <w:adjustRightInd w:val="0"/>
        <w:snapToGrid w:val="0"/>
        <w:spacing w:line="276"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8"/>
          <w:sz w:val="20"/>
          <w:szCs w:val="20"/>
          <w:highlight w:val="none"/>
          <w:lang w:eastAsia="zh-CN"/>
        </w:rPr>
        <w:t>七、对本次招标提出询问，请按以下方式联系</w:t>
      </w:r>
    </w:p>
    <w:p w14:paraId="3F03DD5E">
      <w:pPr>
        <w:keepNext w:val="0"/>
        <w:keepLines w:val="0"/>
        <w:pageBreakBefore w:val="0"/>
        <w:widowControl/>
        <w:kinsoku w:val="0"/>
        <w:wordWrap/>
        <w:overflowPunct/>
        <w:topLinePunct w:val="0"/>
        <w:autoSpaceDE w:val="0"/>
        <w:autoSpaceDN w:val="0"/>
        <w:bidi w:val="0"/>
        <w:adjustRightInd w:val="0"/>
        <w:snapToGrid w:val="0"/>
        <w:spacing w:line="276" w:lineRule="auto"/>
        <w:ind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1.采购人信息</w:t>
      </w:r>
    </w:p>
    <w:p w14:paraId="7DDD2F23">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名    称：长春新区教育局</w:t>
      </w:r>
    </w:p>
    <w:p w14:paraId="6CA8883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地    址：长春市龙湖大路5799号</w:t>
      </w:r>
    </w:p>
    <w:p w14:paraId="0FC7321A">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联系方式：0431-82538548（</w:t>
      </w:r>
      <w:r>
        <w:rPr>
          <w:rFonts w:hint="eastAsia" w:ascii="宋体" w:hAnsi="宋体" w:cs="宋体"/>
          <w:color w:val="auto"/>
          <w:spacing w:val="9"/>
          <w:sz w:val="20"/>
          <w:szCs w:val="20"/>
          <w:highlight w:val="none"/>
          <w:lang w:val="en-US" w:eastAsia="zh-CN"/>
        </w:rPr>
        <w:t>张</w:t>
      </w:r>
      <w:r>
        <w:rPr>
          <w:rFonts w:hint="eastAsia" w:ascii="宋体" w:hAnsi="宋体" w:eastAsia="宋体" w:cs="宋体"/>
          <w:color w:val="auto"/>
          <w:spacing w:val="9"/>
          <w:sz w:val="20"/>
          <w:szCs w:val="20"/>
          <w:highlight w:val="none"/>
          <w:lang w:eastAsia="zh-CN"/>
        </w:rPr>
        <w:t>先生）</w:t>
      </w:r>
    </w:p>
    <w:p w14:paraId="6D35A53F">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2.采购代理机构信息</w:t>
      </w:r>
    </w:p>
    <w:p w14:paraId="011E4117">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名称：</w:t>
      </w:r>
      <w:r>
        <w:rPr>
          <w:rFonts w:hint="eastAsia" w:ascii="宋体" w:hAnsi="宋体" w:cs="宋体"/>
          <w:color w:val="auto"/>
          <w:spacing w:val="9"/>
          <w:sz w:val="20"/>
          <w:szCs w:val="20"/>
          <w:highlight w:val="none"/>
          <w:lang w:eastAsia="zh-CN"/>
        </w:rPr>
        <w:t>吉林省安晟项目管理有限公司</w:t>
      </w:r>
    </w:p>
    <w:p w14:paraId="5384C8AE">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地址：</w:t>
      </w:r>
      <w:r>
        <w:rPr>
          <w:rFonts w:hint="eastAsia" w:ascii="宋体" w:hAnsi="宋体" w:cs="宋体"/>
          <w:color w:val="auto"/>
          <w:spacing w:val="9"/>
          <w:sz w:val="20"/>
          <w:szCs w:val="20"/>
          <w:highlight w:val="none"/>
          <w:lang w:eastAsia="zh-CN"/>
        </w:rPr>
        <w:t>长春市净月开发区川渝·泓泰国际-环球贸易中心一期2号楼1108号</w:t>
      </w:r>
    </w:p>
    <w:p w14:paraId="4927D79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cs="宋体"/>
          <w:color w:val="auto"/>
          <w:spacing w:val="9"/>
          <w:sz w:val="20"/>
          <w:szCs w:val="20"/>
          <w:highlight w:val="none"/>
          <w:lang w:eastAsia="zh-CN"/>
        </w:rPr>
      </w:pPr>
      <w:r>
        <w:rPr>
          <w:rFonts w:hint="eastAsia" w:ascii="宋体" w:hAnsi="宋体" w:cs="宋体"/>
          <w:color w:val="auto"/>
          <w:spacing w:val="9"/>
          <w:sz w:val="20"/>
          <w:szCs w:val="20"/>
          <w:highlight w:val="none"/>
          <w:lang w:eastAsia="zh-CN"/>
        </w:rPr>
        <w:t>联系方式：18043141906（孙工）</w:t>
      </w:r>
    </w:p>
    <w:p w14:paraId="32ED2802">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cs="宋体"/>
          <w:color w:val="auto"/>
          <w:spacing w:val="9"/>
          <w:sz w:val="20"/>
          <w:szCs w:val="20"/>
          <w:highlight w:val="none"/>
          <w:lang w:eastAsia="zh-CN"/>
        </w:rPr>
      </w:pPr>
      <w:r>
        <w:rPr>
          <w:rFonts w:hint="eastAsia" w:ascii="宋体" w:hAnsi="宋体" w:cs="宋体"/>
          <w:color w:val="auto"/>
          <w:spacing w:val="9"/>
          <w:sz w:val="20"/>
          <w:szCs w:val="20"/>
          <w:highlight w:val="none"/>
          <w:lang w:eastAsia="zh-CN"/>
        </w:rPr>
        <w:t>3.项目联系方式</w:t>
      </w:r>
    </w:p>
    <w:p w14:paraId="5A28EEA1">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cs="宋体"/>
          <w:color w:val="auto"/>
          <w:spacing w:val="9"/>
          <w:sz w:val="20"/>
          <w:szCs w:val="20"/>
          <w:highlight w:val="none"/>
          <w:lang w:eastAsia="zh-CN"/>
        </w:rPr>
      </w:pPr>
      <w:r>
        <w:rPr>
          <w:rFonts w:hint="eastAsia" w:ascii="宋体" w:hAnsi="宋体" w:cs="宋体"/>
          <w:color w:val="auto"/>
          <w:spacing w:val="9"/>
          <w:sz w:val="20"/>
          <w:szCs w:val="20"/>
          <w:highlight w:val="none"/>
          <w:lang w:eastAsia="zh-CN"/>
        </w:rPr>
        <w:t>项目联系人：孙工</w:t>
      </w:r>
    </w:p>
    <w:p w14:paraId="3B1D57EF">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cs="宋体"/>
          <w:color w:val="auto"/>
          <w:spacing w:val="9"/>
          <w:sz w:val="20"/>
          <w:szCs w:val="20"/>
          <w:highlight w:val="none"/>
          <w:lang w:eastAsia="zh-CN"/>
        </w:rPr>
      </w:pPr>
      <w:r>
        <w:rPr>
          <w:rFonts w:hint="eastAsia" w:ascii="宋体" w:hAnsi="宋体" w:cs="宋体"/>
          <w:color w:val="auto"/>
          <w:spacing w:val="9"/>
          <w:sz w:val="20"/>
          <w:szCs w:val="20"/>
          <w:highlight w:val="none"/>
          <w:lang w:eastAsia="zh-CN"/>
        </w:rPr>
        <w:t>电话：18043141906</w:t>
      </w:r>
    </w:p>
    <w:p w14:paraId="7CE4FF60">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4.监督机构及投诉受理部门：长春新区财政局政府采购管理办公室</w:t>
      </w:r>
    </w:p>
    <w:p w14:paraId="7EBB9BC7">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投诉方式：书面投诉</w:t>
      </w:r>
    </w:p>
    <w:p w14:paraId="1F5E6EC8">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地    址：长春市龙湖大路5799号</w:t>
      </w:r>
    </w:p>
    <w:p w14:paraId="3FE50D5D">
      <w:pPr>
        <w:keepNext w:val="0"/>
        <w:keepLines w:val="0"/>
        <w:pageBreakBefore w:val="0"/>
        <w:widowControl/>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pPr>
      <w:bookmarkStart w:id="3" w:name="bookmark2"/>
      <w:bookmarkEnd w:id="3"/>
      <w:bookmarkStart w:id="4" w:name="_Toc22970"/>
      <w:r>
        <w:rPr>
          <w:rFonts w:hint="eastAsia" w:ascii="宋体" w:hAnsi="宋体" w:eastAsia="宋体" w:cs="宋体"/>
          <w:color w:val="auto"/>
          <w:spacing w:val="9"/>
          <w:sz w:val="20"/>
          <w:szCs w:val="20"/>
          <w:highlight w:val="none"/>
          <w:lang w:eastAsia="zh-CN"/>
        </w:rPr>
        <w:t>联系方式：0431-81335709</w:t>
      </w:r>
      <w:bookmarkEnd w:id="4"/>
    </w:p>
    <w:p w14:paraId="1832237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default" w:ascii="宋体" w:hAnsi="宋体" w:eastAsia="宋体" w:cs="宋体"/>
          <w:color w:val="auto"/>
          <w:spacing w:val="9"/>
          <w:sz w:val="20"/>
          <w:szCs w:val="20"/>
          <w:highlight w:val="none"/>
          <w:lang w:val="en-US" w:eastAsia="zh-CN"/>
        </w:rPr>
      </w:pPr>
      <w:r>
        <w:rPr>
          <w:rFonts w:hint="default" w:ascii="宋体" w:hAnsi="宋体" w:eastAsia="宋体" w:cs="宋体"/>
          <w:color w:val="auto"/>
          <w:spacing w:val="9"/>
          <w:sz w:val="20"/>
          <w:szCs w:val="20"/>
          <w:highlight w:val="none"/>
          <w:lang w:val="en-US" w:eastAsia="zh-CN"/>
        </w:rPr>
        <w:t>5.本项目采购支持“政采贷”政策</w:t>
      </w:r>
    </w:p>
    <w:p w14:paraId="1F9EA1B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0" w:right="0" w:firstLine="436" w:firstLineChars="200"/>
        <w:textAlignment w:val="baseline"/>
        <w:rPr>
          <w:rFonts w:hint="eastAsia" w:ascii="宋体" w:hAnsi="宋体" w:eastAsia="宋体" w:cs="宋体"/>
          <w:color w:val="auto"/>
          <w:spacing w:val="9"/>
          <w:sz w:val="20"/>
          <w:szCs w:val="20"/>
          <w:highlight w:val="none"/>
          <w:lang w:eastAsia="zh-CN"/>
        </w:rPr>
        <w:sectPr>
          <w:footerReference r:id="rId4" w:type="default"/>
          <w:pgSz w:w="11906" w:h="16839"/>
          <w:pgMar w:top="1387" w:right="1785" w:bottom="1389" w:left="1368" w:header="0" w:footer="737" w:gutter="0"/>
          <w:pgNumType w:fmt="decimal" w:start="1"/>
          <w:cols w:space="720" w:num="1"/>
        </w:sectPr>
      </w:pPr>
      <w:r>
        <w:rPr>
          <w:rFonts w:hint="default" w:ascii="宋体" w:hAnsi="宋体" w:eastAsia="宋体" w:cs="宋体"/>
          <w:color w:val="auto"/>
          <w:spacing w:val="9"/>
          <w:sz w:val="20"/>
          <w:szCs w:val="20"/>
          <w:highlight w:val="none"/>
          <w:lang w:val="en-US" w:eastAsia="zh-CN"/>
        </w:rPr>
        <w:t>“政采数金平台”联系电话：0431-81888992/81888798</w:t>
      </w:r>
    </w:p>
    <w:p w14:paraId="68F1E51F">
      <w:pPr>
        <w:pStyle w:val="3"/>
        <w:bidi w:val="0"/>
        <w:jc w:val="center"/>
        <w:rPr>
          <w:rFonts w:hint="eastAsia" w:ascii="宋体" w:hAnsi="宋体" w:eastAsia="宋体" w:cs="宋体"/>
          <w:color w:val="auto"/>
          <w:highlight w:val="none"/>
          <w:lang w:eastAsia="zh-CN"/>
        </w:rPr>
      </w:pPr>
      <w:bookmarkStart w:id="5" w:name="_Toc19085"/>
      <w:r>
        <w:rPr>
          <w:rFonts w:hint="eastAsia" w:ascii="宋体" w:hAnsi="宋体" w:eastAsia="宋体" w:cs="宋体"/>
          <w:color w:val="auto"/>
          <w:highlight w:val="none"/>
          <w:lang w:eastAsia="zh-CN"/>
        </w:rPr>
        <w:t>第二部分投标人须知</w:t>
      </w:r>
      <w:bookmarkEnd w:id="5"/>
    </w:p>
    <w:p w14:paraId="0E030307">
      <w:pPr>
        <w:spacing w:before="101" w:line="193" w:lineRule="auto"/>
        <w:rPr>
          <w:rFonts w:hint="eastAsia" w:ascii="宋体" w:hAnsi="宋体" w:eastAsia="宋体" w:cs="宋体"/>
          <w:b/>
          <w:bCs/>
          <w:color w:val="auto"/>
          <w:spacing w:val="5"/>
          <w:sz w:val="31"/>
          <w:szCs w:val="31"/>
          <w:highlight w:val="none"/>
        </w:rPr>
      </w:pPr>
      <w:r>
        <w:rPr>
          <w:rFonts w:hint="eastAsia" w:ascii="宋体" w:hAnsi="宋体" w:eastAsia="宋体" w:cs="宋体"/>
          <w:color w:val="auto"/>
          <w:highlight w:val="none"/>
        </w:rPr>
        <mc:AlternateContent>
          <mc:Choice Requires="wps">
            <w:drawing>
              <wp:anchor distT="0" distB="0" distL="0" distR="0" simplePos="0" relativeHeight="251659264" behindDoc="0" locked="0" layoutInCell="1" allowOverlap="1">
                <wp:simplePos x="0" y="0"/>
                <wp:positionH relativeFrom="column">
                  <wp:posOffset>209550</wp:posOffset>
                </wp:positionH>
                <wp:positionV relativeFrom="paragraph">
                  <wp:posOffset>172085</wp:posOffset>
                </wp:positionV>
                <wp:extent cx="98425" cy="101600"/>
                <wp:effectExtent l="0" t="0" r="0" b="0"/>
                <wp:wrapNone/>
                <wp:docPr id="1026" name="文本框 4"/>
                <wp:cNvGraphicFramePr/>
                <a:graphic xmlns:a="http://schemas.openxmlformats.org/drawingml/2006/main">
                  <a:graphicData uri="http://schemas.microsoft.com/office/word/2010/wordprocessingShape">
                    <wps:wsp>
                      <wps:cNvSpPr/>
                      <wps:spPr>
                        <a:xfrm>
                          <a:off x="0" y="0"/>
                          <a:ext cx="98425" cy="101600"/>
                        </a:xfrm>
                        <a:prstGeom prst="rect">
                          <a:avLst/>
                        </a:prstGeom>
                        <a:ln>
                          <a:noFill/>
                        </a:ln>
                      </wps:spPr>
                      <wps:txbx>
                        <w:txbxContent>
                          <w:p w14:paraId="355A8142">
                            <w:pPr>
                              <w:spacing w:before="20" w:line="119" w:lineRule="exact"/>
                              <w:ind w:left="20"/>
                              <w:rPr>
                                <w:rFonts w:ascii="黑体" w:hAnsi="黑体" w:eastAsia="黑体" w:cs="黑体"/>
                                <w:sz w:val="9"/>
                                <w:szCs w:val="9"/>
                              </w:rPr>
                            </w:pPr>
                            <w:r>
                              <w:rPr>
                                <w:rFonts w:ascii="黑体" w:hAnsi="黑体" w:eastAsia="黑体" w:cs="黑体"/>
                                <w:b/>
                                <w:bCs/>
                                <w:spacing w:val="23"/>
                                <w:position w:val="3"/>
                                <w:sz w:val="9"/>
                                <w:szCs w:val="9"/>
                              </w:rPr>
                              <w:t>、</w:t>
                            </w:r>
                          </w:p>
                        </w:txbxContent>
                      </wps:txbx>
                      <wps:bodyPr lIns="0" tIns="0" rIns="0" bIns="0" upright="1"/>
                    </wps:wsp>
                  </a:graphicData>
                </a:graphic>
              </wp:anchor>
            </w:drawing>
          </mc:Choice>
          <mc:Fallback>
            <w:pict>
              <v:rect id="文本框 4" o:spid="_x0000_s1026" o:spt="1" style="position:absolute;left:0pt;margin-left:16.5pt;margin-top:13.55pt;height:8pt;width:7.75pt;z-index:251659264;mso-width-relative:page;mso-height-relative:page;" filled="f" stroked="f" coordsize="21600,21600" o:gfxdata="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7RpMdkAAAAHAQAADwAAAAAAAAABACAAAAAiAAAAZHJzL2Rvd25yZXYueG1sUEsBAhQAFAAAAAgA&#10;h07iQOiY3ZOyAQAAXgMAAA4AAAAAAAAAAQAgAAAAKAEAAGRycy9lMm9Eb2MueG1sUEsFBgAAAAAG&#10;AAYAWQEAAEwFAAAAAA==&#10;">
                <v:fill on="f" focussize="0,0"/>
                <v:stroke on="f"/>
                <v:imagedata o:title=""/>
                <o:lock v:ext="edit" aspectratio="f"/>
                <v:textbox inset="0mm,0mm,0mm,0mm">
                  <w:txbxContent>
                    <w:p w14:paraId="355A8142">
                      <w:pPr>
                        <w:spacing w:before="20" w:line="119" w:lineRule="exact"/>
                        <w:ind w:left="20"/>
                        <w:rPr>
                          <w:rFonts w:ascii="黑体" w:hAnsi="黑体" w:eastAsia="黑体" w:cs="黑体"/>
                          <w:sz w:val="9"/>
                          <w:szCs w:val="9"/>
                        </w:rPr>
                      </w:pPr>
                      <w:r>
                        <w:rPr>
                          <w:rFonts w:ascii="黑体" w:hAnsi="黑体" w:eastAsia="黑体" w:cs="黑体"/>
                          <w:b/>
                          <w:bCs/>
                          <w:spacing w:val="23"/>
                          <w:position w:val="3"/>
                          <w:sz w:val="9"/>
                          <w:szCs w:val="9"/>
                        </w:rPr>
                        <w:t>、</w:t>
                      </w:r>
                    </w:p>
                  </w:txbxContent>
                </v:textbox>
              </v:rect>
            </w:pict>
          </mc:Fallback>
        </mc:AlternateContent>
      </w:r>
      <w:r>
        <w:rPr>
          <w:rFonts w:hint="eastAsia" w:ascii="宋体" w:hAnsi="宋体" w:eastAsia="宋体" w:cs="宋体"/>
          <w:b/>
          <w:bCs/>
          <w:color w:val="auto"/>
          <w:spacing w:val="5"/>
          <w:sz w:val="31"/>
          <w:szCs w:val="31"/>
          <w:highlight w:val="none"/>
        </w:rPr>
        <w:t>一</w:t>
      </w:r>
      <w:r>
        <w:rPr>
          <w:rFonts w:hint="eastAsia" w:ascii="宋体" w:hAnsi="宋体" w:eastAsia="宋体" w:cs="宋体"/>
          <w:b/>
          <w:bCs/>
          <w:color w:val="auto"/>
          <w:spacing w:val="5"/>
          <w:sz w:val="31"/>
          <w:szCs w:val="31"/>
          <w:highlight w:val="none"/>
          <w:lang w:eastAsia="zh-CN"/>
        </w:rPr>
        <w:t>投标人</w:t>
      </w:r>
      <w:r>
        <w:rPr>
          <w:rFonts w:hint="eastAsia" w:ascii="宋体" w:hAnsi="宋体" w:eastAsia="宋体" w:cs="宋体"/>
          <w:b/>
          <w:bCs/>
          <w:color w:val="auto"/>
          <w:spacing w:val="5"/>
          <w:sz w:val="31"/>
          <w:szCs w:val="31"/>
          <w:highlight w:val="none"/>
        </w:rPr>
        <w:t>须知前附表</w:t>
      </w:r>
    </w:p>
    <w:tbl>
      <w:tblPr>
        <w:tblStyle w:val="23"/>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743"/>
        <w:gridCol w:w="7287"/>
      </w:tblGrid>
      <w:tr w14:paraId="7A31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C1B564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eastAsia="zh-CN"/>
              </w:rPr>
            </w:pPr>
            <w:r>
              <w:rPr>
                <w:rFonts w:hint="eastAsia" w:ascii="宋体" w:hAnsi="宋体" w:eastAsia="宋体" w:cs="宋体"/>
                <w:b w:val="0"/>
                <w:bCs w:val="0"/>
                <w:color w:val="auto"/>
                <w:spacing w:val="5"/>
                <w:sz w:val="20"/>
                <w:szCs w:val="20"/>
                <w:highlight w:val="none"/>
                <w:vertAlign w:val="baseline"/>
                <w:lang w:eastAsia="zh-CN"/>
              </w:rPr>
              <w:t>项号</w:t>
            </w:r>
          </w:p>
        </w:tc>
        <w:tc>
          <w:tcPr>
            <w:tcW w:w="1743" w:type="dxa"/>
            <w:vAlign w:val="center"/>
          </w:tcPr>
          <w:p w14:paraId="72A21BA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eastAsia="zh-CN"/>
              </w:rPr>
            </w:pPr>
            <w:r>
              <w:rPr>
                <w:rFonts w:hint="eastAsia" w:ascii="宋体" w:hAnsi="宋体" w:eastAsia="宋体" w:cs="宋体"/>
                <w:b w:val="0"/>
                <w:bCs w:val="0"/>
                <w:color w:val="auto"/>
                <w:spacing w:val="5"/>
                <w:sz w:val="20"/>
                <w:szCs w:val="20"/>
                <w:highlight w:val="none"/>
                <w:vertAlign w:val="baseline"/>
                <w:lang w:eastAsia="zh-CN"/>
              </w:rPr>
              <w:t>内容</w:t>
            </w:r>
          </w:p>
        </w:tc>
        <w:tc>
          <w:tcPr>
            <w:tcW w:w="7287" w:type="dxa"/>
            <w:vAlign w:val="center"/>
          </w:tcPr>
          <w:p w14:paraId="371732E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eastAsia="zh-CN"/>
              </w:rPr>
            </w:pPr>
            <w:r>
              <w:rPr>
                <w:rFonts w:hint="eastAsia" w:ascii="宋体" w:hAnsi="宋体" w:eastAsia="宋体" w:cs="宋体"/>
                <w:b w:val="0"/>
                <w:bCs w:val="0"/>
                <w:color w:val="auto"/>
                <w:spacing w:val="5"/>
                <w:sz w:val="20"/>
                <w:szCs w:val="20"/>
                <w:highlight w:val="none"/>
                <w:vertAlign w:val="baseline"/>
                <w:lang w:eastAsia="zh-CN"/>
              </w:rPr>
              <w:t>说明与要求</w:t>
            </w:r>
          </w:p>
        </w:tc>
      </w:tr>
      <w:tr w14:paraId="53B0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A01556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w:t>
            </w:r>
          </w:p>
        </w:tc>
        <w:tc>
          <w:tcPr>
            <w:tcW w:w="1743" w:type="dxa"/>
            <w:vAlign w:val="center"/>
          </w:tcPr>
          <w:p w14:paraId="6339E4A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731222B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采购人</w:t>
            </w:r>
          </w:p>
        </w:tc>
        <w:tc>
          <w:tcPr>
            <w:tcW w:w="7287" w:type="dxa"/>
            <w:vAlign w:val="center"/>
          </w:tcPr>
          <w:p w14:paraId="7F671D2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名称：长春新区教育局</w:t>
            </w:r>
          </w:p>
          <w:p w14:paraId="0879253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地址：长春市龙湖大路5799号</w:t>
            </w:r>
          </w:p>
          <w:p w14:paraId="30E5D57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联系方式：0431-82538548（张先生）</w:t>
            </w:r>
          </w:p>
        </w:tc>
      </w:tr>
      <w:tr w14:paraId="11E1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0B3EEE7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w:t>
            </w:r>
          </w:p>
        </w:tc>
        <w:tc>
          <w:tcPr>
            <w:tcW w:w="1743" w:type="dxa"/>
            <w:vAlign w:val="center"/>
          </w:tcPr>
          <w:p w14:paraId="49F0858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采购代理机构</w:t>
            </w:r>
          </w:p>
        </w:tc>
        <w:tc>
          <w:tcPr>
            <w:tcW w:w="7287" w:type="dxa"/>
            <w:vAlign w:val="center"/>
          </w:tcPr>
          <w:p w14:paraId="4938574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名称：</w:t>
            </w:r>
            <w:r>
              <w:rPr>
                <w:rFonts w:hint="eastAsia" w:ascii="宋体" w:hAnsi="宋体" w:cs="宋体"/>
                <w:b w:val="0"/>
                <w:bCs w:val="0"/>
                <w:color w:val="auto"/>
                <w:spacing w:val="5"/>
                <w:sz w:val="20"/>
                <w:szCs w:val="20"/>
                <w:highlight w:val="none"/>
                <w:vertAlign w:val="baseline"/>
                <w:lang w:val="en-US" w:eastAsia="zh-CN"/>
              </w:rPr>
              <w:t>吉林省安晟项目管理有限公司</w:t>
            </w:r>
          </w:p>
          <w:p w14:paraId="19C730F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地址：</w:t>
            </w:r>
            <w:r>
              <w:rPr>
                <w:rFonts w:hint="eastAsia" w:ascii="宋体" w:hAnsi="宋体" w:cs="宋体"/>
                <w:b w:val="0"/>
                <w:bCs w:val="0"/>
                <w:color w:val="auto"/>
                <w:spacing w:val="5"/>
                <w:sz w:val="20"/>
                <w:szCs w:val="20"/>
                <w:highlight w:val="none"/>
                <w:vertAlign w:val="baseline"/>
                <w:lang w:val="en-US" w:eastAsia="zh-CN"/>
              </w:rPr>
              <w:t>长春市净月开发区川渝·泓泰国际-环球贸易中心一期2号楼1108号</w:t>
            </w:r>
          </w:p>
          <w:p w14:paraId="69C6D3B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联系方式：</w:t>
            </w:r>
            <w:r>
              <w:rPr>
                <w:rFonts w:hint="eastAsia" w:ascii="宋体" w:hAnsi="宋体" w:cs="宋体"/>
                <w:b w:val="0"/>
                <w:bCs w:val="0"/>
                <w:color w:val="auto"/>
                <w:spacing w:val="5"/>
                <w:sz w:val="20"/>
                <w:szCs w:val="20"/>
                <w:highlight w:val="none"/>
                <w:vertAlign w:val="baseline"/>
                <w:lang w:val="en-US" w:eastAsia="zh-CN"/>
              </w:rPr>
              <w:t>18043141906</w:t>
            </w:r>
            <w:r>
              <w:rPr>
                <w:rFonts w:hint="eastAsia" w:ascii="宋体" w:hAnsi="宋体" w:eastAsia="宋体" w:cs="宋体"/>
                <w:b w:val="0"/>
                <w:bCs w:val="0"/>
                <w:color w:val="auto"/>
                <w:spacing w:val="5"/>
                <w:sz w:val="20"/>
                <w:szCs w:val="20"/>
                <w:highlight w:val="none"/>
                <w:vertAlign w:val="baseline"/>
                <w:lang w:val="en-US" w:eastAsia="zh-CN"/>
              </w:rPr>
              <w:t>（</w:t>
            </w:r>
            <w:r>
              <w:rPr>
                <w:rFonts w:hint="eastAsia" w:ascii="宋体" w:hAnsi="宋体" w:cs="宋体"/>
                <w:b w:val="0"/>
                <w:bCs w:val="0"/>
                <w:color w:val="auto"/>
                <w:spacing w:val="5"/>
                <w:sz w:val="20"/>
                <w:szCs w:val="20"/>
                <w:highlight w:val="none"/>
                <w:vertAlign w:val="baseline"/>
                <w:lang w:val="en-US" w:eastAsia="zh-CN"/>
              </w:rPr>
              <w:t>孙工</w:t>
            </w:r>
            <w:r>
              <w:rPr>
                <w:rFonts w:hint="eastAsia" w:ascii="宋体" w:hAnsi="宋体" w:eastAsia="宋体" w:cs="宋体"/>
                <w:b w:val="0"/>
                <w:bCs w:val="0"/>
                <w:color w:val="auto"/>
                <w:spacing w:val="5"/>
                <w:sz w:val="20"/>
                <w:szCs w:val="20"/>
                <w:highlight w:val="none"/>
                <w:vertAlign w:val="baseline"/>
                <w:lang w:val="en-US" w:eastAsia="zh-CN"/>
              </w:rPr>
              <w:t>）</w:t>
            </w:r>
          </w:p>
        </w:tc>
      </w:tr>
      <w:tr w14:paraId="21D5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0BD567F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w:t>
            </w:r>
          </w:p>
        </w:tc>
        <w:tc>
          <w:tcPr>
            <w:tcW w:w="1743" w:type="dxa"/>
            <w:vAlign w:val="center"/>
          </w:tcPr>
          <w:p w14:paraId="758301F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项目名称</w:t>
            </w:r>
          </w:p>
        </w:tc>
        <w:tc>
          <w:tcPr>
            <w:tcW w:w="7287" w:type="dxa"/>
            <w:vAlign w:val="center"/>
          </w:tcPr>
          <w:p w14:paraId="348AD44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长春新区教育局学校多媒体教室设备采购项目（一）</w:t>
            </w:r>
          </w:p>
        </w:tc>
      </w:tr>
      <w:tr w14:paraId="6066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EA1EB0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4</w:t>
            </w:r>
          </w:p>
        </w:tc>
        <w:tc>
          <w:tcPr>
            <w:tcW w:w="1743" w:type="dxa"/>
            <w:vAlign w:val="center"/>
          </w:tcPr>
          <w:p w14:paraId="75B5639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项目编号</w:t>
            </w:r>
          </w:p>
        </w:tc>
        <w:tc>
          <w:tcPr>
            <w:tcW w:w="7287" w:type="dxa"/>
            <w:vAlign w:val="center"/>
          </w:tcPr>
          <w:p w14:paraId="1DB9BE6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default"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XQZC2025-031</w:t>
            </w:r>
          </w:p>
        </w:tc>
      </w:tr>
      <w:tr w14:paraId="1853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0B35E798">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5</w:t>
            </w:r>
          </w:p>
        </w:tc>
        <w:tc>
          <w:tcPr>
            <w:tcW w:w="1743" w:type="dxa"/>
            <w:vAlign w:val="center"/>
          </w:tcPr>
          <w:p w14:paraId="43EC36E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采购预算</w:t>
            </w:r>
          </w:p>
        </w:tc>
        <w:tc>
          <w:tcPr>
            <w:tcW w:w="7287" w:type="dxa"/>
            <w:vAlign w:val="center"/>
          </w:tcPr>
          <w:p w14:paraId="5E7B54F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2117200</w:t>
            </w:r>
            <w:r>
              <w:rPr>
                <w:rFonts w:hint="eastAsia" w:ascii="宋体" w:hAnsi="宋体" w:eastAsia="宋体" w:cs="宋体"/>
                <w:b w:val="0"/>
                <w:bCs w:val="0"/>
                <w:color w:val="auto"/>
                <w:spacing w:val="5"/>
                <w:sz w:val="20"/>
                <w:szCs w:val="20"/>
                <w:highlight w:val="none"/>
                <w:vertAlign w:val="baseline"/>
                <w:lang w:val="en-US" w:eastAsia="zh-CN"/>
              </w:rPr>
              <w:t>元</w:t>
            </w:r>
            <w:r>
              <w:rPr>
                <w:rFonts w:hint="eastAsia" w:ascii="宋体" w:hAnsi="宋体" w:cs="宋体"/>
                <w:b w:val="0"/>
                <w:bCs w:val="0"/>
                <w:color w:val="auto"/>
                <w:spacing w:val="5"/>
                <w:sz w:val="20"/>
                <w:szCs w:val="20"/>
                <w:highlight w:val="none"/>
                <w:vertAlign w:val="baseline"/>
                <w:lang w:val="en-US" w:eastAsia="zh-CN"/>
              </w:rPr>
              <w:t>；</w:t>
            </w:r>
          </w:p>
          <w:p w14:paraId="0A50FA9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1、投标报价超过采购预算价格的投标无效；</w:t>
            </w:r>
          </w:p>
          <w:p w14:paraId="537BF8E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lang w:val="en-US" w:eastAsia="zh-CN"/>
              </w:rPr>
            </w:pPr>
            <w:r>
              <w:rPr>
                <w:rFonts w:hint="eastAsia" w:ascii="宋体" w:hAnsi="宋体" w:cs="宋体"/>
                <w:b w:val="0"/>
                <w:bCs w:val="0"/>
                <w:color w:val="auto"/>
                <w:spacing w:val="5"/>
                <w:sz w:val="20"/>
                <w:szCs w:val="20"/>
                <w:highlight w:val="none"/>
                <w:vertAlign w:val="baseline"/>
                <w:lang w:val="en-US" w:eastAsia="zh-CN"/>
              </w:rPr>
              <w:t>2、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合理说明或者不能提供相关证明材料的，由评标委员会认定该投标人以低于成本报价竞标，低于成本视为废标处理。</w:t>
            </w:r>
          </w:p>
        </w:tc>
      </w:tr>
      <w:tr w14:paraId="7F7D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DDC706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6</w:t>
            </w:r>
          </w:p>
        </w:tc>
        <w:tc>
          <w:tcPr>
            <w:tcW w:w="1743" w:type="dxa"/>
            <w:vAlign w:val="center"/>
          </w:tcPr>
          <w:p w14:paraId="3D56C45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项目地点</w:t>
            </w:r>
          </w:p>
        </w:tc>
        <w:tc>
          <w:tcPr>
            <w:tcW w:w="7287" w:type="dxa"/>
            <w:vAlign w:val="center"/>
          </w:tcPr>
          <w:p w14:paraId="5646593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使用学校，送货上门服务</w:t>
            </w:r>
            <w:r>
              <w:rPr>
                <w:rFonts w:hint="eastAsia" w:ascii="宋体" w:hAnsi="宋体" w:eastAsia="宋体" w:cs="宋体"/>
                <w:b w:val="0"/>
                <w:bCs w:val="0"/>
                <w:color w:val="auto"/>
                <w:spacing w:val="5"/>
                <w:sz w:val="20"/>
                <w:szCs w:val="20"/>
                <w:highlight w:val="none"/>
                <w:vertAlign w:val="baseline"/>
                <w:lang w:val="en-US" w:eastAsia="zh-CN"/>
              </w:rPr>
              <w:t>。</w:t>
            </w:r>
          </w:p>
        </w:tc>
      </w:tr>
      <w:tr w14:paraId="01D9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1C99064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7</w:t>
            </w:r>
          </w:p>
        </w:tc>
        <w:tc>
          <w:tcPr>
            <w:tcW w:w="1743" w:type="dxa"/>
            <w:vAlign w:val="center"/>
          </w:tcPr>
          <w:p w14:paraId="225F3B7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采购内容</w:t>
            </w:r>
          </w:p>
        </w:tc>
        <w:tc>
          <w:tcPr>
            <w:tcW w:w="7287" w:type="dxa"/>
            <w:vAlign w:val="center"/>
          </w:tcPr>
          <w:p w14:paraId="06D8BAB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多媒体教室设备</w:t>
            </w:r>
            <w:r>
              <w:rPr>
                <w:rFonts w:hint="eastAsia" w:ascii="宋体" w:hAnsi="宋体" w:eastAsia="宋体" w:cs="宋体"/>
                <w:b w:val="0"/>
                <w:bCs w:val="0"/>
                <w:color w:val="auto"/>
                <w:spacing w:val="5"/>
                <w:sz w:val="20"/>
                <w:szCs w:val="20"/>
                <w:highlight w:val="none"/>
                <w:vertAlign w:val="baseline"/>
                <w:lang w:val="en-US" w:eastAsia="zh-CN"/>
              </w:rPr>
              <w:t>，详见</w:t>
            </w:r>
            <w:r>
              <w:rPr>
                <w:rFonts w:hint="eastAsia" w:ascii="宋体" w:hAnsi="宋体" w:cs="宋体"/>
                <w:b w:val="0"/>
                <w:bCs w:val="0"/>
                <w:color w:val="auto"/>
                <w:spacing w:val="5"/>
                <w:sz w:val="20"/>
                <w:szCs w:val="20"/>
                <w:highlight w:val="none"/>
                <w:vertAlign w:val="baseline"/>
                <w:lang w:val="en-US" w:eastAsia="zh-CN"/>
              </w:rPr>
              <w:t>采购需求</w:t>
            </w:r>
            <w:r>
              <w:rPr>
                <w:rFonts w:hint="eastAsia" w:ascii="宋体" w:hAnsi="宋体" w:eastAsia="宋体" w:cs="宋体"/>
                <w:b w:val="0"/>
                <w:bCs w:val="0"/>
                <w:color w:val="auto"/>
                <w:spacing w:val="5"/>
                <w:sz w:val="20"/>
                <w:szCs w:val="20"/>
                <w:highlight w:val="none"/>
                <w:vertAlign w:val="baseline"/>
                <w:lang w:val="en-US" w:eastAsia="zh-CN"/>
              </w:rPr>
              <w:t>；</w:t>
            </w:r>
          </w:p>
        </w:tc>
      </w:tr>
      <w:tr w14:paraId="0BB5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22F560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8</w:t>
            </w:r>
          </w:p>
        </w:tc>
        <w:tc>
          <w:tcPr>
            <w:tcW w:w="1743" w:type="dxa"/>
            <w:vAlign w:val="center"/>
          </w:tcPr>
          <w:p w14:paraId="53DDB82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合同履行期限</w:t>
            </w:r>
          </w:p>
        </w:tc>
        <w:tc>
          <w:tcPr>
            <w:tcW w:w="7287" w:type="dxa"/>
            <w:vAlign w:val="center"/>
          </w:tcPr>
          <w:p w14:paraId="5AD839F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接到供货指令后30日内完成供货、安装、调试。</w:t>
            </w:r>
          </w:p>
        </w:tc>
      </w:tr>
      <w:tr w14:paraId="1263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FC0E3A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9</w:t>
            </w:r>
          </w:p>
        </w:tc>
        <w:tc>
          <w:tcPr>
            <w:tcW w:w="1743" w:type="dxa"/>
            <w:vAlign w:val="center"/>
          </w:tcPr>
          <w:p w14:paraId="14499CF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资金来源</w:t>
            </w:r>
          </w:p>
        </w:tc>
        <w:tc>
          <w:tcPr>
            <w:tcW w:w="7287" w:type="dxa"/>
            <w:vAlign w:val="center"/>
          </w:tcPr>
          <w:p w14:paraId="5C41560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财政资金</w:t>
            </w:r>
          </w:p>
        </w:tc>
      </w:tr>
      <w:tr w14:paraId="135C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744141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10</w:t>
            </w:r>
          </w:p>
        </w:tc>
        <w:tc>
          <w:tcPr>
            <w:tcW w:w="1743" w:type="dxa"/>
            <w:vAlign w:val="center"/>
          </w:tcPr>
          <w:p w14:paraId="1646E33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投标人资格要求</w:t>
            </w:r>
          </w:p>
        </w:tc>
        <w:tc>
          <w:tcPr>
            <w:tcW w:w="7287" w:type="dxa"/>
            <w:vAlign w:val="center"/>
          </w:tcPr>
          <w:p w14:paraId="41F2D0F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1.满足《中华人民共和国政府采购法》第二十二条规定；营业执照经营且在有效期内，并在人员、设备、资金、安装等方面具备相应的能力；</w:t>
            </w:r>
          </w:p>
          <w:p w14:paraId="38BF9CA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2.落实政府采购政策需满足的资格要求：本项目专门</w:t>
            </w:r>
            <w:r>
              <w:rPr>
                <w:rFonts w:hint="eastAsia" w:ascii="宋体" w:hAnsi="宋体" w:cs="宋体"/>
                <w:b w:val="0"/>
                <w:bCs w:val="0"/>
                <w:color w:val="auto"/>
                <w:spacing w:val="5"/>
                <w:sz w:val="20"/>
                <w:szCs w:val="20"/>
                <w:highlight w:val="none"/>
                <w:vertAlign w:val="baseline"/>
                <w:lang w:val="en-US" w:eastAsia="zh-CN"/>
              </w:rPr>
              <w:t>非</w:t>
            </w:r>
            <w:r>
              <w:rPr>
                <w:rFonts w:hint="eastAsia" w:ascii="宋体" w:hAnsi="宋体" w:eastAsia="宋体" w:cs="宋体"/>
                <w:b w:val="0"/>
                <w:bCs w:val="0"/>
                <w:color w:val="auto"/>
                <w:spacing w:val="5"/>
                <w:sz w:val="20"/>
                <w:szCs w:val="20"/>
                <w:highlight w:val="none"/>
                <w:vertAlign w:val="baseline"/>
                <w:lang w:val="en-US" w:eastAsia="zh-CN"/>
              </w:rPr>
              <w:t>面向中小企业采购（本项目属于工业）；详见《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5F668AF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3.具有良好的商业信誉和健全的财务会计制度，提供202</w:t>
            </w:r>
            <w:r>
              <w:rPr>
                <w:rFonts w:hint="eastAsia" w:ascii="宋体" w:hAnsi="宋体" w:cs="宋体"/>
                <w:b w:val="0"/>
                <w:bCs w:val="0"/>
                <w:color w:val="auto"/>
                <w:spacing w:val="5"/>
                <w:sz w:val="20"/>
                <w:szCs w:val="20"/>
                <w:highlight w:val="none"/>
                <w:vertAlign w:val="baseline"/>
                <w:lang w:val="en-US" w:eastAsia="zh-CN"/>
              </w:rPr>
              <w:t>4</w:t>
            </w:r>
            <w:r>
              <w:rPr>
                <w:rFonts w:hint="eastAsia" w:ascii="宋体" w:hAnsi="宋体" w:eastAsia="宋体" w:cs="宋体"/>
                <w:b w:val="0"/>
                <w:bCs w:val="0"/>
                <w:color w:val="auto"/>
                <w:spacing w:val="5"/>
                <w:sz w:val="20"/>
                <w:szCs w:val="20"/>
                <w:highlight w:val="none"/>
                <w:vertAlign w:val="baseline"/>
                <w:lang w:val="en-US" w:eastAsia="zh-CN"/>
              </w:rPr>
              <w:t>年经审计的财务审计报告（若为202</w:t>
            </w:r>
            <w:r>
              <w:rPr>
                <w:rFonts w:hint="eastAsia" w:ascii="宋体" w:hAnsi="宋体" w:cs="宋体"/>
                <w:b w:val="0"/>
                <w:bCs w:val="0"/>
                <w:color w:val="auto"/>
                <w:spacing w:val="5"/>
                <w:sz w:val="20"/>
                <w:szCs w:val="20"/>
                <w:highlight w:val="none"/>
                <w:vertAlign w:val="baseline"/>
                <w:lang w:val="en-US" w:eastAsia="zh-CN"/>
              </w:rPr>
              <w:t>5</w:t>
            </w:r>
            <w:r>
              <w:rPr>
                <w:rFonts w:hint="eastAsia" w:ascii="宋体" w:hAnsi="宋体" w:eastAsia="宋体" w:cs="宋体"/>
                <w:b w:val="0"/>
                <w:bCs w:val="0"/>
                <w:color w:val="auto"/>
                <w:spacing w:val="5"/>
                <w:sz w:val="20"/>
                <w:szCs w:val="20"/>
                <w:highlight w:val="none"/>
                <w:vertAlign w:val="baseline"/>
                <w:lang w:val="en-US" w:eastAsia="zh-CN"/>
              </w:rPr>
              <w:t>年后成立公司可提供自成立之日起至今的财务报表或近三个月内基本银行账户开具的资信证明）；</w:t>
            </w:r>
          </w:p>
          <w:p w14:paraId="3D5B15E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4.依法缴纳税收和社会保障资金的良好记录，提供近半年内任意一个月企业依法缴纳税收及社保的相关材料；</w:t>
            </w:r>
          </w:p>
          <w:p w14:paraId="2629CDD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5.投标人须具备参加政府采购活动近三年内（2022年1月至今）在经营活动中没有重大违法记录的书面声明；</w:t>
            </w:r>
          </w:p>
          <w:p w14:paraId="7212FE8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6.信誉要求：拒绝列入政府取消投标资格记录期间的企业或个人投标；未被工商行政管理机关在全国企业信用信息公示系统（http://www.gsxt.gov.cn/index.html）中列入严重违法失信企业名单；未被最高人民法院在“信用中国”网站（www.creditchina.gov.cn）中列入失信被执行人和重大税收违法案件当事人名单投标人；投标人、法定代表人、项目负责人在中国裁判文书网无行贿犯罪记录；</w:t>
            </w:r>
          </w:p>
          <w:p w14:paraId="770A95E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7.其他要求：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5AB1AD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8.本项目不接受联合体投标。</w:t>
            </w:r>
          </w:p>
        </w:tc>
      </w:tr>
      <w:tr w14:paraId="6711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47F30A18">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11</w:t>
            </w:r>
          </w:p>
        </w:tc>
        <w:tc>
          <w:tcPr>
            <w:tcW w:w="1743" w:type="dxa"/>
            <w:vAlign w:val="center"/>
          </w:tcPr>
          <w:p w14:paraId="562D775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是否接受联合体投标</w:t>
            </w:r>
          </w:p>
        </w:tc>
        <w:tc>
          <w:tcPr>
            <w:tcW w:w="7287" w:type="dxa"/>
            <w:vAlign w:val="center"/>
          </w:tcPr>
          <w:p w14:paraId="01F0D7E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否</w:t>
            </w:r>
          </w:p>
        </w:tc>
      </w:tr>
      <w:tr w14:paraId="15A6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75DE131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12</w:t>
            </w:r>
          </w:p>
        </w:tc>
        <w:tc>
          <w:tcPr>
            <w:tcW w:w="1743" w:type="dxa"/>
            <w:vAlign w:val="center"/>
          </w:tcPr>
          <w:p w14:paraId="2878CDB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踏勘现场</w:t>
            </w:r>
          </w:p>
        </w:tc>
        <w:tc>
          <w:tcPr>
            <w:tcW w:w="7287" w:type="dxa"/>
            <w:vAlign w:val="center"/>
          </w:tcPr>
          <w:p w14:paraId="09C94B3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不组织</w:t>
            </w:r>
          </w:p>
        </w:tc>
      </w:tr>
      <w:tr w14:paraId="0D2C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C33278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13</w:t>
            </w:r>
          </w:p>
        </w:tc>
        <w:tc>
          <w:tcPr>
            <w:tcW w:w="1743" w:type="dxa"/>
            <w:vAlign w:val="center"/>
          </w:tcPr>
          <w:p w14:paraId="3E7ADDD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答疑会时间及地点</w:t>
            </w:r>
          </w:p>
        </w:tc>
        <w:tc>
          <w:tcPr>
            <w:tcW w:w="7287" w:type="dxa"/>
            <w:vAlign w:val="center"/>
          </w:tcPr>
          <w:p w14:paraId="1DAF380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☑不召开</w:t>
            </w:r>
          </w:p>
        </w:tc>
      </w:tr>
      <w:tr w14:paraId="3AB1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593CC4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14</w:t>
            </w:r>
          </w:p>
        </w:tc>
        <w:tc>
          <w:tcPr>
            <w:tcW w:w="1743" w:type="dxa"/>
            <w:vAlign w:val="center"/>
          </w:tcPr>
          <w:p w14:paraId="4C2AB4A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分包、转包</w:t>
            </w:r>
          </w:p>
        </w:tc>
        <w:tc>
          <w:tcPr>
            <w:tcW w:w="7287" w:type="dxa"/>
            <w:vAlign w:val="center"/>
          </w:tcPr>
          <w:p w14:paraId="0E5F98B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不允许</w:t>
            </w:r>
          </w:p>
        </w:tc>
      </w:tr>
      <w:tr w14:paraId="4E7C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458724D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15</w:t>
            </w:r>
          </w:p>
        </w:tc>
        <w:tc>
          <w:tcPr>
            <w:tcW w:w="1743" w:type="dxa"/>
            <w:vAlign w:val="center"/>
          </w:tcPr>
          <w:p w14:paraId="698B0BD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偏离</w:t>
            </w:r>
          </w:p>
        </w:tc>
        <w:tc>
          <w:tcPr>
            <w:tcW w:w="7287" w:type="dxa"/>
            <w:vAlign w:val="center"/>
          </w:tcPr>
          <w:p w14:paraId="01A6D26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不允许负偏离</w:t>
            </w:r>
          </w:p>
        </w:tc>
      </w:tr>
      <w:tr w14:paraId="08CD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3C8468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16</w:t>
            </w:r>
          </w:p>
          <w:p w14:paraId="08FE52C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1743" w:type="dxa"/>
            <w:vAlign w:val="center"/>
          </w:tcPr>
          <w:p w14:paraId="5439B0B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构成投标文件</w:t>
            </w:r>
          </w:p>
          <w:p w14:paraId="49FB78C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的其他材料</w:t>
            </w:r>
          </w:p>
        </w:tc>
        <w:tc>
          <w:tcPr>
            <w:tcW w:w="7287" w:type="dxa"/>
            <w:vAlign w:val="center"/>
          </w:tcPr>
          <w:p w14:paraId="0D35D9C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详见招标文件及评标办法中提及的其他证明材料。</w:t>
            </w:r>
          </w:p>
        </w:tc>
      </w:tr>
      <w:tr w14:paraId="58CE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1564EEF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17</w:t>
            </w:r>
          </w:p>
        </w:tc>
        <w:tc>
          <w:tcPr>
            <w:tcW w:w="1743" w:type="dxa"/>
            <w:vAlign w:val="center"/>
          </w:tcPr>
          <w:p w14:paraId="3B9B74C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签字或盖章要求</w:t>
            </w:r>
          </w:p>
        </w:tc>
        <w:tc>
          <w:tcPr>
            <w:tcW w:w="7287" w:type="dxa"/>
            <w:vAlign w:val="center"/>
          </w:tcPr>
          <w:p w14:paraId="6A23AE9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（1）所有要求签字的地方都应用不褪色的墨水或签字笔由本人亲笔手写签字（包括姓和名），不得用盖章（如签名章、签字章等）代替，也不得由他人代签。</w:t>
            </w:r>
          </w:p>
          <w:p w14:paraId="7418C6F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（2）所有要求盖章的地方都应按照招标文件的规定加盖与投标人名称全称相一致的标准公章，不得使用彩喷或者彩印的印章、可使用 专用章（如合同专用章、投标专用章等）代替。</w:t>
            </w:r>
          </w:p>
          <w:p w14:paraId="6A13842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0E18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821E2B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18</w:t>
            </w:r>
          </w:p>
        </w:tc>
        <w:tc>
          <w:tcPr>
            <w:tcW w:w="1743" w:type="dxa"/>
            <w:vAlign w:val="center"/>
          </w:tcPr>
          <w:p w14:paraId="490CACD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投标有效期</w:t>
            </w:r>
          </w:p>
        </w:tc>
        <w:tc>
          <w:tcPr>
            <w:tcW w:w="7287" w:type="dxa"/>
            <w:vAlign w:val="center"/>
          </w:tcPr>
          <w:p w14:paraId="54F1ADC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90日历天（从投标截止之日算起）</w:t>
            </w:r>
          </w:p>
        </w:tc>
      </w:tr>
      <w:tr w14:paraId="16B8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9" w:type="dxa"/>
            <w:vAlign w:val="center"/>
          </w:tcPr>
          <w:p w14:paraId="0910890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19</w:t>
            </w:r>
          </w:p>
        </w:tc>
        <w:tc>
          <w:tcPr>
            <w:tcW w:w="1743" w:type="dxa"/>
            <w:vAlign w:val="center"/>
          </w:tcPr>
          <w:p w14:paraId="26E1DD6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投标保证金</w:t>
            </w:r>
          </w:p>
        </w:tc>
        <w:tc>
          <w:tcPr>
            <w:tcW w:w="7287" w:type="dxa"/>
            <w:vAlign w:val="center"/>
          </w:tcPr>
          <w:p w14:paraId="33E2F9A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1.对于诚信良好的</w:t>
            </w:r>
            <w:r>
              <w:rPr>
                <w:rFonts w:hint="eastAsia" w:ascii="宋体" w:hAnsi="宋体" w:cs="宋体"/>
                <w:b w:val="0"/>
                <w:bCs w:val="0"/>
                <w:color w:val="auto"/>
                <w:spacing w:val="5"/>
                <w:sz w:val="20"/>
                <w:szCs w:val="20"/>
                <w:highlight w:val="none"/>
                <w:vertAlign w:val="baseline"/>
                <w:lang w:val="en-US" w:eastAsia="zh-CN"/>
              </w:rPr>
              <w:t>投标人</w:t>
            </w:r>
            <w:r>
              <w:rPr>
                <w:rFonts w:hint="eastAsia" w:ascii="宋体" w:hAnsi="宋体" w:eastAsia="宋体" w:cs="宋体"/>
                <w:b w:val="0"/>
                <w:bCs w:val="0"/>
                <w:color w:val="auto"/>
                <w:spacing w:val="5"/>
                <w:sz w:val="20"/>
                <w:szCs w:val="20"/>
                <w:highlight w:val="none"/>
                <w:vertAlign w:val="baseline"/>
                <w:lang w:val="en-US" w:eastAsia="zh-CN"/>
              </w:rPr>
              <w:t>可免收投标保证金；但对于满足《中华人民共和国政府采购法》第二十二条有关规定，经“信用中国”网站查询存在行政处罚信息的</w:t>
            </w:r>
            <w:r>
              <w:rPr>
                <w:rFonts w:hint="eastAsia" w:ascii="宋体" w:hAnsi="宋体" w:cs="宋体"/>
                <w:b w:val="0"/>
                <w:bCs w:val="0"/>
                <w:color w:val="auto"/>
                <w:spacing w:val="5"/>
                <w:sz w:val="20"/>
                <w:szCs w:val="20"/>
                <w:highlight w:val="none"/>
                <w:vertAlign w:val="baseline"/>
                <w:lang w:val="en-US" w:eastAsia="zh-CN"/>
              </w:rPr>
              <w:t>投标人</w:t>
            </w:r>
            <w:r>
              <w:rPr>
                <w:rFonts w:hint="eastAsia" w:ascii="宋体" w:hAnsi="宋体" w:eastAsia="宋体" w:cs="宋体"/>
                <w:b w:val="0"/>
                <w:bCs w:val="0"/>
                <w:color w:val="auto"/>
                <w:spacing w:val="5"/>
                <w:sz w:val="20"/>
                <w:szCs w:val="20"/>
                <w:highlight w:val="none"/>
                <w:vertAlign w:val="baseline"/>
                <w:lang w:val="en-US" w:eastAsia="zh-CN"/>
              </w:rPr>
              <w:t>，须按规定提交投标保证金。</w:t>
            </w:r>
          </w:p>
          <w:p w14:paraId="01B6A9F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投标保证金形式：投标保证金应当以支票、汇票、本票或者金融机构、担保机构出具的保函等非现金形式提交或转账、电汇（转账、电汇须从投标人的基本账户转出）。投标人未按照招标文件要求提交投标保证金的，投标无效。</w:t>
            </w:r>
            <w:r>
              <w:rPr>
                <w:rFonts w:hint="eastAsia" w:ascii="宋体" w:hAnsi="宋体" w:eastAsia="宋体" w:cs="宋体"/>
                <w:b w:val="0"/>
                <w:bCs w:val="0"/>
                <w:color w:val="auto"/>
                <w:spacing w:val="5"/>
                <w:sz w:val="20"/>
                <w:szCs w:val="20"/>
                <w:highlight w:val="none"/>
                <w:vertAlign w:val="baseline"/>
                <w:lang w:val="en-US" w:eastAsia="zh-CN"/>
              </w:rPr>
              <w:br w:type="textWrapping"/>
            </w:r>
            <w:r>
              <w:rPr>
                <w:rFonts w:hint="eastAsia" w:ascii="宋体" w:hAnsi="宋体" w:eastAsia="宋体" w:cs="宋体"/>
                <w:b w:val="0"/>
                <w:bCs w:val="0"/>
                <w:color w:val="auto"/>
                <w:spacing w:val="5"/>
                <w:sz w:val="20"/>
                <w:szCs w:val="20"/>
                <w:highlight w:val="none"/>
                <w:vertAlign w:val="baseline"/>
                <w:lang w:val="en-US" w:eastAsia="zh-CN"/>
              </w:rPr>
              <w:t>3.递交时间和要求：应在开标前（银行到账时间，如遇开标前一日为休息日，顺应提前）将投标保证金存入采购代理机构指定账户，银行进账单或电汇凭证等凭证上应明确用途、投标项目名称、投标人名称、联系人及电话，以便核对查实。投标人缴纳完投标保证金后须将银行的存款回单复印件装入到投标文件中，否则投标文件无效；投标保证金若以保函形式提交，开标时须提供原件，复印件装入到投标文件中，否则投标文件无效。投标保证金的确认以最终到账日期为准。</w:t>
            </w:r>
          </w:p>
          <w:p w14:paraId="7E55F22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4.投标保证金额：</w:t>
            </w:r>
            <w:r>
              <w:rPr>
                <w:rFonts w:hint="eastAsia" w:ascii="宋体" w:hAnsi="宋体" w:cs="宋体"/>
                <w:b w:val="0"/>
                <w:bCs w:val="0"/>
                <w:color w:val="auto"/>
                <w:spacing w:val="5"/>
                <w:sz w:val="20"/>
                <w:szCs w:val="20"/>
                <w:highlight w:val="none"/>
                <w:vertAlign w:val="baseline"/>
                <w:lang w:val="en-US" w:eastAsia="zh-CN"/>
              </w:rPr>
              <w:t>42</w:t>
            </w:r>
            <w:r>
              <w:rPr>
                <w:rFonts w:hint="eastAsia" w:ascii="宋体" w:hAnsi="宋体" w:eastAsia="宋体" w:cs="宋体"/>
                <w:b w:val="0"/>
                <w:bCs w:val="0"/>
                <w:color w:val="auto"/>
                <w:spacing w:val="5"/>
                <w:sz w:val="20"/>
                <w:szCs w:val="20"/>
                <w:highlight w:val="none"/>
                <w:vertAlign w:val="baseline"/>
                <w:lang w:val="en-US" w:eastAsia="zh-CN"/>
              </w:rPr>
              <w:t>000元</w:t>
            </w:r>
          </w:p>
          <w:p w14:paraId="5406699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应在</w:t>
            </w:r>
            <w:bookmarkStart w:id="6" w:name="blank47"/>
            <w:r>
              <w:rPr>
                <w:rFonts w:hint="eastAsia" w:ascii="宋体" w:hAnsi="宋体" w:eastAsia="宋体" w:cs="宋体"/>
                <w:b w:val="0"/>
                <w:bCs w:val="0"/>
                <w:color w:val="auto"/>
                <w:spacing w:val="5"/>
                <w:sz w:val="20"/>
                <w:szCs w:val="20"/>
                <w:highlight w:val="none"/>
                <w:vertAlign w:val="baseline"/>
                <w:lang w:val="en-US" w:eastAsia="zh-CN"/>
              </w:rPr>
              <w:t>保证金截止时间</w:t>
            </w:r>
            <w:bookmarkEnd w:id="6"/>
            <w:r>
              <w:rPr>
                <w:rFonts w:hint="eastAsia" w:ascii="宋体" w:hAnsi="宋体" w:eastAsia="宋体" w:cs="宋体"/>
                <w:b w:val="0"/>
                <w:bCs w:val="0"/>
                <w:color w:val="auto"/>
                <w:spacing w:val="5"/>
                <w:sz w:val="20"/>
                <w:szCs w:val="20"/>
                <w:highlight w:val="none"/>
                <w:vertAlign w:val="baseline"/>
                <w:lang w:val="en-US" w:eastAsia="zh-CN"/>
              </w:rPr>
              <w:t>前递交收款人</w:t>
            </w:r>
            <w:r>
              <w:rPr>
                <w:rFonts w:hint="eastAsia" w:ascii="宋体" w:hAnsi="宋体" w:eastAsia="宋体" w:cs="宋体"/>
                <w:b w:val="0"/>
                <w:bCs w:val="0"/>
                <w:color w:val="auto"/>
                <w:spacing w:val="5"/>
                <w:sz w:val="20"/>
                <w:szCs w:val="20"/>
                <w:highlight w:val="none"/>
                <w:vertAlign w:val="baseline"/>
                <w:lang w:val="en-US" w:eastAsia="zh-CN"/>
              </w:rPr>
              <w:br w:type="textWrapping"/>
            </w:r>
            <w:r>
              <w:rPr>
                <w:rFonts w:hint="eastAsia" w:ascii="宋体" w:hAnsi="宋体" w:eastAsia="宋体" w:cs="宋体"/>
                <w:b w:val="0"/>
                <w:bCs w:val="0"/>
                <w:color w:val="auto"/>
                <w:spacing w:val="5"/>
                <w:sz w:val="20"/>
                <w:szCs w:val="20"/>
                <w:highlight w:val="none"/>
                <w:vertAlign w:val="baseline"/>
                <w:lang w:val="en-US" w:eastAsia="zh-CN"/>
              </w:rPr>
              <w:t>5.开户名称：</w:t>
            </w:r>
            <w:r>
              <w:rPr>
                <w:rFonts w:hint="eastAsia" w:ascii="宋体" w:hAnsi="宋体" w:cs="宋体"/>
                <w:b w:val="0"/>
                <w:bCs w:val="0"/>
                <w:color w:val="auto"/>
                <w:spacing w:val="5"/>
                <w:sz w:val="20"/>
                <w:szCs w:val="20"/>
                <w:highlight w:val="none"/>
                <w:vertAlign w:val="baseline"/>
                <w:lang w:val="en-US" w:eastAsia="zh-CN"/>
              </w:rPr>
              <w:t>吉林省安晟项目管理有限公司</w:t>
            </w:r>
          </w:p>
          <w:p w14:paraId="794AF64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税号：91220100MADT3UL5X0</w:t>
            </w:r>
          </w:p>
          <w:p w14:paraId="1A7F75A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开户银行：中信银行</w:t>
            </w:r>
            <w:r>
              <w:rPr>
                <w:rFonts w:hint="eastAsia" w:ascii="宋体" w:hAnsi="宋体" w:cs="宋体"/>
                <w:b w:val="0"/>
                <w:bCs w:val="0"/>
                <w:color w:val="auto"/>
                <w:spacing w:val="5"/>
                <w:sz w:val="20"/>
                <w:szCs w:val="20"/>
                <w:highlight w:val="none"/>
                <w:vertAlign w:val="baseline"/>
                <w:lang w:val="en-US" w:eastAsia="zh-CN"/>
              </w:rPr>
              <w:t>股份有限公司长春北湖</w:t>
            </w:r>
            <w:r>
              <w:rPr>
                <w:rFonts w:hint="eastAsia" w:ascii="宋体" w:hAnsi="宋体" w:eastAsia="宋体" w:cs="宋体"/>
                <w:b w:val="0"/>
                <w:bCs w:val="0"/>
                <w:color w:val="auto"/>
                <w:spacing w:val="5"/>
                <w:sz w:val="20"/>
                <w:szCs w:val="20"/>
                <w:highlight w:val="none"/>
                <w:vertAlign w:val="baseline"/>
                <w:lang w:val="en-US" w:eastAsia="zh-CN"/>
              </w:rPr>
              <w:t>支行</w:t>
            </w:r>
          </w:p>
          <w:p w14:paraId="179879A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帐号：8113601012</w:t>
            </w:r>
            <w:r>
              <w:rPr>
                <w:rFonts w:hint="eastAsia" w:ascii="宋体" w:hAnsi="宋体" w:cs="宋体"/>
                <w:b w:val="0"/>
                <w:bCs w:val="0"/>
                <w:color w:val="auto"/>
                <w:spacing w:val="5"/>
                <w:sz w:val="20"/>
                <w:szCs w:val="20"/>
                <w:highlight w:val="none"/>
                <w:vertAlign w:val="baseline"/>
                <w:lang w:val="en-US" w:eastAsia="zh-CN"/>
              </w:rPr>
              <w:t>900344184</w:t>
            </w:r>
          </w:p>
        </w:tc>
      </w:tr>
      <w:tr w14:paraId="19BD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764D338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20</w:t>
            </w:r>
          </w:p>
        </w:tc>
        <w:tc>
          <w:tcPr>
            <w:tcW w:w="1743" w:type="dxa"/>
            <w:vAlign w:val="center"/>
          </w:tcPr>
          <w:p w14:paraId="0BB3AC5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投标文件份数</w:t>
            </w:r>
          </w:p>
        </w:tc>
        <w:tc>
          <w:tcPr>
            <w:tcW w:w="7287" w:type="dxa"/>
            <w:vAlign w:val="center"/>
          </w:tcPr>
          <w:p w14:paraId="23B861F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本项目为全流程电子化招投标项目，通过“政采云”平台（http：//www.zcygov.cn）实行在线电子投标，</w:t>
            </w:r>
            <w:r>
              <w:rPr>
                <w:rFonts w:hint="eastAsia" w:ascii="宋体" w:hAnsi="宋体" w:cs="宋体"/>
                <w:b w:val="0"/>
                <w:bCs w:val="0"/>
                <w:color w:val="auto"/>
                <w:spacing w:val="5"/>
                <w:sz w:val="20"/>
                <w:szCs w:val="20"/>
                <w:highlight w:val="none"/>
                <w:vertAlign w:val="baseline"/>
                <w:lang w:val="en-US" w:eastAsia="zh-CN"/>
              </w:rPr>
              <w:t>投标人</w:t>
            </w:r>
            <w:r>
              <w:rPr>
                <w:rFonts w:hint="eastAsia" w:ascii="宋体" w:hAnsi="宋体" w:eastAsia="宋体" w:cs="宋体"/>
                <w:b w:val="0"/>
                <w:bCs w:val="0"/>
                <w:color w:val="auto"/>
                <w:spacing w:val="5"/>
                <w:sz w:val="20"/>
                <w:szCs w:val="20"/>
                <w:highlight w:val="none"/>
                <w:vertAlign w:val="baseline"/>
                <w:lang w:val="en-US" w:eastAsia="zh-CN"/>
              </w:rPr>
              <w:t>应先安装“政采云电子交易客户端”（请自行前往“政采云”平台进行下载），并按照本项目</w:t>
            </w:r>
            <w:r>
              <w:rPr>
                <w:rFonts w:hint="eastAsia" w:ascii="宋体" w:hAnsi="宋体" w:cs="宋体"/>
                <w:b w:val="0"/>
                <w:bCs w:val="0"/>
                <w:color w:val="auto"/>
                <w:spacing w:val="5"/>
                <w:sz w:val="20"/>
                <w:szCs w:val="20"/>
                <w:highlight w:val="none"/>
                <w:vertAlign w:val="baseline"/>
                <w:lang w:val="en-US" w:eastAsia="zh-CN"/>
              </w:rPr>
              <w:t>招标</w:t>
            </w:r>
            <w:r>
              <w:rPr>
                <w:rFonts w:hint="eastAsia" w:ascii="宋体" w:hAnsi="宋体" w:eastAsia="宋体" w:cs="宋体"/>
                <w:b w:val="0"/>
                <w:bCs w:val="0"/>
                <w:color w:val="auto"/>
                <w:spacing w:val="5"/>
                <w:sz w:val="20"/>
                <w:szCs w:val="20"/>
                <w:highlight w:val="none"/>
                <w:vertAlign w:val="baseline"/>
                <w:lang w:val="en-US" w:eastAsia="zh-CN"/>
              </w:rPr>
              <w:t>文件和“政采云”平台的要求编制、加密后在投标截止时间前通过网络上传至“政采云”平台。</w:t>
            </w:r>
          </w:p>
        </w:tc>
      </w:tr>
      <w:tr w14:paraId="2F4E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19676B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21</w:t>
            </w:r>
          </w:p>
        </w:tc>
        <w:tc>
          <w:tcPr>
            <w:tcW w:w="1743" w:type="dxa"/>
            <w:vAlign w:val="center"/>
          </w:tcPr>
          <w:p w14:paraId="21F2623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投标文件提交地点及截止时间</w:t>
            </w:r>
          </w:p>
        </w:tc>
        <w:tc>
          <w:tcPr>
            <w:tcW w:w="7287" w:type="dxa"/>
            <w:vAlign w:val="center"/>
          </w:tcPr>
          <w:p w14:paraId="2BA3D46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时间：</w:t>
            </w:r>
            <w:r>
              <w:rPr>
                <w:rFonts w:hint="eastAsia" w:ascii="宋体" w:hAnsi="宋体" w:cs="宋体"/>
                <w:b w:val="0"/>
                <w:bCs w:val="0"/>
                <w:color w:val="auto"/>
                <w:spacing w:val="5"/>
                <w:sz w:val="20"/>
                <w:szCs w:val="20"/>
                <w:highlight w:val="none"/>
                <w:vertAlign w:val="baseline"/>
                <w:lang w:val="en-US" w:eastAsia="zh-CN"/>
              </w:rPr>
              <w:t>2025年07月18日13时30分</w:t>
            </w:r>
          </w:p>
          <w:p w14:paraId="52AD99F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地点：“政采云”平台（http：//www.zcygov.cn）</w:t>
            </w:r>
          </w:p>
        </w:tc>
      </w:tr>
      <w:tr w14:paraId="6B09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2EAED78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22</w:t>
            </w:r>
          </w:p>
        </w:tc>
        <w:tc>
          <w:tcPr>
            <w:tcW w:w="1743" w:type="dxa"/>
            <w:vAlign w:val="center"/>
          </w:tcPr>
          <w:p w14:paraId="15A98E4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开标</w:t>
            </w:r>
          </w:p>
        </w:tc>
        <w:tc>
          <w:tcPr>
            <w:tcW w:w="7287" w:type="dxa"/>
            <w:vAlign w:val="center"/>
          </w:tcPr>
          <w:p w14:paraId="489B3F1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时间：</w:t>
            </w:r>
            <w:r>
              <w:rPr>
                <w:rFonts w:hint="eastAsia" w:ascii="宋体" w:hAnsi="宋体" w:cs="宋体"/>
                <w:b w:val="0"/>
                <w:bCs w:val="0"/>
                <w:color w:val="auto"/>
                <w:spacing w:val="5"/>
                <w:sz w:val="20"/>
                <w:szCs w:val="20"/>
                <w:highlight w:val="none"/>
                <w:vertAlign w:val="baseline"/>
                <w:lang w:val="en-US" w:eastAsia="zh-CN"/>
              </w:rPr>
              <w:t>2025年07月18日13时30分</w:t>
            </w:r>
          </w:p>
          <w:p w14:paraId="1BB8680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地点：长春新区政务服务中心公共资源交易大厅-二楼B217中开标室。</w:t>
            </w:r>
          </w:p>
        </w:tc>
      </w:tr>
      <w:tr w14:paraId="04CD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4A62E60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23</w:t>
            </w:r>
          </w:p>
        </w:tc>
        <w:tc>
          <w:tcPr>
            <w:tcW w:w="1743" w:type="dxa"/>
            <w:vAlign w:val="center"/>
          </w:tcPr>
          <w:p w14:paraId="5FDE1B1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评标方法及标准</w:t>
            </w:r>
          </w:p>
        </w:tc>
        <w:tc>
          <w:tcPr>
            <w:tcW w:w="7287" w:type="dxa"/>
            <w:vAlign w:val="center"/>
          </w:tcPr>
          <w:p w14:paraId="73D1F7E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综合评分法</w:t>
            </w:r>
          </w:p>
        </w:tc>
      </w:tr>
      <w:tr w14:paraId="5978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F61406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24</w:t>
            </w:r>
          </w:p>
        </w:tc>
        <w:tc>
          <w:tcPr>
            <w:tcW w:w="1743" w:type="dxa"/>
            <w:vAlign w:val="center"/>
          </w:tcPr>
          <w:p w14:paraId="52FE12D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资格审查方式</w:t>
            </w:r>
          </w:p>
        </w:tc>
        <w:tc>
          <w:tcPr>
            <w:tcW w:w="7287" w:type="dxa"/>
            <w:vAlign w:val="center"/>
          </w:tcPr>
          <w:p w14:paraId="5793D40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资格后审</w:t>
            </w:r>
          </w:p>
        </w:tc>
      </w:tr>
      <w:tr w14:paraId="4B86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12A7AB0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25</w:t>
            </w:r>
          </w:p>
        </w:tc>
        <w:tc>
          <w:tcPr>
            <w:tcW w:w="1743" w:type="dxa"/>
            <w:vAlign w:val="center"/>
          </w:tcPr>
          <w:p w14:paraId="55AF2F4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评标委员会的组建</w:t>
            </w:r>
          </w:p>
        </w:tc>
        <w:tc>
          <w:tcPr>
            <w:tcW w:w="7287" w:type="dxa"/>
            <w:vAlign w:val="center"/>
          </w:tcPr>
          <w:p w14:paraId="146A0B0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评标委员会构成：5人，评标委员会专家确定方式：从政府采购评审专家库中随机抽取产生。</w:t>
            </w:r>
          </w:p>
        </w:tc>
      </w:tr>
      <w:tr w14:paraId="3BBF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05C9E4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26</w:t>
            </w:r>
          </w:p>
        </w:tc>
        <w:tc>
          <w:tcPr>
            <w:tcW w:w="1743" w:type="dxa"/>
            <w:vAlign w:val="center"/>
          </w:tcPr>
          <w:p w14:paraId="62A13DB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是否授权评标委员会确定中标人</w:t>
            </w:r>
          </w:p>
        </w:tc>
        <w:tc>
          <w:tcPr>
            <w:tcW w:w="7287" w:type="dxa"/>
            <w:vAlign w:val="center"/>
          </w:tcPr>
          <w:p w14:paraId="4D0C4D9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否，由评标委员会按投标人综合得分由高到低的顺序推荐3名中标候选人。</w:t>
            </w:r>
          </w:p>
        </w:tc>
      </w:tr>
      <w:tr w14:paraId="5BD5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E7D443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27</w:t>
            </w:r>
          </w:p>
        </w:tc>
        <w:tc>
          <w:tcPr>
            <w:tcW w:w="1743" w:type="dxa"/>
            <w:vAlign w:val="center"/>
          </w:tcPr>
          <w:p w14:paraId="5C4F9DA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履约担保</w:t>
            </w:r>
          </w:p>
        </w:tc>
        <w:tc>
          <w:tcPr>
            <w:tcW w:w="7287" w:type="dxa"/>
            <w:vAlign w:val="center"/>
          </w:tcPr>
          <w:p w14:paraId="208BDB8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按合同约定</w:t>
            </w:r>
            <w:r>
              <w:rPr>
                <w:rFonts w:hint="eastAsia" w:ascii="宋体" w:hAnsi="宋体" w:eastAsia="宋体" w:cs="宋体"/>
                <w:b w:val="0"/>
                <w:bCs w:val="0"/>
                <w:color w:val="auto"/>
                <w:spacing w:val="5"/>
                <w:sz w:val="20"/>
                <w:szCs w:val="20"/>
                <w:highlight w:val="none"/>
                <w:vertAlign w:val="baseline"/>
                <w:lang w:val="en-US" w:eastAsia="zh-CN"/>
              </w:rPr>
              <w:t>。</w:t>
            </w:r>
          </w:p>
        </w:tc>
      </w:tr>
      <w:tr w14:paraId="01AE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13D9024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28</w:t>
            </w:r>
          </w:p>
        </w:tc>
        <w:tc>
          <w:tcPr>
            <w:tcW w:w="1743" w:type="dxa"/>
            <w:vAlign w:val="center"/>
          </w:tcPr>
          <w:p w14:paraId="2DA4125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质量标准</w:t>
            </w:r>
          </w:p>
        </w:tc>
        <w:tc>
          <w:tcPr>
            <w:tcW w:w="7287" w:type="dxa"/>
            <w:vAlign w:val="center"/>
          </w:tcPr>
          <w:p w14:paraId="34F8EE1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符合国家及行业相关合格标准。</w:t>
            </w:r>
          </w:p>
        </w:tc>
      </w:tr>
      <w:tr w14:paraId="22F3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4A8FEC9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29</w:t>
            </w:r>
          </w:p>
        </w:tc>
        <w:tc>
          <w:tcPr>
            <w:tcW w:w="1743" w:type="dxa"/>
            <w:vAlign w:val="center"/>
          </w:tcPr>
          <w:p w14:paraId="7453DD7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质保</w:t>
            </w:r>
            <w:r>
              <w:rPr>
                <w:rFonts w:hint="eastAsia" w:ascii="宋体" w:hAnsi="宋体" w:cs="宋体"/>
                <w:b w:val="0"/>
                <w:bCs w:val="0"/>
                <w:color w:val="auto"/>
                <w:spacing w:val="5"/>
                <w:sz w:val="20"/>
                <w:szCs w:val="20"/>
                <w:highlight w:val="none"/>
                <w:vertAlign w:val="baseline"/>
                <w:lang w:val="en-US" w:eastAsia="zh-CN"/>
              </w:rPr>
              <w:t>维保</w:t>
            </w:r>
            <w:r>
              <w:rPr>
                <w:rFonts w:hint="eastAsia" w:ascii="宋体" w:hAnsi="宋体" w:eastAsia="宋体" w:cs="宋体"/>
                <w:b w:val="0"/>
                <w:bCs w:val="0"/>
                <w:color w:val="auto"/>
                <w:spacing w:val="5"/>
                <w:sz w:val="20"/>
                <w:szCs w:val="20"/>
                <w:highlight w:val="none"/>
                <w:vertAlign w:val="baseline"/>
                <w:lang w:val="en-US" w:eastAsia="zh-CN"/>
              </w:rPr>
              <w:t>期</w:t>
            </w:r>
          </w:p>
        </w:tc>
        <w:tc>
          <w:tcPr>
            <w:tcW w:w="7287" w:type="dxa"/>
            <w:vAlign w:val="center"/>
          </w:tcPr>
          <w:p w14:paraId="0C27570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设备自验收之日起3年内为维保期其中第1年为质保期（如设备法定质保期或设备使用说明质保期长于1年，以法定质保期或说明书中质保期为准）。质保维保期所有软硬件服务均免费。</w:t>
            </w:r>
          </w:p>
        </w:tc>
      </w:tr>
      <w:tr w14:paraId="37AE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7AF5FCD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30</w:t>
            </w:r>
          </w:p>
        </w:tc>
        <w:tc>
          <w:tcPr>
            <w:tcW w:w="1743" w:type="dxa"/>
            <w:vAlign w:val="center"/>
          </w:tcPr>
          <w:p w14:paraId="3A6E22B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付款方式</w:t>
            </w:r>
          </w:p>
        </w:tc>
        <w:tc>
          <w:tcPr>
            <w:tcW w:w="7287" w:type="dxa"/>
            <w:vAlign w:val="center"/>
          </w:tcPr>
          <w:p w14:paraId="68819B8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设备安装、调试完毕经实际使用单位验收合格后向乙方支付合同总价款70%，剩余合同30%金额从验收之日起3年内完成付款。</w:t>
            </w:r>
          </w:p>
        </w:tc>
      </w:tr>
      <w:tr w14:paraId="192C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0025548">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31</w:t>
            </w:r>
          </w:p>
        </w:tc>
        <w:tc>
          <w:tcPr>
            <w:tcW w:w="1743" w:type="dxa"/>
            <w:vAlign w:val="center"/>
          </w:tcPr>
          <w:p w14:paraId="5F8560E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签订合同</w:t>
            </w:r>
          </w:p>
        </w:tc>
        <w:tc>
          <w:tcPr>
            <w:tcW w:w="7287" w:type="dxa"/>
            <w:vAlign w:val="center"/>
          </w:tcPr>
          <w:p w14:paraId="6FC0310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中标人应在中标结果确定后</w:t>
            </w:r>
            <w:r>
              <w:rPr>
                <w:rFonts w:hint="eastAsia" w:ascii="宋体" w:hAnsi="宋体" w:eastAsia="宋体" w:cs="宋体"/>
                <w:b w:val="0"/>
                <w:bCs w:val="0"/>
                <w:color w:val="auto"/>
                <w:spacing w:val="5"/>
                <w:sz w:val="20"/>
                <w:szCs w:val="20"/>
                <w:highlight w:val="none"/>
                <w:u w:val="single"/>
                <w:vertAlign w:val="baseline"/>
                <w:lang w:val="en-US" w:eastAsia="zh-CN"/>
              </w:rPr>
              <w:t xml:space="preserve">  30  </w:t>
            </w:r>
            <w:r>
              <w:rPr>
                <w:rFonts w:hint="eastAsia" w:ascii="宋体" w:hAnsi="宋体" w:eastAsia="宋体" w:cs="宋体"/>
                <w:b w:val="0"/>
                <w:bCs w:val="0"/>
                <w:color w:val="auto"/>
                <w:spacing w:val="5"/>
                <w:sz w:val="20"/>
                <w:szCs w:val="20"/>
                <w:highlight w:val="none"/>
                <w:vertAlign w:val="baseline"/>
                <w:lang w:val="en-US" w:eastAsia="zh-CN"/>
              </w:rPr>
              <w:t>天内签订采购合同。</w:t>
            </w:r>
          </w:p>
        </w:tc>
      </w:tr>
      <w:tr w14:paraId="1D9F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2F2037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32</w:t>
            </w:r>
          </w:p>
        </w:tc>
        <w:tc>
          <w:tcPr>
            <w:tcW w:w="1743" w:type="dxa"/>
            <w:vAlign w:val="center"/>
          </w:tcPr>
          <w:p w14:paraId="2B59B20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合同存档</w:t>
            </w:r>
          </w:p>
        </w:tc>
        <w:tc>
          <w:tcPr>
            <w:tcW w:w="7287" w:type="dxa"/>
            <w:vAlign w:val="center"/>
          </w:tcPr>
          <w:p w14:paraId="087CA530">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中标单位与采购人签订合同后</w:t>
            </w:r>
            <w:r>
              <w:rPr>
                <w:rFonts w:hint="eastAsia" w:ascii="宋体" w:hAnsi="宋体" w:eastAsia="宋体" w:cs="宋体"/>
                <w:b w:val="0"/>
                <w:bCs w:val="0"/>
                <w:color w:val="auto"/>
                <w:spacing w:val="5"/>
                <w:sz w:val="20"/>
                <w:szCs w:val="20"/>
                <w:highlight w:val="none"/>
                <w:u w:val="single"/>
                <w:vertAlign w:val="baseline"/>
                <w:lang w:val="en-US" w:eastAsia="zh-CN"/>
              </w:rPr>
              <w:t xml:space="preserve"> 5 </w:t>
            </w:r>
            <w:r>
              <w:rPr>
                <w:rFonts w:hint="eastAsia" w:ascii="宋体" w:hAnsi="宋体" w:eastAsia="宋体" w:cs="宋体"/>
                <w:b w:val="0"/>
                <w:bCs w:val="0"/>
                <w:color w:val="auto"/>
                <w:spacing w:val="5"/>
                <w:sz w:val="20"/>
                <w:szCs w:val="20"/>
                <w:highlight w:val="none"/>
                <w:vertAlign w:val="baseline"/>
                <w:lang w:val="en-US" w:eastAsia="zh-CN"/>
              </w:rPr>
              <w:t>个工作日内将采购合同复印件送至采购代理机构存档。</w:t>
            </w:r>
          </w:p>
        </w:tc>
      </w:tr>
      <w:tr w14:paraId="3A89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486FCBD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33</w:t>
            </w:r>
          </w:p>
        </w:tc>
        <w:tc>
          <w:tcPr>
            <w:tcW w:w="1743" w:type="dxa"/>
            <w:vAlign w:val="center"/>
          </w:tcPr>
          <w:p w14:paraId="11608B56">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招标代理服务费</w:t>
            </w:r>
          </w:p>
        </w:tc>
        <w:tc>
          <w:tcPr>
            <w:tcW w:w="7287" w:type="dxa"/>
            <w:vAlign w:val="center"/>
          </w:tcPr>
          <w:p w14:paraId="4D7EB67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按照国家发展改革委关于进一步放开建设项目专业服务价格的通知（发改价格[2015]299号）文件执行，由招标代理机构向中标人收取，中标服务费金额为中标金额的2%。</w:t>
            </w:r>
          </w:p>
        </w:tc>
      </w:tr>
      <w:tr w14:paraId="0481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restart"/>
            <w:vAlign w:val="center"/>
          </w:tcPr>
          <w:p w14:paraId="49B8993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10397B65">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69B2222D">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2F84E20C">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34</w:t>
            </w:r>
          </w:p>
        </w:tc>
        <w:tc>
          <w:tcPr>
            <w:tcW w:w="1743" w:type="dxa"/>
            <w:vMerge w:val="restart"/>
            <w:vAlign w:val="center"/>
          </w:tcPr>
          <w:p w14:paraId="61E985B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657B8D1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441147D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3C9AF56A">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其他要求</w:t>
            </w:r>
          </w:p>
        </w:tc>
        <w:tc>
          <w:tcPr>
            <w:tcW w:w="7287" w:type="dxa"/>
            <w:vAlign w:val="center"/>
          </w:tcPr>
          <w:p w14:paraId="4BD376D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投标人必须保证投标时所报资料真实有效，采购人保留对资料的核查权力，一旦发现资料有虚假现象将没收投标人投标保证金，并移交有关部门处理。</w:t>
            </w:r>
          </w:p>
        </w:tc>
      </w:tr>
      <w:tr w14:paraId="6EB2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vAlign w:val="center"/>
          </w:tcPr>
          <w:p w14:paraId="2D73CFE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1743" w:type="dxa"/>
            <w:vMerge w:val="continue"/>
            <w:vAlign w:val="center"/>
          </w:tcPr>
          <w:p w14:paraId="3FE114B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7287" w:type="dxa"/>
            <w:vAlign w:val="center"/>
          </w:tcPr>
          <w:p w14:paraId="653E5024">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对于小型或微型企业参与本项目投标的：投标人需提供《中小企业声明函》，在评审中将对小型或微型企业上生产的产品价格给予10%的扣除，用扣除后的价格参与评审。</w:t>
            </w:r>
          </w:p>
          <w:p w14:paraId="625D1AC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本次采购项目采购标的对应的中小企业划分标准所属行业为工业（划分标准见 附件：中小企业划型标准）。</w:t>
            </w:r>
          </w:p>
        </w:tc>
      </w:tr>
      <w:tr w14:paraId="28FF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vAlign w:val="center"/>
          </w:tcPr>
          <w:p w14:paraId="347140B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1743" w:type="dxa"/>
            <w:vMerge w:val="continue"/>
            <w:vAlign w:val="center"/>
          </w:tcPr>
          <w:p w14:paraId="36C4E669">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7287" w:type="dxa"/>
            <w:vAlign w:val="center"/>
          </w:tcPr>
          <w:p w14:paraId="3823486B">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对相同品牌的不同投标人的处理办法：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B7F145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非单一产品采购项目，采购人应当根据采购项目技术构成、产品价格比重等合理确定核心产品，并在招标文件中载明。多家投标人提供的核心产品品牌相同的，按前两款规定处理。</w:t>
            </w:r>
          </w:p>
          <w:p w14:paraId="68B899A3">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核心产品：</w:t>
            </w:r>
            <w:r>
              <w:rPr>
                <w:rFonts w:hint="eastAsia" w:ascii="宋体" w:cs="宋体"/>
                <w:color w:val="auto"/>
                <w:szCs w:val="21"/>
                <w:highlight w:val="none"/>
              </w:rPr>
              <w:t>智慧黑板</w:t>
            </w:r>
            <w:r>
              <w:rPr>
                <w:rFonts w:hint="eastAsia" w:ascii="宋体" w:hAnsi="宋体" w:eastAsia="宋体" w:cs="宋体"/>
                <w:b w:val="0"/>
                <w:bCs w:val="0"/>
                <w:color w:val="auto"/>
                <w:spacing w:val="5"/>
                <w:sz w:val="20"/>
                <w:szCs w:val="20"/>
                <w:highlight w:val="none"/>
                <w:vertAlign w:val="baseline"/>
                <w:lang w:val="en-US" w:eastAsia="zh-CN"/>
              </w:rPr>
              <w:t>。</w:t>
            </w:r>
          </w:p>
        </w:tc>
      </w:tr>
      <w:tr w14:paraId="33BD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vAlign w:val="center"/>
          </w:tcPr>
          <w:p w14:paraId="4242E79F">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1743" w:type="dxa"/>
            <w:vMerge w:val="continue"/>
            <w:vAlign w:val="center"/>
          </w:tcPr>
          <w:p w14:paraId="58AA5571">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7287" w:type="dxa"/>
            <w:vAlign w:val="center"/>
          </w:tcPr>
          <w:p w14:paraId="0C14E632">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只接受以书面形式向采购人、采购代理机构提出质疑，不接受以其他形式或提出的质疑。</w:t>
            </w:r>
          </w:p>
          <w:p w14:paraId="1601F6FE">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根据中华人民共和国财政部令第94号--政府采购质疑和投诉办法规定，投标人在法定质疑期内应一次性提出针对同一采购程序环节的质疑，提出质疑时应当提交符合规定的质疑函和必要的证明材料。</w:t>
            </w:r>
          </w:p>
        </w:tc>
      </w:tr>
      <w:tr w14:paraId="5707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3"/>
            <w:vAlign w:val="center"/>
          </w:tcPr>
          <w:p w14:paraId="1C9FB907">
            <w:pPr>
              <w:keepNext w:val="0"/>
              <w:keepLines w:val="0"/>
              <w:pageBreakBefore w:val="0"/>
              <w:widowControl/>
              <w:kinsoku w:val="0"/>
              <w:wordWrap/>
              <w:overflowPunct/>
              <w:topLinePunct w:val="0"/>
              <w:autoSpaceDE w:val="0"/>
              <w:autoSpaceDN w:val="0"/>
              <w:bidi w:val="0"/>
              <w:adjustRightInd w:val="0"/>
              <w:snapToGrid w:val="0"/>
              <w:spacing w:before="0" w:beforeLines="20" w:line="312"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注意事项：本项目招标公告与招标文件中内容有不符之处，以本招标文件中内容为准。</w:t>
            </w:r>
          </w:p>
        </w:tc>
      </w:tr>
    </w:tbl>
    <w:p w14:paraId="4F7BD3A0">
      <w:pPr>
        <w:rPr>
          <w:rFonts w:hint="eastAsia" w:ascii="宋体" w:hAnsi="宋体" w:eastAsia="宋体" w:cs="宋体"/>
          <w:color w:val="auto"/>
          <w:highlight w:val="none"/>
          <w:lang w:eastAsia="zh-CN"/>
        </w:rPr>
        <w:sectPr>
          <w:pgSz w:w="11906" w:h="16839"/>
          <w:pgMar w:top="1304" w:right="1409" w:bottom="0" w:left="1409" w:header="0" w:footer="737" w:gutter="0"/>
          <w:pgNumType w:fmt="decimal"/>
          <w:cols w:space="720" w:num="1"/>
        </w:sectPr>
      </w:pPr>
    </w:p>
    <w:p w14:paraId="4FF5DAC9">
      <w:pPr>
        <w:keepNext w:val="0"/>
        <w:keepLines w:val="0"/>
        <w:pageBreakBefore w:val="0"/>
        <w:widowControl/>
        <w:kinsoku w:val="0"/>
        <w:wordWrap/>
        <w:overflowPunct/>
        <w:topLinePunct w:val="0"/>
        <w:autoSpaceDE w:val="0"/>
        <w:autoSpaceDN w:val="0"/>
        <w:bidi w:val="0"/>
        <w:adjustRightInd w:val="0"/>
        <w:snapToGrid w:val="0"/>
        <w:spacing w:line="312" w:lineRule="auto"/>
        <w:ind w:left="0" w:right="0"/>
        <w:jc w:val="center"/>
        <w:textAlignment w:val="baseline"/>
        <w:outlineLvl w:val="1"/>
        <w:rPr>
          <w:rFonts w:hint="eastAsia" w:ascii="宋体" w:hAnsi="宋体" w:eastAsia="宋体" w:cs="宋体"/>
          <w:color w:val="auto"/>
          <w:sz w:val="31"/>
          <w:szCs w:val="31"/>
          <w:highlight w:val="none"/>
          <w:lang w:eastAsia="zh-CN"/>
        </w:rPr>
      </w:pPr>
      <w:bookmarkStart w:id="7" w:name="_Toc3670"/>
      <w:bookmarkStart w:id="8" w:name="_Toc15972"/>
      <w:r>
        <w:rPr>
          <w:rFonts w:hint="eastAsia" w:ascii="宋体" w:hAnsi="宋体" w:eastAsia="宋体" w:cs="宋体"/>
          <w:b/>
          <w:bCs/>
          <w:color w:val="auto"/>
          <w:spacing w:val="5"/>
          <w:sz w:val="31"/>
          <w:szCs w:val="31"/>
          <w:highlight w:val="none"/>
          <w:lang w:eastAsia="zh-CN"/>
        </w:rPr>
        <w:t>二、投标人须知</w:t>
      </w:r>
      <w:bookmarkEnd w:id="7"/>
      <w:bookmarkEnd w:id="8"/>
    </w:p>
    <w:p w14:paraId="5636C3DD">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2963C4FD">
      <w:pPr>
        <w:pageBreakBefore w:val="0"/>
        <w:widowControl w:val="0"/>
        <w:kinsoku/>
        <w:wordWrap/>
        <w:overflowPunct/>
        <w:topLinePunct w:val="0"/>
        <w:autoSpaceDE/>
        <w:autoSpaceDN/>
        <w:bidi w:val="0"/>
        <w:adjustRightInd w:val="0"/>
        <w:snapToGrid w:val="0"/>
        <w:spacing w:line="288" w:lineRule="auto"/>
        <w:ind w:right="0" w:rightChars="0" w:firstLine="444" w:firstLineChars="200"/>
        <w:rPr>
          <w:rFonts w:hint="eastAsia" w:ascii="宋体"/>
          <w:color w:val="auto"/>
          <w:spacing w:val="6"/>
          <w:szCs w:val="21"/>
          <w:highlight w:val="none"/>
        </w:rPr>
      </w:pPr>
      <w:r>
        <w:rPr>
          <w:rFonts w:hint="eastAsia" w:ascii="宋体"/>
          <w:color w:val="auto"/>
          <w:spacing w:val="6"/>
          <w:szCs w:val="21"/>
          <w:highlight w:val="none"/>
        </w:rPr>
        <w:t>本项目招标依据为《中华人民共和国政府采购法》《中华人民共和国政府采购法实施条例》《政府采购货物和服务招标投标管理办法》《评标委员会和评标方法暂行规定》等有关法律、法规及规定。</w:t>
      </w:r>
    </w:p>
    <w:p w14:paraId="7558FC67">
      <w:pPr>
        <w:pStyle w:val="6"/>
        <w:keepNext/>
        <w:keepLines/>
        <w:pageBreakBefore w:val="0"/>
        <w:widowControl w:val="0"/>
        <w:kinsoku/>
        <w:wordWrap/>
        <w:overflowPunct/>
        <w:topLinePunct w:val="0"/>
        <w:autoSpaceDE/>
        <w:autoSpaceDN/>
        <w:bidi w:val="0"/>
        <w:adjustRightInd w:val="0"/>
        <w:snapToGrid w:val="0"/>
        <w:spacing w:before="0" w:beforeLines="0" w:after="0" w:afterLines="0" w:line="288" w:lineRule="auto"/>
        <w:ind w:right="0" w:rightChars="0"/>
        <w:jc w:val="center"/>
        <w:textAlignment w:val="auto"/>
        <w:outlineLvl w:val="2"/>
        <w:rPr>
          <w:rFonts w:hint="eastAsia" w:ascii="宋体" w:eastAsia="宋体"/>
          <w:color w:val="auto"/>
          <w:sz w:val="21"/>
          <w:szCs w:val="21"/>
          <w:highlight w:val="none"/>
        </w:rPr>
      </w:pPr>
      <w:bookmarkStart w:id="9" w:name="_Toc16802"/>
      <w:bookmarkStart w:id="10" w:name="_Toc98580391"/>
      <w:bookmarkStart w:id="11" w:name="_Toc11804"/>
      <w:bookmarkStart w:id="12" w:name="_Toc5962"/>
      <w:r>
        <w:rPr>
          <w:rFonts w:hint="eastAsia" w:ascii="宋体" w:eastAsia="宋体"/>
          <w:color w:val="auto"/>
          <w:sz w:val="21"/>
          <w:szCs w:val="21"/>
          <w:highlight w:val="none"/>
        </w:rPr>
        <w:t>A 说明</w:t>
      </w:r>
      <w:bookmarkEnd w:id="9"/>
      <w:bookmarkEnd w:id="10"/>
      <w:bookmarkEnd w:id="11"/>
      <w:bookmarkEnd w:id="12"/>
    </w:p>
    <w:p w14:paraId="1423C044">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b w:val="0"/>
          <w:color w:val="auto"/>
          <w:spacing w:val="6"/>
          <w:sz w:val="21"/>
          <w:szCs w:val="21"/>
          <w:highlight w:val="none"/>
        </w:rPr>
      </w:pPr>
      <w:bookmarkStart w:id="13" w:name="_Toc98580392"/>
      <w:bookmarkStart w:id="14" w:name="_Toc2954"/>
      <w:bookmarkStart w:id="15" w:name="_Toc29590"/>
      <w:bookmarkStart w:id="16" w:name="_Toc25411"/>
      <w:r>
        <w:rPr>
          <w:rFonts w:hint="eastAsia" w:ascii="宋体"/>
          <w:color w:val="auto"/>
          <w:sz w:val="21"/>
          <w:szCs w:val="21"/>
          <w:highlight w:val="none"/>
        </w:rPr>
        <w:t>1.适用范围</w:t>
      </w:r>
      <w:bookmarkEnd w:id="13"/>
      <w:bookmarkEnd w:id="14"/>
      <w:bookmarkEnd w:id="15"/>
      <w:bookmarkEnd w:id="16"/>
    </w:p>
    <w:p w14:paraId="21C3AF86">
      <w:pPr>
        <w:pageBreakBefore w:val="0"/>
        <w:widowControl w:val="0"/>
        <w:kinsoku/>
        <w:wordWrap/>
        <w:overflowPunct/>
        <w:topLinePunct w:val="0"/>
        <w:autoSpaceDE/>
        <w:autoSpaceDN/>
        <w:bidi w:val="0"/>
        <w:adjustRightInd w:val="0"/>
        <w:snapToGrid w:val="0"/>
        <w:spacing w:line="288" w:lineRule="auto"/>
        <w:ind w:right="0" w:rightChars="0" w:firstLine="567"/>
        <w:rPr>
          <w:rFonts w:hint="eastAsia" w:ascii="宋体"/>
          <w:color w:val="auto"/>
          <w:szCs w:val="21"/>
          <w:highlight w:val="none"/>
        </w:rPr>
      </w:pPr>
      <w:r>
        <w:rPr>
          <w:rFonts w:hint="eastAsia" w:ascii="宋体"/>
          <w:color w:val="auto"/>
          <w:szCs w:val="21"/>
          <w:highlight w:val="none"/>
        </w:rPr>
        <w:t>本文件是受</w:t>
      </w:r>
      <w:r>
        <w:rPr>
          <w:rFonts w:hint="eastAsia" w:ascii="宋体"/>
          <w:color w:val="auto"/>
          <w:spacing w:val="6"/>
          <w:szCs w:val="21"/>
          <w:highlight w:val="none"/>
        </w:rPr>
        <w:t>采购人</w:t>
      </w:r>
      <w:r>
        <w:rPr>
          <w:rFonts w:hint="eastAsia" w:ascii="宋体"/>
          <w:color w:val="auto"/>
          <w:szCs w:val="21"/>
          <w:highlight w:val="none"/>
        </w:rPr>
        <w:t>委托</w:t>
      </w:r>
      <w:r>
        <w:rPr>
          <w:rFonts w:hint="eastAsia" w:ascii="宋体"/>
          <w:color w:val="auto"/>
          <w:spacing w:val="6"/>
          <w:szCs w:val="21"/>
          <w:highlight w:val="none"/>
        </w:rPr>
        <w:t>，对采购人</w:t>
      </w:r>
      <w:r>
        <w:rPr>
          <w:rFonts w:hint="eastAsia" w:ascii="宋体"/>
          <w:color w:val="auto"/>
          <w:szCs w:val="21"/>
          <w:highlight w:val="none"/>
        </w:rPr>
        <w:t>委托</w:t>
      </w:r>
      <w:r>
        <w:rPr>
          <w:rFonts w:hint="eastAsia" w:ascii="宋体" w:cs="宋体"/>
          <w:bCs/>
          <w:color w:val="auto"/>
          <w:szCs w:val="21"/>
          <w:highlight w:val="none"/>
          <w:lang w:val="zh-CN"/>
        </w:rPr>
        <w:t>采购项目</w:t>
      </w:r>
      <w:r>
        <w:rPr>
          <w:rFonts w:hint="eastAsia" w:ascii="宋体"/>
          <w:color w:val="auto"/>
          <w:spacing w:val="6"/>
          <w:szCs w:val="21"/>
          <w:highlight w:val="none"/>
        </w:rPr>
        <w:t>的规范性招标</w:t>
      </w:r>
      <w:r>
        <w:rPr>
          <w:rFonts w:hint="eastAsia" w:ascii="宋体"/>
          <w:color w:val="auto"/>
          <w:szCs w:val="21"/>
          <w:highlight w:val="none"/>
        </w:rPr>
        <w:t>文件，适用于本项目招标公告所述的标的采购及服务，是</w:t>
      </w:r>
      <w:r>
        <w:rPr>
          <w:rFonts w:hint="eastAsia" w:ascii="宋体"/>
          <w:color w:val="auto"/>
          <w:szCs w:val="21"/>
          <w:highlight w:val="none"/>
          <w:lang w:eastAsia="zh-CN"/>
        </w:rPr>
        <w:t>投标人</w:t>
      </w:r>
      <w:r>
        <w:rPr>
          <w:rFonts w:hint="eastAsia" w:ascii="宋体"/>
          <w:color w:val="auto"/>
          <w:szCs w:val="21"/>
          <w:highlight w:val="none"/>
        </w:rPr>
        <w:t>编制投标文件的依据。</w:t>
      </w:r>
    </w:p>
    <w:p w14:paraId="21F0E92D">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17" w:name="_Toc11187"/>
      <w:bookmarkStart w:id="18" w:name="_Toc24455"/>
      <w:bookmarkStart w:id="19" w:name="_Toc11084"/>
      <w:bookmarkStart w:id="20" w:name="_Toc98580393"/>
      <w:r>
        <w:rPr>
          <w:rFonts w:hint="eastAsia" w:ascii="宋体"/>
          <w:color w:val="auto"/>
          <w:sz w:val="21"/>
          <w:szCs w:val="21"/>
          <w:highlight w:val="none"/>
        </w:rPr>
        <w:t>2.法律适用</w:t>
      </w:r>
      <w:bookmarkEnd w:id="17"/>
      <w:bookmarkEnd w:id="18"/>
      <w:bookmarkEnd w:id="19"/>
      <w:bookmarkEnd w:id="20"/>
    </w:p>
    <w:p w14:paraId="66565327">
      <w:pPr>
        <w:pageBreakBefore w:val="0"/>
        <w:widowControl w:val="0"/>
        <w:kinsoku/>
        <w:wordWrap/>
        <w:overflowPunct/>
        <w:topLinePunct w:val="0"/>
        <w:autoSpaceDE/>
        <w:autoSpaceDN/>
        <w:bidi w:val="0"/>
        <w:adjustRightInd w:val="0"/>
        <w:snapToGrid w:val="0"/>
        <w:spacing w:line="288" w:lineRule="auto"/>
        <w:ind w:right="0" w:rightChars="0" w:firstLine="567"/>
        <w:rPr>
          <w:rFonts w:hint="eastAsia" w:ascii="宋体"/>
          <w:color w:val="auto"/>
          <w:szCs w:val="21"/>
          <w:highlight w:val="none"/>
        </w:rPr>
      </w:pPr>
      <w:r>
        <w:rPr>
          <w:rFonts w:hint="eastAsia" w:ascii="宋体"/>
          <w:color w:val="auto"/>
          <w:szCs w:val="21"/>
          <w:highlight w:val="none"/>
        </w:rPr>
        <w:t>本招标文件及由本次招标产生的合同适用中华人民共和国法律。</w:t>
      </w:r>
    </w:p>
    <w:p w14:paraId="03FEB736">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21" w:name="_Toc3886"/>
      <w:bookmarkStart w:id="22" w:name="_Toc23968"/>
      <w:bookmarkStart w:id="23" w:name="_Toc32004"/>
      <w:bookmarkStart w:id="24" w:name="_Toc98580394"/>
      <w:r>
        <w:rPr>
          <w:rFonts w:hint="eastAsia" w:ascii="宋体"/>
          <w:color w:val="auto"/>
          <w:sz w:val="21"/>
          <w:szCs w:val="21"/>
          <w:highlight w:val="none"/>
        </w:rPr>
        <w:t>3.定义</w:t>
      </w:r>
      <w:bookmarkEnd w:id="21"/>
      <w:bookmarkEnd w:id="22"/>
      <w:bookmarkEnd w:id="23"/>
      <w:bookmarkEnd w:id="24"/>
    </w:p>
    <w:p w14:paraId="36BD5E6D">
      <w:pPr>
        <w:pageBreakBefore w:val="0"/>
        <w:widowControl w:val="0"/>
        <w:kinsoku/>
        <w:wordWrap/>
        <w:overflowPunct/>
        <w:topLinePunct w:val="0"/>
        <w:autoSpaceDE/>
        <w:autoSpaceDN/>
        <w:bidi w:val="0"/>
        <w:adjustRightInd w:val="0"/>
        <w:snapToGrid w:val="0"/>
        <w:spacing w:line="288" w:lineRule="auto"/>
        <w:ind w:right="0" w:rightChars="0" w:firstLine="351"/>
        <w:rPr>
          <w:rFonts w:hint="eastAsia" w:ascii="宋体"/>
          <w:color w:val="auto"/>
          <w:szCs w:val="21"/>
          <w:highlight w:val="none"/>
        </w:rPr>
      </w:pPr>
      <w:r>
        <w:rPr>
          <w:rFonts w:hint="eastAsia" w:ascii="宋体"/>
          <w:color w:val="auto"/>
          <w:szCs w:val="21"/>
          <w:highlight w:val="none"/>
        </w:rPr>
        <w:t>“招标机构”系指组织本次招标的代理机构；</w:t>
      </w:r>
    </w:p>
    <w:p w14:paraId="1A69861B">
      <w:pPr>
        <w:pageBreakBefore w:val="0"/>
        <w:widowControl w:val="0"/>
        <w:kinsoku/>
        <w:wordWrap/>
        <w:overflowPunct/>
        <w:topLinePunct w:val="0"/>
        <w:autoSpaceDE/>
        <w:autoSpaceDN/>
        <w:bidi w:val="0"/>
        <w:adjustRightInd w:val="0"/>
        <w:snapToGrid w:val="0"/>
        <w:spacing w:line="288" w:lineRule="auto"/>
        <w:ind w:right="0" w:rightChars="0" w:firstLine="351"/>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eastAsia="zh-CN"/>
        </w:rPr>
        <w:t>投标人</w:t>
      </w:r>
      <w:r>
        <w:rPr>
          <w:rFonts w:hint="eastAsia" w:ascii="宋体"/>
          <w:color w:val="auto"/>
          <w:szCs w:val="21"/>
          <w:highlight w:val="none"/>
        </w:rPr>
        <w:t>”系指向招标机构提交投标文件的投标商；</w:t>
      </w:r>
    </w:p>
    <w:p w14:paraId="29E1ACD1">
      <w:pPr>
        <w:pageBreakBefore w:val="0"/>
        <w:widowControl w:val="0"/>
        <w:kinsoku/>
        <w:wordWrap/>
        <w:overflowPunct/>
        <w:topLinePunct w:val="0"/>
        <w:autoSpaceDE/>
        <w:autoSpaceDN/>
        <w:bidi w:val="0"/>
        <w:adjustRightInd w:val="0"/>
        <w:snapToGrid w:val="0"/>
        <w:spacing w:line="288" w:lineRule="auto"/>
        <w:ind w:right="0" w:rightChars="0" w:firstLine="351"/>
        <w:rPr>
          <w:rFonts w:hint="eastAsia" w:ascii="宋体"/>
          <w:color w:val="auto"/>
          <w:szCs w:val="21"/>
          <w:highlight w:val="none"/>
        </w:rPr>
      </w:pPr>
      <w:r>
        <w:rPr>
          <w:rFonts w:hint="eastAsia" w:ascii="宋体"/>
          <w:color w:val="auto"/>
          <w:szCs w:val="21"/>
          <w:highlight w:val="none"/>
        </w:rPr>
        <w:t>“买方”系指采购单位，合同一方当事人；</w:t>
      </w:r>
    </w:p>
    <w:p w14:paraId="775D4406">
      <w:pPr>
        <w:pageBreakBefore w:val="0"/>
        <w:widowControl w:val="0"/>
        <w:kinsoku/>
        <w:wordWrap/>
        <w:overflowPunct/>
        <w:topLinePunct w:val="0"/>
        <w:autoSpaceDE/>
        <w:autoSpaceDN/>
        <w:bidi w:val="0"/>
        <w:adjustRightInd w:val="0"/>
        <w:snapToGrid w:val="0"/>
        <w:spacing w:line="288" w:lineRule="auto"/>
        <w:ind w:right="0" w:rightChars="0" w:firstLine="351"/>
        <w:rPr>
          <w:rFonts w:hint="eastAsia" w:ascii="宋体"/>
          <w:color w:val="auto"/>
          <w:szCs w:val="21"/>
          <w:highlight w:val="none"/>
        </w:rPr>
      </w:pPr>
      <w:r>
        <w:rPr>
          <w:rFonts w:hint="eastAsia" w:ascii="宋体"/>
          <w:color w:val="auto"/>
          <w:szCs w:val="21"/>
          <w:highlight w:val="none"/>
        </w:rPr>
        <w:t>“服务”系指招标文件规定须完成的服务和其他的类似义务；</w:t>
      </w:r>
    </w:p>
    <w:p w14:paraId="7578FCE0">
      <w:pPr>
        <w:pageBreakBefore w:val="0"/>
        <w:widowControl w:val="0"/>
        <w:kinsoku/>
        <w:wordWrap/>
        <w:overflowPunct/>
        <w:topLinePunct w:val="0"/>
        <w:autoSpaceDE/>
        <w:autoSpaceDN/>
        <w:bidi w:val="0"/>
        <w:adjustRightInd w:val="0"/>
        <w:snapToGrid w:val="0"/>
        <w:spacing w:line="288" w:lineRule="auto"/>
        <w:ind w:right="0" w:rightChars="0" w:firstLine="351"/>
        <w:rPr>
          <w:rFonts w:hint="eastAsia" w:ascii="宋体"/>
          <w:color w:val="auto"/>
          <w:szCs w:val="21"/>
          <w:highlight w:val="none"/>
        </w:rPr>
      </w:pPr>
      <w:r>
        <w:rPr>
          <w:rFonts w:hint="eastAsia" w:ascii="宋体"/>
          <w:color w:val="auto"/>
          <w:szCs w:val="21"/>
          <w:highlight w:val="none"/>
        </w:rPr>
        <w:t>“日”、“天”系指日历日；</w:t>
      </w:r>
    </w:p>
    <w:p w14:paraId="1A2C5AB2">
      <w:pPr>
        <w:pStyle w:val="46"/>
        <w:pageBreakBefore w:val="0"/>
        <w:widowControl w:val="0"/>
        <w:kinsoku/>
        <w:wordWrap/>
        <w:overflowPunct/>
        <w:topLinePunct w:val="0"/>
        <w:autoSpaceDE/>
        <w:autoSpaceDN/>
        <w:bidi w:val="0"/>
        <w:adjustRightInd w:val="0"/>
        <w:snapToGrid w:val="0"/>
        <w:spacing w:before="0" w:beforeAutospacing="0" w:after="0" w:afterAutospacing="0" w:line="288" w:lineRule="auto"/>
        <w:ind w:right="0" w:rightChars="0" w:firstLine="240"/>
        <w:rPr>
          <w:rFonts w:hint="eastAsia"/>
          <w:color w:val="auto"/>
          <w:sz w:val="21"/>
          <w:szCs w:val="21"/>
          <w:highlight w:val="none"/>
        </w:rPr>
      </w:pPr>
      <w:r>
        <w:rPr>
          <w:rFonts w:hint="eastAsia"/>
          <w:color w:val="auto"/>
          <w:sz w:val="21"/>
          <w:szCs w:val="21"/>
          <w:highlight w:val="no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01F0B772">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eastAsia="宋体"/>
          <w:color w:val="auto"/>
          <w:sz w:val="21"/>
          <w:szCs w:val="21"/>
          <w:highlight w:val="none"/>
          <w:lang w:eastAsia="zh-CN"/>
        </w:rPr>
      </w:pPr>
      <w:bookmarkStart w:id="25" w:name="_Toc4349"/>
      <w:bookmarkStart w:id="26" w:name="_Toc14486"/>
      <w:bookmarkStart w:id="27" w:name="_Toc98580395"/>
      <w:bookmarkStart w:id="28" w:name="_Toc4181"/>
      <w:r>
        <w:rPr>
          <w:rFonts w:hint="eastAsia" w:ascii="宋体"/>
          <w:color w:val="auto"/>
          <w:sz w:val="21"/>
          <w:szCs w:val="21"/>
          <w:highlight w:val="none"/>
        </w:rPr>
        <w:t>4.合格的</w:t>
      </w:r>
      <w:bookmarkEnd w:id="25"/>
      <w:bookmarkEnd w:id="26"/>
      <w:bookmarkEnd w:id="27"/>
      <w:r>
        <w:rPr>
          <w:rFonts w:hint="eastAsia" w:ascii="宋体"/>
          <w:color w:val="auto"/>
          <w:sz w:val="21"/>
          <w:szCs w:val="21"/>
          <w:highlight w:val="none"/>
          <w:lang w:eastAsia="zh-CN"/>
        </w:rPr>
        <w:t>投标人</w:t>
      </w:r>
      <w:bookmarkEnd w:id="28"/>
    </w:p>
    <w:p w14:paraId="2562BA14">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4.1合格</w:t>
      </w:r>
      <w:r>
        <w:rPr>
          <w:rFonts w:hint="eastAsia" w:ascii="宋体"/>
          <w:color w:val="auto"/>
          <w:szCs w:val="21"/>
          <w:highlight w:val="none"/>
          <w:lang w:eastAsia="zh-CN"/>
        </w:rPr>
        <w:t>投标人</w:t>
      </w:r>
      <w:r>
        <w:rPr>
          <w:rFonts w:hint="eastAsia" w:ascii="宋体"/>
          <w:color w:val="auto"/>
          <w:szCs w:val="21"/>
          <w:highlight w:val="none"/>
        </w:rPr>
        <w:t>必须符合</w:t>
      </w:r>
      <w:r>
        <w:rPr>
          <w:rFonts w:hint="eastAsia" w:ascii="宋体"/>
          <w:color w:val="auto"/>
          <w:szCs w:val="21"/>
          <w:highlight w:val="none"/>
          <w:lang w:eastAsia="zh-CN"/>
        </w:rPr>
        <w:t>投标人</w:t>
      </w:r>
      <w:r>
        <w:rPr>
          <w:rFonts w:hint="eastAsia" w:ascii="宋体"/>
          <w:color w:val="auto"/>
          <w:szCs w:val="21"/>
          <w:highlight w:val="none"/>
        </w:rPr>
        <w:t>须知前附表第10项下各项要求，并在投标时提供以下文件，若有遗漏或不符合要求均为资格审查不合格；</w:t>
      </w:r>
    </w:p>
    <w:p w14:paraId="57FB2878">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4.2</w:t>
      </w:r>
      <w:r>
        <w:rPr>
          <w:rFonts w:hint="eastAsia" w:ascii="宋体"/>
          <w:color w:val="auto"/>
          <w:szCs w:val="21"/>
          <w:highlight w:val="none"/>
          <w:lang w:eastAsia="zh-CN"/>
        </w:rPr>
        <w:t>投标人</w:t>
      </w:r>
      <w:r>
        <w:rPr>
          <w:rFonts w:hint="eastAsia" w:ascii="宋体"/>
          <w:color w:val="auto"/>
          <w:szCs w:val="21"/>
          <w:highlight w:val="none"/>
        </w:rPr>
        <w:t>应仔细阅读招标文件的所有内容，按招标文件的要求提供投标文件，并保证所提供的全部资料的真实性，使其投标对招标文件做出实质性响应，否则，其投标将被拒绝。招标机构保留进一步要求</w:t>
      </w:r>
      <w:r>
        <w:rPr>
          <w:rFonts w:hint="eastAsia" w:ascii="宋体"/>
          <w:color w:val="auto"/>
          <w:szCs w:val="21"/>
          <w:highlight w:val="none"/>
          <w:lang w:eastAsia="zh-CN"/>
        </w:rPr>
        <w:t>投标人</w:t>
      </w:r>
      <w:r>
        <w:rPr>
          <w:rFonts w:hint="eastAsia" w:ascii="宋体"/>
          <w:color w:val="auto"/>
          <w:szCs w:val="21"/>
          <w:highlight w:val="none"/>
        </w:rPr>
        <w:t>补充提供有关材料的权利，拒绝补充材料或提供材料不真实，将被视为自动放弃投标资格。</w:t>
      </w:r>
    </w:p>
    <w:p w14:paraId="188212BD">
      <w:pPr>
        <w:pageBreakBefore w:val="0"/>
        <w:widowControl w:val="0"/>
        <w:kinsoku/>
        <w:wordWrap/>
        <w:overflowPunct/>
        <w:topLinePunct w:val="0"/>
        <w:autoSpaceDE/>
        <w:autoSpaceDN/>
        <w:bidi w:val="0"/>
        <w:adjustRightInd w:val="0"/>
        <w:snapToGrid w:val="0"/>
        <w:spacing w:line="288" w:lineRule="auto"/>
        <w:ind w:right="0" w:rightChars="0"/>
        <w:rPr>
          <w:rFonts w:hint="eastAsia" w:ascii="宋体"/>
          <w:b/>
          <w:color w:val="auto"/>
          <w:szCs w:val="21"/>
          <w:highlight w:val="none"/>
        </w:rPr>
      </w:pPr>
      <w:r>
        <w:rPr>
          <w:rFonts w:hint="eastAsia" w:ascii="宋体"/>
          <w:b/>
          <w:color w:val="auto"/>
          <w:szCs w:val="21"/>
          <w:highlight w:val="none"/>
        </w:rPr>
        <w:t>5．投标费用</w:t>
      </w:r>
    </w:p>
    <w:p w14:paraId="2B3B8476">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lang w:eastAsia="zh-CN"/>
        </w:rPr>
        <w:t>投标人</w:t>
      </w:r>
      <w:r>
        <w:rPr>
          <w:rFonts w:hint="eastAsia" w:ascii="宋体"/>
          <w:color w:val="auto"/>
          <w:szCs w:val="21"/>
          <w:highlight w:val="none"/>
        </w:rPr>
        <w:t>应承担其在投标准备、编制、递交投标文件和签订合同协议书的整个过程中发生的一切费用而不论其投标结果如何。</w:t>
      </w:r>
    </w:p>
    <w:p w14:paraId="1CED7738">
      <w:pPr>
        <w:pStyle w:val="4"/>
        <w:pageBreakBefore w:val="0"/>
        <w:widowControl w:val="0"/>
        <w:kinsoku/>
        <w:wordWrap/>
        <w:overflowPunct/>
        <w:topLinePunct w:val="0"/>
        <w:autoSpaceDE/>
        <w:autoSpaceDN/>
        <w:bidi w:val="0"/>
        <w:adjustRightInd w:val="0"/>
        <w:snapToGrid w:val="0"/>
        <w:spacing w:before="0" w:beforeLines="0" w:after="0" w:afterLines="0" w:line="288" w:lineRule="auto"/>
        <w:ind w:right="0" w:rightChars="0"/>
        <w:jc w:val="center"/>
        <w:rPr>
          <w:rFonts w:hint="eastAsia" w:ascii="宋体" w:hAnsi="Arial" w:eastAsia="宋体" w:cs="Arial"/>
          <w:b/>
          <w:bCs/>
          <w:snapToGrid w:val="0"/>
          <w:color w:val="auto"/>
          <w:sz w:val="21"/>
          <w:szCs w:val="21"/>
          <w:highlight w:val="none"/>
          <w:lang w:val="en-US" w:eastAsia="en-US" w:bidi="ar-SA"/>
        </w:rPr>
      </w:pPr>
      <w:bookmarkStart w:id="29" w:name="_Toc26790"/>
      <w:bookmarkStart w:id="30" w:name="_Toc22464"/>
      <w:bookmarkStart w:id="31" w:name="_Toc98580396"/>
      <w:bookmarkStart w:id="32" w:name="_Toc8234"/>
      <w:r>
        <w:rPr>
          <w:rFonts w:hint="eastAsia" w:ascii="宋体" w:hAnsi="Arial" w:eastAsia="宋体" w:cs="Arial"/>
          <w:b/>
          <w:bCs/>
          <w:snapToGrid w:val="0"/>
          <w:color w:val="auto"/>
          <w:sz w:val="21"/>
          <w:szCs w:val="21"/>
          <w:highlight w:val="none"/>
          <w:lang w:val="en-US" w:eastAsia="en-US" w:bidi="ar-SA"/>
        </w:rPr>
        <w:t>B.招标文件说明</w:t>
      </w:r>
      <w:bookmarkEnd w:id="29"/>
      <w:bookmarkEnd w:id="30"/>
      <w:bookmarkEnd w:id="31"/>
      <w:bookmarkEnd w:id="32"/>
    </w:p>
    <w:p w14:paraId="7915813D">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33" w:name="_Toc98580397"/>
      <w:bookmarkStart w:id="34" w:name="_Toc4433"/>
      <w:bookmarkStart w:id="35" w:name="_Toc27666"/>
      <w:bookmarkStart w:id="36" w:name="_Toc11264"/>
      <w:r>
        <w:rPr>
          <w:rFonts w:hint="eastAsia" w:ascii="宋体"/>
          <w:color w:val="auto"/>
          <w:sz w:val="21"/>
          <w:szCs w:val="21"/>
          <w:highlight w:val="none"/>
        </w:rPr>
        <w:t>6.招标文件</w:t>
      </w:r>
      <w:bookmarkEnd w:id="33"/>
      <w:bookmarkEnd w:id="34"/>
      <w:bookmarkEnd w:id="35"/>
      <w:bookmarkEnd w:id="36"/>
    </w:p>
    <w:p w14:paraId="71E9F89B">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招标文件用以阐明所需货物及服务、招标投标程序和投标文件格式。招标文件由以下部分组成：</w:t>
      </w:r>
    </w:p>
    <w:p w14:paraId="7210B47A">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第一部分   招标公告</w:t>
      </w:r>
    </w:p>
    <w:p w14:paraId="05B609AA">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 xml:space="preserve">第二部分   </w:t>
      </w:r>
      <w:r>
        <w:rPr>
          <w:rFonts w:hint="eastAsia" w:ascii="宋体" w:hAnsi="Calibri"/>
          <w:color w:val="auto"/>
          <w:szCs w:val="21"/>
          <w:highlight w:val="none"/>
          <w:lang w:eastAsia="zh-CN"/>
        </w:rPr>
        <w:t>投标人</w:t>
      </w:r>
      <w:r>
        <w:rPr>
          <w:rFonts w:hint="eastAsia" w:ascii="宋体" w:hAnsi="Calibri"/>
          <w:color w:val="auto"/>
          <w:szCs w:val="21"/>
          <w:highlight w:val="none"/>
        </w:rPr>
        <w:t>须知</w:t>
      </w:r>
    </w:p>
    <w:p w14:paraId="13F37CCC">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第三部分   评标办法</w:t>
      </w:r>
    </w:p>
    <w:p w14:paraId="50A27593">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第四部分   采购需求</w:t>
      </w:r>
    </w:p>
    <w:p w14:paraId="20C3026E">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第五部分   合同条款</w:t>
      </w:r>
    </w:p>
    <w:p w14:paraId="42F811E9">
      <w:pPr>
        <w:pageBreakBefore w:val="0"/>
        <w:widowControl w:val="0"/>
        <w:kinsoku/>
        <w:wordWrap/>
        <w:overflowPunct/>
        <w:topLinePunct w:val="0"/>
        <w:autoSpaceDE/>
        <w:autoSpaceDN/>
        <w:bidi w:val="0"/>
        <w:adjustRightInd w:val="0"/>
        <w:snapToGrid w:val="0"/>
        <w:spacing w:line="288" w:lineRule="auto"/>
        <w:ind w:right="0" w:rightChars="0" w:firstLine="630" w:firstLineChars="300"/>
        <w:rPr>
          <w:rFonts w:hint="eastAsia" w:ascii="宋体" w:hAnsi="Calibri"/>
          <w:color w:val="auto"/>
          <w:szCs w:val="21"/>
          <w:highlight w:val="none"/>
        </w:rPr>
      </w:pPr>
      <w:r>
        <w:rPr>
          <w:rFonts w:hint="eastAsia" w:ascii="宋体" w:hAnsi="Calibri"/>
          <w:color w:val="auto"/>
          <w:szCs w:val="21"/>
          <w:highlight w:val="none"/>
        </w:rPr>
        <w:t>第六部分   投标文件格式</w:t>
      </w:r>
    </w:p>
    <w:p w14:paraId="7A0EA037">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37" w:name="_Toc916"/>
      <w:bookmarkStart w:id="38" w:name="_Toc31979"/>
      <w:bookmarkStart w:id="39" w:name="_Toc2347"/>
      <w:r>
        <w:rPr>
          <w:rFonts w:hint="eastAsia" w:ascii="宋体"/>
          <w:color w:val="auto"/>
          <w:sz w:val="21"/>
          <w:szCs w:val="21"/>
          <w:highlight w:val="none"/>
        </w:rPr>
        <w:t>7.招标文件的澄清</w:t>
      </w:r>
      <w:bookmarkEnd w:id="37"/>
      <w:bookmarkEnd w:id="38"/>
      <w:bookmarkEnd w:id="39"/>
    </w:p>
    <w:p w14:paraId="06470FA0">
      <w:pPr>
        <w:pageBreakBefore w:val="0"/>
        <w:widowControl w:val="0"/>
        <w:kinsoku/>
        <w:wordWrap/>
        <w:overflowPunct/>
        <w:topLinePunct w:val="0"/>
        <w:autoSpaceDE/>
        <w:autoSpaceDN/>
        <w:bidi w:val="0"/>
        <w:adjustRightInd w:val="0"/>
        <w:snapToGrid w:val="0"/>
        <w:spacing w:line="288" w:lineRule="auto"/>
        <w:ind w:right="0" w:rightChars="0" w:firstLine="567"/>
        <w:rPr>
          <w:rFonts w:hint="eastAsia" w:ascii="宋体"/>
          <w:color w:val="auto"/>
          <w:szCs w:val="21"/>
          <w:highlight w:val="none"/>
        </w:rPr>
      </w:pPr>
      <w:r>
        <w:rPr>
          <w:rFonts w:hint="eastAsia" w:ascii="宋体"/>
          <w:color w:val="auto"/>
          <w:szCs w:val="21"/>
          <w:highlight w:val="none"/>
          <w:lang w:eastAsia="zh-CN"/>
        </w:rPr>
        <w:t>投标人</w:t>
      </w:r>
      <w:r>
        <w:rPr>
          <w:rFonts w:hint="eastAsia" w:ascii="宋体"/>
          <w:color w:val="auto"/>
          <w:szCs w:val="21"/>
          <w:highlight w:val="none"/>
        </w:rPr>
        <w:t>对本次招标文件的内容有疑问时，可要求澄清，但应在距投标截止日15日前，按</w:t>
      </w:r>
      <w:r>
        <w:rPr>
          <w:rFonts w:hint="eastAsia" w:ascii="宋体"/>
          <w:color w:val="auto"/>
          <w:szCs w:val="21"/>
          <w:highlight w:val="none"/>
          <w:lang w:eastAsia="zh-CN"/>
        </w:rPr>
        <w:t>投标人</w:t>
      </w:r>
      <w:r>
        <w:rPr>
          <w:rFonts w:hint="eastAsia" w:ascii="宋体"/>
          <w:color w:val="auto"/>
          <w:szCs w:val="21"/>
          <w:highlight w:val="none"/>
        </w:rPr>
        <w:t>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w:t>
      </w:r>
      <w:r>
        <w:rPr>
          <w:rFonts w:hint="eastAsia" w:ascii="宋体"/>
          <w:color w:val="auto"/>
          <w:szCs w:val="21"/>
          <w:highlight w:val="none"/>
          <w:lang w:eastAsia="zh-CN"/>
        </w:rPr>
        <w:t>投标人</w:t>
      </w:r>
      <w:r>
        <w:rPr>
          <w:rFonts w:hint="eastAsia" w:ascii="宋体"/>
          <w:color w:val="auto"/>
          <w:szCs w:val="21"/>
          <w:highlight w:val="none"/>
        </w:rPr>
        <w:t>。</w:t>
      </w:r>
    </w:p>
    <w:p w14:paraId="24564D09">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40" w:name="_Toc28024"/>
      <w:bookmarkStart w:id="41" w:name="_Toc14012"/>
      <w:bookmarkStart w:id="42" w:name="_Toc98580399"/>
      <w:bookmarkStart w:id="43" w:name="_Toc31127"/>
      <w:r>
        <w:rPr>
          <w:rFonts w:hint="eastAsia" w:ascii="宋体"/>
          <w:color w:val="auto"/>
          <w:sz w:val="21"/>
          <w:szCs w:val="21"/>
          <w:highlight w:val="none"/>
        </w:rPr>
        <w:t>8.招标文件的修改</w:t>
      </w:r>
      <w:bookmarkEnd w:id="40"/>
      <w:bookmarkEnd w:id="41"/>
      <w:bookmarkEnd w:id="42"/>
      <w:bookmarkEnd w:id="43"/>
    </w:p>
    <w:p w14:paraId="09F077B7">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8.1在投标截止时间前，招标机构可根据需要和（或）依据</w:t>
      </w:r>
      <w:r>
        <w:rPr>
          <w:rFonts w:hint="eastAsia" w:ascii="宋体"/>
          <w:color w:val="auto"/>
          <w:szCs w:val="21"/>
          <w:highlight w:val="none"/>
          <w:lang w:eastAsia="zh-CN"/>
        </w:rPr>
        <w:t>投标人</w:t>
      </w:r>
      <w:r>
        <w:rPr>
          <w:rFonts w:hint="eastAsia" w:ascii="宋体"/>
          <w:color w:val="auto"/>
          <w:szCs w:val="21"/>
          <w:highlight w:val="none"/>
        </w:rPr>
        <w:t>要求澄清的问题而修改招标文件，并以书面形式通知所有购买招标文件的</w:t>
      </w:r>
      <w:r>
        <w:rPr>
          <w:rFonts w:hint="eastAsia" w:ascii="宋体"/>
          <w:color w:val="auto"/>
          <w:szCs w:val="21"/>
          <w:highlight w:val="none"/>
          <w:lang w:eastAsia="zh-CN"/>
        </w:rPr>
        <w:t>投标人</w:t>
      </w:r>
      <w:r>
        <w:rPr>
          <w:rFonts w:hint="eastAsia" w:ascii="宋体"/>
          <w:color w:val="auto"/>
          <w:szCs w:val="21"/>
          <w:highlight w:val="none"/>
        </w:rPr>
        <w:t>，</w:t>
      </w:r>
      <w:r>
        <w:rPr>
          <w:rFonts w:hint="eastAsia" w:ascii="宋体"/>
          <w:color w:val="auto"/>
          <w:szCs w:val="21"/>
          <w:highlight w:val="none"/>
          <w:lang w:eastAsia="zh-CN"/>
        </w:rPr>
        <w:t>投标人</w:t>
      </w:r>
      <w:r>
        <w:rPr>
          <w:rFonts w:hint="eastAsia" w:ascii="宋体"/>
          <w:color w:val="auto"/>
          <w:szCs w:val="21"/>
          <w:highlight w:val="none"/>
        </w:rPr>
        <w:t>在收到该通知后应立即以传真的形式予以确认；</w:t>
      </w:r>
    </w:p>
    <w:p w14:paraId="38EFFD30">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8.2 招标文件的修改书将构成招标文件的一部分，对</w:t>
      </w:r>
      <w:r>
        <w:rPr>
          <w:rFonts w:hint="eastAsia" w:ascii="宋体"/>
          <w:color w:val="auto"/>
          <w:szCs w:val="21"/>
          <w:highlight w:val="none"/>
          <w:lang w:eastAsia="zh-CN"/>
        </w:rPr>
        <w:t>投标人</w:t>
      </w:r>
      <w:r>
        <w:rPr>
          <w:rFonts w:hint="eastAsia" w:ascii="宋体"/>
          <w:color w:val="auto"/>
          <w:szCs w:val="21"/>
          <w:highlight w:val="none"/>
        </w:rPr>
        <w:t>具有同样的约束力。</w:t>
      </w:r>
    </w:p>
    <w:p w14:paraId="59A5635B">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8.3为使</w:t>
      </w:r>
      <w:r>
        <w:rPr>
          <w:rFonts w:hint="eastAsia" w:ascii="宋体"/>
          <w:color w:val="auto"/>
          <w:szCs w:val="21"/>
          <w:highlight w:val="none"/>
          <w:lang w:eastAsia="zh-CN"/>
        </w:rPr>
        <w:t>投标人</w:t>
      </w:r>
      <w:r>
        <w:rPr>
          <w:rFonts w:hint="eastAsia" w:ascii="宋体"/>
          <w:color w:val="auto"/>
          <w:szCs w:val="21"/>
          <w:highlight w:val="none"/>
        </w:rPr>
        <w:t>有足够的时间按招标文件的修改要求考虑修正投标文件，招标机构可酌情推迟投标的截止时间和开标时间，并以书面形式通知已购买招标文件的每一</w:t>
      </w:r>
      <w:r>
        <w:rPr>
          <w:rFonts w:hint="eastAsia" w:ascii="宋体"/>
          <w:color w:val="auto"/>
          <w:szCs w:val="21"/>
          <w:highlight w:val="none"/>
          <w:lang w:eastAsia="zh-CN"/>
        </w:rPr>
        <w:t>投标人</w:t>
      </w:r>
      <w:r>
        <w:rPr>
          <w:rFonts w:hint="eastAsia" w:ascii="宋体"/>
          <w:color w:val="auto"/>
          <w:szCs w:val="21"/>
          <w:highlight w:val="none"/>
        </w:rPr>
        <w:t>。</w:t>
      </w:r>
    </w:p>
    <w:p w14:paraId="7C8A6AC8">
      <w:pPr>
        <w:pStyle w:val="4"/>
        <w:pageBreakBefore w:val="0"/>
        <w:widowControl w:val="0"/>
        <w:kinsoku/>
        <w:wordWrap/>
        <w:overflowPunct/>
        <w:topLinePunct w:val="0"/>
        <w:autoSpaceDE/>
        <w:autoSpaceDN/>
        <w:bidi w:val="0"/>
        <w:adjustRightInd w:val="0"/>
        <w:snapToGrid w:val="0"/>
        <w:spacing w:before="0" w:beforeLines="0" w:after="0" w:afterLines="0" w:line="288" w:lineRule="auto"/>
        <w:ind w:right="0" w:rightChars="0"/>
        <w:jc w:val="center"/>
        <w:rPr>
          <w:rFonts w:hint="eastAsia" w:ascii="宋体" w:hAnsi="Arial" w:eastAsia="宋体" w:cs="Arial"/>
          <w:b/>
          <w:bCs/>
          <w:snapToGrid w:val="0"/>
          <w:color w:val="auto"/>
          <w:sz w:val="21"/>
          <w:szCs w:val="21"/>
          <w:highlight w:val="none"/>
          <w:lang w:val="en-US" w:eastAsia="en-US" w:bidi="ar-SA"/>
        </w:rPr>
      </w:pPr>
      <w:bookmarkStart w:id="44" w:name="_Toc98580400"/>
      <w:bookmarkStart w:id="45" w:name="_Toc28314"/>
      <w:bookmarkStart w:id="46" w:name="_Toc31157"/>
      <w:bookmarkStart w:id="47" w:name="_Toc3897"/>
      <w:r>
        <w:rPr>
          <w:rFonts w:hint="eastAsia" w:ascii="宋体" w:hAnsi="Arial" w:eastAsia="宋体" w:cs="Arial"/>
          <w:b/>
          <w:bCs/>
          <w:snapToGrid w:val="0"/>
          <w:color w:val="auto"/>
          <w:sz w:val="21"/>
          <w:szCs w:val="21"/>
          <w:highlight w:val="none"/>
          <w:lang w:val="en-US" w:eastAsia="en-US" w:bidi="ar-SA"/>
        </w:rPr>
        <w:t>C投标文件的编写</w:t>
      </w:r>
      <w:bookmarkEnd w:id="44"/>
      <w:bookmarkEnd w:id="45"/>
      <w:bookmarkEnd w:id="46"/>
      <w:bookmarkEnd w:id="47"/>
    </w:p>
    <w:p w14:paraId="7B5E68AC">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48" w:name="_Toc17786"/>
      <w:bookmarkStart w:id="49" w:name="_Toc29366"/>
      <w:bookmarkStart w:id="50" w:name="_Toc23951"/>
      <w:bookmarkStart w:id="51" w:name="_Toc98580401"/>
      <w:r>
        <w:rPr>
          <w:rFonts w:hint="eastAsia" w:ascii="宋体"/>
          <w:color w:val="auto"/>
          <w:sz w:val="21"/>
          <w:szCs w:val="21"/>
          <w:highlight w:val="none"/>
        </w:rPr>
        <w:t>9.投标语言及计量单位</w:t>
      </w:r>
      <w:bookmarkEnd w:id="48"/>
      <w:bookmarkEnd w:id="49"/>
      <w:bookmarkEnd w:id="50"/>
      <w:bookmarkEnd w:id="51"/>
    </w:p>
    <w:p w14:paraId="20355A21">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9.1投标文件及</w:t>
      </w:r>
      <w:r>
        <w:rPr>
          <w:rFonts w:hint="eastAsia" w:ascii="宋体"/>
          <w:color w:val="auto"/>
          <w:szCs w:val="21"/>
          <w:highlight w:val="none"/>
          <w:lang w:eastAsia="zh-CN"/>
        </w:rPr>
        <w:t>投标人</w:t>
      </w:r>
      <w:r>
        <w:rPr>
          <w:rFonts w:hint="eastAsia" w:ascii="宋体"/>
          <w:color w:val="auto"/>
          <w:szCs w:val="21"/>
          <w:highlight w:val="none"/>
        </w:rPr>
        <w:t>和招标机构就投标交换的文件和来往信件，以中文书写（专有名词除外）；</w:t>
      </w:r>
    </w:p>
    <w:p w14:paraId="5F55FAD3">
      <w:pPr>
        <w:pageBreakBefore w:val="0"/>
        <w:widowControl w:val="0"/>
        <w:kinsoku/>
        <w:wordWrap/>
        <w:overflowPunct/>
        <w:topLinePunct w:val="0"/>
        <w:autoSpaceDE/>
        <w:autoSpaceDN/>
        <w:bidi w:val="0"/>
        <w:adjustRightInd w:val="0"/>
        <w:snapToGrid w:val="0"/>
        <w:spacing w:line="288" w:lineRule="auto"/>
        <w:ind w:left="-29" w:right="0" w:rightChars="0" w:firstLine="420" w:firstLineChars="200"/>
        <w:rPr>
          <w:rFonts w:hint="eastAsia" w:ascii="宋体"/>
          <w:color w:val="auto"/>
          <w:szCs w:val="21"/>
          <w:highlight w:val="none"/>
        </w:rPr>
      </w:pPr>
      <w:r>
        <w:rPr>
          <w:rFonts w:hint="eastAsia" w:ascii="宋体"/>
          <w:color w:val="auto"/>
          <w:szCs w:val="21"/>
          <w:highlight w:val="none"/>
        </w:rPr>
        <w:t>9.2除在招标文件的“技术要求”中另有规定外， 计量单位应使用中华人民共和国法定计量单位（国际单位制和国家选定的其他计量单位）。</w:t>
      </w:r>
    </w:p>
    <w:p w14:paraId="4888109D">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52" w:name="_Toc17631"/>
      <w:bookmarkStart w:id="53" w:name="_Toc28235"/>
      <w:bookmarkStart w:id="54" w:name="_Toc31803"/>
      <w:r>
        <w:rPr>
          <w:rFonts w:hint="eastAsia" w:ascii="宋体"/>
          <w:color w:val="auto"/>
          <w:sz w:val="21"/>
          <w:szCs w:val="21"/>
          <w:highlight w:val="none"/>
        </w:rPr>
        <w:t>10．投标文件的组成</w:t>
      </w:r>
      <w:bookmarkEnd w:id="52"/>
      <w:bookmarkEnd w:id="53"/>
      <w:bookmarkEnd w:id="54"/>
    </w:p>
    <w:p w14:paraId="25214CEE">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详见第六部分：投标文件格式。</w:t>
      </w:r>
    </w:p>
    <w:p w14:paraId="6FC99ABF">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55" w:name="_Toc31827"/>
      <w:bookmarkStart w:id="56" w:name="_Toc98580403"/>
      <w:bookmarkStart w:id="57" w:name="_Toc3214"/>
      <w:bookmarkStart w:id="58" w:name="_Toc22784"/>
      <w:r>
        <w:rPr>
          <w:rFonts w:hint="eastAsia" w:ascii="宋体"/>
          <w:color w:val="auto"/>
          <w:sz w:val="21"/>
          <w:szCs w:val="21"/>
          <w:highlight w:val="none"/>
        </w:rPr>
        <w:t>11.投标文件内容填写说明</w:t>
      </w:r>
      <w:bookmarkEnd w:id="55"/>
      <w:bookmarkEnd w:id="56"/>
      <w:bookmarkEnd w:id="57"/>
      <w:bookmarkEnd w:id="58"/>
    </w:p>
    <w:p w14:paraId="636ABF2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color w:val="auto"/>
          <w:szCs w:val="21"/>
          <w:highlight w:val="none"/>
        </w:rPr>
      </w:pPr>
      <w:r>
        <w:rPr>
          <w:rFonts w:hint="eastAsia" w:ascii="宋体" w:hAnsi="Calibri"/>
          <w:color w:val="auto"/>
          <w:szCs w:val="21"/>
          <w:highlight w:val="none"/>
        </w:rPr>
        <w:t>11.1</w:t>
      </w:r>
      <w:r>
        <w:rPr>
          <w:rFonts w:hint="eastAsia" w:ascii="宋体" w:hAnsi="Calibri"/>
          <w:color w:val="auto"/>
          <w:szCs w:val="21"/>
          <w:highlight w:val="none"/>
          <w:lang w:eastAsia="zh-CN"/>
        </w:rPr>
        <w:t>投标人</w:t>
      </w:r>
      <w:r>
        <w:rPr>
          <w:rFonts w:hint="eastAsia" w:ascii="宋体" w:hAnsi="Calibri"/>
          <w:color w:val="auto"/>
          <w:szCs w:val="21"/>
          <w:highlight w:val="none"/>
        </w:rPr>
        <w:t>应严格按招标文件要求的内容逐项填写编制投标文件，有规定格式的按规定格式</w:t>
      </w:r>
      <w:r>
        <w:rPr>
          <w:rFonts w:hint="eastAsia" w:ascii="宋体"/>
          <w:color w:val="auto"/>
          <w:szCs w:val="21"/>
          <w:highlight w:val="none"/>
        </w:rPr>
        <w:t>填写，无规定格式的由</w:t>
      </w:r>
      <w:r>
        <w:rPr>
          <w:rFonts w:hint="eastAsia" w:ascii="宋体"/>
          <w:color w:val="auto"/>
          <w:szCs w:val="21"/>
          <w:highlight w:val="none"/>
          <w:lang w:eastAsia="zh-CN"/>
        </w:rPr>
        <w:t>投标人</w:t>
      </w:r>
      <w:r>
        <w:rPr>
          <w:rFonts w:hint="eastAsia" w:ascii="宋体"/>
          <w:color w:val="auto"/>
          <w:szCs w:val="21"/>
          <w:highlight w:val="none"/>
        </w:rPr>
        <w:t>自拟，</w:t>
      </w:r>
      <w:r>
        <w:rPr>
          <w:rFonts w:hint="eastAsia" w:ascii="宋体"/>
          <w:b/>
          <w:color w:val="auto"/>
          <w:szCs w:val="21"/>
          <w:highlight w:val="none"/>
        </w:rPr>
        <w:t>并胶装成册。</w:t>
      </w:r>
    </w:p>
    <w:p w14:paraId="396D1911">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color w:val="auto"/>
          <w:szCs w:val="21"/>
          <w:highlight w:val="none"/>
        </w:rPr>
      </w:pPr>
      <w:r>
        <w:rPr>
          <w:rFonts w:hint="eastAsia" w:ascii="宋体"/>
          <w:color w:val="auto"/>
          <w:szCs w:val="21"/>
          <w:highlight w:val="none"/>
        </w:rPr>
        <w:t>11.2开标一览表为在开标仪式上唱标的内容，要求按格式填写、统一规范，不得自行增减内容。投标文件不得漏项或虚报，否则将可能导致其投标被拒绝。</w:t>
      </w:r>
    </w:p>
    <w:p w14:paraId="4466F6F9">
      <w:pPr>
        <w:pageBreakBefore w:val="0"/>
        <w:widowControl w:val="0"/>
        <w:kinsoku/>
        <w:wordWrap/>
        <w:overflowPunct/>
        <w:topLinePunct w:val="0"/>
        <w:autoSpaceDE/>
        <w:autoSpaceDN/>
        <w:bidi w:val="0"/>
        <w:adjustRightInd w:val="0"/>
        <w:snapToGrid w:val="0"/>
        <w:spacing w:line="288" w:lineRule="auto"/>
        <w:ind w:left="-14" w:right="0" w:rightChars="0" w:firstLine="420" w:firstLineChars="200"/>
        <w:rPr>
          <w:rFonts w:hint="eastAsia" w:ascii="宋体"/>
          <w:color w:val="auto"/>
          <w:szCs w:val="21"/>
          <w:highlight w:val="none"/>
        </w:rPr>
      </w:pPr>
      <w:r>
        <w:rPr>
          <w:rFonts w:hint="eastAsia" w:ascii="宋体"/>
          <w:color w:val="auto"/>
          <w:szCs w:val="21"/>
          <w:highlight w:val="none"/>
        </w:rPr>
        <w:t xml:space="preserve">11.3 </w:t>
      </w:r>
      <w:r>
        <w:rPr>
          <w:rFonts w:hint="eastAsia" w:ascii="宋体"/>
          <w:color w:val="auto"/>
          <w:szCs w:val="21"/>
          <w:highlight w:val="none"/>
          <w:lang w:eastAsia="zh-CN"/>
        </w:rPr>
        <w:t>投标人</w:t>
      </w:r>
      <w:r>
        <w:rPr>
          <w:rFonts w:hint="eastAsia" w:ascii="宋体"/>
          <w:color w:val="auto"/>
          <w:szCs w:val="21"/>
          <w:highlight w:val="none"/>
        </w:rPr>
        <w:t>应保证其所提供文件的真实性，并应对招标文件的实质性要求作出完全响应，否则其投标可能被拒绝。</w:t>
      </w:r>
    </w:p>
    <w:p w14:paraId="0D57DF99">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color w:val="auto"/>
          <w:szCs w:val="21"/>
          <w:highlight w:val="none"/>
        </w:rPr>
      </w:pPr>
      <w:r>
        <w:rPr>
          <w:rFonts w:hint="eastAsia" w:ascii="宋体"/>
          <w:color w:val="auto"/>
          <w:szCs w:val="21"/>
          <w:highlight w:val="none"/>
        </w:rPr>
        <w:t>11.4</w:t>
      </w:r>
      <w:r>
        <w:rPr>
          <w:rFonts w:hint="eastAsia" w:ascii="宋体"/>
          <w:color w:val="auto"/>
          <w:szCs w:val="21"/>
          <w:highlight w:val="none"/>
          <w:lang w:eastAsia="zh-CN"/>
        </w:rPr>
        <w:t>投标人</w:t>
      </w:r>
      <w:r>
        <w:rPr>
          <w:rFonts w:hint="eastAsia" w:ascii="宋体"/>
          <w:color w:val="auto"/>
          <w:szCs w:val="21"/>
          <w:highlight w:val="none"/>
        </w:rPr>
        <w:t>视需要自行编制技术文件的补充附件。规格幅面应与正文一致，附于正文之后，与正文页码</w:t>
      </w:r>
      <w:r>
        <w:rPr>
          <w:rFonts w:hint="eastAsia" w:ascii="宋体"/>
          <w:b/>
          <w:color w:val="auto"/>
          <w:szCs w:val="21"/>
          <w:highlight w:val="none"/>
        </w:rPr>
        <w:t>统一编目编码装订</w:t>
      </w:r>
      <w:r>
        <w:rPr>
          <w:rFonts w:hint="eastAsia" w:ascii="宋体"/>
          <w:color w:val="auto"/>
          <w:szCs w:val="21"/>
          <w:highlight w:val="none"/>
        </w:rPr>
        <w:t>。</w:t>
      </w:r>
    </w:p>
    <w:p w14:paraId="41A09AFB">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59" w:name="_Toc13643"/>
      <w:bookmarkStart w:id="60" w:name="_Toc12289"/>
      <w:bookmarkStart w:id="61" w:name="_Toc2074"/>
      <w:bookmarkStart w:id="62" w:name="_Toc98580404"/>
      <w:r>
        <w:rPr>
          <w:rFonts w:hint="eastAsia" w:ascii="宋体"/>
          <w:color w:val="auto"/>
          <w:sz w:val="21"/>
          <w:szCs w:val="21"/>
          <w:highlight w:val="none"/>
        </w:rPr>
        <w:t>12.投标报价</w:t>
      </w:r>
      <w:bookmarkEnd w:id="59"/>
      <w:bookmarkEnd w:id="60"/>
      <w:bookmarkEnd w:id="61"/>
      <w:bookmarkEnd w:id="62"/>
    </w:p>
    <w:p w14:paraId="1E0C265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12.1 所有投标均以人民币报价；</w:t>
      </w:r>
    </w:p>
    <w:p w14:paraId="10DD3F9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12.2</w:t>
      </w:r>
      <w:r>
        <w:rPr>
          <w:rFonts w:hint="eastAsia" w:ascii="宋体" w:hAnsi="Calibri"/>
          <w:color w:val="auto"/>
          <w:szCs w:val="21"/>
          <w:highlight w:val="none"/>
          <w:lang w:eastAsia="zh-CN"/>
        </w:rPr>
        <w:t>投标人</w:t>
      </w:r>
      <w:r>
        <w:rPr>
          <w:rFonts w:hint="eastAsia" w:ascii="宋体" w:hAnsi="Calibri"/>
          <w:color w:val="auto"/>
          <w:szCs w:val="21"/>
          <w:highlight w:val="none"/>
        </w:rPr>
        <w:t>应在填写分项报价表时注明各项单价、总价。如果单价与总价有出入，以单价为准。招标机构不接受有任何选择的报价；报价须有法人代表或授权代表签署。</w:t>
      </w:r>
    </w:p>
    <w:p w14:paraId="1D49972E">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12.3</w:t>
      </w:r>
      <w:r>
        <w:rPr>
          <w:rFonts w:hint="eastAsia" w:ascii="宋体" w:hAnsi="Calibri"/>
          <w:color w:val="auto"/>
          <w:szCs w:val="21"/>
          <w:highlight w:val="none"/>
          <w:lang w:eastAsia="zh-CN"/>
        </w:rPr>
        <w:t>投标人</w:t>
      </w:r>
      <w:r>
        <w:rPr>
          <w:rFonts w:hint="eastAsia" w:ascii="宋体" w:hAnsi="Calibri"/>
          <w:color w:val="auto"/>
          <w:szCs w:val="21"/>
          <w:highlight w:val="none"/>
        </w:rPr>
        <w:t>应按上述12.1-12.3条款要求填写投标报价，以供评标委员会比较评价。</w:t>
      </w:r>
    </w:p>
    <w:p w14:paraId="6D702E9D">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12.4</w:t>
      </w:r>
      <w:r>
        <w:rPr>
          <w:rFonts w:hint="eastAsia" w:ascii="宋体" w:hAnsi="Calibri"/>
          <w:color w:val="auto"/>
          <w:szCs w:val="21"/>
          <w:highlight w:val="none"/>
          <w:lang w:eastAsia="zh-CN"/>
        </w:rPr>
        <w:t>投标人</w:t>
      </w:r>
      <w:r>
        <w:rPr>
          <w:rFonts w:hint="eastAsia" w:ascii="宋体" w:hAnsi="Calibri"/>
          <w:color w:val="auto"/>
          <w:szCs w:val="21"/>
          <w:highlight w:val="none"/>
        </w:rPr>
        <w:t>因承包本项目需支付的一切费用，并包含在所报的单价或总额价内。</w:t>
      </w:r>
    </w:p>
    <w:p w14:paraId="55961954">
      <w:pPr>
        <w:pageBreakBefore w:val="0"/>
        <w:widowControl w:val="0"/>
        <w:kinsoku/>
        <w:wordWrap/>
        <w:overflowPunct/>
        <w:topLinePunct w:val="0"/>
        <w:autoSpaceDE/>
        <w:autoSpaceDN/>
        <w:bidi w:val="0"/>
        <w:adjustRightInd w:val="0"/>
        <w:snapToGrid w:val="0"/>
        <w:spacing w:line="288" w:lineRule="auto"/>
        <w:ind w:right="0" w:rightChars="0"/>
        <w:rPr>
          <w:rFonts w:hint="eastAsia" w:ascii="宋体" w:hAnsi="Calibri"/>
          <w:b/>
          <w:bCs/>
          <w:color w:val="auto"/>
          <w:szCs w:val="21"/>
          <w:highlight w:val="none"/>
        </w:rPr>
      </w:pPr>
      <w:bookmarkStart w:id="63" w:name="_Toc98580405"/>
      <w:r>
        <w:rPr>
          <w:rFonts w:hint="eastAsia" w:ascii="宋体" w:hAnsi="Calibri"/>
          <w:b/>
          <w:bCs/>
          <w:color w:val="auto"/>
          <w:szCs w:val="21"/>
          <w:highlight w:val="none"/>
        </w:rPr>
        <w:t>13.投标保证金</w:t>
      </w:r>
      <w:bookmarkEnd w:id="63"/>
    </w:p>
    <w:p w14:paraId="0702091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13.1投标保证金的形式：见</w:t>
      </w:r>
      <w:r>
        <w:rPr>
          <w:rFonts w:hint="eastAsia" w:ascii="宋体" w:hAnsi="Calibri"/>
          <w:color w:val="auto"/>
          <w:szCs w:val="21"/>
          <w:highlight w:val="none"/>
          <w:lang w:eastAsia="zh-CN"/>
        </w:rPr>
        <w:t>投标人</w:t>
      </w:r>
      <w:r>
        <w:rPr>
          <w:rFonts w:hint="eastAsia" w:ascii="宋体" w:hAnsi="Calibri"/>
          <w:color w:val="auto"/>
          <w:szCs w:val="21"/>
          <w:highlight w:val="none"/>
        </w:rPr>
        <w:t>须知前附表第</w:t>
      </w:r>
      <w:r>
        <w:rPr>
          <w:rFonts w:hint="eastAsia" w:ascii="宋体" w:hAnsi="Calibri"/>
          <w:color w:val="auto"/>
          <w:szCs w:val="21"/>
          <w:highlight w:val="none"/>
          <w:lang w:val="en-US" w:eastAsia="zh-CN"/>
        </w:rPr>
        <w:t>19</w:t>
      </w:r>
      <w:r>
        <w:rPr>
          <w:rFonts w:hint="eastAsia" w:ascii="宋体" w:hAnsi="Calibri"/>
          <w:color w:val="auto"/>
          <w:szCs w:val="21"/>
          <w:highlight w:val="none"/>
        </w:rPr>
        <w:t>项；</w:t>
      </w:r>
    </w:p>
    <w:p w14:paraId="0E766097">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13.2投标保证金的金额：见</w:t>
      </w:r>
      <w:r>
        <w:rPr>
          <w:rFonts w:hint="eastAsia" w:ascii="宋体" w:hAnsi="Calibri"/>
          <w:color w:val="auto"/>
          <w:szCs w:val="21"/>
          <w:highlight w:val="none"/>
          <w:lang w:eastAsia="zh-CN"/>
        </w:rPr>
        <w:t>投标人</w:t>
      </w:r>
      <w:r>
        <w:rPr>
          <w:rFonts w:hint="eastAsia" w:ascii="宋体" w:hAnsi="Calibri"/>
          <w:color w:val="auto"/>
          <w:szCs w:val="21"/>
          <w:highlight w:val="none"/>
        </w:rPr>
        <w:t>须知前附表第</w:t>
      </w:r>
      <w:r>
        <w:rPr>
          <w:rFonts w:hint="eastAsia" w:ascii="宋体" w:hAnsi="Calibri"/>
          <w:color w:val="auto"/>
          <w:szCs w:val="21"/>
          <w:highlight w:val="none"/>
          <w:lang w:val="en-US" w:eastAsia="zh-CN"/>
        </w:rPr>
        <w:t>19</w:t>
      </w:r>
      <w:r>
        <w:rPr>
          <w:rFonts w:hint="eastAsia" w:ascii="宋体" w:hAnsi="Calibri"/>
          <w:color w:val="auto"/>
          <w:szCs w:val="21"/>
          <w:highlight w:val="none"/>
        </w:rPr>
        <w:t xml:space="preserve">项； </w:t>
      </w:r>
    </w:p>
    <w:p w14:paraId="5EAAC9E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13.3递交方式：见</w:t>
      </w:r>
      <w:r>
        <w:rPr>
          <w:rFonts w:hint="eastAsia" w:ascii="宋体" w:hAnsi="Calibri"/>
          <w:color w:val="auto"/>
          <w:szCs w:val="21"/>
          <w:highlight w:val="none"/>
          <w:lang w:eastAsia="zh-CN"/>
        </w:rPr>
        <w:t>投标人</w:t>
      </w:r>
      <w:r>
        <w:rPr>
          <w:rFonts w:hint="eastAsia" w:ascii="宋体" w:hAnsi="Calibri"/>
          <w:color w:val="auto"/>
          <w:szCs w:val="21"/>
          <w:highlight w:val="none"/>
        </w:rPr>
        <w:t>须知前附表第</w:t>
      </w:r>
      <w:r>
        <w:rPr>
          <w:rFonts w:hint="eastAsia" w:ascii="宋体" w:hAnsi="Calibri"/>
          <w:color w:val="auto"/>
          <w:szCs w:val="21"/>
          <w:highlight w:val="none"/>
          <w:lang w:val="en-US" w:eastAsia="zh-CN"/>
        </w:rPr>
        <w:t>19</w:t>
      </w:r>
      <w:r>
        <w:rPr>
          <w:rFonts w:hint="eastAsia" w:ascii="宋体" w:hAnsi="Calibri"/>
          <w:color w:val="auto"/>
          <w:szCs w:val="21"/>
          <w:highlight w:val="none"/>
        </w:rPr>
        <w:t>项；</w:t>
      </w:r>
    </w:p>
    <w:p w14:paraId="3C443F8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13.4投标保证金用于保护本次招标免受因</w:t>
      </w:r>
      <w:r>
        <w:rPr>
          <w:rFonts w:hint="eastAsia" w:ascii="宋体" w:hAnsi="Calibri"/>
          <w:color w:val="auto"/>
          <w:szCs w:val="21"/>
          <w:highlight w:val="none"/>
          <w:lang w:eastAsia="zh-CN"/>
        </w:rPr>
        <w:t>投标人</w:t>
      </w:r>
      <w:r>
        <w:rPr>
          <w:rFonts w:hint="eastAsia" w:ascii="宋体" w:hAnsi="Calibri"/>
          <w:color w:val="auto"/>
          <w:szCs w:val="21"/>
          <w:highlight w:val="none"/>
        </w:rPr>
        <w:t>不履行投标承诺及合同等行为而引起的风险；</w:t>
      </w:r>
    </w:p>
    <w:p w14:paraId="41B0965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13.5未按13.1和13.2条款要求提交投标保证金的投标将被视为投标无效；</w:t>
      </w:r>
    </w:p>
    <w:p w14:paraId="4BF3B3E9">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13.6未中标投标人的投标保证金将按25.2条规定予以无息退还；</w:t>
      </w:r>
    </w:p>
    <w:p w14:paraId="057EC59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13.7中标人的投标保证金，在中标人交纳中标服务费后予以无息退还；</w:t>
      </w:r>
    </w:p>
    <w:p w14:paraId="04F10B47">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13.8 发生下列情况之一，投标保证金将被没收：</w:t>
      </w:r>
    </w:p>
    <w:p w14:paraId="701608FB">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w:t>
      </w:r>
      <w:r>
        <w:rPr>
          <w:rFonts w:hint="eastAsia" w:ascii="宋体" w:hAnsi="Calibri"/>
          <w:color w:val="auto"/>
          <w:szCs w:val="21"/>
          <w:highlight w:val="none"/>
          <w:lang w:eastAsia="zh-CN"/>
        </w:rPr>
        <w:t>投标人</w:t>
      </w:r>
      <w:r>
        <w:rPr>
          <w:rFonts w:hint="eastAsia" w:ascii="宋体" w:hAnsi="Calibri"/>
          <w:color w:val="auto"/>
          <w:szCs w:val="21"/>
          <w:highlight w:val="none"/>
        </w:rPr>
        <w:t>在提交响应文件截止时间后撤回响应文件的;</w:t>
      </w:r>
    </w:p>
    <w:p w14:paraId="43D991AF">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（2）</w:t>
      </w:r>
      <w:r>
        <w:rPr>
          <w:rFonts w:hint="eastAsia" w:ascii="宋体" w:hAnsi="Calibri"/>
          <w:color w:val="auto"/>
          <w:szCs w:val="21"/>
          <w:highlight w:val="none"/>
          <w:lang w:eastAsia="zh-CN"/>
        </w:rPr>
        <w:t>投标人</w:t>
      </w:r>
      <w:r>
        <w:rPr>
          <w:rFonts w:hint="eastAsia" w:ascii="宋体" w:hAnsi="Calibri"/>
          <w:color w:val="auto"/>
          <w:szCs w:val="21"/>
          <w:highlight w:val="none"/>
        </w:rPr>
        <w:t>在响应文件中提供虚假材料的;</w:t>
      </w:r>
    </w:p>
    <w:p w14:paraId="4C5819BC">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（3）除因不可抗力或谈判文件、询价通知书认可的情形以外，成交</w:t>
      </w:r>
      <w:r>
        <w:rPr>
          <w:rFonts w:hint="eastAsia" w:ascii="宋体" w:hAnsi="Calibri"/>
          <w:color w:val="auto"/>
          <w:szCs w:val="21"/>
          <w:highlight w:val="none"/>
          <w:lang w:eastAsia="zh-CN"/>
        </w:rPr>
        <w:t>投标人</w:t>
      </w:r>
      <w:r>
        <w:rPr>
          <w:rFonts w:hint="eastAsia" w:ascii="宋体" w:hAnsi="Calibri"/>
          <w:color w:val="auto"/>
          <w:szCs w:val="21"/>
          <w:highlight w:val="none"/>
        </w:rPr>
        <w:t>不与采购人签订合同的;</w:t>
      </w:r>
    </w:p>
    <w:p w14:paraId="7A1E2F3B">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（4）</w:t>
      </w:r>
      <w:r>
        <w:rPr>
          <w:rFonts w:hint="eastAsia" w:ascii="宋体" w:hAnsi="Calibri"/>
          <w:color w:val="auto"/>
          <w:szCs w:val="21"/>
          <w:highlight w:val="none"/>
          <w:lang w:eastAsia="zh-CN"/>
        </w:rPr>
        <w:t>投标人</w:t>
      </w:r>
      <w:r>
        <w:rPr>
          <w:rFonts w:hint="eastAsia" w:ascii="宋体" w:hAnsi="Calibri"/>
          <w:color w:val="auto"/>
          <w:szCs w:val="21"/>
          <w:highlight w:val="none"/>
        </w:rPr>
        <w:t>与采购人、其他</w:t>
      </w:r>
      <w:r>
        <w:rPr>
          <w:rFonts w:hint="eastAsia" w:ascii="宋体" w:hAnsi="Calibri"/>
          <w:color w:val="auto"/>
          <w:szCs w:val="21"/>
          <w:highlight w:val="none"/>
          <w:lang w:eastAsia="zh-CN"/>
        </w:rPr>
        <w:t>投标人</w:t>
      </w:r>
      <w:r>
        <w:rPr>
          <w:rFonts w:hint="eastAsia" w:ascii="宋体" w:hAnsi="Calibri"/>
          <w:color w:val="auto"/>
          <w:szCs w:val="21"/>
          <w:highlight w:val="none"/>
        </w:rPr>
        <w:t>或者采购代理机构恶意串通的;</w:t>
      </w:r>
    </w:p>
    <w:p w14:paraId="56B9B76F">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（5）采购文件规定的其他情形。</w:t>
      </w:r>
    </w:p>
    <w:p w14:paraId="3B8BCDEC">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64" w:name="_Toc22410"/>
      <w:bookmarkStart w:id="65" w:name="_Toc4529"/>
      <w:bookmarkStart w:id="66" w:name="_Toc22025"/>
      <w:bookmarkStart w:id="67" w:name="_Toc98580406"/>
      <w:r>
        <w:rPr>
          <w:rFonts w:hint="eastAsia" w:ascii="宋体"/>
          <w:color w:val="auto"/>
          <w:sz w:val="21"/>
          <w:szCs w:val="21"/>
          <w:highlight w:val="none"/>
        </w:rPr>
        <w:t>14.投标有效期</w:t>
      </w:r>
      <w:bookmarkEnd w:id="64"/>
      <w:bookmarkEnd w:id="65"/>
      <w:bookmarkEnd w:id="66"/>
      <w:bookmarkEnd w:id="67"/>
    </w:p>
    <w:p w14:paraId="10CB6B7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14.1从开标之日起，投标有效期为90天。不能满足投标有效期的投标，将被拒绝；</w:t>
      </w:r>
    </w:p>
    <w:p w14:paraId="055B766B">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14.2特殊情况下，招标机构可于投标有效期满之前要求</w:t>
      </w:r>
      <w:r>
        <w:rPr>
          <w:rFonts w:hint="eastAsia" w:ascii="宋体" w:hAnsi="Calibri"/>
          <w:color w:val="auto"/>
          <w:szCs w:val="21"/>
          <w:highlight w:val="none"/>
          <w:lang w:eastAsia="zh-CN"/>
        </w:rPr>
        <w:t>投标人</w:t>
      </w:r>
      <w:r>
        <w:rPr>
          <w:rFonts w:hint="eastAsia" w:ascii="宋体" w:hAnsi="Calibri"/>
          <w:color w:val="auto"/>
          <w:szCs w:val="21"/>
          <w:highlight w:val="none"/>
        </w:rPr>
        <w:t>延长投标有效期，这种要求和答复都应以书面、传真的形式进行。</w:t>
      </w:r>
      <w:r>
        <w:rPr>
          <w:rFonts w:hint="eastAsia" w:ascii="宋体" w:hAnsi="Calibri"/>
          <w:color w:val="auto"/>
          <w:szCs w:val="21"/>
          <w:highlight w:val="none"/>
          <w:lang w:eastAsia="zh-CN"/>
        </w:rPr>
        <w:t>投标人</w:t>
      </w:r>
      <w:r>
        <w:rPr>
          <w:rFonts w:hint="eastAsia" w:ascii="宋体" w:hAnsi="Calibri"/>
          <w:color w:val="auto"/>
          <w:szCs w:val="21"/>
          <w:highlight w:val="none"/>
        </w:rPr>
        <w:t>可以拒绝接受延期要求。同意延长有效期的</w:t>
      </w:r>
      <w:r>
        <w:rPr>
          <w:rFonts w:hint="eastAsia" w:ascii="宋体" w:hAnsi="Calibri"/>
          <w:color w:val="auto"/>
          <w:szCs w:val="21"/>
          <w:highlight w:val="none"/>
          <w:lang w:eastAsia="zh-CN"/>
        </w:rPr>
        <w:t>投标人</w:t>
      </w:r>
      <w:r>
        <w:rPr>
          <w:rFonts w:hint="eastAsia" w:ascii="宋体" w:hAnsi="Calibri"/>
          <w:color w:val="auto"/>
          <w:szCs w:val="21"/>
          <w:highlight w:val="none"/>
        </w:rPr>
        <w:t>不能修改投标文件。</w:t>
      </w:r>
    </w:p>
    <w:p w14:paraId="05D2ADA2">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68" w:name="_Toc5403"/>
      <w:bookmarkStart w:id="69" w:name="_Toc98580407"/>
      <w:bookmarkStart w:id="70" w:name="_Toc29484"/>
      <w:bookmarkStart w:id="71" w:name="_Toc21730"/>
      <w:r>
        <w:rPr>
          <w:rFonts w:hint="eastAsia" w:ascii="宋体"/>
          <w:color w:val="auto"/>
          <w:sz w:val="21"/>
          <w:szCs w:val="21"/>
          <w:highlight w:val="none"/>
        </w:rPr>
        <w:t>15.投标文件的签署及规定</w:t>
      </w:r>
      <w:bookmarkEnd w:id="68"/>
      <w:bookmarkEnd w:id="69"/>
      <w:bookmarkEnd w:id="70"/>
      <w:bookmarkEnd w:id="71"/>
    </w:p>
    <w:p w14:paraId="1DC2A6A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15.1 组成投标文件的各项资料均应遵守本须知第10条中所规定的内容。</w:t>
      </w:r>
    </w:p>
    <w:p w14:paraId="667AF14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 xml:space="preserve">15.2 </w:t>
      </w:r>
      <w:r>
        <w:rPr>
          <w:rFonts w:hint="eastAsia" w:ascii="宋体" w:hAnsi="Calibri"/>
          <w:color w:val="auto"/>
          <w:szCs w:val="21"/>
          <w:highlight w:val="none"/>
          <w:lang w:eastAsia="zh-CN"/>
        </w:rPr>
        <w:t>投标人</w:t>
      </w:r>
      <w:r>
        <w:rPr>
          <w:rFonts w:hint="eastAsia" w:ascii="宋体" w:hAnsi="Calibri"/>
          <w:color w:val="auto"/>
          <w:szCs w:val="21"/>
          <w:highlight w:val="none"/>
        </w:rPr>
        <w:t>应填写单位全称，同时加盖印章。</w:t>
      </w:r>
    </w:p>
    <w:p w14:paraId="5C282F2D">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15.3 投标文件必须由法人代表或法人授权代表签署。</w:t>
      </w:r>
    </w:p>
    <w:p w14:paraId="5FF2763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15.4 投标文件正本一份和副本四份，如果正本与副本不符，以正本为准，电子版</w:t>
      </w:r>
      <w:r>
        <w:rPr>
          <w:rFonts w:hint="eastAsia" w:ascii="宋体" w:hAnsi="Calibri"/>
          <w:color w:val="auto"/>
          <w:szCs w:val="21"/>
          <w:highlight w:val="none"/>
          <w:lang w:val="en-US" w:eastAsia="zh-CN"/>
        </w:rPr>
        <w:t>一</w:t>
      </w:r>
      <w:r>
        <w:rPr>
          <w:rFonts w:hint="eastAsia" w:ascii="宋体" w:hAnsi="Calibri"/>
          <w:color w:val="auto"/>
          <w:szCs w:val="21"/>
          <w:highlight w:val="none"/>
        </w:rPr>
        <w:t>份（U盘形式）</w:t>
      </w:r>
      <w:r>
        <w:rPr>
          <w:rFonts w:hint="eastAsia" w:ascii="宋体" w:hAnsi="Calibri"/>
          <w:b/>
          <w:bCs/>
          <w:color w:val="auto"/>
          <w:szCs w:val="21"/>
          <w:highlight w:val="none"/>
          <w:lang w:eastAsia="zh-CN"/>
        </w:rPr>
        <w:t>（</w:t>
      </w:r>
      <w:r>
        <w:rPr>
          <w:rFonts w:hint="eastAsia" w:ascii="宋体" w:hAnsi="Calibri"/>
          <w:b/>
          <w:bCs/>
          <w:color w:val="auto"/>
          <w:szCs w:val="21"/>
          <w:highlight w:val="none"/>
          <w:lang w:val="en-US" w:eastAsia="zh-CN"/>
        </w:rPr>
        <w:t>不适用</w:t>
      </w:r>
      <w:r>
        <w:rPr>
          <w:rFonts w:hint="eastAsia" w:ascii="宋体" w:hAnsi="Calibri"/>
          <w:b/>
          <w:bCs/>
          <w:color w:val="auto"/>
          <w:szCs w:val="21"/>
          <w:highlight w:val="none"/>
          <w:lang w:eastAsia="zh-CN"/>
        </w:rPr>
        <w:t>）</w:t>
      </w:r>
      <w:r>
        <w:rPr>
          <w:rFonts w:hint="eastAsia" w:ascii="宋体" w:hAnsi="Calibri"/>
          <w:color w:val="auto"/>
          <w:szCs w:val="21"/>
          <w:highlight w:val="none"/>
        </w:rPr>
        <w:t>。</w:t>
      </w:r>
    </w:p>
    <w:p w14:paraId="38DDC085">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15.5 投标文件的正本必须用不退色的墨水填写或打印，注明“正本”字样</w:t>
      </w:r>
      <w:r>
        <w:rPr>
          <w:rFonts w:hint="eastAsia" w:ascii="宋体" w:hAnsi="Calibri"/>
          <w:b/>
          <w:bCs/>
          <w:color w:val="auto"/>
          <w:szCs w:val="21"/>
          <w:highlight w:val="none"/>
          <w:lang w:eastAsia="zh-CN"/>
        </w:rPr>
        <w:t>（</w:t>
      </w:r>
      <w:r>
        <w:rPr>
          <w:rFonts w:hint="eastAsia" w:ascii="宋体" w:hAnsi="Calibri"/>
          <w:b/>
          <w:bCs/>
          <w:color w:val="auto"/>
          <w:szCs w:val="21"/>
          <w:highlight w:val="none"/>
          <w:lang w:val="en-US" w:eastAsia="zh-CN"/>
        </w:rPr>
        <w:t>不适用</w:t>
      </w:r>
      <w:r>
        <w:rPr>
          <w:rFonts w:hint="eastAsia" w:ascii="宋体" w:hAnsi="Calibri"/>
          <w:b/>
          <w:bCs/>
          <w:color w:val="auto"/>
          <w:szCs w:val="21"/>
          <w:highlight w:val="none"/>
          <w:lang w:eastAsia="zh-CN"/>
        </w:rPr>
        <w:t>）</w:t>
      </w:r>
      <w:r>
        <w:rPr>
          <w:rFonts w:hint="eastAsia" w:ascii="宋体" w:hAnsi="Calibri"/>
          <w:color w:val="auto"/>
          <w:szCs w:val="21"/>
          <w:highlight w:val="none"/>
        </w:rPr>
        <w:t>。</w:t>
      </w:r>
    </w:p>
    <w:p w14:paraId="75FAB5B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15.6 投标文件不得涂改和增删，如有修改错漏处，必须由同一签署人签字或盖章。</w:t>
      </w:r>
    </w:p>
    <w:p w14:paraId="4297D3F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15.7 投标文件因字迹潦草或表达不清所引起的后果由</w:t>
      </w:r>
      <w:r>
        <w:rPr>
          <w:rFonts w:hint="eastAsia" w:ascii="宋体" w:hAnsi="Calibri"/>
          <w:color w:val="auto"/>
          <w:szCs w:val="21"/>
          <w:highlight w:val="none"/>
          <w:lang w:eastAsia="zh-CN"/>
        </w:rPr>
        <w:t>投标人</w:t>
      </w:r>
      <w:r>
        <w:rPr>
          <w:rFonts w:hint="eastAsia" w:ascii="宋体" w:hAnsi="Calibri"/>
          <w:color w:val="auto"/>
          <w:szCs w:val="21"/>
          <w:highlight w:val="none"/>
        </w:rPr>
        <w:t>负责。</w:t>
      </w:r>
    </w:p>
    <w:p w14:paraId="480F766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15.8招标机构概不接受以电话、传真形式的投标。</w:t>
      </w:r>
    </w:p>
    <w:p w14:paraId="36FD07B2">
      <w:pPr>
        <w:pStyle w:val="4"/>
        <w:pageBreakBefore w:val="0"/>
        <w:widowControl w:val="0"/>
        <w:kinsoku/>
        <w:wordWrap/>
        <w:overflowPunct/>
        <w:topLinePunct w:val="0"/>
        <w:autoSpaceDE/>
        <w:autoSpaceDN/>
        <w:bidi w:val="0"/>
        <w:adjustRightInd w:val="0"/>
        <w:snapToGrid w:val="0"/>
        <w:spacing w:before="0" w:beforeLines="0" w:after="0" w:afterLines="0" w:line="288" w:lineRule="auto"/>
        <w:ind w:right="0" w:rightChars="0"/>
        <w:jc w:val="center"/>
        <w:rPr>
          <w:rFonts w:hint="eastAsia" w:ascii="宋体" w:hAnsi="Arial" w:eastAsia="宋体" w:cs="Arial"/>
          <w:b/>
          <w:bCs/>
          <w:snapToGrid w:val="0"/>
          <w:color w:val="auto"/>
          <w:sz w:val="21"/>
          <w:szCs w:val="21"/>
          <w:highlight w:val="none"/>
          <w:lang w:val="en-US" w:eastAsia="en-US" w:bidi="ar-SA"/>
        </w:rPr>
      </w:pPr>
      <w:bookmarkStart w:id="72" w:name="_Toc11197"/>
      <w:bookmarkStart w:id="73" w:name="_Toc21520"/>
      <w:bookmarkStart w:id="74" w:name="_Toc98580408"/>
      <w:bookmarkStart w:id="75" w:name="_Toc14020"/>
      <w:r>
        <w:rPr>
          <w:rFonts w:hint="eastAsia" w:ascii="宋体" w:hAnsi="Arial" w:eastAsia="宋体" w:cs="Arial"/>
          <w:b/>
          <w:bCs/>
          <w:snapToGrid w:val="0"/>
          <w:color w:val="auto"/>
          <w:sz w:val="21"/>
          <w:szCs w:val="21"/>
          <w:highlight w:val="none"/>
          <w:lang w:val="en-US" w:eastAsia="en-US" w:bidi="ar-SA"/>
        </w:rPr>
        <w:t>D投标文件的递交</w:t>
      </w:r>
      <w:bookmarkEnd w:id="72"/>
      <w:bookmarkEnd w:id="73"/>
      <w:bookmarkEnd w:id="74"/>
      <w:bookmarkEnd w:id="75"/>
    </w:p>
    <w:p w14:paraId="3AB16334">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76" w:name="_Toc98580409"/>
      <w:bookmarkStart w:id="77" w:name="_Toc596"/>
      <w:bookmarkStart w:id="78" w:name="_Toc234"/>
      <w:bookmarkStart w:id="79" w:name="_Toc1322"/>
      <w:r>
        <w:rPr>
          <w:rFonts w:hint="eastAsia" w:ascii="宋体"/>
          <w:color w:val="auto"/>
          <w:sz w:val="21"/>
          <w:szCs w:val="21"/>
          <w:highlight w:val="none"/>
        </w:rPr>
        <w:t>16.投标文件的密封和标记</w:t>
      </w:r>
      <w:bookmarkEnd w:id="76"/>
      <w:bookmarkEnd w:id="77"/>
      <w:bookmarkEnd w:id="78"/>
      <w:bookmarkEnd w:id="79"/>
      <w:r>
        <w:rPr>
          <w:rFonts w:hint="eastAsia" w:ascii="宋体"/>
          <w:color w:val="auto"/>
          <w:sz w:val="21"/>
          <w:szCs w:val="21"/>
          <w:highlight w:val="none"/>
          <w:lang w:eastAsia="zh-CN"/>
        </w:rPr>
        <w:t>（</w:t>
      </w:r>
      <w:r>
        <w:rPr>
          <w:rFonts w:hint="eastAsia" w:ascii="宋体"/>
          <w:color w:val="auto"/>
          <w:sz w:val="21"/>
          <w:szCs w:val="21"/>
          <w:highlight w:val="none"/>
          <w:lang w:val="en-US" w:eastAsia="zh-CN"/>
        </w:rPr>
        <w:t>不适用</w:t>
      </w:r>
      <w:r>
        <w:rPr>
          <w:rFonts w:hint="eastAsia" w:ascii="宋体"/>
          <w:color w:val="auto"/>
          <w:sz w:val="21"/>
          <w:szCs w:val="21"/>
          <w:highlight w:val="none"/>
          <w:lang w:eastAsia="zh-CN"/>
        </w:rPr>
        <w:t>）</w:t>
      </w:r>
    </w:p>
    <w:p w14:paraId="0F86B3D9">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16.1</w:t>
      </w:r>
      <w:r>
        <w:rPr>
          <w:rFonts w:hint="eastAsia" w:ascii="宋体" w:hAnsi="Calibri"/>
          <w:color w:val="auto"/>
          <w:szCs w:val="21"/>
          <w:highlight w:val="none"/>
          <w:lang w:eastAsia="zh-CN"/>
        </w:rPr>
        <w:t>投标人</w:t>
      </w:r>
      <w:r>
        <w:rPr>
          <w:rFonts w:hint="eastAsia" w:ascii="宋体" w:hAnsi="Calibri"/>
          <w:color w:val="auto"/>
          <w:szCs w:val="21"/>
          <w:highlight w:val="none"/>
        </w:rPr>
        <w:t>应将投标文件正本和副本密封，并标明招标编号、投标项目名称、</w:t>
      </w:r>
      <w:r>
        <w:rPr>
          <w:rFonts w:hint="eastAsia" w:ascii="宋体" w:hAnsi="Calibri"/>
          <w:color w:val="auto"/>
          <w:szCs w:val="21"/>
          <w:highlight w:val="none"/>
          <w:lang w:eastAsia="zh-CN"/>
        </w:rPr>
        <w:t>投标人</w:t>
      </w:r>
      <w:r>
        <w:rPr>
          <w:rFonts w:hint="eastAsia" w:ascii="宋体" w:hAnsi="Calibri"/>
          <w:color w:val="auto"/>
          <w:szCs w:val="21"/>
          <w:highlight w:val="none"/>
        </w:rPr>
        <w:t>名称及正本或副本等。投标文件电子版应单独密封。</w:t>
      </w:r>
    </w:p>
    <w:p w14:paraId="0BB8B78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16.2为了方便开标唱标，</w:t>
      </w:r>
      <w:r>
        <w:rPr>
          <w:rFonts w:hint="eastAsia" w:ascii="宋体" w:hAnsi="Calibri"/>
          <w:color w:val="auto"/>
          <w:szCs w:val="21"/>
          <w:highlight w:val="none"/>
          <w:lang w:eastAsia="zh-CN"/>
        </w:rPr>
        <w:t>投标人</w:t>
      </w:r>
      <w:r>
        <w:rPr>
          <w:rFonts w:hint="eastAsia" w:ascii="宋体" w:hAnsi="Calibri"/>
          <w:color w:val="auto"/>
          <w:szCs w:val="21"/>
          <w:highlight w:val="none"/>
        </w:rPr>
        <w:t>应将开标一览表单独密封，并在信封上标明“开标一览表”字样。</w:t>
      </w:r>
    </w:p>
    <w:p w14:paraId="3515BD1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16.3每一密封信封上注明“</w:t>
      </w:r>
      <w:r>
        <w:rPr>
          <w:rFonts w:hint="eastAsia" w:ascii="宋体" w:hAnsi="Calibri"/>
          <w:color w:val="auto"/>
          <w:szCs w:val="21"/>
          <w:highlight w:val="none"/>
          <w:u w:val="single"/>
        </w:rPr>
        <w:t>于   年   月  日   时之前不准启封</w:t>
      </w:r>
      <w:r>
        <w:rPr>
          <w:rFonts w:hint="eastAsia" w:ascii="宋体" w:hAnsi="Calibri"/>
          <w:color w:val="auto"/>
          <w:szCs w:val="21"/>
          <w:highlight w:val="none"/>
        </w:rPr>
        <w:t>”的字样；</w:t>
      </w:r>
    </w:p>
    <w:p w14:paraId="031CB1C4">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16.4如投标文件由专人送交，</w:t>
      </w:r>
      <w:r>
        <w:rPr>
          <w:rFonts w:hint="eastAsia" w:ascii="宋体" w:hAnsi="Calibri"/>
          <w:color w:val="auto"/>
          <w:szCs w:val="21"/>
          <w:highlight w:val="none"/>
          <w:lang w:eastAsia="zh-CN"/>
        </w:rPr>
        <w:t>投标人</w:t>
      </w:r>
      <w:r>
        <w:rPr>
          <w:rFonts w:hint="eastAsia" w:ascii="宋体" w:hAnsi="Calibri"/>
          <w:color w:val="auto"/>
          <w:szCs w:val="21"/>
          <w:highlight w:val="none"/>
        </w:rPr>
        <w:t>应将投标文件按16.1-16.3中的规定进行密封和标记后，按投标邀请注明的投标地址送至招标机构；</w:t>
      </w:r>
    </w:p>
    <w:p w14:paraId="17FEEE4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16.5如果投标文件通过邮寄递交,</w:t>
      </w:r>
      <w:r>
        <w:rPr>
          <w:rFonts w:hint="eastAsia" w:ascii="宋体" w:hAnsi="Calibri"/>
          <w:color w:val="auto"/>
          <w:szCs w:val="21"/>
          <w:highlight w:val="none"/>
          <w:lang w:eastAsia="zh-CN"/>
        </w:rPr>
        <w:t>投标人</w:t>
      </w:r>
      <w:r>
        <w:rPr>
          <w:rFonts w:hint="eastAsia" w:ascii="宋体" w:hAnsi="Calibri"/>
          <w:color w:val="auto"/>
          <w:szCs w:val="21"/>
          <w:highlight w:val="none"/>
        </w:rPr>
        <w:t>应将投标文件用内外两层信封密封:</w:t>
      </w:r>
    </w:p>
    <w:p w14:paraId="47BA892E">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 内层信封的封装与标记同16.1-16.3规定；</w:t>
      </w:r>
    </w:p>
    <w:p w14:paraId="00E459F5">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2) 外层信封装入16.1及16.2所述全部内封资料,并注明招标编号、投标项目名称、招标机构名称、地址。同时应写明</w:t>
      </w:r>
      <w:r>
        <w:rPr>
          <w:rFonts w:hint="eastAsia" w:ascii="宋体" w:hAnsi="Calibri"/>
          <w:color w:val="auto"/>
          <w:szCs w:val="21"/>
          <w:highlight w:val="none"/>
          <w:lang w:eastAsia="zh-CN"/>
        </w:rPr>
        <w:t>投标人</w:t>
      </w:r>
      <w:r>
        <w:rPr>
          <w:rFonts w:hint="eastAsia" w:ascii="宋体" w:hAnsi="Calibri"/>
          <w:color w:val="auto"/>
          <w:szCs w:val="21"/>
          <w:highlight w:val="none"/>
        </w:rPr>
        <w:t>的名称、地址，以便将迟交的投标文件原封退还。</w:t>
      </w:r>
    </w:p>
    <w:p w14:paraId="7AC6E89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16.6招标机构对投标文件的误投或未投标前提前拆封概不负责。</w:t>
      </w:r>
    </w:p>
    <w:p w14:paraId="4EDC5788">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80" w:name="_Toc98580410"/>
      <w:bookmarkStart w:id="81" w:name="_Toc24859"/>
      <w:bookmarkStart w:id="82" w:name="_Toc29150"/>
      <w:bookmarkStart w:id="83" w:name="_Toc32715"/>
      <w:r>
        <w:rPr>
          <w:rFonts w:hint="eastAsia" w:ascii="宋体"/>
          <w:color w:val="auto"/>
          <w:sz w:val="21"/>
          <w:szCs w:val="21"/>
          <w:highlight w:val="none"/>
        </w:rPr>
        <w:t>17.递交投标文件的截止时间</w:t>
      </w:r>
      <w:bookmarkEnd w:id="80"/>
      <w:bookmarkEnd w:id="81"/>
      <w:bookmarkEnd w:id="82"/>
      <w:bookmarkEnd w:id="83"/>
    </w:p>
    <w:p w14:paraId="295E9D4F">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 w:val="21"/>
          <w:szCs w:val="21"/>
          <w:highlight w:val="none"/>
        </w:rPr>
      </w:pPr>
      <w:r>
        <w:rPr>
          <w:rFonts w:hint="eastAsia" w:ascii="宋体" w:hAnsi="Calibri"/>
          <w:color w:val="auto"/>
          <w:sz w:val="21"/>
          <w:szCs w:val="21"/>
          <w:highlight w:val="none"/>
        </w:rPr>
        <w:t>17.1所有投标文件不论是通过专人或邮寄递交，都必须按照招标机构在投标邀请中规定的投标截止时间之前送至投标地点。</w:t>
      </w:r>
    </w:p>
    <w:p w14:paraId="6D9B332E">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 w:val="21"/>
          <w:szCs w:val="21"/>
          <w:highlight w:val="none"/>
        </w:rPr>
      </w:pPr>
      <w:r>
        <w:rPr>
          <w:rFonts w:hint="eastAsia" w:ascii="宋体" w:hAnsi="Calibri"/>
          <w:color w:val="auto"/>
          <w:sz w:val="21"/>
          <w:szCs w:val="21"/>
          <w:highlight w:val="none"/>
        </w:rPr>
        <w:t>17.2 招标机构推迟投标截止时间时，应以书面(或传真)的形式，通知所有</w:t>
      </w:r>
      <w:r>
        <w:rPr>
          <w:rFonts w:hint="eastAsia" w:ascii="宋体" w:hAnsi="Calibri"/>
          <w:color w:val="auto"/>
          <w:sz w:val="21"/>
          <w:szCs w:val="21"/>
          <w:highlight w:val="none"/>
          <w:lang w:eastAsia="zh-CN"/>
        </w:rPr>
        <w:t>投标人</w:t>
      </w:r>
      <w:r>
        <w:rPr>
          <w:rFonts w:hint="eastAsia" w:ascii="宋体" w:hAnsi="Calibri"/>
          <w:color w:val="auto"/>
          <w:sz w:val="21"/>
          <w:szCs w:val="21"/>
          <w:highlight w:val="none"/>
        </w:rPr>
        <w:t>。在这种情况下，招标机构和</w:t>
      </w:r>
      <w:r>
        <w:rPr>
          <w:rFonts w:hint="eastAsia" w:ascii="宋体" w:hAnsi="Calibri"/>
          <w:color w:val="auto"/>
          <w:sz w:val="21"/>
          <w:szCs w:val="21"/>
          <w:highlight w:val="none"/>
          <w:lang w:eastAsia="zh-CN"/>
        </w:rPr>
        <w:t>投标人</w:t>
      </w:r>
      <w:r>
        <w:rPr>
          <w:rFonts w:hint="eastAsia" w:ascii="宋体" w:hAnsi="Calibri"/>
          <w:color w:val="auto"/>
          <w:sz w:val="21"/>
          <w:szCs w:val="21"/>
          <w:highlight w:val="none"/>
        </w:rPr>
        <w:t>的权利和义务将受到新的截止期的约束。</w:t>
      </w:r>
    </w:p>
    <w:p w14:paraId="1D42CE3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 w:val="21"/>
          <w:szCs w:val="21"/>
          <w:highlight w:val="none"/>
        </w:rPr>
      </w:pPr>
      <w:r>
        <w:rPr>
          <w:rFonts w:hint="eastAsia" w:ascii="宋体" w:hAnsi="Calibri"/>
          <w:color w:val="auto"/>
          <w:sz w:val="21"/>
          <w:szCs w:val="21"/>
          <w:highlight w:val="none"/>
        </w:rPr>
        <w:t>17.3 招标机构对投标文件在邮寄过程中的遗失或损坏不负责任。</w:t>
      </w:r>
    </w:p>
    <w:p w14:paraId="5481162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 w:val="21"/>
          <w:szCs w:val="21"/>
          <w:highlight w:val="none"/>
        </w:rPr>
      </w:pPr>
      <w:r>
        <w:rPr>
          <w:rFonts w:hint="eastAsia" w:ascii="宋体" w:hAnsi="Calibri"/>
          <w:color w:val="auto"/>
          <w:sz w:val="21"/>
          <w:szCs w:val="21"/>
          <w:highlight w:val="none"/>
        </w:rPr>
        <w:t>17.4 在投标截止时间以后送达的投标文件，招标机构拒绝接收。</w:t>
      </w:r>
    </w:p>
    <w:p w14:paraId="24FD6738">
      <w:pPr>
        <w:pageBreakBefore w:val="0"/>
        <w:widowControl w:val="0"/>
        <w:kinsoku/>
        <w:wordWrap/>
        <w:overflowPunct/>
        <w:topLinePunct w:val="0"/>
        <w:autoSpaceDE/>
        <w:autoSpaceDN/>
        <w:bidi w:val="0"/>
        <w:adjustRightInd w:val="0"/>
        <w:snapToGrid w:val="0"/>
        <w:spacing w:line="288" w:lineRule="auto"/>
        <w:ind w:right="0" w:rightChars="0"/>
        <w:rPr>
          <w:rFonts w:hint="eastAsia" w:ascii="宋体"/>
          <w:b/>
          <w:bCs/>
          <w:color w:val="auto"/>
          <w:szCs w:val="21"/>
          <w:highlight w:val="none"/>
        </w:rPr>
      </w:pPr>
      <w:r>
        <w:rPr>
          <w:rFonts w:hint="eastAsia" w:ascii="宋体"/>
          <w:b/>
          <w:bCs/>
          <w:color w:val="auto"/>
          <w:szCs w:val="21"/>
          <w:highlight w:val="none"/>
        </w:rPr>
        <w:t>18.投标文件修改和撤消</w:t>
      </w:r>
    </w:p>
    <w:p w14:paraId="0102946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18.1 投标以后，如果</w:t>
      </w:r>
      <w:r>
        <w:rPr>
          <w:rFonts w:hint="eastAsia" w:ascii="宋体" w:hAnsi="Calibri"/>
          <w:color w:val="auto"/>
          <w:szCs w:val="21"/>
          <w:highlight w:val="none"/>
          <w:lang w:eastAsia="zh-CN"/>
        </w:rPr>
        <w:t>投标人</w:t>
      </w:r>
      <w:r>
        <w:rPr>
          <w:rFonts w:hint="eastAsia" w:ascii="宋体" w:hAnsi="Calibri"/>
          <w:color w:val="auto"/>
          <w:szCs w:val="21"/>
          <w:highlight w:val="none"/>
        </w:rPr>
        <w:t>提出书面修改和撤标要求，在投标截止时间前送达招标机构者，招标机构可以予以接受。但不退还投标文件。</w:t>
      </w:r>
    </w:p>
    <w:p w14:paraId="35B9508C">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 xml:space="preserve">18.2 </w:t>
      </w:r>
      <w:r>
        <w:rPr>
          <w:rFonts w:hint="eastAsia" w:ascii="宋体" w:hAnsi="Calibri"/>
          <w:color w:val="auto"/>
          <w:szCs w:val="21"/>
          <w:highlight w:val="none"/>
          <w:lang w:eastAsia="zh-CN"/>
        </w:rPr>
        <w:t>投标人</w:t>
      </w:r>
      <w:r>
        <w:rPr>
          <w:rFonts w:hint="eastAsia" w:ascii="宋体" w:hAnsi="Calibri"/>
          <w:color w:val="auto"/>
          <w:szCs w:val="21"/>
          <w:highlight w:val="none"/>
        </w:rPr>
        <w:t>修改投标文件的书面材料，须密封送达招标机构，同时应在封套上标明“修改投标文件(并注明招标编号)”和“开标时启封”字样。</w:t>
      </w:r>
    </w:p>
    <w:p w14:paraId="29E019DD">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18.3 撤消投标应以书面(或传真)的形式通知招标机构。如采取传真形式撤回投标，随后必须补充有法人代表或授权代表签署的要求撤消投标的正式文件。撤消投标的时间以送达招标机构或邮电到达日戳为准。</w:t>
      </w:r>
    </w:p>
    <w:p w14:paraId="035A0D5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18.4投标截止时间以后不得修改投标文件；</w:t>
      </w:r>
    </w:p>
    <w:p w14:paraId="68CD7407">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18.5开标后</w:t>
      </w:r>
      <w:r>
        <w:rPr>
          <w:rFonts w:hint="eastAsia" w:ascii="宋体" w:hAnsi="Calibri"/>
          <w:color w:val="auto"/>
          <w:szCs w:val="21"/>
          <w:highlight w:val="none"/>
          <w:lang w:eastAsia="zh-CN"/>
        </w:rPr>
        <w:t>投标人</w:t>
      </w:r>
      <w:r>
        <w:rPr>
          <w:rFonts w:hint="eastAsia" w:ascii="宋体" w:hAnsi="Calibri"/>
          <w:color w:val="auto"/>
          <w:szCs w:val="21"/>
          <w:highlight w:val="none"/>
        </w:rPr>
        <w:t>不得撤回投标。</w:t>
      </w:r>
    </w:p>
    <w:p w14:paraId="7DF6C81A">
      <w:pPr>
        <w:pStyle w:val="4"/>
        <w:pageBreakBefore w:val="0"/>
        <w:widowControl w:val="0"/>
        <w:kinsoku/>
        <w:wordWrap/>
        <w:overflowPunct/>
        <w:topLinePunct w:val="0"/>
        <w:autoSpaceDE/>
        <w:autoSpaceDN/>
        <w:bidi w:val="0"/>
        <w:adjustRightInd w:val="0"/>
        <w:snapToGrid w:val="0"/>
        <w:spacing w:before="0" w:beforeLines="0" w:after="0" w:afterLines="0" w:line="288" w:lineRule="auto"/>
        <w:ind w:right="0" w:rightChars="0"/>
        <w:jc w:val="center"/>
        <w:rPr>
          <w:rFonts w:hint="eastAsia" w:ascii="宋体" w:hAnsi="Arial" w:eastAsia="宋体" w:cs="Arial"/>
          <w:b/>
          <w:bCs/>
          <w:snapToGrid w:val="0"/>
          <w:color w:val="auto"/>
          <w:sz w:val="21"/>
          <w:szCs w:val="21"/>
          <w:highlight w:val="none"/>
          <w:lang w:val="en-US" w:eastAsia="en-US" w:bidi="ar-SA"/>
        </w:rPr>
      </w:pPr>
      <w:bookmarkStart w:id="84" w:name="_Toc5131"/>
      <w:bookmarkStart w:id="85" w:name="_Toc17981"/>
      <w:bookmarkStart w:id="86" w:name="_Toc98580411"/>
      <w:bookmarkStart w:id="87" w:name="_Toc2959"/>
      <w:r>
        <w:rPr>
          <w:rFonts w:hint="eastAsia" w:ascii="宋体" w:hAnsi="Arial" w:eastAsia="宋体" w:cs="Arial"/>
          <w:b/>
          <w:bCs/>
          <w:snapToGrid w:val="0"/>
          <w:color w:val="auto"/>
          <w:sz w:val="21"/>
          <w:szCs w:val="21"/>
          <w:highlight w:val="none"/>
          <w:lang w:val="en-US" w:eastAsia="en-US" w:bidi="ar-SA"/>
        </w:rPr>
        <w:t>E开标及评标</w:t>
      </w:r>
      <w:bookmarkEnd w:id="84"/>
      <w:bookmarkEnd w:id="85"/>
      <w:bookmarkEnd w:id="86"/>
      <w:bookmarkEnd w:id="87"/>
    </w:p>
    <w:p w14:paraId="0A25272F">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88" w:name="_Toc26782"/>
      <w:bookmarkStart w:id="89" w:name="_Toc17658"/>
      <w:bookmarkStart w:id="90" w:name="_Toc21276"/>
      <w:bookmarkStart w:id="91" w:name="_Toc98580412"/>
      <w:r>
        <w:rPr>
          <w:rFonts w:hint="eastAsia" w:ascii="宋体"/>
          <w:color w:val="auto"/>
          <w:sz w:val="21"/>
          <w:szCs w:val="21"/>
          <w:highlight w:val="none"/>
        </w:rPr>
        <w:t>19.开标</w:t>
      </w:r>
      <w:bookmarkEnd w:id="88"/>
      <w:bookmarkEnd w:id="89"/>
      <w:bookmarkEnd w:id="90"/>
      <w:bookmarkEnd w:id="91"/>
    </w:p>
    <w:p w14:paraId="2D9471B0">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19.1</w:t>
      </w:r>
      <w:r>
        <w:rPr>
          <w:rFonts w:hint="eastAsia" w:ascii="宋体" w:hAnsi="Calibri"/>
          <w:color w:val="auto"/>
          <w:szCs w:val="21"/>
          <w:highlight w:val="none"/>
          <w:lang w:val="zh-CN"/>
        </w:rPr>
        <w:t>采购代理机构将在招标文件规定的时间和地点公开开标。投标人法定代表人或其授权代理人应参加并签名报到以证明其出席，并携带有效身份证件以备审查。</w:t>
      </w:r>
    </w:p>
    <w:p w14:paraId="1E2AE87B">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19.2采购代理机构按招标文件规定的时间、地点主持公开开标。开标仪式由采购代理机构主持，采购人代表及有关工作人员参加。</w:t>
      </w:r>
    </w:p>
    <w:p w14:paraId="00F878B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19.4开标时由</w:t>
      </w:r>
      <w:r>
        <w:rPr>
          <w:rFonts w:hint="eastAsia" w:ascii="宋体" w:hAnsi="Calibri"/>
          <w:color w:val="auto"/>
          <w:szCs w:val="21"/>
          <w:highlight w:val="none"/>
          <w:lang w:eastAsia="zh-CN"/>
        </w:rPr>
        <w:t>投标人</w:t>
      </w:r>
      <w:r>
        <w:rPr>
          <w:rFonts w:hint="eastAsia" w:ascii="宋体" w:hAnsi="Calibri"/>
          <w:color w:val="auto"/>
          <w:szCs w:val="21"/>
          <w:highlight w:val="none"/>
        </w:rPr>
        <w:t>查验投标文件密封情况，确认无误后拆封唱标。</w:t>
      </w:r>
    </w:p>
    <w:p w14:paraId="43A35714">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19.5采购代理机构在开标仪式上，将公开唱出所有</w:t>
      </w:r>
      <w:r>
        <w:rPr>
          <w:rFonts w:hint="eastAsia" w:ascii="宋体" w:hAnsi="Calibri"/>
          <w:color w:val="auto"/>
          <w:szCs w:val="21"/>
          <w:highlight w:val="none"/>
          <w:lang w:eastAsia="zh-CN"/>
        </w:rPr>
        <w:t>投标人</w:t>
      </w:r>
      <w:r>
        <w:rPr>
          <w:rFonts w:hint="eastAsia" w:ascii="宋体" w:hAnsi="Calibri"/>
          <w:color w:val="auto"/>
          <w:szCs w:val="21"/>
          <w:highlight w:val="none"/>
        </w:rPr>
        <w:t>的“开标一览表”内容及投标声明，以及采购机构认为合适的其它内容并记录。</w:t>
      </w:r>
    </w:p>
    <w:p w14:paraId="201151FE">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bookmarkStart w:id="92" w:name="_Toc98580413"/>
      <w:r>
        <w:rPr>
          <w:rFonts w:hint="eastAsia" w:ascii="宋体" w:hAnsi="Calibri"/>
          <w:color w:val="auto"/>
          <w:szCs w:val="21"/>
          <w:highlight w:val="none"/>
          <w:lang w:val="zh-CN"/>
        </w:rPr>
        <w:t>1</w:t>
      </w:r>
      <w:r>
        <w:rPr>
          <w:rFonts w:hint="eastAsia" w:ascii="宋体" w:hAnsi="Calibri"/>
          <w:color w:val="auto"/>
          <w:szCs w:val="21"/>
          <w:highlight w:val="none"/>
        </w:rPr>
        <w:t>9.6</w:t>
      </w:r>
      <w:r>
        <w:rPr>
          <w:rFonts w:hint="eastAsia" w:ascii="宋体" w:hAnsi="Calibri"/>
          <w:color w:val="auto"/>
          <w:szCs w:val="21"/>
          <w:highlight w:val="none"/>
          <w:lang w:val="zh-CN"/>
        </w:rPr>
        <w:t xml:space="preserve"> 开标时有下列情形之一的为无效投标：</w:t>
      </w:r>
    </w:p>
    <w:p w14:paraId="0770675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（1）投标文件在规定的投标截止时间以后送达的；</w:t>
      </w:r>
    </w:p>
    <w:p w14:paraId="277561E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（2）投标文件未按招标文件规定密封的；</w:t>
      </w:r>
    </w:p>
    <w:p w14:paraId="49D92850">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（3）未提交单独密封的开标一览表或者开标一览表未按规定加盖公章和有效签署的；</w:t>
      </w:r>
    </w:p>
    <w:p w14:paraId="5332371C">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（4）招标文件规定开标时属于无效投标的其他情形。</w:t>
      </w:r>
    </w:p>
    <w:p w14:paraId="14687B9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rPr>
        <w:t>19.7</w:t>
      </w:r>
      <w:r>
        <w:rPr>
          <w:rFonts w:hint="eastAsia" w:ascii="宋体" w:hAnsi="Calibri"/>
          <w:color w:val="auto"/>
          <w:szCs w:val="21"/>
          <w:highlight w:val="none"/>
          <w:lang w:val="zh-CN"/>
        </w:rPr>
        <w:t xml:space="preserve"> 开标时有下列情形之一的，采购代理机构有权宣布本项目招标失败：</w:t>
      </w:r>
    </w:p>
    <w:p w14:paraId="7884FA77">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（1）符合招标文件要求的投标人不足三家的；</w:t>
      </w:r>
    </w:p>
    <w:p w14:paraId="24BB9347">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（2）所有投标人的报价均超过采购项目预算，采购单位不能支付的。</w:t>
      </w:r>
    </w:p>
    <w:p w14:paraId="2912A439">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93" w:name="_Toc7599"/>
      <w:bookmarkStart w:id="94" w:name="_Toc1797"/>
      <w:bookmarkStart w:id="95" w:name="_Toc20349"/>
      <w:r>
        <w:rPr>
          <w:rFonts w:hint="eastAsia" w:ascii="宋体"/>
          <w:color w:val="auto"/>
          <w:sz w:val="21"/>
          <w:szCs w:val="21"/>
          <w:highlight w:val="none"/>
        </w:rPr>
        <w:t>20.对投标文件的初审</w:t>
      </w:r>
      <w:bookmarkEnd w:id="92"/>
      <w:bookmarkEnd w:id="93"/>
      <w:bookmarkEnd w:id="94"/>
      <w:bookmarkEnd w:id="95"/>
    </w:p>
    <w:p w14:paraId="2B6286B4">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 xml:space="preserve">20.1采购人根据招标项目特点组建评标委员会，采购人应当从省级以上人民政府财政部门设立的评审专家库中随机抽取评审专家。 </w:t>
      </w:r>
    </w:p>
    <w:p w14:paraId="4EC91CA0">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评标委员会对投标文件进行初审，初审内容为投标文件是否符合招标文件的要求、内容是否完整、价格构成有无计算错误、文件签署是否齐全及验证保证金以及投标文件是否具有实质响应性。</w:t>
      </w:r>
    </w:p>
    <w:p w14:paraId="405EA7B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20.2 初审中，对价格的计算错误按下述原则修正：</w:t>
      </w:r>
    </w:p>
    <w:p w14:paraId="3415D4F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（1）投标文件中开标一览表内容与投标文件中相应内容不一致的，以《开标一览表》的报价为准；</w:t>
      </w:r>
    </w:p>
    <w:p w14:paraId="5FC3E2D0">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（2）开标一览表内如果小写金额与大写金额不一致时，以大写金额为准；</w:t>
      </w:r>
    </w:p>
    <w:p w14:paraId="12419D5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（3）如果总价金额与单价金额不一致，以单价金额为准。</w:t>
      </w:r>
    </w:p>
    <w:p w14:paraId="5A9885D5">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（4）除非单价有明显的小数点错位，此时应以该行标出的总额为准，并修改单价。</w:t>
      </w:r>
    </w:p>
    <w:p w14:paraId="1DEC112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按上述原则调整后的价格为评标价，经投标人法定代表人或授权代理人签字确认后对投标人具有约束力。如果投标人不按照上述原则修正其投标报价及分项报价，则其投标将被拒绝。</w:t>
      </w:r>
    </w:p>
    <w:p w14:paraId="2036832B">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20.3 与招标文件有重大偏离的投标文件将被视为具有非实质响应性的投标文件而被拒绝。</w:t>
      </w:r>
    </w:p>
    <w:p w14:paraId="753DE74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20.4 投标有下列情况之一者，将被视为非实质性响应的投标而被拒绝：</w:t>
      </w:r>
    </w:p>
    <w:p w14:paraId="785FC88D">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（1）资格条件及证明文件不符合招标文件要求的；</w:t>
      </w:r>
    </w:p>
    <w:p w14:paraId="3CE49B8F">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（2）投标文件无公章或无法定代表人签字，或签字人无法定代表人有效授权书的，或未按要求签字、盖公章的；</w:t>
      </w:r>
    </w:p>
    <w:p w14:paraId="16430E5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（3）不能满足投标有效期的；</w:t>
      </w:r>
    </w:p>
    <w:p w14:paraId="3A006146">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（4）投标明显不符合技术规格、技术标准的要求；</w:t>
      </w:r>
    </w:p>
    <w:p w14:paraId="374D24B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（5）投标文件附有买方不能接受的条件；</w:t>
      </w:r>
    </w:p>
    <w:p w14:paraId="1F28B471">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eastAsia="zh-CN"/>
        </w:rPr>
      </w:pPr>
      <w:r>
        <w:rPr>
          <w:rFonts w:hint="eastAsia" w:ascii="宋体" w:hAnsi="Calibri" w:eastAsia="宋体" w:cs="Times New Roman"/>
          <w:color w:val="auto"/>
          <w:szCs w:val="21"/>
          <w:highlight w:val="none"/>
          <w:lang w:val="zh-CN" w:eastAsia="zh-CN"/>
        </w:rPr>
        <w:t>（6）投标报价超过采购预算的；</w:t>
      </w:r>
    </w:p>
    <w:p w14:paraId="20ED060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val="zh-CN"/>
        </w:rPr>
      </w:pPr>
      <w:r>
        <w:rPr>
          <w:rFonts w:hint="eastAsia" w:ascii="宋体" w:hAnsi="Calibri" w:eastAsia="宋体" w:cs="Times New Roman"/>
          <w:color w:val="auto"/>
          <w:szCs w:val="21"/>
          <w:highlight w:val="none"/>
          <w:lang w:val="zh-CN" w:eastAsia="zh-CN"/>
        </w:rPr>
        <w:t>（7）未响应招标文件规定的其它实质性条款。</w:t>
      </w:r>
    </w:p>
    <w:p w14:paraId="494727F6">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96" w:name="_Toc13647"/>
      <w:bookmarkStart w:id="97" w:name="_Toc98580414"/>
      <w:bookmarkStart w:id="98" w:name="_Toc28304"/>
      <w:bookmarkStart w:id="99" w:name="_Toc10414"/>
      <w:r>
        <w:rPr>
          <w:rFonts w:hint="eastAsia" w:ascii="宋体"/>
          <w:color w:val="auto"/>
          <w:sz w:val="21"/>
          <w:szCs w:val="21"/>
          <w:highlight w:val="none"/>
        </w:rPr>
        <w:t>21.投标的澄清</w:t>
      </w:r>
      <w:bookmarkEnd w:id="96"/>
      <w:bookmarkEnd w:id="97"/>
      <w:bookmarkEnd w:id="98"/>
      <w:bookmarkEnd w:id="99"/>
    </w:p>
    <w:p w14:paraId="10D77798">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21.1 招标机构有权就投标文件中含混之处向投标人提出询问或澄清要求，或要求其补充某些材料。投标人必须按照招标机构通知的时间、地点派技术和商务人员进行答疑和澄清。</w:t>
      </w:r>
    </w:p>
    <w:p w14:paraId="5810A45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21.2 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5D76E590">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100" w:name="_Toc98580415"/>
      <w:bookmarkStart w:id="101" w:name="_Toc13382"/>
      <w:bookmarkStart w:id="102" w:name="_Toc7458"/>
      <w:bookmarkStart w:id="103" w:name="_Toc7272"/>
      <w:bookmarkStart w:id="104" w:name="_Toc98580416"/>
      <w:r>
        <w:rPr>
          <w:rFonts w:hint="eastAsia" w:ascii="宋体"/>
          <w:color w:val="auto"/>
          <w:sz w:val="21"/>
          <w:szCs w:val="21"/>
          <w:highlight w:val="none"/>
        </w:rPr>
        <w:t>22.评标</w:t>
      </w:r>
      <w:bookmarkEnd w:id="100"/>
      <w:bookmarkEnd w:id="101"/>
      <w:bookmarkEnd w:id="102"/>
      <w:bookmarkEnd w:id="103"/>
    </w:p>
    <w:p w14:paraId="2A35AB6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22.1 原则：对所有投标人的投标评估，都采用相同的程序和标准。</w:t>
      </w:r>
    </w:p>
    <w:p w14:paraId="22D6880A">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22.2标准：评标严格按照招标文件的要求和条件进行。</w:t>
      </w:r>
    </w:p>
    <w:p w14:paraId="76D680F0">
      <w:pPr>
        <w:pageBreakBefore w:val="0"/>
        <w:widowControl w:val="0"/>
        <w:tabs>
          <w:tab w:val="left" w:pos="475"/>
        </w:tabs>
        <w:kinsoku/>
        <w:wordWrap/>
        <w:overflowPunct/>
        <w:topLinePunct w:val="0"/>
        <w:autoSpaceDE/>
        <w:autoSpaceDN/>
        <w:bidi w:val="0"/>
        <w:adjustRightInd w:val="0"/>
        <w:snapToGrid w:val="0"/>
        <w:spacing w:line="288" w:lineRule="auto"/>
        <w:ind w:right="0" w:rightChars="0"/>
        <w:textAlignment w:val="baseline"/>
        <w:rPr>
          <w:rFonts w:hint="eastAsia" w:ascii="宋体"/>
          <w:color w:val="auto"/>
          <w:szCs w:val="21"/>
          <w:highlight w:val="none"/>
          <w:lang w:val="zh-CN"/>
        </w:rPr>
      </w:pPr>
      <w:r>
        <w:rPr>
          <w:rFonts w:hint="eastAsia" w:ascii="宋体"/>
          <w:b/>
          <w:color w:val="auto"/>
          <w:szCs w:val="21"/>
          <w:highlight w:val="none"/>
          <w:lang w:val="zh-CN"/>
        </w:rPr>
        <w:t>20.</w:t>
      </w:r>
      <w:r>
        <w:rPr>
          <w:rFonts w:hint="eastAsia" w:ascii="宋体"/>
          <w:b/>
          <w:color w:val="auto"/>
          <w:szCs w:val="21"/>
          <w:highlight w:val="none"/>
        </w:rPr>
        <w:t>3</w:t>
      </w:r>
      <w:r>
        <w:rPr>
          <w:rFonts w:hint="eastAsia" w:ascii="宋体"/>
          <w:b/>
          <w:color w:val="auto"/>
          <w:szCs w:val="21"/>
          <w:highlight w:val="none"/>
          <w:lang w:val="zh-CN"/>
        </w:rPr>
        <w:t>本项目采用</w:t>
      </w:r>
      <w:bookmarkStart w:id="105" w:name="blank29_copy_1620033091000"/>
      <w:r>
        <w:rPr>
          <w:rFonts w:hint="eastAsia" w:ascii="宋体"/>
          <w:b/>
          <w:color w:val="auto"/>
          <w:szCs w:val="21"/>
          <w:highlight w:val="none"/>
        </w:rPr>
        <w:t>评标方法及标准</w:t>
      </w:r>
      <w:bookmarkEnd w:id="105"/>
      <w:r>
        <w:rPr>
          <w:rFonts w:hint="eastAsia" w:ascii="宋体"/>
          <w:b/>
          <w:color w:val="auto"/>
          <w:szCs w:val="21"/>
          <w:highlight w:val="none"/>
          <w:lang w:val="zh-CN"/>
        </w:rPr>
        <w:t>：</w:t>
      </w:r>
    </w:p>
    <w:p w14:paraId="7C2EA18C">
      <w:pPr>
        <w:pageBreakBefore w:val="0"/>
        <w:widowControl w:val="0"/>
        <w:kinsoku/>
        <w:wordWrap/>
        <w:overflowPunct/>
        <w:topLinePunct w:val="0"/>
        <w:autoSpaceDE/>
        <w:autoSpaceDN/>
        <w:bidi w:val="0"/>
        <w:adjustRightInd w:val="0"/>
        <w:snapToGrid w:val="0"/>
        <w:spacing w:line="288" w:lineRule="auto"/>
        <w:ind w:right="0" w:rightChars="0" w:firstLine="420" w:firstLineChars="200"/>
        <w:rPr>
          <w:rFonts w:hint="eastAsia" w:ascii="宋体" w:hAnsi="Calibri"/>
          <w:color w:val="auto"/>
          <w:szCs w:val="21"/>
          <w:highlight w:val="none"/>
          <w:lang w:val="zh-CN"/>
        </w:rPr>
      </w:pPr>
      <w:r>
        <w:rPr>
          <w:rFonts w:hint="eastAsia" w:ascii="宋体" w:hAnsi="Calibri"/>
          <w:color w:val="auto"/>
          <w:szCs w:val="21"/>
          <w:highlight w:val="none"/>
          <w:lang w:val="zh-CN"/>
        </w:rPr>
        <w:t xml:space="preserve">评标委员会将按第三章规定的评审因素和标准，按评审后投标人综合得分由高到低的顺序推荐中标候选人排序。 </w:t>
      </w:r>
    </w:p>
    <w:p w14:paraId="345506DA">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106" w:name="_Toc9694"/>
      <w:bookmarkStart w:id="107" w:name="_Toc2035"/>
      <w:bookmarkStart w:id="108" w:name="_Toc21694"/>
      <w:r>
        <w:rPr>
          <w:rFonts w:hint="eastAsia" w:ascii="宋体"/>
          <w:color w:val="auto"/>
          <w:sz w:val="21"/>
          <w:szCs w:val="21"/>
          <w:highlight w:val="none"/>
        </w:rPr>
        <w:t>23.评标过程保密</w:t>
      </w:r>
      <w:bookmarkEnd w:id="104"/>
      <w:bookmarkEnd w:id="106"/>
      <w:bookmarkEnd w:id="107"/>
      <w:bookmarkEnd w:id="108"/>
    </w:p>
    <w:p w14:paraId="5298431F">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23.1有关投标文件的审查、澄清、评估和比较以及有关授予合同意向的一切情况均不得透露给任一</w:t>
      </w:r>
      <w:r>
        <w:rPr>
          <w:rFonts w:hint="eastAsia" w:ascii="宋体" w:hAnsi="Calibri"/>
          <w:color w:val="auto"/>
          <w:szCs w:val="21"/>
          <w:highlight w:val="none"/>
          <w:lang w:eastAsia="zh-CN"/>
        </w:rPr>
        <w:t>投标人</w:t>
      </w:r>
      <w:r>
        <w:rPr>
          <w:rFonts w:hint="eastAsia" w:ascii="宋体" w:hAnsi="Calibri"/>
          <w:color w:val="auto"/>
          <w:szCs w:val="21"/>
          <w:highlight w:val="none"/>
        </w:rPr>
        <w:t>或与上述评标工作无关的人员；</w:t>
      </w:r>
    </w:p>
    <w:p w14:paraId="4409E2D2">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color w:val="auto"/>
          <w:szCs w:val="21"/>
          <w:highlight w:val="none"/>
        </w:rPr>
      </w:pPr>
      <w:r>
        <w:rPr>
          <w:rFonts w:hint="eastAsia" w:ascii="宋体" w:hAnsi="Calibri"/>
          <w:color w:val="auto"/>
          <w:szCs w:val="21"/>
          <w:highlight w:val="none"/>
        </w:rPr>
        <w:t>23.2在评标期间，</w:t>
      </w:r>
      <w:r>
        <w:rPr>
          <w:rFonts w:hint="eastAsia" w:ascii="宋体" w:hAnsi="Calibri"/>
          <w:color w:val="auto"/>
          <w:szCs w:val="21"/>
          <w:highlight w:val="none"/>
          <w:lang w:eastAsia="zh-CN"/>
        </w:rPr>
        <w:t>投标人</w:t>
      </w:r>
      <w:r>
        <w:rPr>
          <w:rFonts w:hint="eastAsia" w:ascii="宋体" w:hAnsi="Calibri"/>
          <w:color w:val="auto"/>
          <w:szCs w:val="21"/>
          <w:highlight w:val="none"/>
        </w:rPr>
        <w:t>企图影响招标方的任何活动，将导致投标被拒绝，并承担相应的法律责任。</w:t>
      </w:r>
    </w:p>
    <w:p w14:paraId="1DF5C594">
      <w:pPr>
        <w:pageBreakBefore w:val="0"/>
        <w:widowControl w:val="0"/>
        <w:kinsoku/>
        <w:wordWrap/>
        <w:overflowPunct/>
        <w:topLinePunct w:val="0"/>
        <w:autoSpaceDE/>
        <w:autoSpaceDN/>
        <w:bidi w:val="0"/>
        <w:adjustRightInd w:val="0"/>
        <w:snapToGrid w:val="0"/>
        <w:spacing w:line="288" w:lineRule="auto"/>
        <w:ind w:right="0" w:rightChars="0"/>
        <w:jc w:val="center"/>
        <w:rPr>
          <w:rFonts w:hint="eastAsia" w:ascii="宋体"/>
          <w:b/>
          <w:color w:val="auto"/>
          <w:szCs w:val="21"/>
          <w:highlight w:val="none"/>
        </w:rPr>
      </w:pPr>
      <w:r>
        <w:rPr>
          <w:rFonts w:hint="eastAsia" w:ascii="宋体"/>
          <w:b/>
          <w:color w:val="auto"/>
          <w:szCs w:val="21"/>
          <w:highlight w:val="none"/>
        </w:rPr>
        <w:t>F 确定中标</w:t>
      </w:r>
    </w:p>
    <w:p w14:paraId="59BBC1C1">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109" w:name="_Toc98580417"/>
      <w:bookmarkStart w:id="110" w:name="_Toc13098"/>
      <w:bookmarkStart w:id="111" w:name="_Toc4355"/>
      <w:bookmarkStart w:id="112" w:name="_Toc28642"/>
      <w:r>
        <w:rPr>
          <w:rFonts w:hint="eastAsia" w:ascii="宋体"/>
          <w:color w:val="auto"/>
          <w:sz w:val="21"/>
          <w:szCs w:val="21"/>
          <w:highlight w:val="none"/>
        </w:rPr>
        <w:t>24.</w:t>
      </w:r>
      <w:bookmarkEnd w:id="109"/>
      <w:r>
        <w:rPr>
          <w:rFonts w:hint="eastAsia" w:ascii="宋体"/>
          <w:color w:val="auto"/>
          <w:sz w:val="21"/>
          <w:szCs w:val="21"/>
          <w:highlight w:val="none"/>
        </w:rPr>
        <w:t>确定中标</w:t>
      </w:r>
      <w:bookmarkEnd w:id="110"/>
      <w:bookmarkEnd w:id="111"/>
      <w:bookmarkEnd w:id="112"/>
    </w:p>
    <w:p w14:paraId="439234BE">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eastAsia="zh-CN"/>
        </w:rPr>
      </w:pPr>
      <w:bookmarkStart w:id="113" w:name="_Toc98580418"/>
      <w:bookmarkStart w:id="114" w:name="_Toc29884"/>
      <w:bookmarkStart w:id="115" w:name="_Toc29503"/>
      <w:r>
        <w:rPr>
          <w:rFonts w:hint="eastAsia" w:ascii="宋体" w:hAnsi="Calibri" w:eastAsia="宋体" w:cs="Times New Roman"/>
          <w:color w:val="auto"/>
          <w:szCs w:val="21"/>
          <w:highlight w:val="none"/>
          <w:lang w:eastAsia="zh-CN"/>
        </w:rPr>
        <w:t>24.1评标委员会按照招标文件确定的评标标准和方法，对投标文件进行评审，并提出书面评标报告，确定中标人。最终审查的对象是招标项目的合格的投标人。</w:t>
      </w:r>
    </w:p>
    <w:p w14:paraId="7C0A0163">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eastAsia="zh-CN"/>
        </w:rPr>
      </w:pPr>
      <w:r>
        <w:rPr>
          <w:rFonts w:hint="eastAsia" w:ascii="宋体" w:hAnsi="Calibri" w:eastAsia="宋体" w:cs="Times New Roman"/>
          <w:color w:val="auto"/>
          <w:szCs w:val="21"/>
          <w:highlight w:val="none"/>
          <w:lang w:eastAsia="zh-CN"/>
        </w:rPr>
        <w:t>24.2最终审查的内容是对合格的投标人的财务状况、资格、信誉以及采购人认为有必要了解的其他问题作进一步的审查。</w:t>
      </w:r>
    </w:p>
    <w:p w14:paraId="33A30DF5">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eastAsia="zh-CN"/>
        </w:rPr>
      </w:pPr>
      <w:r>
        <w:rPr>
          <w:rFonts w:hint="eastAsia" w:ascii="宋体" w:hAnsi="Calibri" w:eastAsia="宋体" w:cs="Times New Roman"/>
          <w:color w:val="auto"/>
          <w:szCs w:val="21"/>
          <w:highlight w:val="none"/>
          <w:lang w:eastAsia="zh-CN"/>
        </w:rPr>
        <w:t>24.3 接受最终审查的合格的投标人，必须如实回答和受理采购人的询问或考查，并提供所需的有关资料。</w:t>
      </w:r>
    </w:p>
    <w:p w14:paraId="4B36E6A5">
      <w:pPr>
        <w:pageBreakBefore w:val="0"/>
        <w:widowControl w:val="0"/>
        <w:kinsoku/>
        <w:wordWrap/>
        <w:overflowPunct/>
        <w:topLinePunct w:val="0"/>
        <w:autoSpaceDE/>
        <w:autoSpaceDN/>
        <w:bidi w:val="0"/>
        <w:adjustRightInd w:val="0"/>
        <w:snapToGrid w:val="0"/>
        <w:spacing w:line="288" w:lineRule="auto"/>
        <w:ind w:left="1" w:right="0" w:rightChars="0" w:firstLine="420" w:firstLineChars="200"/>
        <w:rPr>
          <w:rFonts w:hint="eastAsia" w:ascii="宋体" w:hAnsi="Calibri" w:eastAsia="宋体" w:cs="Times New Roman"/>
          <w:color w:val="auto"/>
          <w:szCs w:val="21"/>
          <w:highlight w:val="none"/>
          <w:lang w:eastAsia="zh-CN"/>
        </w:rPr>
      </w:pPr>
      <w:r>
        <w:rPr>
          <w:rFonts w:hint="eastAsia" w:ascii="宋体" w:hAnsi="Calibri" w:eastAsia="宋体" w:cs="Times New Roman"/>
          <w:color w:val="auto"/>
          <w:szCs w:val="21"/>
          <w:highlight w:val="none"/>
          <w:lang w:eastAsia="zh-CN"/>
        </w:rPr>
        <w:t>24.4评标委员会从合格的投标人中评出中标人，并写出完整的评标报告。</w:t>
      </w:r>
    </w:p>
    <w:p w14:paraId="7A331577">
      <w:pPr>
        <w:pStyle w:val="6"/>
        <w:pageBreakBefore w:val="0"/>
        <w:widowControl w:val="0"/>
        <w:kinsoku/>
        <w:wordWrap/>
        <w:overflowPunct/>
        <w:topLinePunct w:val="0"/>
        <w:autoSpaceDE/>
        <w:autoSpaceDN/>
        <w:bidi w:val="0"/>
        <w:adjustRightInd w:val="0"/>
        <w:snapToGrid w:val="0"/>
        <w:spacing w:before="0" w:beforeLines="0" w:after="0" w:afterLines="0" w:line="288" w:lineRule="auto"/>
        <w:ind w:right="0" w:rightChars="0"/>
        <w:rPr>
          <w:rFonts w:hint="eastAsia" w:ascii="宋体"/>
          <w:color w:val="auto"/>
          <w:sz w:val="21"/>
          <w:szCs w:val="21"/>
          <w:highlight w:val="none"/>
        </w:rPr>
      </w:pPr>
      <w:bookmarkStart w:id="116" w:name="_Toc7278"/>
      <w:r>
        <w:rPr>
          <w:rFonts w:hint="eastAsia" w:ascii="宋体"/>
          <w:color w:val="auto"/>
          <w:sz w:val="21"/>
          <w:szCs w:val="21"/>
          <w:highlight w:val="none"/>
        </w:rPr>
        <w:t>25.中标通知</w:t>
      </w:r>
      <w:bookmarkEnd w:id="113"/>
      <w:bookmarkEnd w:id="114"/>
      <w:bookmarkEnd w:id="115"/>
      <w:bookmarkEnd w:id="116"/>
    </w:p>
    <w:p w14:paraId="69966783">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rPr>
      </w:pPr>
      <w:r>
        <w:rPr>
          <w:rFonts w:hint="eastAsia" w:ascii="宋体" w:hAnsi="Calibri"/>
          <w:color w:val="auto"/>
          <w:szCs w:val="21"/>
          <w:highlight w:val="none"/>
        </w:rPr>
        <w:t>25.1在投标有效期内，采购机构以书面形式通知所选定的中标人。通知也可以以传真的形式发出，但需要随以书面形式最终确认。</w:t>
      </w:r>
    </w:p>
    <w:p w14:paraId="6409D831">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rPr>
      </w:pPr>
      <w:r>
        <w:rPr>
          <w:rFonts w:hint="eastAsia" w:ascii="宋体" w:hAnsi="Calibri"/>
          <w:color w:val="auto"/>
          <w:szCs w:val="21"/>
          <w:highlight w:val="none"/>
        </w:rPr>
        <w:t>25.2</w:t>
      </w:r>
      <w:r>
        <w:rPr>
          <w:rFonts w:hint="eastAsia" w:ascii="宋体" w:hAnsi="Calibri"/>
          <w:color w:val="auto"/>
          <w:szCs w:val="21"/>
          <w:highlight w:val="none"/>
          <w:lang w:val="zh-CN"/>
        </w:rPr>
        <w:t>采购代理机构将自中标通知书发出之日起5个工作日内退还未中标</w:t>
      </w:r>
      <w:r>
        <w:rPr>
          <w:rFonts w:hint="eastAsia" w:ascii="宋体"/>
          <w:color w:val="auto"/>
          <w:szCs w:val="21"/>
          <w:highlight w:val="none"/>
          <w:lang w:val="zh-CN"/>
        </w:rPr>
        <w:t>投标人</w:t>
      </w:r>
      <w:r>
        <w:rPr>
          <w:rFonts w:hint="eastAsia" w:ascii="宋体" w:hAnsi="Calibri"/>
          <w:color w:val="auto"/>
          <w:szCs w:val="21"/>
          <w:highlight w:val="none"/>
          <w:lang w:val="zh-CN"/>
        </w:rPr>
        <w:t>的投标保证金，自政府采购合同签订之日起5个工作日内退还中标</w:t>
      </w:r>
      <w:r>
        <w:rPr>
          <w:rFonts w:hint="eastAsia" w:ascii="宋体"/>
          <w:color w:val="auto"/>
          <w:szCs w:val="21"/>
          <w:highlight w:val="none"/>
          <w:lang w:val="zh-CN"/>
        </w:rPr>
        <w:t>投标人</w:t>
      </w:r>
      <w:r>
        <w:rPr>
          <w:rFonts w:hint="eastAsia" w:ascii="宋体" w:hAnsi="Calibri"/>
          <w:color w:val="auto"/>
          <w:szCs w:val="21"/>
          <w:highlight w:val="none"/>
          <w:lang w:val="zh-CN"/>
        </w:rPr>
        <w:t>的投标保证金。</w:t>
      </w:r>
    </w:p>
    <w:p w14:paraId="75A11F57">
      <w:pPr>
        <w:pStyle w:val="5"/>
        <w:pageBreakBefore w:val="0"/>
        <w:widowControl w:val="0"/>
        <w:kinsoku/>
        <w:wordWrap/>
        <w:overflowPunct/>
        <w:topLinePunct w:val="0"/>
        <w:autoSpaceDE/>
        <w:autoSpaceDN/>
        <w:bidi w:val="0"/>
        <w:adjustRightInd w:val="0"/>
        <w:snapToGrid w:val="0"/>
        <w:spacing w:line="288" w:lineRule="auto"/>
        <w:ind w:left="466" w:right="0" w:rightChars="0" w:hanging="466" w:hangingChars="221"/>
        <w:rPr>
          <w:rFonts w:hint="eastAsia" w:ascii="宋体"/>
          <w:b/>
          <w:color w:val="auto"/>
          <w:szCs w:val="21"/>
          <w:highlight w:val="none"/>
        </w:rPr>
      </w:pPr>
      <w:r>
        <w:rPr>
          <w:rFonts w:hint="eastAsia" w:ascii="宋体"/>
          <w:b/>
          <w:color w:val="auto"/>
          <w:szCs w:val="21"/>
          <w:highlight w:val="none"/>
        </w:rPr>
        <w:t>26.签订合同</w:t>
      </w:r>
    </w:p>
    <w:p w14:paraId="1CC6F794">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lang w:val="zh-CN"/>
        </w:rPr>
      </w:pPr>
      <w:r>
        <w:rPr>
          <w:rFonts w:hint="eastAsia" w:ascii="宋体" w:hAnsi="Calibri"/>
          <w:color w:val="auto"/>
          <w:szCs w:val="21"/>
          <w:highlight w:val="none"/>
          <w:lang w:val="zh-CN"/>
        </w:rPr>
        <w:t>2</w:t>
      </w:r>
      <w:r>
        <w:rPr>
          <w:rFonts w:hint="eastAsia" w:ascii="宋体" w:hAnsi="Calibri"/>
          <w:color w:val="auto"/>
          <w:szCs w:val="21"/>
          <w:highlight w:val="none"/>
        </w:rPr>
        <w:t>6</w:t>
      </w:r>
      <w:r>
        <w:rPr>
          <w:rFonts w:hint="eastAsia" w:ascii="宋体" w:hAnsi="Calibri"/>
          <w:color w:val="auto"/>
          <w:szCs w:val="21"/>
          <w:highlight w:val="none"/>
          <w:lang w:val="zh-CN"/>
        </w:rPr>
        <w:t>.1中标通知书发出后，采购单位改变中标结果的，或者中标人放弃中标项目的，应当依法承担法律责任。</w:t>
      </w:r>
    </w:p>
    <w:p w14:paraId="0F0EEFD1">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lang w:val="zh-CN"/>
        </w:rPr>
      </w:pPr>
      <w:r>
        <w:rPr>
          <w:rFonts w:hint="eastAsia" w:ascii="宋体" w:hAnsi="Calibri"/>
          <w:color w:val="auto"/>
          <w:szCs w:val="21"/>
          <w:highlight w:val="none"/>
        </w:rPr>
        <w:t>26</w:t>
      </w:r>
      <w:r>
        <w:rPr>
          <w:rFonts w:hint="eastAsia" w:ascii="宋体" w:hAnsi="Calibri"/>
          <w:color w:val="auto"/>
          <w:szCs w:val="21"/>
          <w:highlight w:val="none"/>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53DBDA08">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lang w:val="zh-CN"/>
        </w:rPr>
      </w:pPr>
      <w:r>
        <w:rPr>
          <w:rFonts w:hint="eastAsia" w:ascii="宋体" w:hAnsi="Calibri"/>
          <w:color w:val="auto"/>
          <w:szCs w:val="21"/>
          <w:highlight w:val="none"/>
          <w:lang w:val="zh-CN"/>
        </w:rPr>
        <w:t>2</w:t>
      </w:r>
      <w:r>
        <w:rPr>
          <w:rFonts w:hint="eastAsia" w:ascii="宋体" w:hAnsi="Calibri"/>
          <w:color w:val="auto"/>
          <w:szCs w:val="21"/>
          <w:highlight w:val="none"/>
        </w:rPr>
        <w:t>6</w:t>
      </w:r>
      <w:r>
        <w:rPr>
          <w:rFonts w:hint="eastAsia" w:ascii="宋体" w:hAnsi="Calibri"/>
          <w:color w:val="auto"/>
          <w:szCs w:val="21"/>
          <w:highlight w:val="none"/>
          <w:lang w:val="zh-CN"/>
        </w:rPr>
        <w:t>.3中标结果将在发布招标公告的同步网络媒介上公告，不再以书面方式通知未中标人。</w:t>
      </w:r>
    </w:p>
    <w:p w14:paraId="1495776F">
      <w:pPr>
        <w:keepNext w:val="0"/>
        <w:keepLines w:val="0"/>
        <w:pageBreakBefore w:val="0"/>
        <w:widowControl/>
        <w:kinsoku w:val="0"/>
        <w:wordWrap/>
        <w:overflowPunct/>
        <w:topLinePunct w:val="0"/>
        <w:autoSpaceDE w:val="0"/>
        <w:autoSpaceDN w:val="0"/>
        <w:bidi w:val="0"/>
        <w:adjustRightInd w:val="0"/>
        <w:snapToGrid w:val="0"/>
        <w:spacing w:line="312" w:lineRule="auto"/>
        <w:ind w:right="0"/>
        <w:jc w:val="both"/>
        <w:textAlignment w:val="baseline"/>
        <w:rPr>
          <w:rFonts w:hint="eastAsia" w:ascii="宋体"/>
          <w:color w:val="auto"/>
          <w:szCs w:val="21"/>
          <w:highlight w:val="none"/>
          <w:lang w:val="zh-CN"/>
        </w:rPr>
      </w:pPr>
      <w:r>
        <w:rPr>
          <w:rFonts w:hint="eastAsia" w:ascii="宋体"/>
          <w:b/>
          <w:color w:val="auto"/>
          <w:szCs w:val="21"/>
          <w:highlight w:val="none"/>
          <w:lang w:val="zh-CN"/>
        </w:rPr>
        <w:t>2</w:t>
      </w:r>
      <w:r>
        <w:rPr>
          <w:rFonts w:hint="eastAsia" w:ascii="宋体"/>
          <w:b/>
          <w:color w:val="auto"/>
          <w:szCs w:val="21"/>
          <w:highlight w:val="none"/>
        </w:rPr>
        <w:t>7</w:t>
      </w:r>
      <w:r>
        <w:rPr>
          <w:rFonts w:hint="eastAsia" w:ascii="宋体"/>
          <w:b/>
          <w:color w:val="auto"/>
          <w:szCs w:val="21"/>
          <w:highlight w:val="none"/>
          <w:lang w:val="zh-CN"/>
        </w:rPr>
        <w:t>.履约保证金</w:t>
      </w:r>
      <w:r>
        <w:rPr>
          <w:rFonts w:hint="eastAsia" w:ascii="宋体"/>
          <w:color w:val="auto"/>
          <w:szCs w:val="21"/>
          <w:highlight w:val="none"/>
          <w:lang w:val="zh-CN"/>
        </w:rPr>
        <w:t>:</w:t>
      </w:r>
      <w:r>
        <w:rPr>
          <w:rFonts w:hint="eastAsia" w:ascii="宋体"/>
          <w:color w:val="auto"/>
          <w:szCs w:val="21"/>
          <w:highlight w:val="none"/>
        </w:rPr>
        <w:t>详见</w:t>
      </w:r>
      <w:r>
        <w:rPr>
          <w:rFonts w:hint="eastAsia" w:ascii="宋体"/>
          <w:color w:val="auto"/>
          <w:szCs w:val="21"/>
          <w:highlight w:val="none"/>
          <w:lang w:eastAsia="zh-CN"/>
        </w:rPr>
        <w:t>投标人</w:t>
      </w:r>
      <w:r>
        <w:rPr>
          <w:rFonts w:hint="eastAsia" w:ascii="宋体"/>
          <w:color w:val="auto"/>
          <w:szCs w:val="21"/>
          <w:highlight w:val="none"/>
        </w:rPr>
        <w:t>须知附表。</w:t>
      </w:r>
      <w:r>
        <w:rPr>
          <w:rFonts w:hint="eastAsia" w:ascii="宋体" w:hAnsi="宋体" w:eastAsia="宋体" w:cs="宋体"/>
          <w:color w:val="auto"/>
          <w:spacing w:val="9"/>
          <w:sz w:val="20"/>
          <w:szCs w:val="20"/>
          <w:highlight w:val="none"/>
          <w:lang w:eastAsia="zh-CN"/>
        </w:rPr>
        <w:t>中标人接到中标通知书与采购人签订协议前,向</w:t>
      </w:r>
      <w:r>
        <w:rPr>
          <w:rFonts w:hint="eastAsia" w:ascii="宋体" w:hAnsi="宋体" w:eastAsia="宋体" w:cs="宋体"/>
          <w:color w:val="auto"/>
          <w:spacing w:val="8"/>
          <w:sz w:val="20"/>
          <w:szCs w:val="20"/>
          <w:highlight w:val="none"/>
          <w:lang w:eastAsia="zh-CN"/>
        </w:rPr>
        <w:t>采购人缴纳履约保证</w:t>
      </w:r>
      <w:r>
        <w:rPr>
          <w:rFonts w:hint="eastAsia" w:ascii="宋体" w:hAnsi="宋体" w:eastAsia="宋体" w:cs="宋体"/>
          <w:color w:val="auto"/>
          <w:spacing w:val="9"/>
          <w:sz w:val="20"/>
          <w:szCs w:val="20"/>
          <w:highlight w:val="none"/>
          <w:lang w:eastAsia="zh-CN"/>
        </w:rPr>
        <w:t>金。协议履行完毕后依据采购方验收完成情</w:t>
      </w:r>
      <w:r>
        <w:rPr>
          <w:rFonts w:hint="eastAsia" w:ascii="宋体" w:hAnsi="宋体" w:eastAsia="宋体" w:cs="宋体"/>
          <w:color w:val="auto"/>
          <w:spacing w:val="8"/>
          <w:sz w:val="20"/>
          <w:szCs w:val="20"/>
          <w:highlight w:val="none"/>
          <w:lang w:eastAsia="zh-CN"/>
        </w:rPr>
        <w:t>况返还给</w:t>
      </w:r>
      <w:r>
        <w:rPr>
          <w:rFonts w:hint="eastAsia" w:ascii="宋体" w:hAnsi="宋体" w:eastAsia="宋体" w:cs="宋体"/>
          <w:color w:val="auto"/>
          <w:spacing w:val="8"/>
          <w:sz w:val="20"/>
          <w:szCs w:val="20"/>
          <w:highlight w:val="none"/>
          <w:lang w:val="en-US" w:eastAsia="zh-CN"/>
        </w:rPr>
        <w:t>中标</w:t>
      </w:r>
      <w:r>
        <w:rPr>
          <w:rFonts w:hint="eastAsia" w:ascii="宋体" w:hAnsi="宋体" w:eastAsia="宋体" w:cs="宋体"/>
          <w:color w:val="auto"/>
          <w:spacing w:val="8"/>
          <w:sz w:val="20"/>
          <w:szCs w:val="20"/>
          <w:highlight w:val="none"/>
          <w:lang w:eastAsia="zh-CN"/>
        </w:rPr>
        <w:t>人。若出现任何违约情况，履约保证金</w:t>
      </w:r>
      <w:r>
        <w:rPr>
          <w:rFonts w:hint="eastAsia" w:ascii="宋体" w:hAnsi="宋体" w:eastAsia="宋体" w:cs="宋体"/>
          <w:color w:val="auto"/>
          <w:spacing w:val="9"/>
          <w:sz w:val="20"/>
          <w:szCs w:val="20"/>
          <w:highlight w:val="none"/>
          <w:lang w:eastAsia="zh-CN"/>
        </w:rPr>
        <w:t>全部扣收，并终止协议，造成损失的需另行支付赔偿。</w:t>
      </w:r>
    </w:p>
    <w:p w14:paraId="2A53C6D4">
      <w:pPr>
        <w:pStyle w:val="5"/>
        <w:pageBreakBefore w:val="0"/>
        <w:widowControl w:val="0"/>
        <w:kinsoku/>
        <w:wordWrap/>
        <w:overflowPunct/>
        <w:topLinePunct w:val="0"/>
        <w:autoSpaceDE/>
        <w:autoSpaceDN/>
        <w:bidi w:val="0"/>
        <w:adjustRightInd w:val="0"/>
        <w:snapToGrid w:val="0"/>
        <w:spacing w:line="288" w:lineRule="auto"/>
        <w:ind w:left="466" w:right="0" w:rightChars="0" w:hanging="466" w:hangingChars="221"/>
        <w:rPr>
          <w:rFonts w:hint="eastAsia" w:ascii="宋体"/>
          <w:b/>
          <w:color w:val="auto"/>
          <w:szCs w:val="21"/>
          <w:highlight w:val="none"/>
          <w:lang w:val="zh-CN"/>
        </w:rPr>
      </w:pPr>
      <w:r>
        <w:rPr>
          <w:rFonts w:hint="eastAsia" w:ascii="宋体"/>
          <w:b/>
          <w:color w:val="auto"/>
          <w:szCs w:val="21"/>
          <w:highlight w:val="none"/>
          <w:lang w:val="zh-CN"/>
        </w:rPr>
        <w:t>2</w:t>
      </w:r>
      <w:r>
        <w:rPr>
          <w:rFonts w:hint="eastAsia" w:ascii="宋体"/>
          <w:b/>
          <w:color w:val="auto"/>
          <w:szCs w:val="21"/>
          <w:highlight w:val="none"/>
        </w:rPr>
        <w:t>8</w:t>
      </w:r>
      <w:r>
        <w:rPr>
          <w:rFonts w:hint="eastAsia" w:ascii="宋体"/>
          <w:b/>
          <w:color w:val="auto"/>
          <w:szCs w:val="21"/>
          <w:highlight w:val="none"/>
          <w:lang w:val="zh-CN"/>
        </w:rPr>
        <w:t>.保密和披露</w:t>
      </w:r>
    </w:p>
    <w:p w14:paraId="550E767D">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lang w:val="zh-CN"/>
        </w:rPr>
      </w:pPr>
      <w:r>
        <w:rPr>
          <w:rFonts w:hint="eastAsia" w:ascii="宋体" w:hAnsi="Calibri"/>
          <w:color w:val="auto"/>
          <w:szCs w:val="21"/>
          <w:highlight w:val="none"/>
          <w:lang w:val="zh-CN"/>
        </w:rPr>
        <w:t>2</w:t>
      </w:r>
      <w:r>
        <w:rPr>
          <w:rFonts w:hint="eastAsia" w:ascii="宋体" w:hAnsi="Calibri"/>
          <w:color w:val="auto"/>
          <w:szCs w:val="21"/>
          <w:highlight w:val="none"/>
        </w:rPr>
        <w:t>8</w:t>
      </w:r>
      <w:r>
        <w:rPr>
          <w:rFonts w:hint="eastAsia" w:ascii="宋体" w:hAnsi="Calibri"/>
          <w:color w:val="auto"/>
          <w:szCs w:val="21"/>
          <w:highlight w:val="none"/>
          <w:lang w:val="zh-CN"/>
        </w:rPr>
        <w:t>.1采购代理机构有权将投标人提供的所有资料向其他政府部门或有关的非政府机构负责评审标书的人员或与评标有关的人员披露。</w:t>
      </w:r>
    </w:p>
    <w:p w14:paraId="28D551C9">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lang w:val="zh-CN"/>
        </w:rPr>
      </w:pPr>
      <w:r>
        <w:rPr>
          <w:rFonts w:hint="eastAsia" w:ascii="宋体" w:hAnsi="Calibri"/>
          <w:color w:val="auto"/>
          <w:szCs w:val="21"/>
          <w:highlight w:val="none"/>
        </w:rPr>
        <w:t>28</w:t>
      </w:r>
      <w:r>
        <w:rPr>
          <w:rFonts w:hint="eastAsia" w:ascii="宋体" w:hAnsi="Calibri"/>
          <w:color w:val="auto"/>
          <w:szCs w:val="21"/>
          <w:highlight w:val="none"/>
          <w:lang w:val="zh-CN"/>
        </w:rPr>
        <w:t>.2在下列情形下：当发布中标公告和其它公告时，当国家机关调查、审查、审计时，以及在其他符合法律规定的情形下，采购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8A48E8D">
      <w:pPr>
        <w:keepNext w:val="0"/>
        <w:keepLines w:val="0"/>
        <w:pageBreakBefore w:val="0"/>
        <w:widowControl w:val="0"/>
        <w:kinsoku/>
        <w:wordWrap/>
        <w:overflowPunct/>
        <w:topLinePunct w:val="0"/>
        <w:autoSpaceDE/>
        <w:autoSpaceDN/>
        <w:bidi w:val="0"/>
        <w:adjustRightInd w:val="0"/>
        <w:snapToGrid w:val="0"/>
        <w:spacing w:line="288" w:lineRule="auto"/>
        <w:ind w:right="0" w:rightChars="0"/>
        <w:textAlignment w:val="auto"/>
        <w:outlineLvl w:val="9"/>
        <w:rPr>
          <w:rFonts w:hint="eastAsia" w:ascii="宋体" w:cs="宋体"/>
          <w:b/>
          <w:bCs/>
          <w:color w:val="auto"/>
          <w:sz w:val="24"/>
          <w:highlight w:val="none"/>
        </w:rPr>
      </w:pPr>
      <w:bookmarkStart w:id="117" w:name="_Toc30519"/>
      <w:bookmarkStart w:id="118" w:name="_Toc20176"/>
      <w:r>
        <w:rPr>
          <w:rFonts w:hint="eastAsia" w:ascii="宋体" w:cs="宋体"/>
          <w:b/>
          <w:bCs/>
          <w:color w:val="auto"/>
          <w:sz w:val="24"/>
          <w:highlight w:val="none"/>
        </w:rPr>
        <w:t>29、质疑和投诉</w:t>
      </w:r>
      <w:bookmarkEnd w:id="117"/>
      <w:bookmarkEnd w:id="118"/>
    </w:p>
    <w:p w14:paraId="295109D2">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rPr>
      </w:pPr>
      <w:r>
        <w:rPr>
          <w:rFonts w:hint="eastAsia" w:ascii="宋体" w:hAnsi="Calibri"/>
          <w:color w:val="auto"/>
          <w:szCs w:val="21"/>
          <w:highlight w:val="none"/>
        </w:rPr>
        <w:t>29.1投标人认为招标文件、招标过程和中标结果使自己的合法权益受到损害的，应当在知道或者应知其权益受到损害之日起七个工作日内，向招标方提出质疑。投标人对采购代理机构的质疑答复不满意或者采购代理机构未在规定时间内作出答复的，可以在答复期满后十五个工作日内向同级采购监管部门投诉。</w:t>
      </w:r>
    </w:p>
    <w:p w14:paraId="3DA5C978">
      <w:pPr>
        <w:pStyle w:val="5"/>
        <w:pageBreakBefore w:val="0"/>
        <w:widowControl w:val="0"/>
        <w:kinsoku/>
        <w:wordWrap/>
        <w:overflowPunct/>
        <w:topLinePunct w:val="0"/>
        <w:autoSpaceDE/>
        <w:autoSpaceDN/>
        <w:bidi w:val="0"/>
        <w:adjustRightInd w:val="0"/>
        <w:snapToGrid w:val="0"/>
        <w:spacing w:line="288" w:lineRule="auto"/>
        <w:ind w:right="0" w:rightChars="0" w:firstLine="464" w:firstLineChars="221"/>
        <w:rPr>
          <w:rFonts w:hint="eastAsia" w:ascii="宋体" w:hAnsi="Calibri"/>
          <w:color w:val="auto"/>
          <w:szCs w:val="21"/>
          <w:highlight w:val="none"/>
        </w:rPr>
      </w:pPr>
      <w:r>
        <w:rPr>
          <w:rFonts w:hint="eastAsia" w:ascii="宋体" w:hAnsi="Calibri"/>
          <w:color w:val="auto"/>
          <w:szCs w:val="21"/>
          <w:highlight w:val="none"/>
        </w:rPr>
        <w:t>29.2质疑书、投诉书均应明确阐述招标文件、招标过程和中标结果中使自己合法权益受到损害的实质性内容，提供相关事实、依据和证据及其来源或线索，便于有关单位调查、答复和处理。</w:t>
      </w:r>
    </w:p>
    <w:p w14:paraId="30B7EE00">
      <w:pPr>
        <w:pStyle w:val="3"/>
        <w:bidi w:val="0"/>
        <w:rPr>
          <w:rFonts w:hint="eastAsia" w:ascii="宋体" w:hAnsi="宋体" w:eastAsia="宋体" w:cs="宋体"/>
          <w:color w:val="auto"/>
          <w:highlight w:val="none"/>
          <w:lang w:eastAsia="zh-CN"/>
        </w:rPr>
      </w:pPr>
    </w:p>
    <w:p w14:paraId="33691B05">
      <w:pPr>
        <w:pStyle w:val="3"/>
        <w:bidi w:val="0"/>
        <w:rPr>
          <w:rFonts w:hint="eastAsia" w:ascii="宋体" w:hAnsi="宋体" w:eastAsia="宋体" w:cs="宋体"/>
          <w:color w:val="auto"/>
          <w:highlight w:val="none"/>
          <w:lang w:eastAsia="zh-CN"/>
        </w:rPr>
      </w:pPr>
    </w:p>
    <w:p w14:paraId="72350C06">
      <w:pPr>
        <w:pStyle w:val="3"/>
        <w:bidi w:val="0"/>
        <w:rPr>
          <w:rFonts w:hint="eastAsia" w:ascii="宋体" w:hAnsi="宋体" w:eastAsia="宋体" w:cs="宋体"/>
          <w:color w:val="auto"/>
          <w:highlight w:val="none"/>
          <w:lang w:eastAsia="zh-CN"/>
        </w:rPr>
      </w:pPr>
    </w:p>
    <w:p w14:paraId="2C993C7C">
      <w:pPr>
        <w:pStyle w:val="3"/>
        <w:bidi w:val="0"/>
        <w:rPr>
          <w:rFonts w:hint="eastAsia" w:ascii="宋体" w:hAnsi="宋体" w:eastAsia="宋体" w:cs="宋体"/>
          <w:color w:val="auto"/>
          <w:highlight w:val="none"/>
          <w:lang w:eastAsia="zh-CN"/>
        </w:rPr>
      </w:pPr>
    </w:p>
    <w:p w14:paraId="3239811F">
      <w:pPr>
        <w:pStyle w:val="3"/>
        <w:bidi w:val="0"/>
        <w:rPr>
          <w:rFonts w:hint="eastAsia" w:ascii="宋体" w:hAnsi="宋体" w:eastAsia="宋体" w:cs="宋体"/>
          <w:color w:val="auto"/>
          <w:highlight w:val="none"/>
          <w:lang w:eastAsia="zh-CN"/>
        </w:rPr>
      </w:pPr>
    </w:p>
    <w:p w14:paraId="57AB1BE0">
      <w:pPr>
        <w:pStyle w:val="3"/>
        <w:bidi w:val="0"/>
        <w:rPr>
          <w:rFonts w:hint="eastAsia" w:ascii="宋体" w:hAnsi="宋体" w:eastAsia="宋体" w:cs="宋体"/>
          <w:color w:val="auto"/>
          <w:highlight w:val="none"/>
          <w:lang w:eastAsia="zh-CN"/>
        </w:rPr>
      </w:pPr>
    </w:p>
    <w:p w14:paraId="45408304">
      <w:pPr>
        <w:rPr>
          <w:rFonts w:hint="eastAsia"/>
          <w:color w:val="auto"/>
          <w:highlight w:val="none"/>
          <w:lang w:eastAsia="zh-CN"/>
        </w:rPr>
      </w:pPr>
    </w:p>
    <w:p w14:paraId="6BEA445F">
      <w:pPr>
        <w:pStyle w:val="3"/>
        <w:bidi w:val="0"/>
        <w:rPr>
          <w:rFonts w:hint="eastAsia" w:ascii="宋体" w:hAnsi="宋体" w:eastAsia="宋体" w:cs="宋体"/>
          <w:color w:val="auto"/>
          <w:highlight w:val="none"/>
          <w:lang w:eastAsia="zh-CN"/>
        </w:rPr>
      </w:pPr>
    </w:p>
    <w:p w14:paraId="5450A44C">
      <w:pPr>
        <w:rPr>
          <w:rFonts w:hint="eastAsia" w:ascii="宋体" w:hAnsi="宋体" w:eastAsia="宋体" w:cs="宋体"/>
          <w:color w:val="auto"/>
          <w:highlight w:val="none"/>
          <w:lang w:eastAsia="zh-CN"/>
        </w:rPr>
      </w:pPr>
    </w:p>
    <w:p w14:paraId="6F8A8371">
      <w:pPr>
        <w:pStyle w:val="2"/>
        <w:numPr>
          <w:ilvl w:val="0"/>
          <w:numId w:val="0"/>
        </w:numPr>
        <w:rPr>
          <w:rFonts w:hint="eastAsia"/>
          <w:color w:val="auto"/>
          <w:highlight w:val="none"/>
          <w:lang w:eastAsia="zh-CN"/>
        </w:rPr>
      </w:pPr>
    </w:p>
    <w:p w14:paraId="5FEC1B54">
      <w:pPr>
        <w:pStyle w:val="2"/>
        <w:numPr>
          <w:ilvl w:val="0"/>
          <w:numId w:val="0"/>
        </w:numPr>
        <w:rPr>
          <w:rFonts w:hint="eastAsia"/>
          <w:color w:val="auto"/>
          <w:highlight w:val="none"/>
          <w:lang w:eastAsia="zh-CN"/>
        </w:rPr>
      </w:pPr>
    </w:p>
    <w:p w14:paraId="1CCBD706">
      <w:pPr>
        <w:pStyle w:val="2"/>
        <w:numPr>
          <w:ilvl w:val="0"/>
          <w:numId w:val="0"/>
        </w:numPr>
        <w:rPr>
          <w:rFonts w:hint="eastAsia"/>
          <w:color w:val="auto"/>
          <w:highlight w:val="none"/>
          <w:lang w:eastAsia="zh-CN"/>
        </w:rPr>
      </w:pPr>
    </w:p>
    <w:p w14:paraId="594A4284">
      <w:pPr>
        <w:pStyle w:val="3"/>
        <w:bidi w:val="0"/>
        <w:rPr>
          <w:rFonts w:hint="eastAsia" w:ascii="宋体" w:hAnsi="宋体" w:eastAsia="宋体" w:cs="宋体"/>
          <w:color w:val="auto"/>
          <w:highlight w:val="none"/>
          <w:lang w:eastAsia="zh-CN"/>
        </w:rPr>
      </w:pPr>
      <w:bookmarkStart w:id="119" w:name="_Toc17054"/>
      <w:r>
        <w:rPr>
          <w:rFonts w:hint="eastAsia" w:ascii="宋体" w:hAnsi="宋体" w:eastAsia="宋体" w:cs="宋体"/>
          <w:color w:val="auto"/>
          <w:highlight w:val="none"/>
          <w:lang w:eastAsia="zh-CN"/>
        </w:rPr>
        <w:t>第三部分评标办法</w:t>
      </w:r>
      <w:bookmarkEnd w:id="119"/>
    </w:p>
    <w:p w14:paraId="065B58D7">
      <w:pPr>
        <w:spacing w:before="140" w:line="468" w:lineRule="exact"/>
        <w:ind w:left="334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20"/>
          <w:sz w:val="20"/>
          <w:szCs w:val="20"/>
          <w:highlight w:val="none"/>
          <w:lang w:eastAsia="zh-CN"/>
        </w:rPr>
        <w:t>（本项目采用综合评分法）</w:t>
      </w:r>
    </w:p>
    <w:p w14:paraId="703F5D64">
      <w:pPr>
        <w:spacing w:line="227" w:lineRule="auto"/>
        <w:ind w:left="417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评标办法</w:t>
      </w:r>
    </w:p>
    <w:p w14:paraId="15AD54FF">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按照国家相关部门的规定，遵循公开、公平、公正和诚实信用的原则，结合本招标项目的实际情</w:t>
      </w:r>
    </w:p>
    <w:p w14:paraId="4A54C384">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况，制定本招标项目评标办法。</w:t>
      </w:r>
    </w:p>
    <w:p w14:paraId="7247F2E2">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2DB4CB92">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outlineLvl w:val="1"/>
        <w:rPr>
          <w:rFonts w:hint="eastAsia" w:ascii="宋体" w:hAnsi="宋体" w:eastAsia="宋体" w:cs="宋体"/>
          <w:color w:val="auto"/>
          <w:sz w:val="20"/>
          <w:szCs w:val="20"/>
          <w:highlight w:val="none"/>
          <w:lang w:eastAsia="zh-CN"/>
        </w:rPr>
      </w:pPr>
      <w:bookmarkStart w:id="120" w:name="_Toc9098"/>
      <w:bookmarkStart w:id="121" w:name="_Toc10697"/>
      <w:r>
        <w:rPr>
          <w:rFonts w:hint="eastAsia" w:ascii="宋体" w:hAnsi="宋体" w:eastAsia="宋体" w:cs="宋体"/>
          <w:b/>
          <w:bCs/>
          <w:color w:val="auto"/>
          <w:spacing w:val="-3"/>
          <w:sz w:val="20"/>
          <w:szCs w:val="20"/>
          <w:highlight w:val="none"/>
          <w:lang w:eastAsia="zh-CN"/>
        </w:rPr>
        <w:t>一、评标程序</w:t>
      </w:r>
      <w:bookmarkEnd w:id="120"/>
      <w:bookmarkEnd w:id="121"/>
    </w:p>
    <w:p w14:paraId="5C5AF577">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738050DD">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6"/>
          <w:sz w:val="20"/>
          <w:szCs w:val="20"/>
          <w:highlight w:val="none"/>
          <w:lang w:eastAsia="zh-CN"/>
        </w:rPr>
        <w:t>（一）组成评标委员会</w:t>
      </w:r>
    </w:p>
    <w:p w14:paraId="00A8604E">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2AFF4348">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18"/>
        <w:jc w:val="both"/>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按照国家有关部委及省、市的相关规定，由相</w:t>
      </w:r>
      <w:r>
        <w:rPr>
          <w:rFonts w:hint="eastAsia" w:ascii="宋体" w:hAnsi="宋体" w:eastAsia="宋体" w:cs="宋体"/>
          <w:color w:val="auto"/>
          <w:spacing w:val="10"/>
          <w:sz w:val="20"/>
          <w:szCs w:val="20"/>
          <w:highlight w:val="none"/>
          <w:lang w:eastAsia="zh-CN"/>
        </w:rPr>
        <w:t>关专业经济、技术等方面的专家共5人组成评标委员会。</w:t>
      </w:r>
      <w:r>
        <w:rPr>
          <w:rFonts w:hint="eastAsia" w:ascii="宋体" w:hAnsi="宋体" w:eastAsia="宋体" w:cs="宋体"/>
          <w:color w:val="auto"/>
          <w:spacing w:val="9"/>
          <w:sz w:val="20"/>
          <w:szCs w:val="20"/>
          <w:highlight w:val="none"/>
          <w:lang w:eastAsia="zh-CN"/>
        </w:rPr>
        <w:t>为保证评标工作的顺利进行，推荐一名评委</w:t>
      </w:r>
      <w:r>
        <w:rPr>
          <w:rFonts w:hint="eastAsia" w:ascii="宋体" w:hAnsi="宋体" w:eastAsia="宋体" w:cs="宋体"/>
          <w:color w:val="auto"/>
          <w:spacing w:val="8"/>
          <w:sz w:val="20"/>
          <w:szCs w:val="20"/>
          <w:highlight w:val="none"/>
          <w:lang w:eastAsia="zh-CN"/>
        </w:rPr>
        <w:t>担任评委会主任，负责评标全面工作。</w:t>
      </w:r>
    </w:p>
    <w:p w14:paraId="0967606C">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6953B7D0">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5"/>
          <w:sz w:val="20"/>
          <w:szCs w:val="20"/>
          <w:highlight w:val="none"/>
          <w:lang w:eastAsia="zh-CN"/>
        </w:rPr>
        <w:t>（二）评标工作</w:t>
      </w:r>
    </w:p>
    <w:p w14:paraId="0E87DB0B">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58C70F1E">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评标本着客观公正、公平竞争、择优推荐、规范合法的原则进行。评标工作分为资格审查、初步</w:t>
      </w:r>
    </w:p>
    <w:p w14:paraId="75F61F25">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评审和详细评审三个步骤。</w:t>
      </w:r>
    </w:p>
    <w:p w14:paraId="1C31F2B2">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1.资格审查。采购人或代理机构对各投标人的资格进行审查。资格审查合格的投标人</w:t>
      </w:r>
      <w:r>
        <w:rPr>
          <w:rFonts w:hint="eastAsia" w:ascii="宋体" w:hAnsi="宋体" w:eastAsia="宋体" w:cs="宋体"/>
          <w:color w:val="auto"/>
          <w:spacing w:val="7"/>
          <w:position w:val="20"/>
          <w:sz w:val="20"/>
          <w:szCs w:val="20"/>
          <w:highlight w:val="none"/>
          <w:lang w:eastAsia="zh-CN"/>
        </w:rPr>
        <w:t>方可进入符</w:t>
      </w:r>
    </w:p>
    <w:p w14:paraId="36BD1D52">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eastAsia="zh-CN"/>
        </w:rPr>
        <w:t>合性审查。</w:t>
      </w:r>
    </w:p>
    <w:p w14:paraId="782FC7D2">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2.符合性审查。评委会对投标人的投标文件进行符合性鉴定。符合性审查合格的投标人方可进入</w:t>
      </w:r>
    </w:p>
    <w:p w14:paraId="680037A7">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eastAsia="zh-CN"/>
        </w:rPr>
        <w:t>详细评审。</w:t>
      </w:r>
    </w:p>
    <w:p w14:paraId="0A393FE1">
      <w:pPr>
        <w:keepNext w:val="0"/>
        <w:keepLines w:val="0"/>
        <w:pageBreakBefore w:val="0"/>
        <w:widowControl/>
        <w:kinsoku w:val="0"/>
        <w:wordWrap/>
        <w:overflowPunct/>
        <w:topLinePunct w:val="0"/>
        <w:autoSpaceDE w:val="0"/>
        <w:autoSpaceDN w:val="0"/>
        <w:bidi w:val="0"/>
        <w:adjustRightInd w:val="0"/>
        <w:snapToGrid w:val="0"/>
        <w:spacing w:line="312" w:lineRule="auto"/>
        <w:ind w:left="0" w:right="0"/>
        <w:jc w:val="righ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position w:val="20"/>
          <w:sz w:val="20"/>
          <w:szCs w:val="20"/>
          <w:highlight w:val="none"/>
          <w:lang w:eastAsia="zh-CN"/>
        </w:rPr>
        <w:t>3.详细评审。详细评审采用综合评分法。评委依据评标办法分别对各投标人的投标文件进行评审、</w:t>
      </w:r>
    </w:p>
    <w:p w14:paraId="083ECFC5">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
          <w:sz w:val="20"/>
          <w:szCs w:val="20"/>
          <w:highlight w:val="none"/>
          <w:lang w:eastAsia="zh-CN"/>
        </w:rPr>
        <w:t>赋分。</w:t>
      </w:r>
    </w:p>
    <w:p w14:paraId="669C9C86">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21C242C0">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5"/>
          <w:sz w:val="20"/>
          <w:szCs w:val="20"/>
          <w:highlight w:val="none"/>
          <w:lang w:eastAsia="zh-CN"/>
        </w:rPr>
        <w:t>（三）询标（必要时）</w:t>
      </w:r>
    </w:p>
    <w:p w14:paraId="27D92CEB">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评标委员会对投标文件需要澄清的问题，采用集体询标方式进行。</w:t>
      </w:r>
    </w:p>
    <w:p w14:paraId="64C03A6F">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60FE22B3">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6"/>
          <w:sz w:val="20"/>
          <w:szCs w:val="20"/>
          <w:highlight w:val="none"/>
          <w:lang w:eastAsia="zh-CN"/>
        </w:rPr>
        <w:t>（四）确定中标人</w:t>
      </w:r>
    </w:p>
    <w:p w14:paraId="4F4FDC8E">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0E329738">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6"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按最终综合得分由高到低的顺序推荐中标候选</w:t>
      </w:r>
      <w:r>
        <w:rPr>
          <w:rFonts w:hint="eastAsia" w:ascii="宋体" w:hAnsi="宋体" w:eastAsia="宋体" w:cs="宋体"/>
          <w:color w:val="auto"/>
          <w:spacing w:val="8"/>
          <w:sz w:val="20"/>
          <w:szCs w:val="20"/>
          <w:highlight w:val="none"/>
          <w:lang w:eastAsia="zh-CN"/>
        </w:rPr>
        <w:t>人3家。</w:t>
      </w:r>
    </w:p>
    <w:p w14:paraId="3A05AFB6">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42CCE1AD">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5"/>
          <w:sz w:val="20"/>
          <w:szCs w:val="20"/>
          <w:highlight w:val="none"/>
          <w:lang w:eastAsia="zh-CN"/>
        </w:rPr>
        <w:t>（五）评标报告</w:t>
      </w:r>
    </w:p>
    <w:p w14:paraId="27A943D7">
      <w:pPr>
        <w:pStyle w:val="8"/>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highlight w:val="none"/>
          <w:lang w:eastAsia="zh-CN"/>
        </w:rPr>
      </w:pPr>
    </w:p>
    <w:p w14:paraId="39224560">
      <w:pPr>
        <w:keepNext w:val="0"/>
        <w:keepLines w:val="0"/>
        <w:pageBreakBefore w:val="0"/>
        <w:widowControl/>
        <w:kinsoku w:val="0"/>
        <w:wordWrap/>
        <w:overflowPunct/>
        <w:topLinePunct w:val="0"/>
        <w:autoSpaceDE w:val="0"/>
        <w:autoSpaceDN w:val="0"/>
        <w:bidi w:val="0"/>
        <w:adjustRightInd w:val="0"/>
        <w:snapToGrid w:val="0"/>
        <w:spacing w:line="312" w:lineRule="auto"/>
        <w:ind w:left="0" w:right="0" w:firstLine="432" w:firstLineChars="2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评标工作结束时，评委会将本项目综合评审结果向采购人提交书面“</w:t>
      </w:r>
      <w:r>
        <w:rPr>
          <w:rFonts w:hint="eastAsia" w:ascii="宋体" w:hAnsi="宋体" w:eastAsia="宋体" w:cs="宋体"/>
          <w:color w:val="auto"/>
          <w:spacing w:val="7"/>
          <w:position w:val="20"/>
          <w:sz w:val="20"/>
          <w:szCs w:val="20"/>
          <w:highlight w:val="none"/>
          <w:lang w:eastAsia="zh-CN"/>
        </w:rPr>
        <w:t>评标报告”，各评委对评标</w:t>
      </w:r>
    </w:p>
    <w:p w14:paraId="1F81261B">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报告内容讨论通过后，在“评标报告”上签字，对评标结果予以确认。</w:t>
      </w:r>
    </w:p>
    <w:p w14:paraId="5DABA2D9">
      <w:pPr>
        <w:keepNext w:val="0"/>
        <w:keepLines w:val="0"/>
        <w:pageBreakBefore w:val="0"/>
        <w:widowControl/>
        <w:kinsoku w:val="0"/>
        <w:wordWrap/>
        <w:overflowPunct/>
        <w:topLinePunct w:val="0"/>
        <w:autoSpaceDE w:val="0"/>
        <w:autoSpaceDN w:val="0"/>
        <w:bidi w:val="0"/>
        <w:adjustRightInd w:val="0"/>
        <w:snapToGrid w:val="0"/>
        <w:spacing w:line="312" w:lineRule="auto"/>
        <w:ind w:left="0" w:right="0"/>
        <w:textAlignment w:val="baseline"/>
        <w:rPr>
          <w:rFonts w:hint="eastAsia" w:ascii="宋体" w:hAnsi="宋体" w:eastAsia="宋体" w:cs="宋体"/>
          <w:color w:val="auto"/>
          <w:sz w:val="20"/>
          <w:szCs w:val="20"/>
          <w:highlight w:val="none"/>
          <w:lang w:eastAsia="zh-CN"/>
        </w:rPr>
        <w:sectPr>
          <w:pgSz w:w="11906" w:h="16839"/>
          <w:pgMar w:top="1309" w:right="1291" w:bottom="0" w:left="1367" w:header="0" w:footer="737" w:gutter="0"/>
          <w:pgNumType w:fmt="decimal"/>
          <w:cols w:space="720" w:num="1"/>
        </w:sectPr>
      </w:pPr>
    </w:p>
    <w:p w14:paraId="66453844">
      <w:pPr>
        <w:spacing w:before="65" w:line="228" w:lineRule="auto"/>
        <w:ind w:left="3804"/>
        <w:outlineLvl w:val="1"/>
        <w:rPr>
          <w:rFonts w:hint="eastAsia" w:ascii="宋体" w:hAnsi="宋体" w:eastAsia="宋体" w:cs="宋体"/>
          <w:color w:val="auto"/>
          <w:sz w:val="20"/>
          <w:szCs w:val="20"/>
          <w:highlight w:val="none"/>
          <w:lang w:eastAsia="zh-CN"/>
        </w:rPr>
      </w:pPr>
      <w:bookmarkStart w:id="122" w:name="_Toc10144"/>
      <w:bookmarkStart w:id="123" w:name="_Toc10243"/>
      <w:bookmarkStart w:id="124" w:name="_Toc298830021"/>
      <w:bookmarkStart w:id="125" w:name="_Toc384307748"/>
      <w:bookmarkStart w:id="126" w:name="_Toc298920130"/>
      <w:bookmarkStart w:id="127" w:name="_Toc298829779"/>
      <w:bookmarkStart w:id="128" w:name="_Toc343857078"/>
      <w:bookmarkStart w:id="129" w:name="_Toc350418066"/>
      <w:bookmarkStart w:id="130" w:name="_Toc10344"/>
      <w:bookmarkStart w:id="131" w:name="_Toc297209475"/>
      <w:bookmarkStart w:id="132" w:name="_Toc298190442"/>
      <w:bookmarkStart w:id="133" w:name="_Toc299108445"/>
      <w:r>
        <w:rPr>
          <w:rFonts w:hint="eastAsia" w:ascii="宋体" w:hAnsi="宋体" w:eastAsia="宋体" w:cs="宋体"/>
          <w:b/>
          <w:bCs/>
          <w:color w:val="auto"/>
          <w:spacing w:val="-4"/>
          <w:sz w:val="20"/>
          <w:szCs w:val="20"/>
          <w:highlight w:val="none"/>
          <w:lang w:eastAsia="zh-CN"/>
        </w:rPr>
        <w:t>二、评标办法</w:t>
      </w:r>
      <w:bookmarkEnd w:id="122"/>
      <w:bookmarkEnd w:id="123"/>
    </w:p>
    <w:p w14:paraId="7B8B1E5B">
      <w:pPr>
        <w:spacing w:before="284" w:line="219" w:lineRule="auto"/>
        <w:ind w:left="11"/>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（一）资格审查</w:t>
      </w:r>
    </w:p>
    <w:p w14:paraId="61FFD4E3">
      <w:pPr>
        <w:spacing w:before="105" w:line="219" w:lineRule="auto"/>
        <w:ind w:left="4001"/>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资格审查表</w:t>
      </w:r>
    </w:p>
    <w:tbl>
      <w:tblPr>
        <w:tblStyle w:val="22"/>
        <w:tblW w:w="964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623"/>
        <w:gridCol w:w="7017"/>
      </w:tblGrid>
      <w:tr w14:paraId="3BCFE9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567" w:hRule="atLeast"/>
        </w:trPr>
        <w:tc>
          <w:tcPr>
            <w:tcW w:w="2623" w:type="dxa"/>
            <w:vAlign w:val="center"/>
          </w:tcPr>
          <w:p w14:paraId="14A73ECB">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评 审 因 素</w:t>
            </w:r>
          </w:p>
        </w:tc>
        <w:tc>
          <w:tcPr>
            <w:tcW w:w="7017" w:type="dxa"/>
            <w:vAlign w:val="center"/>
          </w:tcPr>
          <w:p w14:paraId="7791F2D9">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评 审 标 准</w:t>
            </w:r>
          </w:p>
        </w:tc>
      </w:tr>
      <w:tr w14:paraId="511752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2D7C3A74">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lang w:val="zh-CN"/>
              </w:rPr>
              <w:t>营业执照</w:t>
            </w:r>
          </w:p>
        </w:tc>
        <w:tc>
          <w:tcPr>
            <w:tcW w:w="7017" w:type="dxa"/>
            <w:vAlign w:val="center"/>
          </w:tcPr>
          <w:p w14:paraId="0020147D">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lang w:val="zh-CN"/>
              </w:rPr>
              <w:t>具备有效的营业执照副本</w:t>
            </w:r>
            <w:r>
              <w:rPr>
                <w:rFonts w:hint="eastAsia" w:ascii="宋体" w:hAnsi="宋体" w:cs="宋体"/>
                <w:bCs/>
                <w:color w:val="auto"/>
                <w:sz w:val="20"/>
                <w:szCs w:val="20"/>
                <w:highlight w:val="none"/>
                <w:lang w:val="zh-CN"/>
              </w:rPr>
              <w:t>。</w:t>
            </w:r>
            <w:r>
              <w:rPr>
                <w:rFonts w:hint="eastAsia" w:ascii="宋体" w:hAnsi="宋体" w:eastAsia="宋体" w:cs="宋体"/>
                <w:b/>
                <w:bCs/>
                <w:color w:val="auto"/>
                <w:sz w:val="20"/>
                <w:szCs w:val="20"/>
                <w:highlight w:val="none"/>
                <w:lang w:val="zh-CN"/>
              </w:rPr>
              <w:t>（标书内附复印件加盖公章）</w:t>
            </w:r>
          </w:p>
        </w:tc>
      </w:tr>
      <w:tr w14:paraId="2AC557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3E2BC95D">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lang w:val="zh-CN"/>
              </w:rPr>
              <w:t>财务要求</w:t>
            </w:r>
          </w:p>
        </w:tc>
        <w:tc>
          <w:tcPr>
            <w:tcW w:w="7017" w:type="dxa"/>
            <w:vAlign w:val="center"/>
          </w:tcPr>
          <w:p w14:paraId="297D0598">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提供</w:t>
            </w:r>
            <w:r>
              <w:rPr>
                <w:rFonts w:hint="eastAsia" w:ascii="宋体" w:hAnsi="宋体" w:eastAsia="宋体" w:cs="宋体"/>
                <w:color w:val="auto"/>
                <w:sz w:val="20"/>
                <w:szCs w:val="20"/>
                <w:highlight w:val="none"/>
                <w:lang w:val="en-US" w:eastAsia="zh-CN"/>
              </w:rPr>
              <w:t>202</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en-US" w:eastAsia="zh-CN"/>
              </w:rPr>
              <w:t>年</w:t>
            </w:r>
            <w:r>
              <w:rPr>
                <w:rFonts w:hint="eastAsia" w:ascii="宋体" w:hAnsi="宋体" w:eastAsia="宋体" w:cs="宋体"/>
                <w:color w:val="auto"/>
                <w:sz w:val="20"/>
                <w:szCs w:val="20"/>
                <w:highlight w:val="none"/>
                <w:lang w:val="zh-CN"/>
              </w:rPr>
              <w:t>经审计的财务审计报告（若为20</w:t>
            </w:r>
            <w:r>
              <w:rPr>
                <w:rFonts w:hint="eastAsia" w:ascii="宋体" w:hAnsi="宋体" w:eastAsia="宋体" w:cs="宋体"/>
                <w:color w:val="auto"/>
                <w:sz w:val="20"/>
                <w:szCs w:val="20"/>
                <w:highlight w:val="none"/>
              </w:rPr>
              <w:t>2</w:t>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lang w:val="zh-CN"/>
              </w:rPr>
              <w:t>年后成立公司可提供自成立之日起至今的财务报表</w:t>
            </w:r>
            <w:r>
              <w:rPr>
                <w:rFonts w:hint="eastAsia" w:ascii="宋体" w:hAnsi="宋体" w:eastAsia="宋体" w:cs="宋体"/>
                <w:color w:val="auto"/>
                <w:sz w:val="20"/>
                <w:szCs w:val="20"/>
                <w:highlight w:val="none"/>
                <w:lang w:val="en-US" w:eastAsia="zh-CN"/>
              </w:rPr>
              <w:t>或近三个月内基本银行账户开具的资信证明</w:t>
            </w:r>
            <w:r>
              <w:rPr>
                <w:rFonts w:hint="eastAsia" w:ascii="宋体" w:hAnsi="宋体" w:eastAsia="宋体" w:cs="宋体"/>
                <w:color w:val="auto"/>
                <w:sz w:val="20"/>
                <w:szCs w:val="20"/>
                <w:highlight w:val="none"/>
                <w:lang w:val="zh-CN"/>
              </w:rPr>
              <w:t>）</w:t>
            </w:r>
            <w:r>
              <w:rPr>
                <w:rFonts w:hint="eastAsia" w:ascii="宋体" w:hAnsi="宋体" w:eastAsia="宋体" w:cs="宋体"/>
                <w:b/>
                <w:bCs/>
                <w:color w:val="auto"/>
                <w:sz w:val="20"/>
                <w:szCs w:val="20"/>
                <w:highlight w:val="none"/>
                <w:lang w:val="zh-CN"/>
              </w:rPr>
              <w:t>（标书内附复印件加盖公章）</w:t>
            </w:r>
          </w:p>
        </w:tc>
      </w:tr>
      <w:tr w14:paraId="405DB3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3FA8D43F">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依法缴纳税收和社会保障资金的相关证明材料</w:t>
            </w:r>
          </w:p>
        </w:tc>
        <w:tc>
          <w:tcPr>
            <w:tcW w:w="7017" w:type="dxa"/>
            <w:vAlign w:val="center"/>
          </w:tcPr>
          <w:p w14:paraId="2CE264A9">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提供近半年任意一个月依法缴纳税收和社会保障资金的相关证明材料</w:t>
            </w:r>
            <w:r>
              <w:rPr>
                <w:rFonts w:hint="eastAsia" w:ascii="宋体" w:hAnsi="宋体" w:eastAsia="宋体" w:cs="宋体"/>
                <w:b/>
                <w:bCs/>
                <w:color w:val="auto"/>
                <w:sz w:val="20"/>
                <w:szCs w:val="20"/>
                <w:highlight w:val="none"/>
                <w:lang w:val="zh-CN"/>
              </w:rPr>
              <w:t>（标书内附复印件加盖公章）</w:t>
            </w:r>
          </w:p>
        </w:tc>
      </w:tr>
      <w:tr w14:paraId="336F39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3FDC8414">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zh-CN"/>
              </w:rPr>
              <w:t>信誉要求</w:t>
            </w:r>
          </w:p>
        </w:tc>
        <w:tc>
          <w:tcPr>
            <w:tcW w:w="7017" w:type="dxa"/>
            <w:vAlign w:val="center"/>
          </w:tcPr>
          <w:p w14:paraId="17E75730">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本项目不接受被列入失信被执人、重大税收违法案件当事人名单、政府采购严重违法失信行为记录名单的</w:t>
            </w:r>
            <w:r>
              <w:rPr>
                <w:rFonts w:hint="eastAsia" w:ascii="宋体" w:hAnsi="宋体" w:eastAsia="宋体" w:cs="宋体"/>
                <w:color w:val="auto"/>
                <w:sz w:val="20"/>
                <w:szCs w:val="20"/>
                <w:highlight w:val="none"/>
                <w:lang w:eastAsia="zh-CN"/>
              </w:rPr>
              <w:t>投标人</w:t>
            </w:r>
            <w:r>
              <w:rPr>
                <w:rFonts w:hint="eastAsia" w:ascii="宋体" w:hAnsi="宋体" w:eastAsia="宋体" w:cs="宋体"/>
                <w:color w:val="auto"/>
                <w:sz w:val="20"/>
                <w:szCs w:val="20"/>
                <w:highlight w:val="none"/>
              </w:rPr>
              <w:t>参与投标（详见财库【2016】125号文件）</w:t>
            </w:r>
            <w:r>
              <w:rPr>
                <w:rFonts w:hint="eastAsia" w:ascii="宋体" w:hAnsi="宋体" w:eastAsia="宋体" w:cs="宋体"/>
                <w:b/>
                <w:bCs/>
                <w:color w:val="auto"/>
                <w:sz w:val="20"/>
                <w:szCs w:val="20"/>
                <w:highlight w:val="none"/>
                <w:lang w:val="zh-CN"/>
              </w:rPr>
              <w:t>（</w:t>
            </w:r>
            <w:r>
              <w:rPr>
                <w:rFonts w:hint="eastAsia" w:ascii="宋体" w:hAnsi="宋体" w:eastAsia="宋体" w:cs="宋体"/>
                <w:b/>
                <w:bCs/>
                <w:color w:val="auto"/>
                <w:sz w:val="20"/>
                <w:szCs w:val="20"/>
                <w:highlight w:val="none"/>
                <w:lang w:eastAsia="zh-CN"/>
              </w:rPr>
              <w:t>标书内</w:t>
            </w:r>
            <w:r>
              <w:rPr>
                <w:rFonts w:hint="eastAsia" w:ascii="宋体" w:hAnsi="宋体" w:eastAsia="宋体" w:cs="宋体"/>
                <w:b/>
                <w:bCs/>
                <w:color w:val="auto"/>
                <w:sz w:val="20"/>
                <w:szCs w:val="20"/>
                <w:highlight w:val="none"/>
              </w:rPr>
              <w:t>附加盖公章的承诺）</w:t>
            </w:r>
          </w:p>
        </w:tc>
      </w:tr>
      <w:tr w14:paraId="075D96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2A47FC0F">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lang w:val="zh-CN"/>
              </w:rPr>
              <w:t>法人授权书</w:t>
            </w:r>
          </w:p>
        </w:tc>
        <w:tc>
          <w:tcPr>
            <w:tcW w:w="7017" w:type="dxa"/>
            <w:vAlign w:val="center"/>
          </w:tcPr>
          <w:p w14:paraId="3AE4EF6B">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法定代表人参加投标的，须提供法定代表人身份证明；授权委托人参加投标的，须提供法定代表人授权委托书</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标书内附证明及</w:t>
            </w:r>
            <w:r>
              <w:rPr>
                <w:rFonts w:hint="eastAsia" w:ascii="宋体" w:hAnsi="宋体" w:eastAsia="宋体" w:cs="宋体"/>
                <w:color w:val="auto"/>
                <w:sz w:val="20"/>
                <w:szCs w:val="20"/>
                <w:highlight w:val="none"/>
                <w:lang w:val="zh-CN"/>
              </w:rPr>
              <w:t>有法定代表人签字或盖章的授权书</w:t>
            </w:r>
            <w:r>
              <w:rPr>
                <w:rFonts w:hint="eastAsia" w:ascii="宋体" w:hAnsi="宋体" w:eastAsia="宋体" w:cs="宋体"/>
                <w:color w:val="auto"/>
                <w:sz w:val="20"/>
                <w:szCs w:val="20"/>
                <w:highlight w:val="none"/>
                <w:lang w:val="en-US" w:eastAsia="zh-CN"/>
              </w:rPr>
              <w:t>并</w:t>
            </w:r>
            <w:r>
              <w:rPr>
                <w:rFonts w:hint="eastAsia" w:ascii="宋体" w:hAnsi="宋体" w:eastAsia="宋体" w:cs="宋体"/>
                <w:color w:val="auto"/>
                <w:sz w:val="20"/>
                <w:szCs w:val="20"/>
                <w:highlight w:val="none"/>
              </w:rPr>
              <w:t>加盖单位公章</w:t>
            </w:r>
            <w:r>
              <w:rPr>
                <w:rFonts w:hint="eastAsia" w:ascii="宋体" w:hAnsi="宋体" w:eastAsia="宋体" w:cs="宋体"/>
                <w:color w:val="auto"/>
                <w:sz w:val="20"/>
                <w:szCs w:val="20"/>
                <w:highlight w:val="none"/>
                <w:lang w:val="zh-CN"/>
              </w:rPr>
              <w:t>。</w:t>
            </w:r>
          </w:p>
        </w:tc>
      </w:tr>
      <w:tr w14:paraId="6EB8DD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23" w:type="dxa"/>
            <w:vAlign w:val="center"/>
          </w:tcPr>
          <w:p w14:paraId="76533250">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eastAsia="宋体" w:cs="宋体"/>
                <w:bCs/>
                <w:color w:val="auto"/>
                <w:sz w:val="20"/>
                <w:szCs w:val="20"/>
                <w:highlight w:val="none"/>
                <w:lang w:val="zh-CN"/>
              </w:rPr>
              <w:t>其他要求</w:t>
            </w:r>
          </w:p>
        </w:tc>
        <w:tc>
          <w:tcPr>
            <w:tcW w:w="7017" w:type="dxa"/>
            <w:vAlign w:val="center"/>
          </w:tcPr>
          <w:p w14:paraId="637933D4">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1、对招标文件的全部条款做出实质性响应；</w:t>
            </w:r>
          </w:p>
          <w:p w14:paraId="402B8675">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2、本项目不接受联合体投标、不允许分包；</w:t>
            </w:r>
          </w:p>
          <w:p w14:paraId="1C0B829A">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3、不存在招标文件要求的其他无效投标的情形；</w:t>
            </w:r>
          </w:p>
          <w:p w14:paraId="03D2C299">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4、不存在招标文件中规定的其他废标条款</w:t>
            </w:r>
            <w:r>
              <w:rPr>
                <w:rFonts w:hint="eastAsia" w:ascii="宋体" w:hAnsi="宋体" w:eastAsia="宋体" w:cs="宋体"/>
                <w:color w:val="auto"/>
                <w:sz w:val="20"/>
                <w:szCs w:val="20"/>
                <w:highlight w:val="none"/>
                <w:lang w:eastAsia="zh-CN"/>
              </w:rPr>
              <w:t>；</w:t>
            </w:r>
          </w:p>
          <w:p w14:paraId="31754C3B">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不接受被政府列入取消投标资格期间的企业或个人参加投标，参加政府采购活动前3年内在经营活动中没有重大违法记录</w:t>
            </w:r>
            <w:r>
              <w:rPr>
                <w:rFonts w:hint="eastAsia" w:ascii="宋体" w:hAnsi="宋体" w:eastAsia="宋体" w:cs="宋体"/>
                <w:color w:val="auto"/>
                <w:sz w:val="20"/>
                <w:szCs w:val="20"/>
                <w:highlight w:val="none"/>
                <w:lang w:eastAsia="zh-CN"/>
              </w:rPr>
              <w:t>；</w:t>
            </w:r>
          </w:p>
          <w:p w14:paraId="21E63FCF">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6、单位负责人为同一人或存在直接控股、管理关系的不同投标人，不得参加同一合同项下的政府采购活动</w:t>
            </w:r>
            <w:r>
              <w:rPr>
                <w:rFonts w:hint="eastAsia" w:ascii="宋体" w:hAnsi="宋体" w:eastAsia="宋体" w:cs="宋体"/>
                <w:color w:val="auto"/>
                <w:sz w:val="20"/>
                <w:szCs w:val="20"/>
                <w:highlight w:val="none"/>
              </w:rPr>
              <w:t>。违反这两款规定的，相关投标均无效。满足招标文件的要求为合格，否则为不合格。</w:t>
            </w:r>
          </w:p>
          <w:p w14:paraId="65A7CA1A">
            <w:pPr>
              <w:keepNext w:val="0"/>
              <w:keepLines w:val="0"/>
              <w:pageBreakBefore w:val="0"/>
              <w:kinsoku/>
              <w:wordWrap/>
              <w:overflowPunct/>
              <w:topLinePunct w:val="0"/>
              <w:autoSpaceDE w:val="0"/>
              <w:autoSpaceDN w:val="0"/>
              <w:bidi w:val="0"/>
              <w:adjustRightInd w:val="0"/>
              <w:snapToGrid/>
              <w:spacing w:line="0" w:lineRule="atLeast"/>
              <w:textAlignment w:val="auto"/>
              <w:rPr>
                <w:rFonts w:hint="eastAsia" w:ascii="宋体" w:hAnsi="宋体" w:eastAsia="宋体" w:cs="宋体"/>
                <w:color w:val="auto"/>
                <w:spacing w:val="-1"/>
                <w:sz w:val="20"/>
                <w:szCs w:val="20"/>
                <w:highlight w:val="none"/>
                <w:lang w:val="zh-CN"/>
              </w:rPr>
            </w:pPr>
            <w:r>
              <w:rPr>
                <w:rFonts w:hint="eastAsia" w:ascii="宋体" w:hAnsi="宋体" w:eastAsia="宋体" w:cs="宋体"/>
                <w:b/>
                <w:bCs/>
                <w:color w:val="auto"/>
                <w:sz w:val="20"/>
                <w:szCs w:val="20"/>
                <w:highlight w:val="none"/>
                <w:lang w:val="zh-CN"/>
              </w:rPr>
              <w:t>（</w:t>
            </w:r>
            <w:r>
              <w:rPr>
                <w:rFonts w:hint="eastAsia" w:ascii="宋体" w:hAnsi="宋体" w:eastAsia="宋体" w:cs="宋体"/>
                <w:b/>
                <w:bCs/>
                <w:color w:val="auto"/>
                <w:sz w:val="20"/>
                <w:szCs w:val="20"/>
                <w:highlight w:val="none"/>
                <w:lang w:eastAsia="zh-CN"/>
              </w:rPr>
              <w:t>标书内</w:t>
            </w:r>
            <w:r>
              <w:rPr>
                <w:rFonts w:hint="eastAsia" w:ascii="宋体" w:hAnsi="宋体" w:eastAsia="宋体" w:cs="宋体"/>
                <w:b/>
                <w:bCs/>
                <w:color w:val="auto"/>
                <w:sz w:val="20"/>
                <w:szCs w:val="20"/>
                <w:highlight w:val="none"/>
              </w:rPr>
              <w:t>附加盖公章的承诺）</w:t>
            </w:r>
          </w:p>
        </w:tc>
      </w:tr>
    </w:tbl>
    <w:p w14:paraId="2862371D">
      <w:pPr>
        <w:spacing w:before="65" w:line="228" w:lineRule="auto"/>
        <w:ind w:left="41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注</w:t>
      </w:r>
      <w:r>
        <w:rPr>
          <w:rFonts w:hint="eastAsia" w:ascii="宋体" w:hAnsi="宋体" w:eastAsia="宋体" w:cs="宋体"/>
          <w:color w:val="auto"/>
          <w:spacing w:val="-2"/>
          <w:sz w:val="20"/>
          <w:szCs w:val="20"/>
          <w:highlight w:val="none"/>
          <w:lang w:eastAsia="zh-CN"/>
        </w:rPr>
        <w:t>：（</w:t>
      </w:r>
      <w:r>
        <w:rPr>
          <w:rFonts w:hint="eastAsia" w:ascii="宋体" w:hAnsi="宋体" w:eastAsia="宋体" w:cs="宋体"/>
          <w:color w:val="auto"/>
          <w:spacing w:val="10"/>
          <w:sz w:val="20"/>
          <w:szCs w:val="20"/>
          <w:highlight w:val="none"/>
          <w:lang w:eastAsia="zh-CN"/>
        </w:rPr>
        <w:t>1）上述内容中有一项不合格，则资格审查不合格，不进入符合性审查、详细评审；</w:t>
      </w:r>
    </w:p>
    <w:p w14:paraId="3381B62E">
      <w:pPr>
        <w:spacing w:before="53" w:line="227" w:lineRule="auto"/>
        <w:ind w:firstLine="218" w:firstLineChars="1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（2）</w:t>
      </w:r>
      <w:r>
        <w:rPr>
          <w:rFonts w:hint="eastAsia" w:ascii="宋体" w:hAnsi="宋体" w:eastAsia="宋体" w:cs="宋体"/>
          <w:color w:val="auto"/>
          <w:spacing w:val="8"/>
          <w:sz w:val="20"/>
          <w:szCs w:val="20"/>
          <w:highlight w:val="none"/>
          <w:lang w:eastAsia="zh-CN"/>
        </w:rPr>
        <w:t>资格审查结束后，合格的投标人进入符合性审查。</w:t>
      </w:r>
    </w:p>
    <w:p w14:paraId="1D5406FA">
      <w:pPr>
        <w:spacing w:line="227" w:lineRule="auto"/>
        <w:rPr>
          <w:rFonts w:hint="eastAsia" w:ascii="宋体" w:hAnsi="宋体" w:eastAsia="宋体" w:cs="宋体"/>
          <w:color w:val="auto"/>
          <w:sz w:val="20"/>
          <w:szCs w:val="20"/>
          <w:highlight w:val="none"/>
          <w:lang w:eastAsia="zh-CN"/>
        </w:rPr>
      </w:pPr>
    </w:p>
    <w:p w14:paraId="6AFED363">
      <w:pPr>
        <w:pStyle w:val="2"/>
        <w:numPr>
          <w:ilvl w:val="0"/>
          <w:numId w:val="0"/>
        </w:numPr>
        <w:ind w:left="540" w:leftChars="0"/>
        <w:rPr>
          <w:rFonts w:hint="eastAsia"/>
          <w:color w:val="auto"/>
          <w:highlight w:val="none"/>
          <w:lang w:eastAsia="zh-CN"/>
        </w:rPr>
        <w:sectPr>
          <w:pgSz w:w="11906" w:h="16839"/>
          <w:pgMar w:top="1431" w:right="1410" w:bottom="0" w:left="1369" w:header="0" w:footer="0" w:gutter="0"/>
          <w:cols w:space="720" w:num="1"/>
        </w:sectPr>
      </w:pPr>
    </w:p>
    <w:p w14:paraId="1E5C7A54">
      <w:pPr>
        <w:spacing w:before="48" w:line="219" w:lineRule="auto"/>
        <w:ind w:left="23"/>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（二）符合性审查表</w:t>
      </w:r>
    </w:p>
    <w:bookmarkEnd w:id="124"/>
    <w:bookmarkEnd w:id="125"/>
    <w:bookmarkEnd w:id="126"/>
    <w:bookmarkEnd w:id="127"/>
    <w:bookmarkEnd w:id="128"/>
    <w:bookmarkEnd w:id="129"/>
    <w:bookmarkEnd w:id="130"/>
    <w:bookmarkEnd w:id="131"/>
    <w:bookmarkEnd w:id="132"/>
    <w:bookmarkEnd w:id="133"/>
    <w:p w14:paraId="008E5FF5">
      <w:pPr>
        <w:spacing w:line="360" w:lineRule="exact"/>
        <w:rPr>
          <w:rFonts w:hint="eastAsia" w:ascii="宋体" w:hAnsi="宋体" w:eastAsia="宋体" w:cs="宋体"/>
          <w:color w:val="auto"/>
          <w:sz w:val="24"/>
          <w:szCs w:val="24"/>
          <w:highlight w:val="none"/>
        </w:rPr>
      </w:pPr>
    </w:p>
    <w:tbl>
      <w:tblPr>
        <w:tblStyle w:val="22"/>
        <w:tblW w:w="964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960"/>
        <w:gridCol w:w="6680"/>
      </w:tblGrid>
      <w:tr w14:paraId="3D5E6A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2960" w:type="dxa"/>
            <w:vAlign w:val="center"/>
          </w:tcPr>
          <w:p w14:paraId="2860C66B">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评 审 因 素</w:t>
            </w:r>
          </w:p>
        </w:tc>
        <w:tc>
          <w:tcPr>
            <w:tcW w:w="6680" w:type="dxa"/>
            <w:vAlign w:val="center"/>
          </w:tcPr>
          <w:p w14:paraId="7461B64F">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评 审 标 准</w:t>
            </w:r>
          </w:p>
        </w:tc>
      </w:tr>
      <w:tr w14:paraId="7564E8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1BFDA703">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eastAsia="宋体" w:cs="宋体"/>
                <w:color w:val="auto"/>
                <w:sz w:val="20"/>
                <w:szCs w:val="20"/>
                <w:highlight w:val="none"/>
              </w:rPr>
              <w:t>投标人名称</w:t>
            </w:r>
          </w:p>
        </w:tc>
        <w:tc>
          <w:tcPr>
            <w:tcW w:w="6680" w:type="dxa"/>
            <w:vAlign w:val="center"/>
          </w:tcPr>
          <w:p w14:paraId="72571A54">
            <w:pPr>
              <w:keepNext w:val="0"/>
              <w:keepLines w:val="0"/>
              <w:pageBreakBefore w:val="0"/>
              <w:kinsoku/>
              <w:wordWrap/>
              <w:overflowPunct/>
              <w:topLinePunct w:val="0"/>
              <w:bidi w:val="0"/>
              <w:snapToGrid/>
              <w:spacing w:line="0" w:lineRule="atLeast"/>
              <w:textAlignment w:val="auto"/>
              <w:rPr>
                <w:rFonts w:hint="eastAsia" w:ascii="宋体" w:hAnsi="宋体" w:eastAsia="宋体" w:cs="宋体"/>
                <w:b/>
                <w:bCs/>
                <w:color w:val="auto"/>
                <w:sz w:val="20"/>
                <w:szCs w:val="20"/>
                <w:highlight w:val="none"/>
                <w:lang w:val="zh-CN"/>
              </w:rPr>
            </w:pPr>
            <w:r>
              <w:rPr>
                <w:rFonts w:hint="eastAsia" w:ascii="宋体" w:hAnsi="宋体" w:eastAsia="宋体" w:cs="宋体"/>
                <w:color w:val="auto"/>
                <w:sz w:val="20"/>
                <w:szCs w:val="20"/>
                <w:highlight w:val="none"/>
              </w:rPr>
              <w:t>与营业执照一致。</w:t>
            </w:r>
          </w:p>
        </w:tc>
      </w:tr>
      <w:tr w14:paraId="631D66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6BC982A3">
            <w:pPr>
              <w:kinsoku/>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cs="宋体"/>
                <w:color w:val="auto"/>
                <w:sz w:val="20"/>
                <w:szCs w:val="20"/>
                <w:highlight w:val="none"/>
              </w:rPr>
              <w:t>投标</w:t>
            </w:r>
            <w:r>
              <w:rPr>
                <w:rFonts w:hint="eastAsia" w:ascii="宋体" w:hAnsi="宋体" w:cs="宋体"/>
                <w:color w:val="auto"/>
                <w:sz w:val="20"/>
                <w:szCs w:val="20"/>
                <w:highlight w:val="none"/>
                <w:lang w:eastAsia="zh-CN"/>
              </w:rPr>
              <w:t>文件函</w:t>
            </w:r>
            <w:r>
              <w:rPr>
                <w:rFonts w:hint="eastAsia" w:ascii="宋体" w:hAnsi="宋体" w:cs="宋体"/>
                <w:color w:val="auto"/>
                <w:sz w:val="20"/>
                <w:szCs w:val="20"/>
                <w:highlight w:val="none"/>
              </w:rPr>
              <w:t>签字盖章</w:t>
            </w:r>
          </w:p>
        </w:tc>
        <w:tc>
          <w:tcPr>
            <w:tcW w:w="6680" w:type="dxa"/>
            <w:vAlign w:val="center"/>
          </w:tcPr>
          <w:p w14:paraId="3D1746CD">
            <w:pPr>
              <w:kinsoku/>
              <w:snapToGrid/>
              <w:spacing w:line="0" w:lineRule="atLeast"/>
              <w:textAlignment w:val="auto"/>
              <w:rPr>
                <w:rFonts w:hint="eastAsia" w:ascii="宋体" w:hAnsi="宋体" w:eastAsia="宋体" w:cs="宋体"/>
                <w:b/>
                <w:bCs/>
                <w:color w:val="auto"/>
                <w:sz w:val="20"/>
                <w:szCs w:val="20"/>
                <w:highlight w:val="none"/>
                <w:lang w:val="zh-CN"/>
              </w:rPr>
            </w:pPr>
            <w:r>
              <w:rPr>
                <w:rFonts w:hint="eastAsia" w:ascii="宋体" w:hAnsi="宋体" w:cs="宋体"/>
                <w:color w:val="auto"/>
                <w:sz w:val="20"/>
                <w:szCs w:val="20"/>
                <w:highlight w:val="none"/>
                <w:lang w:eastAsia="zh-CN"/>
              </w:rPr>
              <w:t>有投标单位公章并经法定代表人签字。</w:t>
            </w:r>
          </w:p>
        </w:tc>
      </w:tr>
      <w:tr w14:paraId="18A3F5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0D1C4E47">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eastAsia="宋体" w:cs="宋体"/>
                <w:color w:val="auto"/>
                <w:sz w:val="20"/>
                <w:szCs w:val="20"/>
                <w:highlight w:val="none"/>
              </w:rPr>
              <w:t>投标文件格式</w:t>
            </w:r>
          </w:p>
        </w:tc>
        <w:tc>
          <w:tcPr>
            <w:tcW w:w="6680" w:type="dxa"/>
            <w:vAlign w:val="center"/>
          </w:tcPr>
          <w:p w14:paraId="6C489D2C">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b/>
                <w:bCs/>
                <w:color w:val="auto"/>
                <w:sz w:val="20"/>
                <w:szCs w:val="20"/>
                <w:highlight w:val="none"/>
                <w:lang w:val="zh-CN"/>
              </w:rPr>
            </w:pPr>
            <w:r>
              <w:rPr>
                <w:rFonts w:hint="eastAsia" w:ascii="宋体" w:hAnsi="宋体" w:eastAsia="宋体" w:cs="宋体"/>
                <w:color w:val="auto"/>
                <w:sz w:val="20"/>
                <w:szCs w:val="20"/>
                <w:highlight w:val="none"/>
              </w:rPr>
              <w:t>符合第六章“投标文件格式”的要求，按招标文件的要求盖章、签署。</w:t>
            </w:r>
          </w:p>
        </w:tc>
      </w:tr>
      <w:tr w14:paraId="60705E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1D95FDF6">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eastAsia="宋体" w:cs="宋体"/>
                <w:color w:val="auto"/>
                <w:sz w:val="20"/>
                <w:szCs w:val="20"/>
                <w:highlight w:val="none"/>
              </w:rPr>
              <w:t>报价唯一</w:t>
            </w:r>
          </w:p>
        </w:tc>
        <w:tc>
          <w:tcPr>
            <w:tcW w:w="6680" w:type="dxa"/>
            <w:vAlign w:val="center"/>
          </w:tcPr>
          <w:p w14:paraId="0C8722F4">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b/>
                <w:bCs/>
                <w:color w:val="auto"/>
                <w:sz w:val="20"/>
                <w:szCs w:val="20"/>
                <w:highlight w:val="none"/>
                <w:lang w:val="zh-CN"/>
              </w:rPr>
            </w:pPr>
            <w:r>
              <w:rPr>
                <w:rFonts w:hint="eastAsia" w:ascii="宋体" w:hAnsi="宋体" w:eastAsia="宋体" w:cs="宋体"/>
                <w:color w:val="auto"/>
                <w:sz w:val="20"/>
                <w:szCs w:val="20"/>
                <w:highlight w:val="none"/>
              </w:rPr>
              <w:t>只能有一个有效报价。</w:t>
            </w:r>
          </w:p>
        </w:tc>
      </w:tr>
      <w:tr w14:paraId="6A850C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7" w:hRule="atLeast"/>
        </w:trPr>
        <w:tc>
          <w:tcPr>
            <w:tcW w:w="2960" w:type="dxa"/>
            <w:vAlign w:val="center"/>
          </w:tcPr>
          <w:p w14:paraId="66E4FAA9">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投标内容</w:t>
            </w:r>
          </w:p>
        </w:tc>
        <w:tc>
          <w:tcPr>
            <w:tcW w:w="6680" w:type="dxa"/>
            <w:vAlign w:val="center"/>
          </w:tcPr>
          <w:p w14:paraId="0650A254">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满足采购人（招标文件）采购需求，无缺项漏项；技术参数满足招标文件第四章“采购需求”中的要求，且无</w:t>
            </w:r>
            <w:r>
              <w:rPr>
                <w:rFonts w:hint="eastAsia" w:ascii="宋体" w:hAnsi="宋体" w:eastAsia="宋体" w:cs="宋体"/>
                <w:color w:val="auto"/>
                <w:sz w:val="20"/>
                <w:szCs w:val="20"/>
                <w:highlight w:val="none"/>
                <w:lang w:val="en-US" w:eastAsia="zh-CN"/>
              </w:rPr>
              <w:t>负</w:t>
            </w:r>
            <w:r>
              <w:rPr>
                <w:rFonts w:hint="eastAsia" w:ascii="宋体" w:hAnsi="宋体" w:eastAsia="宋体" w:cs="宋体"/>
                <w:color w:val="auto"/>
                <w:sz w:val="20"/>
                <w:szCs w:val="20"/>
                <w:highlight w:val="none"/>
              </w:rPr>
              <w:t>偏离。</w:t>
            </w:r>
          </w:p>
        </w:tc>
      </w:tr>
      <w:tr w14:paraId="37A815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2960" w:type="dxa"/>
            <w:vAlign w:val="center"/>
          </w:tcPr>
          <w:p w14:paraId="70AB5507">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供货期</w:t>
            </w:r>
          </w:p>
        </w:tc>
        <w:tc>
          <w:tcPr>
            <w:tcW w:w="6680" w:type="dxa"/>
            <w:vAlign w:val="center"/>
          </w:tcPr>
          <w:p w14:paraId="006B8E3D">
            <w:pPr>
              <w:keepNext w:val="0"/>
              <w:keepLines w:val="0"/>
              <w:pageBreakBefore w:val="0"/>
              <w:kinsoku/>
              <w:wordWrap/>
              <w:overflowPunct/>
              <w:topLinePunct w:val="0"/>
              <w:bidi w:val="0"/>
              <w:snapToGrid/>
              <w:spacing w:line="0" w:lineRule="atLeast"/>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接到供货指令后30日内完成供货、安装、调试。</w:t>
            </w:r>
          </w:p>
        </w:tc>
      </w:tr>
      <w:tr w14:paraId="76011C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1" w:hRule="atLeast"/>
        </w:trPr>
        <w:tc>
          <w:tcPr>
            <w:tcW w:w="2960" w:type="dxa"/>
            <w:vAlign w:val="center"/>
          </w:tcPr>
          <w:p w14:paraId="2D2445EC">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质量标准</w:t>
            </w:r>
          </w:p>
        </w:tc>
        <w:tc>
          <w:tcPr>
            <w:tcW w:w="6680" w:type="dxa"/>
            <w:vAlign w:val="center"/>
          </w:tcPr>
          <w:p w14:paraId="11B0969C">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符合国家及行业相关合格标准。</w:t>
            </w:r>
          </w:p>
        </w:tc>
      </w:tr>
      <w:tr w14:paraId="7F3490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2" w:hRule="atLeast"/>
        </w:trPr>
        <w:tc>
          <w:tcPr>
            <w:tcW w:w="2960" w:type="dxa"/>
            <w:vAlign w:val="center"/>
          </w:tcPr>
          <w:p w14:paraId="444620FC">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投标有效期</w:t>
            </w:r>
          </w:p>
        </w:tc>
        <w:tc>
          <w:tcPr>
            <w:tcW w:w="6680" w:type="dxa"/>
            <w:vAlign w:val="center"/>
          </w:tcPr>
          <w:p w14:paraId="22E048DA">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90日历天（从投标截止之日算起）。</w:t>
            </w:r>
          </w:p>
        </w:tc>
      </w:tr>
      <w:tr w14:paraId="6585A8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3" w:hRule="atLeast"/>
        </w:trPr>
        <w:tc>
          <w:tcPr>
            <w:tcW w:w="2960" w:type="dxa"/>
            <w:vAlign w:val="center"/>
          </w:tcPr>
          <w:p w14:paraId="2DC68B33">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投标报价</w:t>
            </w:r>
          </w:p>
        </w:tc>
        <w:tc>
          <w:tcPr>
            <w:tcW w:w="6680" w:type="dxa"/>
            <w:vAlign w:val="center"/>
          </w:tcPr>
          <w:p w14:paraId="1FC148E2">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不超过采购预算（最高限价），超过采购预算（最高限价）的投标报价，其投标将被否决。</w:t>
            </w:r>
          </w:p>
        </w:tc>
      </w:tr>
    </w:tbl>
    <w:p w14:paraId="5CCF4AB1">
      <w:pPr>
        <w:spacing w:before="65" w:line="228" w:lineRule="auto"/>
        <w:ind w:left="41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注</w:t>
      </w:r>
      <w:r>
        <w:rPr>
          <w:rFonts w:hint="eastAsia" w:ascii="宋体" w:hAnsi="宋体" w:eastAsia="宋体" w:cs="宋体"/>
          <w:color w:val="auto"/>
          <w:spacing w:val="-2"/>
          <w:sz w:val="20"/>
          <w:szCs w:val="20"/>
          <w:highlight w:val="none"/>
          <w:lang w:eastAsia="zh-CN"/>
        </w:rPr>
        <w:t>：（</w:t>
      </w:r>
      <w:r>
        <w:rPr>
          <w:rFonts w:hint="eastAsia" w:ascii="宋体" w:hAnsi="宋体" w:eastAsia="宋体" w:cs="宋体"/>
          <w:color w:val="auto"/>
          <w:spacing w:val="10"/>
          <w:sz w:val="20"/>
          <w:szCs w:val="20"/>
          <w:highlight w:val="none"/>
          <w:lang w:eastAsia="zh-CN"/>
        </w:rPr>
        <w:t>1）上述内容中有一项不合格，则符合性审查不合格，不进入详细评审；</w:t>
      </w:r>
    </w:p>
    <w:p w14:paraId="54EF4F4E">
      <w:pPr>
        <w:spacing w:before="53" w:line="227" w:lineRule="auto"/>
        <w:ind w:left="42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（2）</w:t>
      </w:r>
      <w:r>
        <w:rPr>
          <w:rFonts w:hint="eastAsia" w:ascii="宋体" w:hAnsi="宋体" w:eastAsia="宋体" w:cs="宋体"/>
          <w:color w:val="auto"/>
          <w:spacing w:val="10"/>
          <w:sz w:val="20"/>
          <w:szCs w:val="20"/>
          <w:highlight w:val="none"/>
          <w:lang w:eastAsia="zh-CN"/>
        </w:rPr>
        <w:t>符合性审查</w:t>
      </w:r>
      <w:r>
        <w:rPr>
          <w:rFonts w:hint="eastAsia" w:ascii="宋体" w:hAnsi="宋体" w:eastAsia="宋体" w:cs="宋体"/>
          <w:color w:val="auto"/>
          <w:spacing w:val="8"/>
          <w:sz w:val="20"/>
          <w:szCs w:val="20"/>
          <w:highlight w:val="none"/>
          <w:lang w:eastAsia="zh-CN"/>
        </w:rPr>
        <w:t>结束后，合格的投标人进入</w:t>
      </w:r>
      <w:r>
        <w:rPr>
          <w:rFonts w:hint="eastAsia" w:ascii="宋体" w:hAnsi="宋体" w:eastAsia="宋体" w:cs="宋体"/>
          <w:color w:val="auto"/>
          <w:spacing w:val="10"/>
          <w:sz w:val="20"/>
          <w:szCs w:val="20"/>
          <w:highlight w:val="none"/>
          <w:lang w:eastAsia="zh-CN"/>
        </w:rPr>
        <w:t>详细评审</w:t>
      </w:r>
      <w:r>
        <w:rPr>
          <w:rFonts w:hint="eastAsia" w:ascii="宋体" w:hAnsi="宋体" w:eastAsia="宋体" w:cs="宋体"/>
          <w:color w:val="auto"/>
          <w:spacing w:val="8"/>
          <w:sz w:val="20"/>
          <w:szCs w:val="20"/>
          <w:highlight w:val="none"/>
          <w:lang w:eastAsia="zh-CN"/>
        </w:rPr>
        <w:t>。</w:t>
      </w:r>
    </w:p>
    <w:p w14:paraId="41D47FBB">
      <w:pPr>
        <w:keepNext w:val="0"/>
        <w:keepLines w:val="0"/>
        <w:pageBreakBefore w:val="0"/>
        <w:kinsoku/>
        <w:wordWrap/>
        <w:overflowPunct/>
        <w:topLinePunct w:val="0"/>
        <w:bidi w:val="0"/>
        <w:snapToGrid/>
        <w:spacing w:line="0" w:lineRule="atLeast"/>
        <w:textAlignment w:val="auto"/>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bookmarkStart w:id="134" w:name="_Toc298920131"/>
      <w:bookmarkStart w:id="135" w:name="_Toc298830022"/>
      <w:bookmarkStart w:id="136" w:name="_Toc298190443"/>
      <w:bookmarkStart w:id="137" w:name="_Toc3917"/>
      <w:bookmarkStart w:id="138" w:name="_Toc343857079"/>
      <w:bookmarkStart w:id="139" w:name="_Toc299108446"/>
      <w:bookmarkStart w:id="140" w:name="_Toc384307749"/>
      <w:bookmarkStart w:id="141" w:name="_Toc298829780"/>
      <w:bookmarkStart w:id="142" w:name="_Toc297209476"/>
      <w:bookmarkStart w:id="143" w:name="_Toc350418067"/>
      <w:r>
        <w:rPr>
          <w:rFonts w:hint="eastAsia" w:ascii="宋体" w:hAnsi="宋体" w:eastAsia="宋体" w:cs="宋体"/>
          <w:b/>
          <w:color w:val="auto"/>
          <w:sz w:val="24"/>
          <w:szCs w:val="24"/>
          <w:highlight w:val="none"/>
        </w:rPr>
        <w:t>附表2 详细评审表</w:t>
      </w:r>
      <w:bookmarkEnd w:id="134"/>
      <w:bookmarkEnd w:id="135"/>
      <w:bookmarkEnd w:id="136"/>
      <w:bookmarkEnd w:id="137"/>
      <w:bookmarkEnd w:id="138"/>
      <w:bookmarkEnd w:id="139"/>
      <w:bookmarkEnd w:id="140"/>
      <w:bookmarkEnd w:id="141"/>
      <w:bookmarkEnd w:id="142"/>
      <w:bookmarkEnd w:id="143"/>
    </w:p>
    <w:p w14:paraId="485E5C68">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p>
    <w:tbl>
      <w:tblPr>
        <w:tblStyle w:val="2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49"/>
        <w:gridCol w:w="1251"/>
        <w:gridCol w:w="6216"/>
      </w:tblGrid>
      <w:tr w14:paraId="7B4C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14:paraId="70AC4DA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49" w:type="dxa"/>
            <w:vAlign w:val="center"/>
          </w:tcPr>
          <w:p w14:paraId="76F7959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1251" w:type="dxa"/>
            <w:vAlign w:val="center"/>
          </w:tcPr>
          <w:p w14:paraId="2A5F04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p w14:paraId="29FAD57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6216" w:type="dxa"/>
            <w:vAlign w:val="center"/>
          </w:tcPr>
          <w:p w14:paraId="7C9B965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评审标准说明</w:t>
            </w:r>
          </w:p>
        </w:tc>
      </w:tr>
      <w:tr w14:paraId="5723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14:paraId="058B0C8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49" w:type="dxa"/>
            <w:vAlign w:val="center"/>
          </w:tcPr>
          <w:p w14:paraId="50C8ECE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价格</w:t>
            </w:r>
            <w:r>
              <w:rPr>
                <w:rFonts w:hint="eastAsia" w:ascii="宋体" w:hAnsi="宋体" w:eastAsia="宋体" w:cs="宋体"/>
                <w:color w:val="auto"/>
                <w:kern w:val="0"/>
                <w:sz w:val="21"/>
                <w:szCs w:val="21"/>
                <w:highlight w:val="none"/>
                <w:lang w:eastAsia="zh-CN"/>
              </w:rPr>
              <w:t>因素</w:t>
            </w:r>
          </w:p>
          <w:p w14:paraId="50FC657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30分</w:t>
            </w:r>
            <w:r>
              <w:rPr>
                <w:rFonts w:hint="eastAsia" w:ascii="宋体" w:hAnsi="宋体" w:eastAsia="宋体" w:cs="宋体"/>
                <w:color w:val="auto"/>
                <w:kern w:val="0"/>
                <w:sz w:val="21"/>
                <w:szCs w:val="21"/>
                <w:highlight w:val="none"/>
                <w:lang w:eastAsia="zh-CN"/>
              </w:rPr>
              <w:t>）</w:t>
            </w:r>
          </w:p>
        </w:tc>
        <w:tc>
          <w:tcPr>
            <w:tcW w:w="1251" w:type="dxa"/>
            <w:vAlign w:val="center"/>
          </w:tcPr>
          <w:p w14:paraId="7499846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投标报价</w:t>
            </w:r>
          </w:p>
          <w:p w14:paraId="0424765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30分</w:t>
            </w:r>
            <w:r>
              <w:rPr>
                <w:rFonts w:hint="eastAsia" w:ascii="宋体" w:hAnsi="宋体" w:eastAsia="宋体" w:cs="宋体"/>
                <w:color w:val="auto"/>
                <w:kern w:val="0"/>
                <w:sz w:val="21"/>
                <w:szCs w:val="21"/>
                <w:highlight w:val="none"/>
                <w:lang w:eastAsia="zh-CN"/>
              </w:rPr>
              <w:t>）</w:t>
            </w:r>
          </w:p>
        </w:tc>
        <w:tc>
          <w:tcPr>
            <w:tcW w:w="6216" w:type="dxa"/>
            <w:vAlign w:val="center"/>
          </w:tcPr>
          <w:p w14:paraId="19D7AD9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（1）评标基准价：经评审的所有有效投标报价中以最低投标报价为评标基准价；</w:t>
            </w:r>
          </w:p>
          <w:p w14:paraId="661CA5B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（2）投标报价等于评标基准价时得满分30分；</w:t>
            </w:r>
          </w:p>
          <w:p w14:paraId="2AFE181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（3）投标报价高于基准价按以下公式计算得分：</w:t>
            </w:r>
          </w:p>
          <w:p w14:paraId="22654B55">
            <w:pPr>
              <w:spacing w:line="0" w:lineRule="atLeas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投标报价得分=（基准价/投标报价）×30</w:t>
            </w:r>
          </w:p>
          <w:p w14:paraId="0EC45C34">
            <w:pPr>
              <w:spacing w:line="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注：1.报价得分保留二位小数，从第三位开始四舍五入。</w:t>
            </w:r>
          </w:p>
          <w:p w14:paraId="0394E79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eastAsia="zh-CN"/>
              </w:rPr>
              <w:t>2.</w:t>
            </w:r>
            <w:r>
              <w:rPr>
                <w:rFonts w:hint="eastAsia" w:ascii="宋体" w:hAnsi="宋体" w:eastAsia="宋体" w:cs="宋体"/>
                <w:color w:val="auto"/>
                <w:spacing w:val="5"/>
                <w:sz w:val="21"/>
                <w:szCs w:val="21"/>
                <w:highlight w:val="none"/>
                <w:lang w:eastAsia="zh-CN"/>
              </w:rPr>
              <w:t>对小型或微型企业生产的产品价格给予10%的扣除，用扣除后的价格参与评审。</w:t>
            </w:r>
          </w:p>
        </w:tc>
      </w:tr>
      <w:tr w14:paraId="2BA6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vAlign w:val="center"/>
          </w:tcPr>
          <w:p w14:paraId="0EF5548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49" w:type="dxa"/>
            <w:vMerge w:val="restart"/>
            <w:vAlign w:val="center"/>
          </w:tcPr>
          <w:p w14:paraId="0F703F09">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商务因素</w:t>
            </w:r>
          </w:p>
          <w:p w14:paraId="0C842CEF">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分）</w:t>
            </w:r>
          </w:p>
        </w:tc>
        <w:tc>
          <w:tcPr>
            <w:tcW w:w="1251" w:type="dxa"/>
            <w:vAlign w:val="center"/>
          </w:tcPr>
          <w:p w14:paraId="3C9B204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企业业绩</w:t>
            </w:r>
          </w:p>
          <w:p w14:paraId="2E4C685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分）</w:t>
            </w:r>
          </w:p>
        </w:tc>
        <w:tc>
          <w:tcPr>
            <w:tcW w:w="6216" w:type="dxa"/>
            <w:vAlign w:val="center"/>
          </w:tcPr>
          <w:p w14:paraId="4666ADB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近3年</w:t>
            </w:r>
            <w:r>
              <w:rPr>
                <w:rFonts w:hint="eastAsia" w:ascii="宋体" w:hAnsi="宋体" w:eastAsia="宋体" w:cs="宋体"/>
                <w:bCs/>
                <w:color w:val="auto"/>
                <w:sz w:val="21"/>
                <w:szCs w:val="21"/>
                <w:highlight w:val="none"/>
                <w:lang w:eastAsia="zh-CN"/>
              </w:rPr>
              <w:t>（202</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年1月1日起至今）</w:t>
            </w:r>
            <w:r>
              <w:rPr>
                <w:rFonts w:hint="eastAsia" w:ascii="宋体" w:hAnsi="宋体" w:eastAsia="宋体" w:cs="宋体"/>
                <w:color w:val="auto"/>
                <w:sz w:val="21"/>
                <w:szCs w:val="21"/>
                <w:highlight w:val="none"/>
                <w:lang w:eastAsia="zh-CN"/>
              </w:rPr>
              <w:t>完成过</w:t>
            </w:r>
            <w:r>
              <w:rPr>
                <w:rFonts w:hint="eastAsia" w:ascii="宋体" w:hAnsi="宋体" w:eastAsia="宋体" w:cs="宋体"/>
                <w:color w:val="auto"/>
                <w:kern w:val="0"/>
                <w:sz w:val="21"/>
                <w:szCs w:val="21"/>
                <w:highlight w:val="none"/>
                <w:lang w:eastAsia="zh-CN"/>
              </w:rPr>
              <w:t>类似项目业绩，每有一项业绩得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分，最多得</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eastAsia="zh-CN"/>
              </w:rPr>
              <w:t>分，没有不得分。</w:t>
            </w:r>
          </w:p>
          <w:p w14:paraId="27551C4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标书内附</w:t>
            </w:r>
            <w:r>
              <w:rPr>
                <w:rFonts w:hint="eastAsia" w:ascii="宋体" w:hAnsi="宋体" w:eastAsia="宋体" w:cs="宋体"/>
                <w:color w:val="auto"/>
                <w:kern w:val="0"/>
                <w:sz w:val="21"/>
                <w:szCs w:val="21"/>
                <w:highlight w:val="none"/>
                <w:lang w:eastAsia="zh-CN"/>
              </w:rPr>
              <w:t>中标通知书或合同协议书复印件加盖投标人公章。</w:t>
            </w:r>
          </w:p>
        </w:tc>
      </w:tr>
      <w:tr w14:paraId="7B38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268C039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3932EDB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51" w:type="dxa"/>
            <w:vAlign w:val="center"/>
          </w:tcPr>
          <w:p w14:paraId="4B62F82B">
            <w:pPr>
              <w:widowControl/>
              <w:autoSpaceDN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w:t>
            </w:r>
          </w:p>
          <w:p w14:paraId="1103E44E">
            <w:pPr>
              <w:widowControl/>
              <w:autoSpaceDN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（5分）</w:t>
            </w:r>
          </w:p>
        </w:tc>
        <w:tc>
          <w:tcPr>
            <w:tcW w:w="6216" w:type="dxa"/>
            <w:vAlign w:val="center"/>
          </w:tcPr>
          <w:p w14:paraId="16ADBC21">
            <w:pPr>
              <w:adjustRightInd w:val="0"/>
              <w:snapToGrid w:val="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2"/>
                <w:sz w:val="21"/>
                <w:szCs w:val="21"/>
                <w:highlight w:val="none"/>
                <w:lang w:val="en-US" w:eastAsia="zh-CN"/>
              </w:rPr>
              <w:t>结合本项目需求</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每提供一条对采购人有利的实质性服务承诺得1分</w:t>
            </w:r>
            <w:r>
              <w:rPr>
                <w:rFonts w:hint="eastAsia" w:ascii="宋体" w:hAnsi="宋体" w:eastAsia="宋体" w:cs="宋体"/>
                <w:color w:val="auto"/>
                <w:kern w:val="2"/>
                <w:sz w:val="21"/>
                <w:szCs w:val="21"/>
                <w:highlight w:val="none"/>
              </w:rPr>
              <w:t>，最多得</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分，没有不得分。</w:t>
            </w:r>
          </w:p>
        </w:tc>
      </w:tr>
      <w:tr w14:paraId="4310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0A174C8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6827467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51" w:type="dxa"/>
            <w:vAlign w:val="center"/>
          </w:tcPr>
          <w:p w14:paraId="1719109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优惠条件</w:t>
            </w:r>
          </w:p>
          <w:p w14:paraId="63466FA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5分</w:t>
            </w:r>
            <w:r>
              <w:rPr>
                <w:rFonts w:hint="eastAsia" w:ascii="宋体" w:hAnsi="宋体" w:eastAsia="宋体" w:cs="宋体"/>
                <w:color w:val="auto"/>
                <w:kern w:val="0"/>
                <w:sz w:val="21"/>
                <w:szCs w:val="21"/>
                <w:highlight w:val="none"/>
                <w:lang w:val="zh-CN" w:eastAsia="zh-CN"/>
              </w:rPr>
              <w:t>）</w:t>
            </w:r>
          </w:p>
        </w:tc>
        <w:tc>
          <w:tcPr>
            <w:tcW w:w="6216" w:type="dxa"/>
            <w:vAlign w:val="center"/>
          </w:tcPr>
          <w:p w14:paraId="0F5B46C7">
            <w:pPr>
              <w:keepLines w:val="0"/>
              <w:widowControl w:val="0"/>
              <w:suppressLineNumbers w:val="0"/>
              <w:kinsoku/>
              <w:wordWrap/>
              <w:overflowPunct/>
              <w:topLinePunct w:val="0"/>
              <w:autoSpaceDE w:val="0"/>
              <w:autoSpaceDN w:val="0"/>
              <w:adjustRightInd w:val="0"/>
              <w:snapToGrid w:val="0"/>
              <w:spacing w:after="0" w:afterAutospacing="0"/>
              <w:ind w:left="0" w:leftChars="0" w:right="0" w:righ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2"/>
                <w:sz w:val="21"/>
                <w:szCs w:val="21"/>
                <w:highlight w:val="none"/>
                <w:lang w:val="en-US" w:eastAsia="zh-CN"/>
              </w:rPr>
              <w:t>结合本项目需求，每提供一条对采购人有利的实质性优惠条件得1分</w:t>
            </w:r>
            <w:r>
              <w:rPr>
                <w:rFonts w:hint="eastAsia" w:ascii="宋体" w:hAnsi="宋体" w:eastAsia="宋体" w:cs="宋体"/>
                <w:color w:val="auto"/>
                <w:kern w:val="2"/>
                <w:sz w:val="21"/>
                <w:szCs w:val="21"/>
                <w:highlight w:val="none"/>
              </w:rPr>
              <w:t>，最多得</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分，没有不得分。</w:t>
            </w:r>
          </w:p>
        </w:tc>
      </w:tr>
      <w:tr w14:paraId="3BAA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vAlign w:val="center"/>
          </w:tcPr>
          <w:p w14:paraId="4AB4005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p w14:paraId="37E96FA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restart"/>
            <w:vAlign w:val="center"/>
          </w:tcPr>
          <w:p w14:paraId="3FB56C7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技术因素</w:t>
            </w:r>
          </w:p>
          <w:p w14:paraId="45208FA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p>
          <w:p w14:paraId="0430362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p>
        </w:tc>
        <w:tc>
          <w:tcPr>
            <w:tcW w:w="1251" w:type="dxa"/>
            <w:vAlign w:val="center"/>
          </w:tcPr>
          <w:p w14:paraId="38A72F8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供货方案</w:t>
            </w:r>
          </w:p>
          <w:p w14:paraId="7B37E8C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分）</w:t>
            </w:r>
          </w:p>
          <w:p w14:paraId="5A4842A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p>
        </w:tc>
        <w:tc>
          <w:tcPr>
            <w:tcW w:w="6216" w:type="dxa"/>
            <w:vAlign w:val="center"/>
          </w:tcPr>
          <w:p w14:paraId="6C38218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根据项目供货进度及实施周期要求，提供内容完整、详细可行的供货方案： </w:t>
            </w:r>
          </w:p>
          <w:p w14:paraId="52DFED5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供货方案内容完整、进度计划安排合理、针对性强完全满足招标文件供货进度要求，得7-</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 xml:space="preserve">分； </w:t>
            </w:r>
          </w:p>
          <w:p w14:paraId="2FD273B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供货方案内容完整、进度计划未按实际需求进行详细分析、对满足招标文件供货进度要求存在风险，得4-6分； </w:t>
            </w:r>
          </w:p>
          <w:p w14:paraId="3D5FC43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供货方案内容完整度一般、进度计划安排合理性较差、基本满足招标文件供货要求，得1-3分； </w:t>
            </w:r>
          </w:p>
          <w:p w14:paraId="6A42E98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未提供供货方案得0分。 </w:t>
            </w:r>
          </w:p>
        </w:tc>
      </w:tr>
      <w:tr w14:paraId="01D6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7FDE847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76C9C10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p>
        </w:tc>
        <w:tc>
          <w:tcPr>
            <w:tcW w:w="1251" w:type="dxa"/>
            <w:vAlign w:val="center"/>
          </w:tcPr>
          <w:p w14:paraId="2B2C7F1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安装调试验收方案</w:t>
            </w:r>
          </w:p>
          <w:p w14:paraId="5800129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分）</w:t>
            </w:r>
          </w:p>
        </w:tc>
        <w:tc>
          <w:tcPr>
            <w:tcW w:w="6216" w:type="dxa"/>
            <w:vAlign w:val="center"/>
          </w:tcPr>
          <w:p w14:paraId="40BD0D2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调试安装验收方案的合理性，可操作性，根据方案是否明确，验收标准是否考虑到等级保护要求等进行综合评审。 </w:t>
            </w:r>
          </w:p>
          <w:p w14:paraId="53BCAD4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安装调试验收方案</w:t>
            </w:r>
            <w:r>
              <w:rPr>
                <w:rFonts w:hint="eastAsia" w:ascii="宋体" w:hAnsi="宋体" w:eastAsia="宋体" w:cs="宋体"/>
                <w:b w:val="0"/>
                <w:bCs w:val="0"/>
                <w:caps w:val="0"/>
                <w:color w:val="auto"/>
                <w:kern w:val="2"/>
                <w:sz w:val="21"/>
                <w:szCs w:val="21"/>
                <w:highlight w:val="none"/>
                <w:vertAlign w:val="baseline"/>
                <w:lang w:val="en-US" w:eastAsia="zh-CN" w:bidi="ar"/>
              </w:rPr>
              <w:t>有效措施，</w:t>
            </w:r>
            <w:r>
              <w:rPr>
                <w:rFonts w:hint="eastAsia" w:ascii="宋体" w:hAnsi="宋体" w:eastAsia="宋体" w:cs="宋体"/>
                <w:color w:val="auto"/>
                <w:kern w:val="0"/>
                <w:sz w:val="21"/>
                <w:szCs w:val="21"/>
                <w:highlight w:val="none"/>
                <w:lang w:eastAsia="zh-CN"/>
              </w:rPr>
              <w:t>内容全面，</w:t>
            </w:r>
            <w:r>
              <w:rPr>
                <w:rFonts w:hint="eastAsia" w:ascii="宋体" w:hAnsi="宋体" w:eastAsia="宋体" w:cs="宋体"/>
                <w:b w:val="0"/>
                <w:bCs w:val="0"/>
                <w:caps w:val="0"/>
                <w:color w:val="auto"/>
                <w:kern w:val="2"/>
                <w:sz w:val="21"/>
                <w:szCs w:val="21"/>
                <w:highlight w:val="none"/>
                <w:vertAlign w:val="baseline"/>
                <w:lang w:val="en-US" w:eastAsia="zh-CN" w:bidi="ar"/>
              </w:rPr>
              <w:t>逻辑关系理解分析清晰</w:t>
            </w:r>
            <w:r>
              <w:rPr>
                <w:rFonts w:hint="eastAsia" w:ascii="宋体" w:hAnsi="宋体" w:eastAsia="宋体" w:cs="宋体"/>
                <w:color w:val="auto"/>
                <w:kern w:val="0"/>
                <w:sz w:val="21"/>
                <w:szCs w:val="21"/>
                <w:highlight w:val="none"/>
                <w:lang w:eastAsia="zh-CN"/>
              </w:rPr>
              <w:t>详细，得</w:t>
            </w:r>
            <w:r>
              <w:rPr>
                <w:rFonts w:hint="eastAsia" w:ascii="宋体" w:hAnsi="宋体" w:eastAsia="宋体" w:cs="宋体"/>
                <w:color w:val="auto"/>
                <w:kern w:val="0"/>
                <w:sz w:val="21"/>
                <w:szCs w:val="21"/>
                <w:highlight w:val="none"/>
                <w:lang w:val="en-US" w:eastAsia="zh-CN"/>
              </w:rPr>
              <w:t>7-</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分；</w:t>
            </w:r>
          </w:p>
          <w:p w14:paraId="41E760A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安装调试验收方案内容全面，描述相对简单，具有可行性，得</w:t>
            </w:r>
            <w:r>
              <w:rPr>
                <w:rFonts w:hint="eastAsia" w:ascii="宋体" w:hAnsi="宋体" w:eastAsia="宋体" w:cs="宋体"/>
                <w:color w:val="auto"/>
                <w:kern w:val="0"/>
                <w:sz w:val="21"/>
                <w:szCs w:val="21"/>
                <w:highlight w:val="none"/>
                <w:lang w:val="en-US" w:eastAsia="zh-CN"/>
              </w:rPr>
              <w:t>4-6</w:t>
            </w:r>
            <w:r>
              <w:rPr>
                <w:rFonts w:hint="eastAsia" w:ascii="宋体" w:hAnsi="宋体" w:eastAsia="宋体" w:cs="宋体"/>
                <w:color w:val="auto"/>
                <w:kern w:val="0"/>
                <w:sz w:val="21"/>
                <w:szCs w:val="21"/>
                <w:highlight w:val="none"/>
                <w:lang w:eastAsia="zh-CN"/>
              </w:rPr>
              <w:t>分；</w:t>
            </w:r>
          </w:p>
          <w:p w14:paraId="2EBFD6C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安装调试验收方案内容</w:t>
            </w:r>
            <w:r>
              <w:rPr>
                <w:rFonts w:hint="eastAsia" w:ascii="宋体" w:hAnsi="宋体" w:eastAsia="宋体" w:cs="宋体"/>
                <w:color w:val="auto"/>
                <w:kern w:val="0"/>
                <w:sz w:val="21"/>
                <w:szCs w:val="21"/>
                <w:highlight w:val="none"/>
                <w:lang w:val="en-US" w:eastAsia="zh-CN"/>
              </w:rPr>
              <w:t>基本满足招标文件供货要求，</w:t>
            </w:r>
            <w:r>
              <w:rPr>
                <w:rFonts w:hint="eastAsia" w:ascii="宋体" w:hAnsi="宋体" w:eastAsia="宋体" w:cs="宋体"/>
                <w:color w:val="auto"/>
                <w:kern w:val="0"/>
                <w:sz w:val="21"/>
                <w:szCs w:val="21"/>
                <w:highlight w:val="none"/>
                <w:lang w:eastAsia="zh-CN"/>
              </w:rPr>
              <w:t>得</w:t>
            </w: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eastAsia="zh-CN"/>
              </w:rPr>
              <w:t>分；</w:t>
            </w:r>
          </w:p>
          <w:p w14:paraId="5D479C8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未提供安装调试验收方案得</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eastAsia="zh-CN"/>
              </w:rPr>
              <w:t>分。</w:t>
            </w:r>
          </w:p>
        </w:tc>
      </w:tr>
      <w:tr w14:paraId="0886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23EA928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105C14EC">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p>
        </w:tc>
        <w:tc>
          <w:tcPr>
            <w:tcW w:w="1251" w:type="dxa"/>
            <w:vAlign w:val="center"/>
          </w:tcPr>
          <w:p w14:paraId="5E99E42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培训方案 </w:t>
            </w:r>
          </w:p>
          <w:p w14:paraId="07B7432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c>
          <w:tcPr>
            <w:tcW w:w="6216" w:type="dxa"/>
            <w:vAlign w:val="center"/>
          </w:tcPr>
          <w:p w14:paraId="6A9E33C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根据项目对培训的要求，提供内容完整、详细可行的培训方案（包含但不限于：仪器设备的基本原理、安装、调试、操作使用和日常保养维修等）： </w:t>
            </w:r>
          </w:p>
          <w:p w14:paraId="5A9FABB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培训方案内容完整、全面且详细、针对性强，得7-8分； </w:t>
            </w:r>
          </w:p>
          <w:p w14:paraId="012CF91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培训方案内容完整、但只是对所要求内容进行简单罗列、针对性一般，得4-6分； </w:t>
            </w:r>
          </w:p>
          <w:p w14:paraId="7E42FAE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培训方案内容完整度一般、详细性及针对性较差，得1-3分； </w:t>
            </w:r>
          </w:p>
          <w:p w14:paraId="18A92FE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未提供培训方案得0分。  </w:t>
            </w:r>
          </w:p>
        </w:tc>
      </w:tr>
      <w:tr w14:paraId="2340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5DA4B2E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4713FA3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val="en-US" w:eastAsia="zh-CN"/>
              </w:rPr>
            </w:pPr>
          </w:p>
        </w:tc>
        <w:tc>
          <w:tcPr>
            <w:tcW w:w="1251" w:type="dxa"/>
            <w:vAlign w:val="center"/>
          </w:tcPr>
          <w:p w14:paraId="02FFA29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rPr>
              <w:t>应急故障解决方案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5分</w:t>
            </w:r>
            <w:r>
              <w:rPr>
                <w:rFonts w:hint="eastAsia" w:ascii="宋体" w:hAnsi="宋体" w:eastAsia="宋体" w:cs="宋体"/>
                <w:color w:val="auto"/>
                <w:kern w:val="2"/>
                <w:sz w:val="21"/>
                <w:szCs w:val="21"/>
                <w:highlight w:val="none"/>
                <w:lang w:eastAsia="zh-CN"/>
              </w:rPr>
              <w:t>）</w:t>
            </w:r>
          </w:p>
        </w:tc>
        <w:tc>
          <w:tcPr>
            <w:tcW w:w="6216" w:type="dxa"/>
            <w:vAlign w:val="center"/>
          </w:tcPr>
          <w:p w14:paraId="5FC52D63">
            <w:pPr>
              <w:keepLines w:val="0"/>
              <w:widowControl w:val="0"/>
              <w:suppressLineNumbers w:val="0"/>
              <w:kinsoku/>
              <w:wordWrap/>
              <w:overflowPunct/>
              <w:topLinePunct w:val="0"/>
              <w:autoSpaceDE w:val="0"/>
              <w:autoSpaceDN w:val="0"/>
              <w:adjustRightInd w:val="0"/>
              <w:snapToGrid w:val="0"/>
              <w:spacing w:after="0" w:afterAutospacing="0"/>
              <w:ind w:left="0" w:right="0" w:firstLine="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应急故障（如可能发生的应急事故情况分析、应急响应时间、紧急安全保障措施、临时处理措施、故障或事故解决处理措施等）进行综合评审。</w:t>
            </w:r>
          </w:p>
          <w:p w14:paraId="75E7305D">
            <w:pPr>
              <w:keepLines w:val="0"/>
              <w:widowControl w:val="0"/>
              <w:suppressLineNumbers w:val="0"/>
              <w:adjustRightInd w:val="0"/>
              <w:snapToGrid w:val="0"/>
              <w:spacing w:after="0" w:afterAutospacing="0"/>
              <w:ind w:left="0" w:righ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应急故障方案内容全面，方案描述详细，可行高，得</w:t>
            </w:r>
            <w:r>
              <w:rPr>
                <w:rFonts w:hint="eastAsia" w:ascii="宋体" w:hAnsi="宋体" w:eastAsia="宋体" w:cs="宋体"/>
                <w:color w:val="auto"/>
                <w:kern w:val="2"/>
                <w:sz w:val="21"/>
                <w:szCs w:val="21"/>
                <w:highlight w:val="none"/>
                <w:lang w:val="en-US" w:eastAsia="zh-CN"/>
              </w:rPr>
              <w:t>4-5</w:t>
            </w:r>
            <w:r>
              <w:rPr>
                <w:rFonts w:hint="eastAsia" w:ascii="宋体" w:hAnsi="宋体" w:eastAsia="宋体" w:cs="宋体"/>
                <w:color w:val="auto"/>
                <w:kern w:val="2"/>
                <w:sz w:val="21"/>
                <w:szCs w:val="21"/>
                <w:highlight w:val="none"/>
              </w:rPr>
              <w:t>分；</w:t>
            </w:r>
          </w:p>
          <w:p w14:paraId="19D50BC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rPr>
              <w:t>应急故障方案内容</w:t>
            </w:r>
            <w:r>
              <w:rPr>
                <w:rFonts w:hint="eastAsia" w:ascii="宋体" w:hAnsi="宋体" w:eastAsia="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全面，方案描述相对简单，具有可行性，得1-3分，无不得分。</w:t>
            </w:r>
          </w:p>
        </w:tc>
      </w:tr>
      <w:tr w14:paraId="0D3F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10C8902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0C7D761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51" w:type="dxa"/>
            <w:vAlign w:val="center"/>
          </w:tcPr>
          <w:p w14:paraId="0990CE3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质量保证 </w:t>
            </w:r>
          </w:p>
          <w:p w14:paraId="59D68E3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方案</w:t>
            </w:r>
          </w:p>
          <w:p w14:paraId="70DE87D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分）</w:t>
            </w:r>
          </w:p>
          <w:p w14:paraId="71DACC9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p>
        </w:tc>
        <w:tc>
          <w:tcPr>
            <w:tcW w:w="6216" w:type="dxa"/>
            <w:vAlign w:val="center"/>
          </w:tcPr>
          <w:p w14:paraId="5C36077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针对本项目技术要求，对于供货时产品质量的保障、质保期内产品质量及维修的保证等方案： </w:t>
            </w:r>
          </w:p>
          <w:p w14:paraId="1515ED7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质量保证方案内容完整、考虑周详、措施详细、清晰度高，得7-</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 xml:space="preserve">分； </w:t>
            </w:r>
          </w:p>
          <w:p w14:paraId="1E5A53D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质量保证方案内容较完整、措施详细但有欠缺、清晰度高，得4-6分； </w:t>
            </w:r>
          </w:p>
          <w:p w14:paraId="2BDE1E7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质量保证方案内容有缺失，前后逻辑错误、不影响项目的实施，得1-3分； </w:t>
            </w:r>
          </w:p>
          <w:p w14:paraId="01C2102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未提供质量保证方案得0分。</w:t>
            </w:r>
          </w:p>
        </w:tc>
      </w:tr>
      <w:tr w14:paraId="68B9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234EF9C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2CF6D4F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51" w:type="dxa"/>
            <w:vAlign w:val="center"/>
          </w:tcPr>
          <w:p w14:paraId="277E217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技术人员配置方案（</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分）</w:t>
            </w:r>
          </w:p>
        </w:tc>
        <w:tc>
          <w:tcPr>
            <w:tcW w:w="6216" w:type="dxa"/>
            <w:vAlign w:val="center"/>
          </w:tcPr>
          <w:p w14:paraId="506DD56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配备专业的技术服务团队，技术人员配置及其职责划分合理性、可行性等因素进行综合评审；</w:t>
            </w:r>
          </w:p>
          <w:p w14:paraId="118BE9C5">
            <w:pPr>
              <w:shd w:val="clear" w:color="auto" w:fill="auto"/>
              <w:spacing w:line="32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技术服务团队</w:t>
            </w:r>
            <w:r>
              <w:rPr>
                <w:rFonts w:hint="eastAsia" w:ascii="宋体" w:hAnsi="宋体" w:eastAsia="宋体" w:cs="宋体"/>
                <w:color w:val="auto"/>
                <w:sz w:val="21"/>
                <w:szCs w:val="21"/>
                <w:highlight w:val="none"/>
              </w:rPr>
              <w:t>安排计划合理，团队配备齐全、分工及工作安排明确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32558CD9">
            <w:pPr>
              <w:shd w:val="clear" w:color="auto" w:fill="auto"/>
              <w:spacing w:line="32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工作人员安排计划基本合理，组织管理体系科学，</w:t>
            </w:r>
            <w:r>
              <w:rPr>
                <w:rFonts w:hint="eastAsia" w:ascii="宋体" w:hAnsi="宋体" w:eastAsia="宋体" w:cs="宋体"/>
                <w:color w:val="auto"/>
                <w:kern w:val="0"/>
                <w:sz w:val="21"/>
                <w:szCs w:val="21"/>
                <w:highlight w:val="none"/>
                <w:lang w:val="en-US" w:eastAsia="zh-CN"/>
              </w:rPr>
              <w:t>内容基本全面，</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分；</w:t>
            </w:r>
          </w:p>
          <w:p w14:paraId="46ACF9D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具有可行性，</w:t>
            </w:r>
            <w:r>
              <w:rPr>
                <w:rFonts w:hint="eastAsia" w:ascii="宋体" w:hAnsi="宋体" w:eastAsia="宋体" w:cs="宋体"/>
                <w:color w:val="auto"/>
                <w:sz w:val="21"/>
                <w:szCs w:val="21"/>
                <w:highlight w:val="none"/>
              </w:rPr>
              <w:t>基本能够满足采购需求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得1-2分；</w:t>
            </w:r>
          </w:p>
          <w:p w14:paraId="564F7C4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未提供</w:t>
            </w:r>
            <w:r>
              <w:rPr>
                <w:rFonts w:hint="eastAsia" w:ascii="宋体" w:hAnsi="宋体" w:eastAsia="宋体" w:cs="宋体"/>
                <w:color w:val="auto"/>
                <w:kern w:val="0"/>
                <w:sz w:val="21"/>
                <w:szCs w:val="21"/>
                <w:highlight w:val="none"/>
                <w:lang w:eastAsia="zh-CN"/>
              </w:rPr>
              <w:t>技术人员配置方案</w:t>
            </w:r>
            <w:r>
              <w:rPr>
                <w:rFonts w:hint="eastAsia" w:ascii="宋体" w:hAnsi="宋体" w:eastAsia="宋体" w:cs="宋体"/>
                <w:color w:val="auto"/>
                <w:kern w:val="0"/>
                <w:sz w:val="21"/>
                <w:szCs w:val="21"/>
                <w:highlight w:val="none"/>
                <w:lang w:val="en-US" w:eastAsia="zh-CN"/>
              </w:rPr>
              <w:t>不得分。</w:t>
            </w:r>
          </w:p>
        </w:tc>
      </w:tr>
      <w:tr w14:paraId="7032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vAlign w:val="center"/>
          </w:tcPr>
          <w:p w14:paraId="7400F64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rPr>
            </w:pPr>
          </w:p>
        </w:tc>
        <w:tc>
          <w:tcPr>
            <w:tcW w:w="1249" w:type="dxa"/>
            <w:vMerge w:val="continue"/>
            <w:vAlign w:val="center"/>
          </w:tcPr>
          <w:p w14:paraId="1CD3F8F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1"/>
                <w:szCs w:val="21"/>
                <w:highlight w:val="none"/>
                <w:lang w:eastAsia="zh-CN"/>
              </w:rPr>
            </w:pPr>
          </w:p>
        </w:tc>
        <w:tc>
          <w:tcPr>
            <w:tcW w:w="1251" w:type="dxa"/>
            <w:vAlign w:val="center"/>
          </w:tcPr>
          <w:p w14:paraId="376DC64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售后服务</w:t>
            </w:r>
          </w:p>
          <w:p w14:paraId="6491CD3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tc>
        <w:tc>
          <w:tcPr>
            <w:tcW w:w="6216" w:type="dxa"/>
            <w:vAlign w:val="center"/>
          </w:tcPr>
          <w:p w14:paraId="1AE0CCB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投标人承诺的售后服务内容、维保维修响应时间及技术支持等方面进行综合比较评审：</w:t>
            </w:r>
          </w:p>
          <w:p w14:paraId="3FBB5C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 xml:space="preserve">投标人提供的售后服务方案总体合理完整，实用性强，可以完全满足项目需求，得5-6分； </w:t>
            </w:r>
          </w:p>
          <w:p w14:paraId="021957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 xml:space="preserve">投标人提供的售后服务方案有一定合理性、但考虑问题不周全、相关服务措施不够具体或涵盖不全面，得3-4分； </w:t>
            </w:r>
          </w:p>
          <w:p w14:paraId="521156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auto"/>
                <w:kern w:val="2"/>
                <w:sz w:val="21"/>
                <w:szCs w:val="21"/>
                <w:highlight w:val="none"/>
                <w:vertAlign w:val="baseline"/>
                <w:lang w:val="en-US" w:eastAsia="zh-CN" w:bidi="ar"/>
              </w:rPr>
            </w:pPr>
            <w:r>
              <w:rPr>
                <w:rFonts w:hint="eastAsia" w:ascii="宋体" w:hAnsi="宋体" w:eastAsia="宋体" w:cs="宋体"/>
                <w:b w:val="0"/>
                <w:bCs w:val="0"/>
                <w:caps w:val="0"/>
                <w:color w:val="auto"/>
                <w:kern w:val="2"/>
                <w:sz w:val="21"/>
                <w:szCs w:val="21"/>
                <w:highlight w:val="none"/>
                <w:vertAlign w:val="baseline"/>
                <w:lang w:val="en-US" w:eastAsia="zh-CN" w:bidi="ar"/>
              </w:rPr>
              <w:t>投标人的售后服务方案内容合理不完整、方案基本上满足项目要求可实施，得1-2分；</w:t>
            </w:r>
          </w:p>
          <w:p w14:paraId="5334E2E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未提供售后服务方案得0分。</w:t>
            </w:r>
          </w:p>
        </w:tc>
      </w:tr>
    </w:tbl>
    <w:p w14:paraId="2B6BF80C">
      <w:pPr>
        <w:spacing w:before="221"/>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满足以下条件的可享受价格分扣除待遇：</w:t>
      </w:r>
    </w:p>
    <w:p w14:paraId="7C19A66F">
      <w:pPr>
        <w:spacing w:before="221"/>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（1）根据财库【2022】19号文件规定，对小型和微型企业的产品给予10%的价格扣除，并按照扣除后的价格参加评审。</w:t>
      </w:r>
    </w:p>
    <w:p w14:paraId="16738C04">
      <w:pPr>
        <w:spacing w:before="221"/>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（2）监狱企业视同小型、微型企业，监狱企业投标的提供由省级以上监狱管理局、戒毒管理局(含新疆生产建设兵团)出具的属于监狱企业的证明文件，不再提供《中小企业声明函》；</w:t>
      </w:r>
    </w:p>
    <w:p w14:paraId="70A3245B">
      <w:pPr>
        <w:spacing w:before="221"/>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（3）残疾人福利性单位视同小型、微型企业，残疾人福利性单位属于小型、微型企业的，不重复享受政策。符合条件的残疾人福利性单位在参加政府采购活动时，应当提供《残疾人福利性单位声明函》。</w:t>
      </w:r>
    </w:p>
    <w:p w14:paraId="726F4B67">
      <w:pPr>
        <w:spacing w:before="221" w:line="228" w:lineRule="auto"/>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eastAsia="zh-CN"/>
        </w:rPr>
        <w:t>（4）价格扣除的依据：提供《中小企业声明函》或《残疾人福利性单位声明函》或《残疾人福利性单位声明函》</w:t>
      </w:r>
      <w:r>
        <w:rPr>
          <w:rFonts w:hint="eastAsia" w:ascii="宋体" w:hAnsi="宋体" w:eastAsia="宋体" w:cs="宋体"/>
          <w:color w:val="auto"/>
          <w:sz w:val="20"/>
          <w:szCs w:val="20"/>
          <w:highlight w:val="none"/>
          <w:lang w:eastAsia="zh-CN"/>
        </w:rPr>
        <w:t>。</w:t>
      </w:r>
    </w:p>
    <w:p w14:paraId="7747FC98">
      <w:pPr>
        <w:spacing w:line="228" w:lineRule="auto"/>
        <w:rPr>
          <w:rFonts w:hint="eastAsia" w:ascii="宋体" w:hAnsi="宋体" w:eastAsia="宋体" w:cs="宋体"/>
          <w:color w:val="auto"/>
          <w:sz w:val="20"/>
          <w:szCs w:val="20"/>
          <w:highlight w:val="none"/>
          <w:lang w:eastAsia="zh-CN"/>
        </w:rPr>
        <w:sectPr>
          <w:pgSz w:w="11906" w:h="16839"/>
          <w:pgMar w:top="1392" w:right="1362" w:bottom="0" w:left="1369" w:header="0" w:footer="737" w:gutter="0"/>
          <w:pgNumType w:fmt="decimal"/>
          <w:cols w:space="720" w:num="1"/>
        </w:sectPr>
      </w:pPr>
    </w:p>
    <w:p w14:paraId="52361B48">
      <w:pPr>
        <w:spacing w:before="91" w:line="220" w:lineRule="auto"/>
        <w:jc w:val="center"/>
        <w:rPr>
          <w:rFonts w:hint="eastAsia" w:ascii="宋体" w:hAnsi="宋体" w:eastAsia="宋体" w:cs="宋体"/>
          <w:b/>
          <w:bCs/>
          <w:color w:val="auto"/>
          <w:spacing w:val="-3"/>
          <w:sz w:val="28"/>
          <w:szCs w:val="28"/>
          <w:highlight w:val="none"/>
          <w:lang w:eastAsia="zh-CN"/>
        </w:rPr>
      </w:pPr>
    </w:p>
    <w:p w14:paraId="5A299216">
      <w:pPr>
        <w:spacing w:before="91" w:line="220" w:lineRule="auto"/>
        <w:jc w:val="center"/>
        <w:rPr>
          <w:rFonts w:hint="eastAsia" w:ascii="宋体" w:hAnsi="宋体" w:eastAsia="宋体" w:cs="宋体"/>
          <w:b/>
          <w:bCs/>
          <w:color w:val="auto"/>
          <w:spacing w:val="-3"/>
          <w:sz w:val="28"/>
          <w:szCs w:val="28"/>
          <w:highlight w:val="none"/>
          <w:lang w:eastAsia="zh-CN"/>
        </w:rPr>
      </w:pPr>
      <w:r>
        <w:rPr>
          <w:rFonts w:hint="eastAsia" w:ascii="宋体" w:hAnsi="宋体" w:eastAsia="宋体" w:cs="宋体"/>
          <w:b/>
          <w:bCs/>
          <w:color w:val="auto"/>
          <w:spacing w:val="-3"/>
          <w:sz w:val="28"/>
          <w:szCs w:val="28"/>
          <w:highlight w:val="none"/>
          <w:lang w:eastAsia="zh-CN"/>
        </w:rPr>
        <w:t>附件：关于印发《政府采购促进中小企业发展暂行办法》的通知</w:t>
      </w:r>
    </w:p>
    <w:p w14:paraId="3EA166F5">
      <w:pPr>
        <w:spacing w:before="91" w:line="22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财库〔2020〕46号</w:t>
      </w:r>
    </w:p>
    <w:p w14:paraId="38B24286">
      <w:pPr>
        <w:spacing w:before="215" w:line="502" w:lineRule="exact"/>
        <w:ind w:right="22"/>
        <w:jc w:val="right"/>
        <w:rPr>
          <w:rFonts w:hint="eastAsia" w:ascii="宋体" w:hAnsi="宋体" w:eastAsia="宋体" w:cs="宋体"/>
          <w:color w:val="auto"/>
          <w:spacing w:val="7"/>
          <w:position w:val="23"/>
          <w:sz w:val="20"/>
          <w:szCs w:val="20"/>
          <w:highlight w:val="none"/>
          <w:lang w:eastAsia="zh-CN"/>
        </w:rPr>
      </w:pPr>
    </w:p>
    <w:p w14:paraId="121C38BE">
      <w:pPr>
        <w:spacing w:before="215" w:line="502" w:lineRule="exact"/>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23"/>
          <w:sz w:val="20"/>
          <w:szCs w:val="20"/>
          <w:highlight w:val="none"/>
          <w:lang w:eastAsia="zh-CN"/>
        </w:rPr>
        <w:t>各中央预算单位办公厅（室</w:t>
      </w:r>
      <w:r>
        <w:rPr>
          <w:rFonts w:hint="eastAsia" w:ascii="宋体" w:hAnsi="宋体" w:eastAsia="宋体" w:cs="宋体"/>
          <w:color w:val="auto"/>
          <w:spacing w:val="14"/>
          <w:position w:val="23"/>
          <w:sz w:val="20"/>
          <w:szCs w:val="20"/>
          <w:highlight w:val="none"/>
          <w:lang w:eastAsia="zh-CN"/>
        </w:rPr>
        <w:t>），</w:t>
      </w:r>
      <w:r>
        <w:rPr>
          <w:rFonts w:hint="eastAsia" w:ascii="宋体" w:hAnsi="宋体" w:eastAsia="宋体" w:cs="宋体"/>
          <w:color w:val="auto"/>
          <w:spacing w:val="7"/>
          <w:position w:val="23"/>
          <w:sz w:val="20"/>
          <w:szCs w:val="20"/>
          <w:highlight w:val="none"/>
          <w:lang w:eastAsia="zh-CN"/>
        </w:rPr>
        <w:t>各省、自治区、直辖市、计划单列市财政厅（局）、工业和信息</w:t>
      </w:r>
    </w:p>
    <w:p w14:paraId="0107231B">
      <w:pPr>
        <w:spacing w:line="227"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化主管部门，新疆生产建设兵团财政局、工业和信息化主管部门：</w:t>
      </w:r>
    </w:p>
    <w:p w14:paraId="588EDA1C">
      <w:pPr>
        <w:spacing w:before="252" w:line="462" w:lineRule="auto"/>
        <w:ind w:left="4" w:right="22" w:firstLine="41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为贯彻落实《关于促进中小企业健康发展的指导意见》，发挥政府采购政策功能，促进中小企业发展，根据《中华人民共和国政府采购法》、《中华人民共和国中小企业促进法》等法律法规，财政</w:t>
      </w:r>
    </w:p>
    <w:p w14:paraId="6CB1E057">
      <w:pPr>
        <w:spacing w:line="226" w:lineRule="auto"/>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部、工业和信息化部制定了《政府采购促进中小企业发展管理办法》。现印发给你们，请遵照</w:t>
      </w:r>
      <w:r>
        <w:rPr>
          <w:rFonts w:hint="eastAsia" w:ascii="宋体" w:hAnsi="宋体" w:eastAsia="宋体" w:cs="宋体"/>
          <w:color w:val="auto"/>
          <w:spacing w:val="8"/>
          <w:sz w:val="20"/>
          <w:szCs w:val="20"/>
          <w:highlight w:val="none"/>
          <w:lang w:eastAsia="zh-CN"/>
        </w:rPr>
        <w:t>执行。</w:t>
      </w:r>
    </w:p>
    <w:p w14:paraId="0EF8BBB2">
      <w:pPr>
        <w:spacing w:before="254" w:line="227" w:lineRule="auto"/>
        <w:ind w:left="43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附件：政府采购促进中小企业发展管理办法。</w:t>
      </w:r>
    </w:p>
    <w:p w14:paraId="2E05A649">
      <w:pPr>
        <w:pStyle w:val="8"/>
        <w:spacing w:line="315" w:lineRule="auto"/>
        <w:rPr>
          <w:rFonts w:hint="eastAsia" w:ascii="宋体" w:hAnsi="宋体" w:eastAsia="宋体" w:cs="宋体"/>
          <w:color w:val="auto"/>
          <w:highlight w:val="none"/>
          <w:lang w:eastAsia="zh-CN"/>
        </w:rPr>
      </w:pPr>
    </w:p>
    <w:p w14:paraId="2BCD0290">
      <w:pPr>
        <w:pStyle w:val="8"/>
        <w:spacing w:line="316" w:lineRule="auto"/>
        <w:rPr>
          <w:rFonts w:hint="eastAsia" w:ascii="宋体" w:hAnsi="宋体" w:eastAsia="宋体" w:cs="宋体"/>
          <w:color w:val="auto"/>
          <w:highlight w:val="none"/>
          <w:lang w:eastAsia="zh-CN"/>
        </w:rPr>
      </w:pPr>
    </w:p>
    <w:p w14:paraId="4BFE2316">
      <w:pPr>
        <w:pStyle w:val="8"/>
        <w:spacing w:line="316" w:lineRule="auto"/>
        <w:rPr>
          <w:rFonts w:hint="eastAsia" w:ascii="宋体" w:hAnsi="宋体" w:eastAsia="宋体" w:cs="宋体"/>
          <w:color w:val="auto"/>
          <w:highlight w:val="none"/>
          <w:lang w:eastAsia="zh-CN"/>
        </w:rPr>
      </w:pPr>
    </w:p>
    <w:p w14:paraId="4BCBD233">
      <w:pPr>
        <w:spacing w:before="65" w:line="228" w:lineRule="auto"/>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财政部</w:t>
      </w:r>
    </w:p>
    <w:p w14:paraId="2BFCF857">
      <w:pPr>
        <w:pStyle w:val="8"/>
        <w:spacing w:line="436" w:lineRule="auto"/>
        <w:rPr>
          <w:rFonts w:hint="eastAsia" w:ascii="宋体" w:hAnsi="宋体" w:eastAsia="宋体" w:cs="宋体"/>
          <w:color w:val="auto"/>
          <w:highlight w:val="none"/>
          <w:lang w:eastAsia="zh-CN"/>
        </w:rPr>
      </w:pPr>
    </w:p>
    <w:p w14:paraId="31A4E50F">
      <w:pPr>
        <w:spacing w:before="66" w:line="228" w:lineRule="auto"/>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工业和信息化部</w:t>
      </w:r>
    </w:p>
    <w:p w14:paraId="225068D7">
      <w:pPr>
        <w:pStyle w:val="8"/>
        <w:spacing w:line="436" w:lineRule="auto"/>
        <w:rPr>
          <w:rFonts w:hint="eastAsia" w:ascii="宋体" w:hAnsi="宋体" w:eastAsia="宋体" w:cs="宋体"/>
          <w:color w:val="auto"/>
          <w:highlight w:val="none"/>
          <w:lang w:eastAsia="zh-CN"/>
        </w:rPr>
      </w:pPr>
    </w:p>
    <w:p w14:paraId="69E77F4E">
      <w:pPr>
        <w:spacing w:before="66" w:line="228" w:lineRule="auto"/>
        <w:ind w:left="761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2"/>
          <w:sz w:val="20"/>
          <w:szCs w:val="20"/>
          <w:highlight w:val="none"/>
          <w:lang w:eastAsia="zh-CN"/>
        </w:rPr>
        <w:t>2020年12月18日</w:t>
      </w:r>
    </w:p>
    <w:p w14:paraId="4AFE140C">
      <w:pPr>
        <w:pStyle w:val="8"/>
        <w:rPr>
          <w:rFonts w:hint="eastAsia" w:ascii="宋体" w:hAnsi="宋体" w:eastAsia="宋体" w:cs="宋体"/>
          <w:color w:val="auto"/>
          <w:highlight w:val="none"/>
          <w:lang w:eastAsia="zh-CN"/>
        </w:rPr>
      </w:pPr>
    </w:p>
    <w:p w14:paraId="39FC6681">
      <w:pPr>
        <w:pStyle w:val="8"/>
        <w:rPr>
          <w:rFonts w:hint="eastAsia" w:ascii="宋体" w:hAnsi="宋体" w:eastAsia="宋体" w:cs="宋体"/>
          <w:color w:val="auto"/>
          <w:highlight w:val="none"/>
          <w:lang w:eastAsia="zh-CN"/>
        </w:rPr>
      </w:pPr>
    </w:p>
    <w:p w14:paraId="2F485837">
      <w:pPr>
        <w:pStyle w:val="8"/>
        <w:rPr>
          <w:rFonts w:hint="eastAsia" w:ascii="宋体" w:hAnsi="宋体" w:eastAsia="宋体" w:cs="宋体"/>
          <w:color w:val="auto"/>
          <w:highlight w:val="none"/>
          <w:lang w:eastAsia="zh-CN"/>
        </w:rPr>
      </w:pPr>
    </w:p>
    <w:p w14:paraId="68366908">
      <w:pPr>
        <w:spacing w:before="91" w:line="222" w:lineRule="auto"/>
        <w:ind w:left="2634"/>
        <w:rPr>
          <w:rFonts w:hint="eastAsia" w:ascii="宋体" w:hAnsi="宋体" w:eastAsia="宋体" w:cs="宋体"/>
          <w:color w:val="auto"/>
          <w:spacing w:val="-1"/>
          <w:sz w:val="28"/>
          <w:szCs w:val="28"/>
          <w:highlight w:val="none"/>
          <w:lang w:eastAsia="zh-CN"/>
        </w:rPr>
      </w:pPr>
    </w:p>
    <w:p w14:paraId="08273011">
      <w:pPr>
        <w:spacing w:before="91" w:line="222" w:lineRule="auto"/>
        <w:ind w:left="2634"/>
        <w:rPr>
          <w:rFonts w:hint="eastAsia" w:ascii="宋体" w:hAnsi="宋体" w:eastAsia="宋体" w:cs="宋体"/>
          <w:color w:val="auto"/>
          <w:spacing w:val="-1"/>
          <w:sz w:val="28"/>
          <w:szCs w:val="28"/>
          <w:highlight w:val="none"/>
          <w:lang w:eastAsia="zh-CN"/>
        </w:rPr>
      </w:pPr>
    </w:p>
    <w:p w14:paraId="16DB4E60">
      <w:pPr>
        <w:spacing w:before="91" w:line="222" w:lineRule="auto"/>
        <w:ind w:left="2634"/>
        <w:rPr>
          <w:rFonts w:hint="eastAsia" w:ascii="宋体" w:hAnsi="宋体" w:eastAsia="宋体" w:cs="宋体"/>
          <w:color w:val="auto"/>
          <w:spacing w:val="-1"/>
          <w:sz w:val="28"/>
          <w:szCs w:val="28"/>
          <w:highlight w:val="none"/>
          <w:lang w:eastAsia="zh-CN"/>
        </w:rPr>
      </w:pPr>
    </w:p>
    <w:p w14:paraId="1793C0FE">
      <w:pPr>
        <w:spacing w:before="91" w:line="222" w:lineRule="auto"/>
        <w:ind w:left="2634"/>
        <w:rPr>
          <w:rFonts w:hint="eastAsia" w:ascii="宋体" w:hAnsi="宋体" w:eastAsia="宋体" w:cs="宋体"/>
          <w:color w:val="auto"/>
          <w:spacing w:val="-1"/>
          <w:sz w:val="28"/>
          <w:szCs w:val="28"/>
          <w:highlight w:val="none"/>
          <w:lang w:eastAsia="zh-CN"/>
        </w:rPr>
      </w:pPr>
    </w:p>
    <w:p w14:paraId="770805F4">
      <w:pPr>
        <w:spacing w:before="91" w:line="222" w:lineRule="auto"/>
        <w:ind w:left="2634"/>
        <w:rPr>
          <w:rFonts w:hint="eastAsia" w:ascii="宋体" w:hAnsi="宋体" w:eastAsia="宋体" w:cs="宋体"/>
          <w:color w:val="auto"/>
          <w:spacing w:val="-1"/>
          <w:sz w:val="28"/>
          <w:szCs w:val="28"/>
          <w:highlight w:val="none"/>
          <w:lang w:eastAsia="zh-CN"/>
        </w:rPr>
      </w:pPr>
    </w:p>
    <w:p w14:paraId="1D311DD2">
      <w:pPr>
        <w:spacing w:before="91" w:line="222" w:lineRule="auto"/>
        <w:ind w:left="2634"/>
        <w:rPr>
          <w:rFonts w:hint="eastAsia" w:ascii="宋体" w:hAnsi="宋体" w:eastAsia="宋体" w:cs="宋体"/>
          <w:color w:val="auto"/>
          <w:spacing w:val="-1"/>
          <w:sz w:val="28"/>
          <w:szCs w:val="28"/>
          <w:highlight w:val="none"/>
          <w:lang w:eastAsia="zh-CN"/>
        </w:rPr>
      </w:pPr>
    </w:p>
    <w:p w14:paraId="63B21EF7">
      <w:pPr>
        <w:spacing w:before="91" w:line="222" w:lineRule="auto"/>
        <w:ind w:left="2634"/>
        <w:rPr>
          <w:rFonts w:hint="eastAsia" w:ascii="宋体" w:hAnsi="宋体" w:eastAsia="宋体" w:cs="宋体"/>
          <w:color w:val="auto"/>
          <w:spacing w:val="-1"/>
          <w:sz w:val="28"/>
          <w:szCs w:val="28"/>
          <w:highlight w:val="none"/>
          <w:lang w:eastAsia="zh-CN"/>
        </w:rPr>
      </w:pPr>
    </w:p>
    <w:p w14:paraId="0F317CE0">
      <w:pPr>
        <w:spacing w:before="91" w:line="222" w:lineRule="auto"/>
        <w:ind w:left="2634"/>
        <w:rPr>
          <w:rFonts w:hint="eastAsia" w:ascii="宋体" w:hAnsi="宋体" w:eastAsia="宋体" w:cs="宋体"/>
          <w:color w:val="auto"/>
          <w:spacing w:val="-1"/>
          <w:sz w:val="28"/>
          <w:szCs w:val="28"/>
          <w:highlight w:val="none"/>
          <w:lang w:eastAsia="zh-CN"/>
        </w:rPr>
      </w:pPr>
    </w:p>
    <w:p w14:paraId="4B187125">
      <w:pPr>
        <w:spacing w:before="91" w:line="222" w:lineRule="auto"/>
        <w:ind w:left="2634"/>
        <w:rPr>
          <w:rFonts w:hint="eastAsia" w:ascii="宋体" w:hAnsi="宋体" w:eastAsia="宋体" w:cs="宋体"/>
          <w:color w:val="auto"/>
          <w:spacing w:val="-1"/>
          <w:sz w:val="28"/>
          <w:szCs w:val="28"/>
          <w:highlight w:val="none"/>
          <w:lang w:eastAsia="zh-CN"/>
        </w:rPr>
      </w:pPr>
    </w:p>
    <w:p w14:paraId="0E0B868F">
      <w:pPr>
        <w:spacing w:before="91" w:line="222" w:lineRule="auto"/>
        <w:ind w:left="2634"/>
        <w:rPr>
          <w:rFonts w:hint="eastAsia" w:ascii="宋体" w:hAnsi="宋体" w:eastAsia="宋体" w:cs="宋体"/>
          <w:color w:val="auto"/>
          <w:spacing w:val="-1"/>
          <w:sz w:val="28"/>
          <w:szCs w:val="28"/>
          <w:highlight w:val="none"/>
          <w:lang w:eastAsia="zh-CN"/>
        </w:rPr>
      </w:pPr>
    </w:p>
    <w:p w14:paraId="1B7970FF">
      <w:pPr>
        <w:spacing w:before="91" w:line="222" w:lineRule="auto"/>
        <w:ind w:left="2634"/>
        <w:rPr>
          <w:rFonts w:hint="eastAsia" w:ascii="宋体" w:hAnsi="宋体" w:eastAsia="宋体" w:cs="宋体"/>
          <w:color w:val="auto"/>
          <w:spacing w:val="-1"/>
          <w:sz w:val="28"/>
          <w:szCs w:val="28"/>
          <w:highlight w:val="none"/>
          <w:lang w:eastAsia="zh-CN"/>
        </w:rPr>
      </w:pPr>
    </w:p>
    <w:p w14:paraId="5D6BF400">
      <w:pPr>
        <w:spacing w:before="91" w:line="222" w:lineRule="auto"/>
        <w:ind w:left="2634"/>
        <w:rPr>
          <w:rFonts w:hint="eastAsia" w:ascii="宋体" w:hAnsi="宋体" w:eastAsia="宋体" w:cs="宋体"/>
          <w:color w:val="auto"/>
          <w:spacing w:val="-1"/>
          <w:sz w:val="28"/>
          <w:szCs w:val="28"/>
          <w:highlight w:val="none"/>
          <w:lang w:eastAsia="zh-CN"/>
        </w:rPr>
      </w:pPr>
    </w:p>
    <w:p w14:paraId="01A71B83">
      <w:pPr>
        <w:pStyle w:val="2"/>
        <w:numPr>
          <w:ilvl w:val="0"/>
          <w:numId w:val="0"/>
        </w:numPr>
        <w:ind w:left="540" w:leftChars="0"/>
        <w:rPr>
          <w:rFonts w:hint="eastAsia"/>
          <w:color w:val="auto"/>
          <w:highlight w:val="none"/>
          <w:lang w:eastAsia="zh-CN"/>
        </w:rPr>
      </w:pPr>
    </w:p>
    <w:p w14:paraId="13B9DDDF">
      <w:pPr>
        <w:spacing w:before="91" w:line="222" w:lineRule="auto"/>
        <w:ind w:left="2634"/>
        <w:rPr>
          <w:rFonts w:hint="eastAsia" w:ascii="宋体" w:hAnsi="宋体" w:eastAsia="宋体" w:cs="宋体"/>
          <w:color w:val="auto"/>
          <w:spacing w:val="-1"/>
          <w:sz w:val="28"/>
          <w:szCs w:val="28"/>
          <w:highlight w:val="none"/>
          <w:lang w:eastAsia="zh-CN"/>
        </w:rPr>
      </w:pPr>
    </w:p>
    <w:p w14:paraId="2025B708">
      <w:pPr>
        <w:spacing w:before="91" w:line="222" w:lineRule="auto"/>
        <w:ind w:left="2634"/>
        <w:rPr>
          <w:rFonts w:hint="eastAsia" w:ascii="宋体" w:hAnsi="宋体" w:eastAsia="宋体" w:cs="宋体"/>
          <w:color w:val="auto"/>
          <w:spacing w:val="-1"/>
          <w:sz w:val="28"/>
          <w:szCs w:val="28"/>
          <w:highlight w:val="none"/>
          <w:lang w:eastAsia="zh-CN"/>
        </w:rPr>
      </w:pPr>
    </w:p>
    <w:p w14:paraId="7A9C1D31">
      <w:pPr>
        <w:pStyle w:val="5"/>
        <w:ind w:firstLine="560"/>
        <w:jc w:val="center"/>
        <w:rPr>
          <w:rFonts w:ascii="Arial" w:hAnsi="Arial" w:eastAsia="黑体"/>
          <w:bCs/>
          <w:color w:val="auto"/>
          <w:sz w:val="28"/>
          <w:szCs w:val="28"/>
          <w:highlight w:val="none"/>
        </w:rPr>
      </w:pPr>
      <w:r>
        <w:rPr>
          <w:rFonts w:hint="eastAsia" w:ascii="Arial" w:hAnsi="Arial" w:eastAsia="黑体"/>
          <w:bCs/>
          <w:color w:val="auto"/>
          <w:sz w:val="28"/>
          <w:szCs w:val="28"/>
          <w:highlight w:val="none"/>
        </w:rPr>
        <w:t>政府采购促进中小企业发展</w:t>
      </w:r>
      <w:r>
        <w:rPr>
          <w:rFonts w:ascii="Arial" w:hAnsi="Arial" w:eastAsia="黑体"/>
          <w:bCs/>
          <w:color w:val="auto"/>
          <w:sz w:val="28"/>
          <w:szCs w:val="28"/>
          <w:highlight w:val="none"/>
        </w:rPr>
        <w:t>管理</w:t>
      </w:r>
      <w:r>
        <w:rPr>
          <w:rFonts w:hint="eastAsia" w:ascii="Arial" w:hAnsi="Arial" w:eastAsia="黑体"/>
          <w:bCs/>
          <w:color w:val="auto"/>
          <w:sz w:val="28"/>
          <w:szCs w:val="28"/>
          <w:highlight w:val="none"/>
        </w:rPr>
        <w:t>办法</w:t>
      </w:r>
    </w:p>
    <w:p w14:paraId="1CC77119">
      <w:pPr>
        <w:pStyle w:val="18"/>
        <w:adjustRightInd w:val="0"/>
        <w:snapToGrid w:val="0"/>
        <w:spacing w:before="0" w:beforeAutospacing="0" w:after="0" w:afterAutospacing="0" w:line="340" w:lineRule="exact"/>
        <w:ind w:firstLine="450" w:firstLineChars="200"/>
        <w:jc w:val="both"/>
        <w:rPr>
          <w:rStyle w:val="25"/>
          <w:rFonts w:hint="eastAsia" w:ascii="宋体" w:cs="宋体"/>
          <w:color w:val="auto"/>
          <w:spacing w:val="7"/>
          <w:sz w:val="21"/>
          <w:szCs w:val="21"/>
          <w:highlight w:val="none"/>
          <w:lang w:bidi="ar-SA"/>
        </w:rPr>
      </w:pPr>
    </w:p>
    <w:p w14:paraId="1A2C19B0">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第一条　</w:t>
      </w:r>
      <w:r>
        <w:rPr>
          <w:rFonts w:hint="eastAsia" w:ascii="宋体" w:cs="宋体"/>
          <w:color w:val="auto"/>
          <w:spacing w:val="7"/>
          <w:sz w:val="21"/>
          <w:szCs w:val="21"/>
          <w:highlight w:val="none"/>
          <w:lang w:bidi="ar-SA"/>
        </w:rPr>
        <w:t>为了发挥政府采购的政策功能，促进中小企业健康发展，根据《中华人民共和国政府采购法》、《中华人民共和国中小企业促进法》等有关法律法规，制定本办法。</w:t>
      </w:r>
    </w:p>
    <w:p w14:paraId="6439A7B5">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第二条　</w:t>
      </w:r>
      <w:r>
        <w:rPr>
          <w:rFonts w:hint="eastAsia" w:ascii="宋体" w:cs="宋体"/>
          <w:color w:val="auto"/>
          <w:spacing w:val="7"/>
          <w:sz w:val="21"/>
          <w:szCs w:val="21"/>
          <w:highlight w:val="none"/>
          <w:lang w:bidi="ar-SA"/>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3B7B628">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符合中小企业划分标准的个体工商户，在政府采购活动中视同中小企业。</w:t>
      </w:r>
    </w:p>
    <w:p w14:paraId="2B7C2AC6">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第三条　</w:t>
      </w:r>
      <w:r>
        <w:rPr>
          <w:rFonts w:hint="eastAsia" w:ascii="宋体" w:cs="宋体"/>
          <w:color w:val="auto"/>
          <w:spacing w:val="7"/>
          <w:sz w:val="21"/>
          <w:szCs w:val="21"/>
          <w:highlight w:val="none"/>
          <w:lang w:bidi="ar-SA"/>
        </w:rPr>
        <w:t>采购人在政府采购活动中应当通过加强采购需求管理，落实预留采购份额、价格评审优惠、优先采购等措施，提高中小企业在政府采购中的份额，支持中小企业发展。</w:t>
      </w:r>
    </w:p>
    <w:p w14:paraId="47F930FC">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第四条　</w:t>
      </w:r>
      <w:r>
        <w:rPr>
          <w:rFonts w:hint="eastAsia" w:ascii="宋体" w:cs="宋体"/>
          <w:color w:val="auto"/>
          <w:spacing w:val="7"/>
          <w:sz w:val="21"/>
          <w:szCs w:val="21"/>
          <w:highlight w:val="none"/>
          <w:lang w:bidi="ar-SA"/>
        </w:rPr>
        <w:t>在政府采购活动中，供应商提供的货物、工程或者服务符合下列情形的，享受本办法规定的中小企业扶持政策：</w:t>
      </w:r>
    </w:p>
    <w:p w14:paraId="17F80773">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（一）在货物采购项目中，货物由中小企业制造，即货物由中小企业生产且使用该中小企业商号或者注册商标；</w:t>
      </w:r>
    </w:p>
    <w:p w14:paraId="61F7A8DE">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（二）在工程采购项目中，工程由中小企业承建，即工程施工单位为中小企业；</w:t>
      </w:r>
    </w:p>
    <w:p w14:paraId="2CFAD6E0">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（三）在服务采购项目中，服务由中小企业承接，即提供服务的人员为中小企业依照《中华人民共和国劳动合同法》订立劳动合同的从业人员。</w:t>
      </w:r>
    </w:p>
    <w:p w14:paraId="7539165D">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在货物采购项目中，供应商提供的货物既有中小企业制造货物，也有大型企业制造货物的，不享受本办法规定的中小企业扶持政策。</w:t>
      </w:r>
    </w:p>
    <w:p w14:paraId="2E45F4BE">
      <w:pPr>
        <w:pStyle w:val="18"/>
        <w:adjustRightInd w:val="0"/>
        <w:snapToGrid w:val="0"/>
        <w:spacing w:before="0" w:beforeAutospacing="0" w:after="0" w:afterAutospacing="0" w:line="340" w:lineRule="exact"/>
        <w:ind w:firstLine="448" w:firstLineChars="200"/>
        <w:jc w:val="both"/>
        <w:rPr>
          <w:rFonts w:hint="eastAsia" w:ascii="宋体" w:cs="宋体"/>
          <w:color w:val="auto"/>
          <w:sz w:val="20"/>
          <w:szCs w:val="20"/>
          <w:highlight w:val="none"/>
          <w:lang w:bidi="ar-SA"/>
        </w:rPr>
      </w:pPr>
      <w:r>
        <w:rPr>
          <w:rFonts w:hint="eastAsia" w:ascii="宋体" w:cs="宋体"/>
          <w:color w:val="auto"/>
          <w:spacing w:val="7"/>
          <w:sz w:val="21"/>
          <w:szCs w:val="21"/>
          <w:highlight w:val="none"/>
          <w:lang w:bidi="ar-SA"/>
        </w:rPr>
        <w:t>以联合体形式参加政府采购活动，联合体各方均为中小企业的，联合体视同中小企业。其中，联合体各方均为小微企业的，联合体视同小微企业。</w:t>
      </w:r>
    </w:p>
    <w:p w14:paraId="179A9BB2">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第五条　</w:t>
      </w:r>
      <w:r>
        <w:rPr>
          <w:rFonts w:hint="eastAsia" w:ascii="宋体" w:cs="宋体"/>
          <w:color w:val="auto"/>
          <w:spacing w:val="7"/>
          <w:sz w:val="21"/>
          <w:szCs w:val="21"/>
          <w:highlight w:val="none"/>
          <w:lang w:bidi="ar-SA"/>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6AE0320">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第六条</w:t>
      </w:r>
      <w:r>
        <w:rPr>
          <w:rFonts w:hint="eastAsia" w:ascii="宋体" w:cs="宋体"/>
          <w:color w:val="auto"/>
          <w:spacing w:val="7"/>
          <w:sz w:val="21"/>
          <w:szCs w:val="21"/>
          <w:highlight w:val="none"/>
          <w:lang w:bidi="ar-SA"/>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9C8FFAD">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符合下列情形之一的，可不专门面向中小企业预留采购份额：</w:t>
      </w:r>
    </w:p>
    <w:p w14:paraId="53E93466">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（一）法律法规和国家有关政策明确规定优先或者应当面向事业单位、社会组织等非企业主体采购的；</w:t>
      </w:r>
    </w:p>
    <w:p w14:paraId="21EB095F">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（二）因确需使用不可替代的专利、专有技术，基础设施限制，或者提供特定公共服务等原因，只能从中小企业之外的供应商处采购的；</w:t>
      </w:r>
    </w:p>
    <w:p w14:paraId="516E3DE8">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（三）按照本办法规定预留采购份额无法确保充分供应、充分竞争，或者存在可能影响政府采购目标实现的情形；</w:t>
      </w:r>
    </w:p>
    <w:p w14:paraId="40F53814">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（四）框架协议采购项目；</w:t>
      </w:r>
    </w:p>
    <w:p w14:paraId="4D30D42C">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（五）省级以上人民政府财政部门规定的其他情形。</w:t>
      </w:r>
    </w:p>
    <w:p w14:paraId="1856BAC9">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除上述情形外，其他均为适宜由中小企业提供的情形。</w:t>
      </w:r>
    </w:p>
    <w:p w14:paraId="4869D06E">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第七条　</w:t>
      </w:r>
      <w:r>
        <w:rPr>
          <w:rFonts w:hint="eastAsia" w:ascii="宋体" w:cs="宋体"/>
          <w:color w:val="auto"/>
          <w:spacing w:val="7"/>
          <w:sz w:val="21"/>
          <w:szCs w:val="21"/>
          <w:highlight w:val="none"/>
          <w:lang w:bidi="ar-SA"/>
        </w:rPr>
        <w:t>采购限额标准以上，200万元以下的货物和服务采购项目、400万元以下的工程采购项目，适宜由中小企业提供的，采购人应当专门面向中小企业采购。</w:t>
      </w:r>
    </w:p>
    <w:p w14:paraId="0CB4FB83">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第八条</w:t>
      </w:r>
      <w:r>
        <w:rPr>
          <w:rFonts w:hint="eastAsia" w:ascii="宋体" w:cs="宋体"/>
          <w:color w:val="auto"/>
          <w:spacing w:val="7"/>
          <w:sz w:val="21"/>
          <w:szCs w:val="21"/>
          <w:highlight w:val="none"/>
          <w:lang w:bidi="ar-SA"/>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D6C9EAF">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（一）将采购项目整体或者设置采购包专门面向中小企业采购；</w:t>
      </w:r>
    </w:p>
    <w:p w14:paraId="6690852F">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（二）要求供应商以联合体形式参加采购活动，且联合体中中小企业承担的部分达到一定比例；</w:t>
      </w:r>
    </w:p>
    <w:p w14:paraId="2C7212C9">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（三）要求获得采购合同的供应商将采购项目中的一定比例分包给一家或者多家中小企业。</w:t>
      </w:r>
    </w:p>
    <w:p w14:paraId="3D5B6A60">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组成联合体或者接受分包合同的中小企业与联合体内其他企业、分包企业之间不得存在直接控股、管理关系。</w:t>
      </w:r>
    </w:p>
    <w:p w14:paraId="44C6AE61">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第九条　</w:t>
      </w:r>
      <w:r>
        <w:rPr>
          <w:rFonts w:hint="eastAsia" w:ascii="宋体" w:cs="宋体"/>
          <w:color w:val="auto"/>
          <w:spacing w:val="7"/>
          <w:sz w:val="21"/>
          <w:szCs w:val="21"/>
          <w:highlight w:val="none"/>
          <w:lang w:bidi="ar-SA"/>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C532E4">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9EFB461">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D6684D6">
      <w:pPr>
        <w:pStyle w:val="18"/>
        <w:adjustRightInd w:val="0"/>
        <w:snapToGrid w:val="0"/>
        <w:spacing w:before="0" w:beforeAutospacing="0" w:after="0" w:afterAutospacing="0" w:line="340" w:lineRule="exact"/>
        <w:ind w:firstLine="450" w:firstLineChars="200"/>
        <w:jc w:val="both"/>
        <w:rPr>
          <w:rFonts w:hint="eastAsia" w:ascii="宋体" w:cs="宋体"/>
          <w:color w:val="auto"/>
          <w:spacing w:val="7"/>
          <w:sz w:val="21"/>
          <w:szCs w:val="21"/>
          <w:highlight w:val="none"/>
          <w:lang w:bidi="ar-SA"/>
        </w:rPr>
      </w:pPr>
      <w:r>
        <w:rPr>
          <w:rStyle w:val="25"/>
          <w:rFonts w:hint="eastAsia" w:ascii="宋体" w:cs="宋体"/>
          <w:color w:val="auto"/>
          <w:spacing w:val="7"/>
          <w:sz w:val="21"/>
          <w:szCs w:val="21"/>
          <w:highlight w:val="none"/>
          <w:lang w:bidi="ar-SA"/>
        </w:rPr>
        <w:t>第十条　</w:t>
      </w:r>
      <w:r>
        <w:rPr>
          <w:rFonts w:hint="eastAsia" w:ascii="宋体" w:cs="宋体"/>
          <w:color w:val="auto"/>
          <w:spacing w:val="7"/>
          <w:sz w:val="21"/>
          <w:szCs w:val="21"/>
          <w:highlight w:val="none"/>
          <w:lang w:bidi="ar-SA"/>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EC835C4">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第十一条　</w:t>
      </w:r>
      <w:r>
        <w:rPr>
          <w:rFonts w:hint="eastAsia" w:ascii="宋体" w:cs="宋体"/>
          <w:color w:val="auto"/>
          <w:spacing w:val="7"/>
          <w:sz w:val="21"/>
          <w:szCs w:val="21"/>
          <w:highlight w:val="none"/>
          <w:lang w:bidi="ar-SA"/>
        </w:rPr>
        <w:t>中小企业参加政府采购活动，应当出具本办法规定的《中小企业声明函》（附1），否则不得享受相关中小企业扶持政策。任何单位和个人不得要求供应商提供《中小企业声明函》之外的中小企业身份证明文件。</w:t>
      </w:r>
    </w:p>
    <w:p w14:paraId="13C3B487">
      <w:pPr>
        <w:pStyle w:val="18"/>
        <w:adjustRightInd w:val="0"/>
        <w:snapToGrid w:val="0"/>
        <w:spacing w:before="0" w:beforeAutospacing="0" w:after="0" w:afterAutospacing="0" w:line="340" w:lineRule="exact"/>
        <w:ind w:firstLine="450" w:firstLineChars="200"/>
        <w:jc w:val="both"/>
        <w:rPr>
          <w:rFonts w:hint="eastAsia" w:ascii="宋体" w:cs="宋体"/>
          <w:color w:val="auto"/>
          <w:spacing w:val="7"/>
          <w:sz w:val="21"/>
          <w:szCs w:val="21"/>
          <w:highlight w:val="none"/>
          <w:lang w:bidi="ar-SA"/>
        </w:rPr>
      </w:pPr>
      <w:r>
        <w:rPr>
          <w:rStyle w:val="25"/>
          <w:rFonts w:hint="eastAsia" w:ascii="宋体" w:cs="宋体"/>
          <w:color w:val="auto"/>
          <w:spacing w:val="7"/>
          <w:sz w:val="21"/>
          <w:szCs w:val="21"/>
          <w:highlight w:val="none"/>
          <w:lang w:bidi="ar-SA"/>
        </w:rPr>
        <w:t>第十二条　</w:t>
      </w:r>
      <w:r>
        <w:rPr>
          <w:rFonts w:hint="eastAsia" w:ascii="宋体" w:cs="宋体"/>
          <w:color w:val="auto"/>
          <w:spacing w:val="7"/>
          <w:sz w:val="21"/>
          <w:szCs w:val="21"/>
          <w:highlight w:val="none"/>
          <w:lang w:bidi="ar-SA"/>
        </w:rPr>
        <w:t>采购项目涉及中小企业采购的，采购文件应当明确以下内容：</w:t>
      </w:r>
    </w:p>
    <w:p w14:paraId="560D5F4C">
      <w:pPr>
        <w:pStyle w:val="18"/>
        <w:adjustRightInd w:val="0"/>
        <w:snapToGrid w:val="0"/>
        <w:spacing w:before="0" w:beforeAutospacing="0" w:after="0" w:afterAutospacing="0" w:line="340" w:lineRule="exact"/>
        <w:ind w:firstLine="448" w:firstLineChars="200"/>
        <w:jc w:val="both"/>
        <w:rPr>
          <w:rFonts w:hint="eastAsia" w:ascii="宋体" w:cs="宋体"/>
          <w:color w:val="auto"/>
          <w:spacing w:val="7"/>
          <w:sz w:val="21"/>
          <w:szCs w:val="21"/>
          <w:highlight w:val="none"/>
          <w:lang w:bidi="ar-SA"/>
        </w:rPr>
      </w:pPr>
      <w:r>
        <w:rPr>
          <w:rFonts w:hint="eastAsia" w:ascii="宋体" w:cs="宋体"/>
          <w:color w:val="auto"/>
          <w:spacing w:val="7"/>
          <w:sz w:val="21"/>
          <w:szCs w:val="21"/>
          <w:highlight w:val="none"/>
          <w:lang w:bidi="ar-SA"/>
        </w:rPr>
        <w:t>（一）预留份额的采购项目或者采购包，明确该项目或相关采购包专门面向中小企业采购，以及相关标的及预算金额；</w:t>
      </w:r>
    </w:p>
    <w:p w14:paraId="2AEF31F4">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（二）要求以联合体形式参加或者合同分包的，明确联合协议或者分包意向协议中中小企业合同金额应当达到的比例，并作为供应商资格条件；</w:t>
      </w:r>
    </w:p>
    <w:p w14:paraId="78D5C3F8">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（三）非预留份额的采购项目或者采购包，明确有关价格扣除比例或者价格分加分比例；</w:t>
      </w:r>
    </w:p>
    <w:p w14:paraId="1287B3FB">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（四）规定依据本办法规定享受扶持政策获得政府采购合同的，小微企业不得将合同分包给大中型企业，中型企业不得将合同分包给大型企业；</w:t>
      </w:r>
    </w:p>
    <w:p w14:paraId="52924910">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（五）采购人认为具备相关条件的，明确对中小企业在资金支付期限、预付款比例等方面的优惠措施；</w:t>
      </w:r>
    </w:p>
    <w:p w14:paraId="1A0AE40E">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（六）明确采购标的对应的中小企业划分标准所属行业；</w:t>
      </w:r>
    </w:p>
    <w:p w14:paraId="4C51BDC2">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（七）法律法规和省级以上人民政府财政部门规定的其他事项。</w:t>
      </w:r>
    </w:p>
    <w:p w14:paraId="47447E1C">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第十三条　</w:t>
      </w:r>
      <w:r>
        <w:rPr>
          <w:rFonts w:hint="eastAsia" w:ascii="宋体" w:cs="宋体"/>
          <w:color w:val="auto"/>
          <w:spacing w:val="7"/>
          <w:sz w:val="21"/>
          <w:szCs w:val="21"/>
          <w:highlight w:val="none"/>
          <w:lang w:bidi="ar-SA"/>
        </w:rPr>
        <w:t>中标、成交供应商享受本办法规定的中小企业扶持政策的，采购人、采购代理机构应当随中标、成交结果公开中标、成交供应商的《中小企业声明函》。</w:t>
      </w:r>
    </w:p>
    <w:p w14:paraId="33B7A060">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适用招标投标法的政府采购工程建设项目，应当在公示中标候选人时公开中标候选人的《中小企业声明函》。</w:t>
      </w:r>
    </w:p>
    <w:p w14:paraId="7D344C85">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第十四条</w:t>
      </w:r>
      <w:r>
        <w:rPr>
          <w:rFonts w:hint="eastAsia" w:ascii="宋体" w:cs="宋体"/>
          <w:color w:val="auto"/>
          <w:spacing w:val="7"/>
          <w:sz w:val="21"/>
          <w:szCs w:val="21"/>
          <w:highlight w:val="none"/>
          <w:lang w:bidi="ar-SA"/>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5DD3366">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第十五条　</w:t>
      </w:r>
      <w:r>
        <w:rPr>
          <w:rFonts w:hint="eastAsia" w:ascii="宋体" w:cs="宋体"/>
          <w:color w:val="auto"/>
          <w:spacing w:val="7"/>
          <w:sz w:val="21"/>
          <w:szCs w:val="21"/>
          <w:highlight w:val="none"/>
          <w:lang w:bidi="ar-SA"/>
        </w:rPr>
        <w:t>鼓励各地区、各部门在采购活动中允许中小企业引入信用担保手段，为中小企业在投标（响应）保证、履约保证等方面提供专业化服务。鼓励中小企业依法合规通过政府采购合同融资。</w:t>
      </w:r>
    </w:p>
    <w:p w14:paraId="33838FF8">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第十六条　</w:t>
      </w:r>
      <w:r>
        <w:rPr>
          <w:rFonts w:hint="eastAsia" w:ascii="宋体" w:cs="宋体"/>
          <w:color w:val="auto"/>
          <w:spacing w:val="7"/>
          <w:sz w:val="21"/>
          <w:szCs w:val="21"/>
          <w:highlight w:val="none"/>
          <w:lang w:bidi="ar-SA"/>
        </w:rPr>
        <w:t>政府采购监督检查、投诉处理及政府采购行政处罚中对中小企业的认定，由货物制造商或者工程、服务供应商注册登记所在地的县级以上人民政府中小企业主管部门负责。</w:t>
      </w:r>
    </w:p>
    <w:p w14:paraId="272E68C6">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中小企业主管部门应当在收到财政部门或者有关招标投标行政监督部门关于协助开展中小企业认定函后10个工作日内做出书面答复。</w:t>
      </w:r>
    </w:p>
    <w:p w14:paraId="481DF12E">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第十七条　</w:t>
      </w:r>
      <w:r>
        <w:rPr>
          <w:rFonts w:hint="eastAsia" w:ascii="宋体" w:cs="宋体"/>
          <w:color w:val="auto"/>
          <w:spacing w:val="7"/>
          <w:sz w:val="21"/>
          <w:szCs w:val="21"/>
          <w:highlight w:val="none"/>
          <w:lang w:bidi="ar-SA"/>
        </w:rPr>
        <w:t>各地区、各部门应当对涉及中小企业采购的预算项目实施全过程绩效管理，合理设置绩效目标和指标，落实扶持中小企业有关政策要求，定期开展绩效监控和评价，强化绩效评价结果应用。</w:t>
      </w:r>
    </w:p>
    <w:p w14:paraId="49EFFE7A">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第十八条　</w:t>
      </w:r>
      <w:r>
        <w:rPr>
          <w:rFonts w:hint="eastAsia" w:ascii="宋体" w:cs="宋体"/>
          <w:color w:val="auto"/>
          <w:spacing w:val="7"/>
          <w:sz w:val="21"/>
          <w:szCs w:val="21"/>
          <w:highlight w:val="none"/>
          <w:lang w:bidi="ar-SA"/>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84F4123">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第十九条</w:t>
      </w:r>
      <w:r>
        <w:rPr>
          <w:rFonts w:hint="eastAsia" w:ascii="宋体" w:cs="宋体"/>
          <w:color w:val="auto"/>
          <w:spacing w:val="7"/>
          <w:sz w:val="21"/>
          <w:szCs w:val="21"/>
          <w:highlight w:val="none"/>
          <w:lang w:bidi="ar-SA"/>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B03FEA5">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第二十条</w:t>
      </w:r>
      <w:r>
        <w:rPr>
          <w:rFonts w:hint="eastAsia" w:ascii="宋体" w:cs="宋体"/>
          <w:color w:val="auto"/>
          <w:spacing w:val="7"/>
          <w:sz w:val="21"/>
          <w:szCs w:val="21"/>
          <w:highlight w:val="none"/>
          <w:lang w:bidi="ar-SA"/>
        </w:rPr>
        <w:t>　供应商按照本办法规定提供声明函内容不实的，属于提供虚假材料谋取中标、成交，依照《中华人民共和国政府采购法》等国家有关规定追究相应责任。</w:t>
      </w:r>
    </w:p>
    <w:p w14:paraId="50C5AEDC">
      <w:pPr>
        <w:pStyle w:val="18"/>
        <w:adjustRightInd w:val="0"/>
        <w:snapToGrid w:val="0"/>
        <w:spacing w:before="0" w:beforeAutospacing="0" w:after="0" w:afterAutospacing="0" w:line="340" w:lineRule="exact"/>
        <w:ind w:firstLine="448" w:firstLineChars="200"/>
        <w:jc w:val="both"/>
        <w:rPr>
          <w:rFonts w:hint="eastAsia" w:ascii="宋体" w:cs="宋体"/>
          <w:color w:val="auto"/>
          <w:sz w:val="21"/>
          <w:szCs w:val="21"/>
          <w:highlight w:val="none"/>
          <w:lang w:bidi="ar-SA"/>
        </w:rPr>
      </w:pPr>
      <w:r>
        <w:rPr>
          <w:rFonts w:hint="eastAsia" w:ascii="宋体" w:cs="宋体"/>
          <w:color w:val="auto"/>
          <w:spacing w:val="7"/>
          <w:sz w:val="21"/>
          <w:szCs w:val="21"/>
          <w:highlight w:val="none"/>
          <w:lang w:bidi="ar-SA"/>
        </w:rPr>
        <w:t>适用招标投标法的政府采购工程建设项目，投标人按照本办法规定提供声明函内容不实的，属于弄虚作假骗取中标，依照《中华人民共和国招标投标法》等国家有关规定追究相应责任。</w:t>
      </w:r>
    </w:p>
    <w:p w14:paraId="117F0623">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第二十一条　</w:t>
      </w:r>
      <w:r>
        <w:rPr>
          <w:rFonts w:hint="eastAsia" w:ascii="宋体" w:cs="宋体"/>
          <w:color w:val="auto"/>
          <w:spacing w:val="7"/>
          <w:sz w:val="21"/>
          <w:szCs w:val="21"/>
          <w:highlight w:val="none"/>
          <w:lang w:bidi="ar-SA"/>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9BC3B8F">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第二十二条</w:t>
      </w:r>
      <w:r>
        <w:rPr>
          <w:rFonts w:hint="eastAsia" w:ascii="宋体" w:cs="宋体"/>
          <w:color w:val="auto"/>
          <w:spacing w:val="7"/>
          <w:sz w:val="21"/>
          <w:szCs w:val="21"/>
          <w:highlight w:val="none"/>
          <w:lang w:bidi="ar-SA"/>
        </w:rPr>
        <w:t>　对外援助项目、国家相关资格或者资质管理制度另有规定的项目，不适用本办法。</w:t>
      </w:r>
    </w:p>
    <w:p w14:paraId="7267D091">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第二十三条　</w:t>
      </w:r>
      <w:r>
        <w:rPr>
          <w:rFonts w:hint="eastAsia" w:ascii="宋体" w:cs="宋体"/>
          <w:color w:val="auto"/>
          <w:spacing w:val="7"/>
          <w:sz w:val="21"/>
          <w:szCs w:val="21"/>
          <w:highlight w:val="none"/>
          <w:lang w:bidi="ar-SA"/>
        </w:rPr>
        <w:t>关于视同中小企业的其他主体的政府采购扶持政策，由财政部会同有关部门另行规定。</w:t>
      </w:r>
    </w:p>
    <w:p w14:paraId="4046A2D4">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第二十四条</w:t>
      </w:r>
      <w:r>
        <w:rPr>
          <w:rFonts w:hint="eastAsia" w:ascii="宋体" w:cs="宋体"/>
          <w:color w:val="auto"/>
          <w:spacing w:val="7"/>
          <w:sz w:val="21"/>
          <w:szCs w:val="21"/>
          <w:highlight w:val="none"/>
          <w:lang w:bidi="ar-SA"/>
        </w:rPr>
        <w:t>　省级财政部门可以会同中小企业主管部门根据本办法的规定制定具体实施办法。</w:t>
      </w:r>
    </w:p>
    <w:p w14:paraId="5293ED4D">
      <w:pPr>
        <w:pStyle w:val="18"/>
        <w:adjustRightInd w:val="0"/>
        <w:snapToGrid w:val="0"/>
        <w:spacing w:before="0" w:beforeAutospacing="0" w:after="0" w:afterAutospacing="0" w:line="340" w:lineRule="exact"/>
        <w:ind w:firstLine="450" w:firstLineChars="200"/>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第二十五条</w:t>
      </w:r>
      <w:r>
        <w:rPr>
          <w:rFonts w:hint="eastAsia" w:ascii="宋体" w:cs="宋体"/>
          <w:color w:val="auto"/>
          <w:spacing w:val="7"/>
          <w:sz w:val="21"/>
          <w:szCs w:val="21"/>
          <w:highlight w:val="none"/>
          <w:lang w:bidi="ar-SA"/>
        </w:rPr>
        <w:t>　本办法自2021年1月1日起施行。《财政部工业和信息化部关于印发〈政府采购促进中小企业发展暂行办法〉的通知》（财库﹝2011﹞181号）同时废止。</w:t>
      </w:r>
    </w:p>
    <w:p w14:paraId="4405CFCF">
      <w:pPr>
        <w:pStyle w:val="18"/>
        <w:adjustRightInd w:val="0"/>
        <w:snapToGrid w:val="0"/>
        <w:spacing w:before="0" w:beforeAutospacing="0" w:after="0" w:afterAutospacing="0" w:line="340" w:lineRule="exact"/>
        <w:jc w:val="both"/>
        <w:rPr>
          <w:rStyle w:val="25"/>
          <w:rFonts w:hint="eastAsia" w:ascii="宋体" w:cs="宋体"/>
          <w:color w:val="auto"/>
          <w:spacing w:val="7"/>
          <w:sz w:val="21"/>
          <w:szCs w:val="21"/>
          <w:highlight w:val="none"/>
          <w:lang w:bidi="ar-SA"/>
        </w:rPr>
      </w:pPr>
    </w:p>
    <w:p w14:paraId="03B9E3F9">
      <w:pPr>
        <w:pStyle w:val="18"/>
        <w:adjustRightInd w:val="0"/>
        <w:snapToGrid w:val="0"/>
        <w:spacing w:before="0" w:beforeAutospacing="0" w:after="0" w:afterAutospacing="0" w:line="340" w:lineRule="exact"/>
        <w:jc w:val="both"/>
        <w:rPr>
          <w:rFonts w:hint="eastAsia" w:ascii="宋体" w:cs="宋体"/>
          <w:color w:val="auto"/>
          <w:sz w:val="21"/>
          <w:szCs w:val="21"/>
          <w:highlight w:val="none"/>
          <w:lang w:bidi="ar-SA"/>
        </w:rPr>
      </w:pPr>
      <w:r>
        <w:rPr>
          <w:rStyle w:val="25"/>
          <w:rFonts w:hint="eastAsia" w:ascii="宋体" w:cs="宋体"/>
          <w:color w:val="auto"/>
          <w:spacing w:val="7"/>
          <w:sz w:val="21"/>
          <w:szCs w:val="21"/>
          <w:highlight w:val="none"/>
          <w:lang w:bidi="ar-SA"/>
        </w:rPr>
        <w:t>附：</w:t>
      </w:r>
    </w:p>
    <w:p w14:paraId="21C51462">
      <w:pPr>
        <w:pStyle w:val="20"/>
        <w:rPr>
          <w:rFonts w:hint="eastAsia" w:ascii="宋体" w:hAnsi="宋体" w:cs="宋体"/>
          <w:color w:val="auto"/>
          <w:sz w:val="24"/>
          <w:highlight w:val="none"/>
          <w:shd w:val="clear" w:color="auto" w:fill="auto"/>
        </w:rPr>
      </w:pPr>
      <w:r>
        <w:rPr>
          <w:rFonts w:hint="eastAsia" w:ascii="宋体" w:cs="宋体"/>
          <w:color w:val="auto"/>
          <w:spacing w:val="7"/>
          <w:sz w:val="21"/>
          <w:szCs w:val="21"/>
          <w:highlight w:val="none"/>
          <w:lang w:bidi="ar-SA"/>
        </w:rPr>
        <w:t>1.中小企业声明函</w:t>
      </w:r>
    </w:p>
    <w:p w14:paraId="2BD58513">
      <w:pPr>
        <w:pStyle w:val="4"/>
        <w:keepNext w:val="0"/>
        <w:keepLines w:val="0"/>
        <w:widowControl w:val="0"/>
        <w:spacing w:before="162" w:line="360" w:lineRule="auto"/>
        <w:rPr>
          <w:rFonts w:hint="eastAsia" w:ascii="宋体"/>
          <w:b w:val="0"/>
          <w:color w:val="auto"/>
          <w:sz w:val="21"/>
          <w:szCs w:val="21"/>
          <w:highlight w:val="none"/>
        </w:rPr>
      </w:pPr>
      <w:bookmarkStart w:id="144" w:name="_Toc31739"/>
      <w:r>
        <w:rPr>
          <w:rFonts w:hint="eastAsia" w:ascii="宋体"/>
          <w:b w:val="0"/>
          <w:color w:val="auto"/>
          <w:sz w:val="21"/>
          <w:szCs w:val="21"/>
          <w:highlight w:val="none"/>
        </w:rPr>
        <w:t>附1</w:t>
      </w:r>
      <w:bookmarkEnd w:id="144"/>
    </w:p>
    <w:p w14:paraId="4E2FB8BD">
      <w:pPr>
        <w:spacing w:line="360" w:lineRule="auto"/>
        <w:jc w:val="center"/>
        <w:rPr>
          <w:rFonts w:hint="eastAsia" w:ascii="宋体" w:eastAsia="宋体"/>
          <w:b/>
          <w:bCs/>
          <w:color w:val="auto"/>
          <w:sz w:val="28"/>
          <w:szCs w:val="28"/>
          <w:highlight w:val="none"/>
        </w:rPr>
      </w:pPr>
      <w:r>
        <w:rPr>
          <w:rFonts w:hint="eastAsia" w:ascii="宋体" w:eastAsia="宋体"/>
          <w:b/>
          <w:bCs/>
          <w:color w:val="auto"/>
          <w:sz w:val="28"/>
          <w:szCs w:val="28"/>
          <w:highlight w:val="none"/>
        </w:rPr>
        <w:t>中小企业声明函（</w:t>
      </w:r>
      <w:r>
        <w:rPr>
          <w:rFonts w:hint="eastAsia" w:ascii="宋体" w:eastAsia="宋体"/>
          <w:b/>
          <w:bCs/>
          <w:color w:val="auto"/>
          <w:sz w:val="28"/>
          <w:szCs w:val="28"/>
          <w:highlight w:val="none"/>
          <w:lang w:val="en-US" w:eastAsia="zh-CN"/>
        </w:rPr>
        <w:t>货物</w:t>
      </w:r>
      <w:r>
        <w:rPr>
          <w:rFonts w:hint="eastAsia" w:ascii="宋体" w:eastAsia="宋体"/>
          <w:b/>
          <w:bCs/>
          <w:color w:val="auto"/>
          <w:sz w:val="28"/>
          <w:szCs w:val="28"/>
          <w:highlight w:val="none"/>
        </w:rPr>
        <w:t>）</w:t>
      </w:r>
    </w:p>
    <w:p w14:paraId="5766E485">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本公司（联合体）郑重声明，根据《政府采购促进中小企业发展管理办法》（财库﹝2020﹞46号）的规定，本公司（联合体）参加</w:t>
      </w:r>
      <w:r>
        <w:rPr>
          <w:rFonts w:hint="eastAsia" w:ascii="宋体" w:hAnsi="宋体" w:cs="宋体"/>
          <w:color w:val="auto"/>
          <w:kern w:val="0"/>
          <w:sz w:val="24"/>
          <w:highlight w:val="none"/>
          <w:u w:val="single"/>
          <w:shd w:val="clear" w:color="auto" w:fill="FFFFFF"/>
          <w:lang w:bidi="ar"/>
        </w:rPr>
        <w:t>（单位名称）</w:t>
      </w:r>
      <w:r>
        <w:rPr>
          <w:rFonts w:hint="eastAsia" w:ascii="宋体" w:hAnsi="宋体" w:cs="宋体"/>
          <w:color w:val="auto"/>
          <w:kern w:val="0"/>
          <w:sz w:val="24"/>
          <w:highlight w:val="none"/>
          <w:shd w:val="clear" w:color="auto" w:fill="FFFFFF"/>
          <w:lang w:bidi="ar"/>
        </w:rPr>
        <w:t>的</w:t>
      </w:r>
      <w:r>
        <w:rPr>
          <w:rFonts w:hint="eastAsia" w:ascii="宋体" w:hAnsi="宋体" w:cs="宋体"/>
          <w:color w:val="auto"/>
          <w:kern w:val="0"/>
          <w:sz w:val="24"/>
          <w:highlight w:val="none"/>
          <w:u w:val="single"/>
          <w:shd w:val="clear" w:color="auto" w:fill="FFFFFF"/>
          <w:lang w:bidi="ar"/>
        </w:rPr>
        <w:t>（项目名称）</w:t>
      </w:r>
      <w:r>
        <w:rPr>
          <w:rFonts w:hint="eastAsia" w:ascii="宋体" w:hAnsi="宋体" w:cs="宋体"/>
          <w:color w:val="auto"/>
          <w:kern w:val="0"/>
          <w:sz w:val="24"/>
          <w:highlight w:val="none"/>
          <w:shd w:val="clear" w:color="auto" w:fill="FFFFFF"/>
          <w:lang w:bidi="ar"/>
        </w:rPr>
        <w:t>采购活动，提供的货物全部由符合政策要求的中小企业制造。相关企业（含联合体中的中小企业、签订分包意向协议的中小企业）的具体情况如下：</w:t>
      </w:r>
    </w:p>
    <w:p w14:paraId="0A652B48">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1.</w:t>
      </w:r>
      <w:r>
        <w:rPr>
          <w:rFonts w:hint="eastAsia" w:ascii="宋体" w:hAnsi="宋体" w:cs="宋体"/>
          <w:color w:val="auto"/>
          <w:kern w:val="0"/>
          <w:sz w:val="24"/>
          <w:highlight w:val="none"/>
          <w:u w:val="single"/>
          <w:shd w:val="clear" w:color="auto" w:fill="FFFFFF"/>
          <w:lang w:bidi="ar"/>
        </w:rPr>
        <w:t>（标的名称）</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bidi="ar"/>
        </w:rPr>
        <w:t>（采购文件中明确的所属行业）</w:t>
      </w:r>
      <w:r>
        <w:rPr>
          <w:rFonts w:hint="eastAsia" w:ascii="宋体" w:hAnsi="宋体" w:cs="宋体"/>
          <w:color w:val="auto"/>
          <w:kern w:val="0"/>
          <w:sz w:val="24"/>
          <w:highlight w:val="none"/>
          <w:shd w:val="clear" w:color="auto" w:fill="FFFFFF"/>
          <w:lang w:bidi="ar"/>
        </w:rPr>
        <w:t>行业；制造商为</w:t>
      </w:r>
      <w:r>
        <w:rPr>
          <w:rFonts w:hint="eastAsia" w:ascii="宋体" w:hAnsi="宋体" w:cs="宋体"/>
          <w:color w:val="auto"/>
          <w:kern w:val="0"/>
          <w:sz w:val="24"/>
          <w:highlight w:val="none"/>
          <w:u w:val="single"/>
          <w:shd w:val="clear" w:color="auto" w:fill="FFFFFF"/>
          <w:lang w:bidi="ar"/>
        </w:rPr>
        <w:t>（企业名称）</w:t>
      </w:r>
      <w:r>
        <w:rPr>
          <w:rFonts w:hint="eastAsia" w:ascii="宋体" w:hAnsi="宋体" w:cs="宋体"/>
          <w:color w:val="auto"/>
          <w:kern w:val="0"/>
          <w:sz w:val="24"/>
          <w:highlight w:val="none"/>
          <w:shd w:val="clear" w:color="auto" w:fill="FFFFFF"/>
          <w:lang w:bidi="ar"/>
        </w:rPr>
        <w:t>，从业人员</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人，营业收入为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万元，资产总额为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万元，属于</w:t>
      </w:r>
      <w:r>
        <w:rPr>
          <w:rFonts w:hint="eastAsia" w:ascii="宋体" w:hAnsi="宋体" w:cs="宋体"/>
          <w:color w:val="auto"/>
          <w:kern w:val="0"/>
          <w:sz w:val="24"/>
          <w:highlight w:val="none"/>
          <w:u w:val="single"/>
          <w:shd w:val="clear" w:color="auto" w:fill="FFFFFF"/>
          <w:lang w:bidi="ar"/>
        </w:rPr>
        <w:t>（中型企业、小型企业、微型企业）</w:t>
      </w:r>
      <w:r>
        <w:rPr>
          <w:rFonts w:hint="eastAsia" w:ascii="宋体" w:hAnsi="宋体" w:cs="宋体"/>
          <w:color w:val="auto"/>
          <w:kern w:val="0"/>
          <w:sz w:val="24"/>
          <w:highlight w:val="none"/>
          <w:shd w:val="clear" w:color="auto" w:fill="FFFFFF"/>
          <w:lang w:bidi="ar"/>
        </w:rPr>
        <w:t>；</w:t>
      </w:r>
    </w:p>
    <w:p w14:paraId="28BD6AA5">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2.</w:t>
      </w:r>
      <w:r>
        <w:rPr>
          <w:rFonts w:hint="eastAsia" w:ascii="宋体" w:hAnsi="宋体" w:cs="宋体"/>
          <w:color w:val="auto"/>
          <w:kern w:val="0"/>
          <w:sz w:val="24"/>
          <w:highlight w:val="none"/>
          <w:u w:val="single"/>
          <w:shd w:val="clear" w:color="auto" w:fill="FFFFFF"/>
          <w:lang w:bidi="ar"/>
        </w:rPr>
        <w:t>（标的名称）</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bidi="ar"/>
        </w:rPr>
        <w:t>（采购文件中明确的所属行业）</w:t>
      </w:r>
      <w:r>
        <w:rPr>
          <w:rFonts w:hint="eastAsia" w:ascii="宋体" w:hAnsi="宋体" w:cs="宋体"/>
          <w:color w:val="auto"/>
          <w:kern w:val="0"/>
          <w:sz w:val="24"/>
          <w:highlight w:val="none"/>
          <w:shd w:val="clear" w:color="auto" w:fill="FFFFFF"/>
          <w:lang w:bidi="ar"/>
        </w:rPr>
        <w:t>行业；制造商为</w:t>
      </w:r>
      <w:r>
        <w:rPr>
          <w:rFonts w:hint="eastAsia" w:ascii="宋体" w:hAnsi="宋体" w:cs="宋体"/>
          <w:color w:val="auto"/>
          <w:kern w:val="0"/>
          <w:sz w:val="24"/>
          <w:highlight w:val="none"/>
          <w:u w:val="single"/>
          <w:shd w:val="clear" w:color="auto" w:fill="FFFFFF"/>
          <w:lang w:bidi="ar"/>
        </w:rPr>
        <w:t>（企业名称）</w:t>
      </w:r>
      <w:r>
        <w:rPr>
          <w:rFonts w:hint="eastAsia" w:ascii="宋体" w:hAnsi="宋体" w:cs="宋体"/>
          <w:color w:val="auto"/>
          <w:kern w:val="0"/>
          <w:sz w:val="24"/>
          <w:highlight w:val="none"/>
          <w:shd w:val="clear" w:color="auto" w:fill="FFFFFF"/>
          <w:lang w:bidi="ar"/>
        </w:rPr>
        <w:t>，从业人员</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人，营业收入为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万元，资产总额为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万元，属于</w:t>
      </w:r>
      <w:r>
        <w:rPr>
          <w:rFonts w:hint="eastAsia" w:ascii="宋体" w:hAnsi="宋体" w:cs="宋体"/>
          <w:color w:val="auto"/>
          <w:kern w:val="0"/>
          <w:sz w:val="24"/>
          <w:highlight w:val="none"/>
          <w:u w:val="single"/>
          <w:shd w:val="clear" w:color="auto" w:fill="FFFFFF"/>
          <w:lang w:bidi="ar"/>
        </w:rPr>
        <w:t>（中型企业、小型企业、微型企业）</w:t>
      </w:r>
      <w:r>
        <w:rPr>
          <w:rFonts w:hint="eastAsia" w:ascii="宋体" w:hAnsi="宋体" w:cs="宋体"/>
          <w:color w:val="auto"/>
          <w:kern w:val="0"/>
          <w:sz w:val="24"/>
          <w:highlight w:val="none"/>
          <w:shd w:val="clear" w:color="auto" w:fill="FFFFFF"/>
          <w:lang w:bidi="ar"/>
        </w:rPr>
        <w:t>；</w:t>
      </w:r>
    </w:p>
    <w:p w14:paraId="3A6ED1CF">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w:t>
      </w:r>
    </w:p>
    <w:p w14:paraId="548A8624">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以上企业，不属于大企业的分支机构，不存在控股股东为大企业的情形，也不存在与大企业的负责人为同一人的情形。</w:t>
      </w:r>
    </w:p>
    <w:p w14:paraId="3AE572C2">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本企业对上述声明内容的真实性负责。如有虚假，将依法承担相应责任。</w:t>
      </w:r>
    </w:p>
    <w:p w14:paraId="55047611">
      <w:pPr>
        <w:widowControl/>
        <w:shd w:val="clear" w:color="auto" w:fill="FFFFFF"/>
        <w:spacing w:before="100" w:beforeAutospacing="1" w:after="100" w:afterAutospacing="1" w:line="435" w:lineRule="atLeast"/>
        <w:ind w:firstLine="480"/>
        <w:jc w:val="left"/>
        <w:rPr>
          <w:rFonts w:ascii="Arial" w:hAnsi="Arial" w:cs="Arial"/>
          <w:color w:val="auto"/>
          <w:szCs w:val="21"/>
          <w:highlight w:val="none"/>
        </w:rPr>
      </w:pPr>
    </w:p>
    <w:p w14:paraId="1A69A28C">
      <w:pPr>
        <w:widowControl/>
        <w:shd w:val="clear" w:color="auto" w:fill="FFFFFF"/>
        <w:spacing w:before="100" w:beforeAutospacing="1" w:after="100" w:afterAutospacing="1" w:line="435" w:lineRule="atLeast"/>
        <w:ind w:firstLine="52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企业名称（盖章）：</w:t>
      </w:r>
    </w:p>
    <w:p w14:paraId="5F6BF2A7">
      <w:pPr>
        <w:pStyle w:val="20"/>
        <w:ind w:firstLine="5523" w:firstLineChars="2300"/>
        <w:rPr>
          <w:rFonts w:hint="eastAsia" w:ascii="宋体" w:cs="宋体"/>
          <w:color w:val="auto"/>
          <w:sz w:val="24"/>
          <w:highlight w:val="none"/>
        </w:rPr>
      </w:pPr>
      <w:r>
        <w:rPr>
          <w:rFonts w:hint="eastAsia" w:ascii="宋体" w:hAnsi="宋体" w:cs="宋体"/>
          <w:color w:val="auto"/>
          <w:kern w:val="0"/>
          <w:sz w:val="24"/>
          <w:highlight w:val="none"/>
          <w:shd w:val="clear" w:color="auto" w:fill="FFFFFF"/>
          <w:lang w:bidi="ar"/>
        </w:rPr>
        <w:t>日 期：</w:t>
      </w:r>
    </w:p>
    <w:p w14:paraId="63498D24">
      <w:pPr>
        <w:pStyle w:val="20"/>
        <w:rPr>
          <w:rFonts w:hint="eastAsia" w:ascii="宋体" w:cs="宋体"/>
          <w:color w:val="auto"/>
          <w:sz w:val="24"/>
          <w:highlight w:val="none"/>
        </w:rPr>
      </w:pPr>
    </w:p>
    <w:p w14:paraId="2854D2BC">
      <w:pPr>
        <w:pStyle w:val="20"/>
        <w:rPr>
          <w:rFonts w:hint="eastAsia" w:ascii="宋体" w:cs="宋体"/>
          <w:color w:val="auto"/>
          <w:sz w:val="24"/>
          <w:highlight w:val="none"/>
        </w:rPr>
      </w:pPr>
    </w:p>
    <w:p w14:paraId="50430F1F">
      <w:pPr>
        <w:pStyle w:val="20"/>
        <w:rPr>
          <w:rFonts w:hint="eastAsia" w:ascii="宋体" w:cs="宋体"/>
          <w:color w:val="auto"/>
          <w:sz w:val="24"/>
          <w:highlight w:val="none"/>
        </w:rPr>
      </w:pPr>
    </w:p>
    <w:p w14:paraId="73762F29">
      <w:pPr>
        <w:pStyle w:val="20"/>
        <w:rPr>
          <w:rFonts w:hint="eastAsia" w:ascii="宋体" w:cs="宋体"/>
          <w:color w:val="auto"/>
          <w:sz w:val="24"/>
          <w:highlight w:val="none"/>
        </w:rPr>
      </w:pPr>
    </w:p>
    <w:p w14:paraId="00909C85">
      <w:pPr>
        <w:pStyle w:val="20"/>
        <w:rPr>
          <w:rFonts w:hint="eastAsia" w:ascii="宋体" w:cs="宋体"/>
          <w:color w:val="auto"/>
          <w:sz w:val="24"/>
          <w:highlight w:val="none"/>
        </w:rPr>
      </w:pPr>
    </w:p>
    <w:p w14:paraId="57802A48">
      <w:pPr>
        <w:snapToGrid w:val="0"/>
        <w:rPr>
          <w:rFonts w:hint="eastAsia"/>
          <w:color w:val="auto"/>
          <w:sz w:val="18"/>
          <w:szCs w:val="18"/>
          <w:highlight w:val="none"/>
        </w:rPr>
      </w:pPr>
      <w:r>
        <w:rPr>
          <w:color w:val="auto"/>
          <w:sz w:val="20"/>
          <w:szCs w:val="20"/>
          <w:highlight w:val="none"/>
        </w:rPr>
        <w:t xml:space="preserve"> </w:t>
      </w:r>
      <w:r>
        <w:rPr>
          <w:rFonts w:hint="eastAsia"/>
          <w:color w:val="auto"/>
          <w:sz w:val="18"/>
          <w:szCs w:val="18"/>
          <w:highlight w:val="none"/>
        </w:rPr>
        <w:t>从业人员、营业收入、资产总额填报上一年度数据，无上一年度数据的新成立企业可不填报。</w:t>
      </w:r>
    </w:p>
    <w:p w14:paraId="3C8B8330">
      <w:pPr>
        <w:pStyle w:val="20"/>
        <w:rPr>
          <w:rFonts w:hint="eastAsia" w:ascii="宋体" w:cs="宋体"/>
          <w:color w:val="auto"/>
          <w:sz w:val="24"/>
          <w:highlight w:val="none"/>
        </w:rPr>
      </w:pPr>
    </w:p>
    <w:p w14:paraId="1CD49AF2">
      <w:pPr>
        <w:pStyle w:val="20"/>
        <w:rPr>
          <w:rFonts w:hint="eastAsia" w:ascii="宋体" w:cs="宋体"/>
          <w:color w:val="auto"/>
          <w:sz w:val="24"/>
          <w:highlight w:val="none"/>
        </w:rPr>
      </w:pPr>
    </w:p>
    <w:p w14:paraId="46ECD6AE">
      <w:pPr>
        <w:pStyle w:val="5"/>
        <w:ind w:firstLine="560"/>
        <w:jc w:val="center"/>
        <w:rPr>
          <w:rFonts w:hint="eastAsia" w:ascii="Arial" w:hAnsi="Arial" w:eastAsia="黑体"/>
          <w:bCs/>
          <w:color w:val="auto"/>
          <w:sz w:val="28"/>
          <w:szCs w:val="28"/>
          <w:highlight w:val="none"/>
        </w:rPr>
      </w:pPr>
    </w:p>
    <w:p w14:paraId="0F7EFCB2">
      <w:pPr>
        <w:pStyle w:val="5"/>
        <w:ind w:firstLine="560"/>
        <w:jc w:val="center"/>
        <w:rPr>
          <w:rFonts w:hint="eastAsia" w:ascii="Arial" w:hAnsi="Arial" w:eastAsia="黑体"/>
          <w:bCs/>
          <w:color w:val="auto"/>
          <w:sz w:val="28"/>
          <w:szCs w:val="28"/>
          <w:highlight w:val="none"/>
        </w:rPr>
      </w:pPr>
    </w:p>
    <w:p w14:paraId="3B9231B8">
      <w:pPr>
        <w:pStyle w:val="5"/>
        <w:ind w:firstLine="560"/>
        <w:jc w:val="center"/>
        <w:rPr>
          <w:rFonts w:hint="eastAsia" w:ascii="Arial" w:hAnsi="Arial" w:eastAsia="黑体"/>
          <w:bCs/>
          <w:color w:val="auto"/>
          <w:sz w:val="28"/>
          <w:szCs w:val="28"/>
          <w:highlight w:val="none"/>
        </w:rPr>
      </w:pPr>
    </w:p>
    <w:p w14:paraId="2362B857">
      <w:pPr>
        <w:pStyle w:val="5"/>
        <w:ind w:firstLine="560"/>
        <w:jc w:val="center"/>
        <w:rPr>
          <w:rFonts w:hint="eastAsia" w:ascii="Arial" w:hAnsi="Arial" w:eastAsia="黑体"/>
          <w:bCs/>
          <w:color w:val="auto"/>
          <w:sz w:val="28"/>
          <w:szCs w:val="28"/>
          <w:highlight w:val="none"/>
        </w:rPr>
      </w:pPr>
    </w:p>
    <w:p w14:paraId="16A26727">
      <w:pPr>
        <w:pStyle w:val="5"/>
        <w:ind w:firstLine="560"/>
        <w:jc w:val="center"/>
        <w:rPr>
          <w:rFonts w:ascii="Arial" w:hAnsi="Arial" w:eastAsia="黑体"/>
          <w:bCs/>
          <w:color w:val="auto"/>
          <w:sz w:val="28"/>
          <w:szCs w:val="28"/>
          <w:highlight w:val="none"/>
        </w:rPr>
      </w:pPr>
      <w:r>
        <w:rPr>
          <w:rFonts w:hint="eastAsia" w:ascii="Arial" w:hAnsi="Arial" w:eastAsia="黑体"/>
          <w:bCs/>
          <w:color w:val="auto"/>
          <w:sz w:val="28"/>
          <w:szCs w:val="28"/>
          <w:highlight w:val="none"/>
        </w:rPr>
        <w:t>中小企业划型标准规定</w:t>
      </w:r>
    </w:p>
    <w:p w14:paraId="77CCE3C5">
      <w:pPr>
        <w:pStyle w:val="5"/>
        <w:ind w:firstLine="560"/>
        <w:rPr>
          <w:rFonts w:ascii="Arial" w:hAnsi="Arial" w:eastAsia="黑体"/>
          <w:bCs/>
          <w:color w:val="auto"/>
          <w:sz w:val="28"/>
          <w:szCs w:val="28"/>
          <w:highlight w:val="none"/>
        </w:rPr>
      </w:pPr>
      <w:r>
        <w:rPr>
          <w:rFonts w:hint="eastAsia" w:ascii="Arial" w:hAnsi="Arial" w:eastAsia="黑体"/>
          <w:bCs/>
          <w:color w:val="auto"/>
          <w:sz w:val="28"/>
          <w:szCs w:val="28"/>
          <w:highlight w:val="none"/>
        </w:rPr>
        <w:t>　　</w:t>
      </w:r>
    </w:p>
    <w:p w14:paraId="60C5686B">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一、根据《中华人民共和国中小企业促进法》和《国务院关于进一步促进中小企业发展的若干意见》(国发〔2009〕36号)，制定本规定。</w:t>
      </w:r>
    </w:p>
    <w:p w14:paraId="4359BADB">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二、中小企业划分为中型、小型、微型三种类型，具体标准根据企业从业人员、营业收入、资产总额等指标，结合行业特点制定。</w:t>
      </w:r>
    </w:p>
    <w:p w14:paraId="78F2B59E">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E518E99">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四、各行业划型标准为：</w:t>
      </w:r>
    </w:p>
    <w:p w14:paraId="3D78EB2D">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（一）农、林、牧、渔业。营业收入20000万元以下的为中小微型企业。其中，营业收入500万元及以上的为中型企业，营业收入50万元及以上的为小型企业，营业收入50万元以下的为微型企业。</w:t>
      </w:r>
    </w:p>
    <w:p w14:paraId="22EC57BF">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90FE25B">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E284CC">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1701EB1">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8632855">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260C7D6">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22E23C">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7E02E7">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0173C1">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8D8B6D9">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1CE7927">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CCE586">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78C9F1">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05D7F97">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3F9E99C">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（十六）其他未列明行业。从业人员300人以下的为中小微型企业。其中，从业人员100人及以上的为中型企业；从业人员10人及以上的为小型企业；从业人员10人以下的为微型企业。</w:t>
      </w:r>
    </w:p>
    <w:p w14:paraId="433FC134">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五、企业类型的划分以统计部门的统计数据为依据。</w:t>
      </w:r>
    </w:p>
    <w:p w14:paraId="218812FA">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六、本规定适用于在中华人民共和国境内依法设立的各类所有制和各种组织形式的企业。个体工商户和本规定以外的行业，参照本规定进行划型。</w:t>
      </w:r>
    </w:p>
    <w:p w14:paraId="09494BB9">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2906D085">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八、本规定由工业和信息化部、国家统计局会同有关部门根据《国民经济行业分类》修订情况和企业发展变化情况适时修订。</w:t>
      </w:r>
    </w:p>
    <w:p w14:paraId="7189B5C0">
      <w:pPr>
        <w:spacing w:line="340" w:lineRule="exact"/>
        <w:ind w:firstLine="420" w:firstLineChars="200"/>
        <w:rPr>
          <w:rFonts w:hint="eastAsia" w:ascii="宋体" w:cs="宋体"/>
          <w:bCs/>
          <w:color w:val="auto"/>
          <w:sz w:val="21"/>
          <w:szCs w:val="21"/>
          <w:highlight w:val="none"/>
          <w:lang w:val="zh-CN" w:eastAsia="zh-CN" w:bidi="ar-SA"/>
        </w:rPr>
      </w:pPr>
      <w:r>
        <w:rPr>
          <w:rFonts w:hint="eastAsia" w:ascii="宋体" w:cs="宋体"/>
          <w:bCs/>
          <w:color w:val="auto"/>
          <w:sz w:val="21"/>
          <w:szCs w:val="21"/>
          <w:highlight w:val="none"/>
          <w:lang w:val="zh-CN" w:eastAsia="zh-CN" w:bidi="ar-SA"/>
        </w:rPr>
        <w:t>九、本规定由工业和信息化部、国家统计局会同有关部门负责解释。</w:t>
      </w:r>
    </w:p>
    <w:p w14:paraId="257C421F">
      <w:pPr>
        <w:pStyle w:val="20"/>
        <w:spacing w:after="0" w:line="360" w:lineRule="auto"/>
        <w:ind w:firstLine="420" w:firstLineChars="200"/>
        <w:jc w:val="both"/>
        <w:rPr>
          <w:rFonts w:hint="eastAsia" w:ascii="宋体" w:hAnsi="Arial" w:eastAsia="宋体" w:cs="宋体"/>
          <w:b w:val="0"/>
          <w:bCs/>
          <w:snapToGrid w:val="0"/>
          <w:color w:val="auto"/>
          <w:kern w:val="0"/>
          <w:sz w:val="21"/>
          <w:szCs w:val="21"/>
          <w:highlight w:val="none"/>
          <w:lang w:val="zh-CN" w:eastAsia="zh-CN" w:bidi="ar-SA"/>
        </w:rPr>
      </w:pPr>
      <w:r>
        <w:rPr>
          <w:rFonts w:hint="eastAsia" w:ascii="宋体" w:hAnsi="Arial" w:eastAsia="宋体" w:cs="宋体"/>
          <w:b w:val="0"/>
          <w:bCs/>
          <w:snapToGrid w:val="0"/>
          <w:color w:val="auto"/>
          <w:kern w:val="0"/>
          <w:sz w:val="21"/>
          <w:szCs w:val="21"/>
          <w:highlight w:val="none"/>
          <w:lang w:val="zh-CN" w:eastAsia="zh-CN" w:bidi="ar-SA"/>
        </w:rPr>
        <w:t>十、本规定自发布之日起执行，原国家经贸委、原国家计委、财政部和国家统计局2003年颁布的《中小企业标准暂行规定》同时废止。</w:t>
      </w:r>
    </w:p>
    <w:p w14:paraId="7066C318">
      <w:pPr>
        <w:spacing w:line="228" w:lineRule="auto"/>
        <w:rPr>
          <w:rFonts w:hint="eastAsia" w:ascii="宋体" w:hAnsi="Arial" w:eastAsia="宋体" w:cs="宋体"/>
          <w:b w:val="0"/>
          <w:bCs/>
          <w:snapToGrid w:val="0"/>
          <w:color w:val="auto"/>
          <w:kern w:val="0"/>
          <w:sz w:val="21"/>
          <w:szCs w:val="21"/>
          <w:highlight w:val="none"/>
          <w:lang w:val="zh-CN" w:eastAsia="zh-CN" w:bidi="ar-SA"/>
        </w:rPr>
        <w:sectPr>
          <w:pgSz w:w="11906" w:h="16839"/>
          <w:pgMar w:top="1354" w:right="1291" w:bottom="0" w:left="1368" w:header="0" w:footer="737" w:gutter="0"/>
          <w:pgNumType w:fmt="decimal"/>
          <w:cols w:space="720" w:num="1"/>
        </w:sectPr>
      </w:pPr>
    </w:p>
    <w:p w14:paraId="5320D34F">
      <w:pPr>
        <w:pStyle w:val="3"/>
        <w:bidi w:val="0"/>
        <w:ind w:left="221" w:leftChars="0" w:hanging="221" w:hangingChars="50"/>
        <w:jc w:val="center"/>
        <w:rPr>
          <w:rFonts w:hint="eastAsia" w:ascii="宋体" w:hAnsi="宋体" w:eastAsia="宋体" w:cs="宋体"/>
          <w:color w:val="auto"/>
          <w:highlight w:val="none"/>
        </w:rPr>
      </w:pPr>
      <w:bookmarkStart w:id="145" w:name="_Toc13572"/>
      <w:r>
        <w:rPr>
          <w:rFonts w:hint="eastAsia" w:ascii="宋体" w:hAnsi="宋体" w:eastAsia="宋体" w:cs="宋体"/>
          <w:color w:val="auto"/>
          <w:highlight w:val="none"/>
        </w:rPr>
        <w:t>第四部分采购需求</w:t>
      </w:r>
      <w:bookmarkEnd w:id="145"/>
    </w:p>
    <w:tbl>
      <w:tblPr>
        <w:tblStyle w:val="22"/>
        <w:tblW w:w="14495" w:type="dxa"/>
        <w:tblInd w:w="0" w:type="dxa"/>
        <w:tblLayout w:type="fixed"/>
        <w:tblCellMar>
          <w:top w:w="15" w:type="dxa"/>
          <w:left w:w="15" w:type="dxa"/>
          <w:bottom w:w="15" w:type="dxa"/>
          <w:right w:w="15" w:type="dxa"/>
        </w:tblCellMar>
      </w:tblPr>
      <w:tblGrid>
        <w:gridCol w:w="303"/>
        <w:gridCol w:w="1098"/>
        <w:gridCol w:w="11907"/>
        <w:gridCol w:w="577"/>
        <w:gridCol w:w="610"/>
      </w:tblGrid>
      <w:tr w14:paraId="7403A412">
        <w:tblPrEx>
          <w:tblCellMar>
            <w:top w:w="15" w:type="dxa"/>
            <w:left w:w="15" w:type="dxa"/>
            <w:bottom w:w="15" w:type="dxa"/>
            <w:right w:w="15" w:type="dxa"/>
          </w:tblCellMar>
        </w:tblPrEx>
        <w:trPr>
          <w:trHeight w:val="569" w:hRule="atLeast"/>
        </w:trPr>
        <w:tc>
          <w:tcPr>
            <w:tcW w:w="303" w:type="dxa"/>
            <w:tcBorders>
              <w:top w:val="single" w:color="000000" w:sz="4" w:space="0"/>
              <w:left w:val="single" w:color="000000" w:sz="4" w:space="0"/>
              <w:bottom w:val="single" w:color="000000" w:sz="4" w:space="0"/>
              <w:right w:val="single" w:color="000000" w:sz="4" w:space="0"/>
            </w:tcBorders>
            <w:vAlign w:val="center"/>
          </w:tcPr>
          <w:p w14:paraId="70AB7878">
            <w:pPr>
              <w:widowControl/>
              <w:jc w:val="center"/>
              <w:textAlignment w:val="center"/>
              <w:rPr>
                <w:rFonts w:hint="eastAsia" w:ascii="宋体" w:hAnsi="宋体" w:eastAsia="宋体" w:cs="宋体"/>
                <w:b w:val="0"/>
                <w:bCs w:val="0"/>
                <w:color w:val="auto"/>
                <w:sz w:val="21"/>
                <w:szCs w:val="21"/>
                <w:highlight w:val="none"/>
              </w:rPr>
            </w:pPr>
            <w:bookmarkStart w:id="166" w:name="_GoBack"/>
            <w:r>
              <w:rPr>
                <w:rFonts w:hint="eastAsia" w:ascii="宋体" w:hAnsi="宋体" w:eastAsia="宋体" w:cs="宋体"/>
                <w:b w:val="0"/>
                <w:bCs w:val="0"/>
                <w:color w:val="auto"/>
                <w:kern w:val="0"/>
                <w:sz w:val="21"/>
                <w:szCs w:val="21"/>
                <w:highlight w:val="none"/>
                <w:lang w:bidi="ar"/>
              </w:rPr>
              <w:t>序号</w:t>
            </w:r>
          </w:p>
        </w:tc>
        <w:tc>
          <w:tcPr>
            <w:tcW w:w="1098" w:type="dxa"/>
            <w:tcBorders>
              <w:top w:val="single" w:color="000000" w:sz="4" w:space="0"/>
              <w:left w:val="single" w:color="000000" w:sz="4" w:space="0"/>
              <w:bottom w:val="single" w:color="000000" w:sz="4" w:space="0"/>
              <w:right w:val="single" w:color="000000" w:sz="4" w:space="0"/>
            </w:tcBorders>
            <w:vAlign w:val="center"/>
          </w:tcPr>
          <w:p w14:paraId="1FC75F8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货物名称</w:t>
            </w:r>
          </w:p>
        </w:tc>
        <w:tc>
          <w:tcPr>
            <w:tcW w:w="11907" w:type="dxa"/>
            <w:tcBorders>
              <w:top w:val="single" w:color="000000" w:sz="4" w:space="0"/>
              <w:left w:val="single" w:color="000000" w:sz="4" w:space="0"/>
              <w:bottom w:val="single" w:color="000000" w:sz="4" w:space="0"/>
              <w:right w:val="single" w:color="000000" w:sz="4" w:space="0"/>
            </w:tcBorders>
            <w:vAlign w:val="center"/>
          </w:tcPr>
          <w:p w14:paraId="4D4A390B">
            <w:pPr>
              <w:widowControl/>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参数</w:t>
            </w:r>
          </w:p>
        </w:tc>
        <w:tc>
          <w:tcPr>
            <w:tcW w:w="577" w:type="dxa"/>
            <w:tcBorders>
              <w:top w:val="single" w:color="000000" w:sz="4" w:space="0"/>
              <w:left w:val="single" w:color="000000" w:sz="4" w:space="0"/>
              <w:bottom w:val="single" w:color="000000" w:sz="4" w:space="0"/>
              <w:right w:val="single" w:color="000000" w:sz="4" w:space="0"/>
            </w:tcBorders>
            <w:vAlign w:val="center"/>
          </w:tcPr>
          <w:p w14:paraId="0A71B44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单位</w:t>
            </w:r>
          </w:p>
        </w:tc>
        <w:tc>
          <w:tcPr>
            <w:tcW w:w="610" w:type="dxa"/>
            <w:tcBorders>
              <w:top w:val="single" w:color="000000" w:sz="4" w:space="0"/>
              <w:left w:val="single" w:color="000000" w:sz="4" w:space="0"/>
              <w:bottom w:val="single" w:color="000000" w:sz="4" w:space="0"/>
              <w:right w:val="single" w:color="000000" w:sz="4" w:space="0"/>
            </w:tcBorders>
            <w:vAlign w:val="center"/>
          </w:tcPr>
          <w:p w14:paraId="396D457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数量</w:t>
            </w:r>
          </w:p>
        </w:tc>
      </w:tr>
      <w:tr w14:paraId="0BC1093D">
        <w:tblPrEx>
          <w:tblCellMar>
            <w:top w:w="15" w:type="dxa"/>
            <w:left w:w="15" w:type="dxa"/>
            <w:bottom w:w="15" w:type="dxa"/>
            <w:right w:w="15" w:type="dxa"/>
          </w:tblCellMar>
        </w:tblPrEx>
        <w:trPr>
          <w:trHeight w:val="565" w:hRule="atLeast"/>
        </w:trPr>
        <w:tc>
          <w:tcPr>
            <w:tcW w:w="303" w:type="dxa"/>
            <w:tcBorders>
              <w:top w:val="single" w:color="000000" w:sz="4" w:space="0"/>
              <w:left w:val="single" w:color="000000" w:sz="4" w:space="0"/>
              <w:bottom w:val="single" w:color="000000" w:sz="4" w:space="0"/>
              <w:right w:val="single" w:color="000000" w:sz="4" w:space="0"/>
            </w:tcBorders>
            <w:vAlign w:val="center"/>
          </w:tcPr>
          <w:p w14:paraId="1AD1D848">
            <w:pPr>
              <w:widowControl/>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1098" w:type="dxa"/>
            <w:tcBorders>
              <w:top w:val="single" w:color="000000" w:sz="4" w:space="0"/>
              <w:left w:val="single" w:color="000000" w:sz="4" w:space="0"/>
              <w:bottom w:val="single" w:color="000000" w:sz="4" w:space="0"/>
              <w:right w:val="single" w:color="000000" w:sz="4" w:space="0"/>
            </w:tcBorders>
            <w:vAlign w:val="center"/>
          </w:tcPr>
          <w:p w14:paraId="2ECF0D52">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cs="宋体"/>
                <w:color w:val="auto"/>
                <w:szCs w:val="21"/>
                <w:highlight w:val="none"/>
              </w:rPr>
              <w:t>86英寸智慧黑板（电容屏）</w:t>
            </w:r>
          </w:p>
        </w:tc>
        <w:tc>
          <w:tcPr>
            <w:tcW w:w="11907" w:type="dxa"/>
            <w:tcBorders>
              <w:top w:val="single" w:color="000000" w:sz="4" w:space="0"/>
              <w:left w:val="single" w:color="000000" w:sz="4" w:space="0"/>
              <w:bottom w:val="single" w:color="000000" w:sz="4" w:space="0"/>
              <w:right w:val="single" w:color="000000" w:sz="4" w:space="0"/>
            </w:tcBorders>
            <w:vAlign w:val="center"/>
          </w:tcPr>
          <w:p w14:paraId="54550C0C">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一、整机部分</w:t>
            </w:r>
          </w:p>
          <w:p w14:paraId="7F81D456">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1.智能交互黑板采用无推拉式结构，采用三拼接平面一体化设计，主副屏过渡平滑，中间无单独边框阻隔。</w:t>
            </w:r>
          </w:p>
          <w:p w14:paraId="3D220D58">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2.智能交互黑板整机长度≥4200mm，高度≥1200mm，采用超高清86英寸LED液晶显示屏，显示比例16:9，分辨率3840×2160。</w:t>
            </w:r>
          </w:p>
          <w:p w14:paraId="06B7D2AA">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3.智能交互黑板主屏支持普通粉笔直接书写，两侧副屏可支持普通粉笔、液体粉笔等进行板书书写。副屏支持磁吸附功能，可以满足带有磁吸的板擦等教具进行吸附在副屏上。</w:t>
            </w:r>
          </w:p>
          <w:p w14:paraId="0DB4B86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4.智能交互黑板输入接口具备</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2路HDMI、1路RS232、1路USB接口；输出接口具备</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1路音频输出、1路触控USB输出；前置输入接口具备</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3路USB接口（1路Type-C、2路USB）。</w:t>
            </w:r>
          </w:p>
          <w:p w14:paraId="1BD6BD13">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5.智能交互黑板嵌入式系统版本不低于Android 13，内存≥2GB，存储空间≥8GB。（</w:t>
            </w:r>
            <w:r>
              <w:rPr>
                <w:rFonts w:hint="eastAsia" w:ascii="宋体" w:hAnsi="宋体" w:cs="宋体"/>
                <w:b w:val="0"/>
                <w:bCs w:val="0"/>
                <w:color w:val="auto"/>
                <w:sz w:val="21"/>
                <w:szCs w:val="21"/>
                <w:highlight w:val="none"/>
                <w:lang w:val="en-US"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4BEF1BB4">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6.智能交互黑板采用电容触控方式，支持Windows系统中≥</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点触控，支持Android系统中≥</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触控。（</w:t>
            </w:r>
            <w:r>
              <w:rPr>
                <w:rFonts w:hint="eastAsia" w:ascii="宋体" w:hAnsi="宋体" w:cs="宋体"/>
                <w:b w:val="0"/>
                <w:bCs w:val="0"/>
                <w:color w:val="auto"/>
                <w:sz w:val="21"/>
                <w:szCs w:val="21"/>
                <w:highlight w:val="none"/>
                <w:lang w:val="en-US"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4A075E9D">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智能交互黑板显示屏幕采用全贴合方式，屏幕保护玻璃与显示液晶屏组件，在结构上通过光学胶完全贴合在一起，中间贴合层无空气介质减少显示面板与玻璃间的偏光、散射，画面显示更加清晰通透、可视角度更广。（</w:t>
            </w:r>
            <w:r>
              <w:rPr>
                <w:rFonts w:hint="eastAsia" w:ascii="宋体" w:hAnsi="宋体" w:cs="宋体"/>
                <w:b w:val="0"/>
                <w:bCs w:val="0"/>
                <w:color w:val="auto"/>
                <w:sz w:val="21"/>
                <w:szCs w:val="21"/>
                <w:highlight w:val="none"/>
                <w:lang w:val="en-US"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2FBE436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8.智能交互黑板内置2.2声道扬声器，10W高音扬声器2个，20W中低音扬声器2个，额定总功率60W。（</w:t>
            </w:r>
            <w:r>
              <w:rPr>
                <w:rFonts w:hint="eastAsia" w:ascii="宋体" w:hAnsi="宋体" w:cs="宋体"/>
                <w:b w:val="0"/>
                <w:bCs w:val="0"/>
                <w:color w:val="auto"/>
                <w:sz w:val="21"/>
                <w:szCs w:val="21"/>
                <w:highlight w:val="none"/>
                <w:lang w:val="en-US"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37F645FF">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9.智能交互黑板内置非独立外扩展的8阵列麦克风，拾音角度≥180°，可用于对教室环境音频进行采集，拾音距离≥12m。（</w:t>
            </w:r>
            <w:r>
              <w:rPr>
                <w:rFonts w:hint="eastAsia" w:ascii="宋体" w:hAnsi="宋体" w:cs="宋体"/>
                <w:b w:val="0"/>
                <w:bCs w:val="0"/>
                <w:color w:val="auto"/>
                <w:sz w:val="21"/>
                <w:szCs w:val="21"/>
                <w:highlight w:val="none"/>
                <w:lang w:val="en-US"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557F9BE6">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10.智能交互黑板内置扬声器采用缝隙发声技术，喇叭采用槽式开口设计，不大于5.8mm，扬声器在100%音量下，可做到1米处声压级≥88db，10米处声压级≥79dB。（</w:t>
            </w:r>
            <w:r>
              <w:rPr>
                <w:rFonts w:hint="eastAsia" w:ascii="宋体" w:hAnsi="宋体" w:cs="宋体"/>
                <w:b w:val="0"/>
                <w:bCs w:val="0"/>
                <w:color w:val="auto"/>
                <w:sz w:val="21"/>
                <w:szCs w:val="21"/>
                <w:highlight w:val="none"/>
                <w:lang w:val="en-US"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66A03637">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11.支持标准、听力、观影和AI空间感知音效模式，AI空间感知音效模式可通过内置麦克风采集教室物理环境声音，自动生成符合当前教室物理环境的频段、音量、音效。（</w:t>
            </w:r>
            <w:r>
              <w:rPr>
                <w:rFonts w:hint="eastAsia" w:ascii="宋体" w:hAnsi="宋体" w:cs="宋体"/>
                <w:b w:val="0"/>
                <w:bCs w:val="0"/>
                <w:color w:val="auto"/>
                <w:sz w:val="21"/>
                <w:szCs w:val="21"/>
                <w:highlight w:val="none"/>
                <w:lang w:val="en-US"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2708B2AF">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12.智能交互黑板自带地震预警软件。支持在地震预警页面中获取位置，可以手动进行位置校准。支持在地震预警页面中选择提醒阈值。支持在地震预警界面中开启和关闭地震预警服务。（</w:t>
            </w:r>
            <w:r>
              <w:rPr>
                <w:rFonts w:hint="eastAsia" w:ascii="宋体" w:hAnsi="宋体" w:cs="宋体"/>
                <w:b w:val="0"/>
                <w:bCs w:val="0"/>
                <w:color w:val="auto"/>
                <w:sz w:val="21"/>
                <w:szCs w:val="21"/>
                <w:highlight w:val="none"/>
                <w:lang w:val="en-US"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11AB767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13.智能交互黑板支持色彩空间可选，包含标准模式和sRGB模式，在sRGB模式下可做到高色准△E≤1（</w:t>
            </w:r>
            <w:r>
              <w:rPr>
                <w:rFonts w:hint="eastAsia" w:ascii="宋体" w:hAnsi="宋体" w:cs="宋体"/>
                <w:b w:val="0"/>
                <w:bCs w:val="0"/>
                <w:color w:val="auto"/>
                <w:sz w:val="21"/>
                <w:szCs w:val="21"/>
                <w:highlight w:val="none"/>
                <w:lang w:val="en-US"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149F005C">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整机系统支持手势上滑调出人工智能画质调节模式（AI-PQ），在安卓通道下可根据屏幕内容自动调节画质参数，当屏幕出现人物、建筑、夜景等元素时，自动调整对比度、饱和度、锐利度、色调色相值、高光/阴影。</w:t>
            </w:r>
          </w:p>
          <w:p w14:paraId="455DC9AB">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15.全通道支持纸质护眼模式，可实现画面纹理的实时调整；</w:t>
            </w:r>
            <w:r>
              <w:rPr>
                <w:rFonts w:hint="eastAsia" w:ascii="宋体" w:hAnsi="宋体" w:cs="宋体"/>
                <w:b w:val="0"/>
                <w:bCs w:val="0"/>
                <w:color w:val="auto"/>
                <w:sz w:val="21"/>
                <w:szCs w:val="21"/>
                <w:highlight w:val="none"/>
                <w:lang w:val="en-US" w:eastAsia="zh-CN"/>
              </w:rPr>
              <w:t>至少</w:t>
            </w:r>
            <w:r>
              <w:rPr>
                <w:rFonts w:hint="eastAsia" w:ascii="宋体" w:hAnsi="宋体" w:eastAsia="宋体" w:cs="宋体"/>
                <w:b w:val="0"/>
                <w:bCs w:val="0"/>
                <w:color w:val="auto"/>
                <w:sz w:val="21"/>
                <w:szCs w:val="21"/>
                <w:highlight w:val="none"/>
              </w:rPr>
              <w:t>支持纸质纹理：牛皮纸、素描纸、宣纸、水彩纸、水纹纸；支持透明度调节；支持色温调节。（</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7DB4BA0F">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16.内置非独立式摄像头，视场角≥141度且水平视场角≥139度，可拍摄≥1600万像素的照片，支持输出8192×2048分辨率的照片和视频，支持画面畸变矫正功能 。（</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44E1D10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17.支持蓝牙Bluetooth 5.4标准，固件版本号HCI13.0/LMP13.0。（</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11ED2917">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18.支持发出频率为18kHz-22kHz超声波信号，智能手机通过麦克风接收后，智能手机与整机无需在同一局域网内，可实现配对，一键投屏，用户无需手动输入投屏码或扫码获取投屏码；（</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4419185B">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19.内置双WiFi6无线网卡，在Android和Windows系统下，可实现Wi-Fi无线上网连接、AP无线热点发射；在Android下支持无线设备同时连接数量≥32个，在Windows系统下支持无线设备同时连接≥8个。（</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13DCC085">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20.内置传屏接收模块，整机不需要连接任何附加设备，可实现外部电脑、手机等设备的音视频信号实时传输到整机上；（</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339B5801">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21.内置非独立式摄像头，摄像头数量≥4个。（</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1D5F168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22.黑板上边框内置非独立式广角高清摄像头，视场角≥142度且水平视场角≥121度，支持输出4:3、16:9比例的图片和视频；在清晰度为2592 x 1944分辨率下，支持30帧的视频输出。（</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675A711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23.整机内置非独式广角摄像头和智能拼接摄像头， 均支持 3D 降噪算法和数字宽动态范围成像WDR 技术，支持输出 MJPG、 H.264 视频格式；内置的非独立式3个智能拼接摄像头，支持清晰度TV lines ≥ 1600 lines。（</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5ADF7EF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24.黑板摄像头支持人脸识别、清点人数、随机抽人；识别所有学生，显示标记，然后随机抽选，同时显示标记不少于60人。（</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2A130A6A">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25.整机支持内置非独立摄像头模组，同时输出至少 3 路视频流，同时支持课堂远程巡课、课堂教学数据采集、本地画面预览（拍照或视频录制）。（</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4561AC63">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26.黑板摄像头支持环境色温判断，根据环境调节合适的显示图像效果。（</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218036F0">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27.黑板Windows通道支持文件传输应用，</w:t>
            </w:r>
            <w:r>
              <w:rPr>
                <w:rFonts w:hint="eastAsia" w:ascii="宋体" w:hAnsi="宋体" w:cs="宋体"/>
                <w:b w:val="0"/>
                <w:bCs w:val="0"/>
                <w:color w:val="auto"/>
                <w:sz w:val="21"/>
                <w:szCs w:val="21"/>
                <w:highlight w:val="none"/>
                <w:lang w:val="en-US" w:eastAsia="zh-CN"/>
              </w:rPr>
              <w:t>至少</w:t>
            </w:r>
            <w:r>
              <w:rPr>
                <w:rFonts w:hint="eastAsia" w:ascii="宋体" w:hAnsi="宋体" w:eastAsia="宋体" w:cs="宋体"/>
                <w:b w:val="0"/>
                <w:bCs w:val="0"/>
                <w:color w:val="auto"/>
                <w:sz w:val="21"/>
                <w:szCs w:val="21"/>
                <w:highlight w:val="none"/>
              </w:rPr>
              <w:t>支持通过扫码、wifi直联、超声三种方式与手机进行握手连接，实现文件传输功能。（</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713E05FA">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二、内置电脑</w:t>
            </w:r>
          </w:p>
          <w:p w14:paraId="4761C5DE">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1.处理器≥ Intel Core i5</w:t>
            </w:r>
            <w:r>
              <w:rPr>
                <w:rFonts w:hint="eastAsia" w:ascii="宋体" w:hAnsi="宋体" w:cs="宋体"/>
                <w:b w:val="0"/>
                <w:bCs w:val="0"/>
                <w:color w:val="auto"/>
                <w:sz w:val="21"/>
                <w:szCs w:val="21"/>
                <w:highlight w:val="none"/>
                <w:lang w:val="en-US" w:eastAsia="zh-CN"/>
              </w:rPr>
              <w:t>-13代</w:t>
            </w:r>
            <w:r>
              <w:rPr>
                <w:rFonts w:hint="eastAsia" w:ascii="宋体" w:hAnsi="宋体" w:eastAsia="宋体" w:cs="宋体"/>
                <w:b w:val="0"/>
                <w:bCs w:val="0"/>
                <w:color w:val="auto"/>
                <w:sz w:val="21"/>
                <w:szCs w:val="21"/>
                <w:highlight w:val="none"/>
              </w:rPr>
              <w:t>。</w:t>
            </w:r>
          </w:p>
          <w:p w14:paraId="5E6C1736">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2.内存≥</w:t>
            </w:r>
            <w:r>
              <w:rPr>
                <w:rFonts w:hint="eastAsia" w:ascii="宋体" w:hAnsi="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rPr>
              <w:t>GB DDR4内存或以上配置。</w:t>
            </w:r>
          </w:p>
          <w:p w14:paraId="53BE7375">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3.硬盘：≥</w:t>
            </w:r>
            <w:r>
              <w:rPr>
                <w:rFonts w:hint="eastAsia" w:ascii="宋体" w:hAnsi="宋体" w:cs="宋体"/>
                <w:b w:val="0"/>
                <w:bCs w:val="0"/>
                <w:color w:val="auto"/>
                <w:sz w:val="21"/>
                <w:szCs w:val="21"/>
                <w:highlight w:val="none"/>
                <w:lang w:val="en-US" w:eastAsia="zh-CN"/>
              </w:rPr>
              <w:t>1T</w:t>
            </w:r>
            <w:r>
              <w:rPr>
                <w:rFonts w:hint="eastAsia" w:ascii="宋体" w:hAnsi="宋体" w:eastAsia="宋体" w:cs="宋体"/>
                <w:b w:val="0"/>
                <w:bCs w:val="0"/>
                <w:color w:val="auto"/>
                <w:sz w:val="21"/>
                <w:szCs w:val="21"/>
                <w:highlight w:val="none"/>
              </w:rPr>
              <w:t xml:space="preserve">  SSD固态硬盘。</w:t>
            </w:r>
          </w:p>
          <w:p w14:paraId="67E9853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4.整机的连接采用万兆级接口，传输速率≥10Gbps。</w:t>
            </w:r>
          </w:p>
          <w:p w14:paraId="36AE7921">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5.采用按压式卡扣，无需工具即可快速拆卸电脑模块。</w:t>
            </w:r>
          </w:p>
          <w:p w14:paraId="049E7331">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三、内置教学管理软件：</w:t>
            </w:r>
          </w:p>
          <w:p w14:paraId="1214411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（一）多媒体课件制作展示软件：</w:t>
            </w:r>
          </w:p>
          <w:p w14:paraId="132F94C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1.内置教学白板软件，具有备课及授课模式，可自由切换编辑。</w:t>
            </w:r>
          </w:p>
          <w:p w14:paraId="3D45712A">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2.支持教师通过账号登录、扫码登录、U盘识别登录多种方式登录白板软件。</w:t>
            </w:r>
          </w:p>
          <w:p w14:paraId="5122F1E4">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3.互动教学课件支持定向精准分享：分享者可将互动课件、课件组精准推送至指定接收方账号云空间，接收方可在云空间接收并打开分享课件；</w:t>
            </w:r>
          </w:p>
          <w:p w14:paraId="52E29E95">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4.为使用方全体教师配备个人账号，形成一体的信息化教学账号体系；根据教师账号信息将教师云空间匹配至对应学校、学科校本资源库。支持通过数字账号、微信二维码、硬件密钥方式登录教师个人账号。</w:t>
            </w:r>
          </w:p>
          <w:p w14:paraId="6F43F7DB">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5.支持将互动课件导出为pptx、pdf、H5或web链接，在多终端（包含windows、Macos、iOS、安卓）二次编辑（</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58D36BD0">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6.具有互动式教学课件资源，包含学科教育各学段各地区教材版本不低于120个。具有互动式教学课件资源，包含学科教育各学段教材版本全部教学章节、专题教育多个主题教育、特殊教育 3 大分类不少于 120000 份的互动课件。按照下载量、课件质量、相关性会每天动态更新课件列表，提供按章节、主题筛选和关键词搜索，支持模糊搜索。（</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747B053F">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AI智能备课助手：可以在备课场景中搜索课件库课件资源，具有不少于120000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606E6A91">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8.云教案内容无需人为保存即可同步至云空间，支持已链接方式进行定向式分享和开放式分享。接收者可直接在桌面浏览器、微信内打开预览，可将云教案转存至个人云空间。云教案支持导出为PDF格式。（</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583B5618">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9.提供教案模板，方便老师撰写教案，预置模板包含表格式、提纲式、集备式、多课时式、单元设计式等不少于7个。支持校本模板，管理员在教研管理后台设置校本模板后，老师可在云教案模板调用。（</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23D198A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10.云教案与云课件可一对多关联绑定，产生绑定后，在课件页和教案页均支持在同一面板打开关联的云课件或云教案预览，便于老师备课时相互对照。（</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4721E7E6">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11.【AI智能生成课堂活动】</w:t>
            </w:r>
          </w:p>
          <w:p w14:paraId="028DF8C7">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0EF15677">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12.AI音标助手：支持浏览和插入国际音标表，可直接点击发音，支持已整表和单个音标卡片插入。支持智能将字母、单词、句子转写为音标，并可一键插入到备课课件中形成文本（</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630529E5">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13.支持多种格式的试题批量上传，包含.doc、.docx、.png、.jpeg、.jpg等类型，并可自动转换为电子试题，便于老师优质试题的收集使用和作业布置（</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1B312A31">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14.党建微课视频：提供100节党建微课视频，</w:t>
            </w:r>
            <w:r>
              <w:rPr>
                <w:rFonts w:hint="eastAsia" w:ascii="宋体" w:hAnsi="宋体" w:cs="宋体"/>
                <w:b w:val="0"/>
                <w:bCs w:val="0"/>
                <w:color w:val="auto"/>
                <w:sz w:val="21"/>
                <w:szCs w:val="21"/>
                <w:highlight w:val="none"/>
                <w:lang w:val="en-US" w:eastAsia="zh-CN"/>
              </w:rPr>
              <w:t>至少</w:t>
            </w:r>
            <w:r>
              <w:rPr>
                <w:rFonts w:hint="eastAsia" w:ascii="宋体" w:hAnsi="宋体" w:eastAsia="宋体" w:cs="宋体"/>
                <w:b w:val="0"/>
                <w:bCs w:val="0"/>
                <w:color w:val="auto"/>
                <w:sz w:val="21"/>
                <w:szCs w:val="21"/>
                <w:highlight w:val="none"/>
              </w:rPr>
              <w:t>包含革命篇、建设篇、改革篇、复兴篇4个篇章。微课内容可在线点播，下载至课件播放。微课视频支持视频关键帧打点标记，播放过程中可一键跳转至标记位置，同时支持一键对视频内容进行截图插入课件。（</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40FF6AC6">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15.集体备课（</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6AEBDC1B">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　支持实现信息化集体备课。可选择教案、课件、胶囊资源上传发起集备研讨，能够设置多重访问权限，可通过手机号搜索邀请外校老师，用于跨校教研场景。</w:t>
            </w:r>
          </w:p>
          <w:p w14:paraId="16D9180A">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　可通过搜索集备名称/老师昵称、或按照学科/学段/年级/教材章节、我参与的/我发起的几个维度进行筛选查看，支持电脑端进入集备页面。</w:t>
            </w:r>
          </w:p>
          <w:p w14:paraId="4510038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　参备人可通过评论区发表观点，可对他人评论的观点进行点赞，评论消息会实时提醒，支持图片的上传。</w:t>
            </w:r>
          </w:p>
          <w:p w14:paraId="7422403D">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④　参备人可在线对教案进行随文式批注，追加批注，回复以及查看实时批注消息。</w:t>
            </w:r>
          </w:p>
          <w:p w14:paraId="05EB6B0D">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⑤　能够对课件进行打点式批注，可通过批注定位研讨内容，完成协同备课。</w:t>
            </w:r>
          </w:p>
          <w:p w14:paraId="6DCA41DA">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⑥　完成本次研讨后，主备人可直接进入编辑页面编辑课件/教案，发布新稿件后，备课组进入下一轮研讨，更新稿件后会给参备老师同步教研动态。</w:t>
            </w:r>
          </w:p>
          <w:p w14:paraId="4623939A">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⑦　可对集备中多稿的课件/教案/胶囊进行内容的横向对比，支持批注研。参备成员可随时获取和下载每一稿中的集备稿件到云课件，进行编辑或引用。</w:t>
            </w:r>
          </w:p>
          <w:p w14:paraId="3C327A01">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⑧　完成研讨后，可生成集体备课报告。集备终稿会自动上传到校本资源库，主备人能自定义上传目录，参备人可前往校本资源库获取集备终稿。</w:t>
            </w:r>
          </w:p>
          <w:p w14:paraId="1D875A2C">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⑨　支持生成集备报告，报告生成后，参备人可查看具体报告内容和下载集备报告。报告内包含集备信息、数据统计、研讨记录的具体内容。</w:t>
            </w:r>
          </w:p>
          <w:p w14:paraId="368D7C57">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16.支持电子化听评课。（</w:t>
            </w:r>
            <w:r>
              <w:rPr>
                <w:rFonts w:hint="eastAsia" w:ascii="宋体" w:hAnsi="宋体" w:cs="宋体"/>
                <w:b w:val="0"/>
                <w:bCs w:val="0"/>
                <w:color w:val="auto"/>
                <w:sz w:val="21"/>
                <w:szCs w:val="21"/>
                <w:highlight w:val="none"/>
                <w:lang w:eastAsia="zh-CN"/>
              </w:rPr>
              <w:t>提供国家认可的第三方检测机构所出具的检测报告复印件</w:t>
            </w:r>
            <w:r>
              <w:rPr>
                <w:rFonts w:hint="eastAsia" w:ascii="宋体" w:hAnsi="宋体" w:eastAsia="宋体" w:cs="宋体"/>
                <w:b w:val="0"/>
                <w:bCs w:val="0"/>
                <w:color w:val="auto"/>
                <w:sz w:val="21"/>
                <w:szCs w:val="21"/>
                <w:highlight w:val="none"/>
              </w:rPr>
              <w:t>）</w:t>
            </w:r>
          </w:p>
          <w:p w14:paraId="27CEB66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　支持在授课模式中发起授课评价，根据课程和评课表生成二维码，可选择是否分享课件，若选择分享课件，评课人通过扫码即可参与评课并获取课件。</w:t>
            </w:r>
          </w:p>
          <w:p w14:paraId="0A4471C0">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　可查看历史评价记录。</w:t>
            </w:r>
          </w:p>
          <w:p w14:paraId="39171395">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　支持导出[评课报告为PDF文档，支持导出评课表为WORD文档。</w:t>
            </w:r>
          </w:p>
          <w:p w14:paraId="5B5F6B1A">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17.支持软件联网自动静默升级，无需用户手动更新。</w:t>
            </w:r>
          </w:p>
          <w:p w14:paraId="1F6FE966">
            <w:pPr>
              <w:widowControl/>
              <w:jc w:val="left"/>
              <w:textAlignment w:val="center"/>
              <w:rPr>
                <w:rFonts w:hint="eastAsia" w:ascii="宋体" w:hAnsi="宋体" w:eastAsia="宋体" w:cs="宋体"/>
                <w:b w:val="0"/>
                <w:bCs w:val="0"/>
                <w:color w:val="auto"/>
                <w:sz w:val="21"/>
                <w:szCs w:val="21"/>
                <w:highlight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14:paraId="357F5414">
            <w:pPr>
              <w:widowControl/>
              <w:jc w:val="center"/>
              <w:textAlignment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套</w:t>
            </w:r>
          </w:p>
        </w:tc>
        <w:tc>
          <w:tcPr>
            <w:tcW w:w="610" w:type="dxa"/>
            <w:tcBorders>
              <w:top w:val="single" w:color="000000" w:sz="4" w:space="0"/>
              <w:left w:val="single" w:color="000000" w:sz="4" w:space="0"/>
              <w:bottom w:val="single" w:color="000000" w:sz="4" w:space="0"/>
              <w:right w:val="single" w:color="000000" w:sz="4" w:space="0"/>
            </w:tcBorders>
            <w:vAlign w:val="center"/>
          </w:tcPr>
          <w:p w14:paraId="0A7D6FDA">
            <w:pPr>
              <w:widowControl/>
              <w:jc w:val="center"/>
              <w:textAlignment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79</w:t>
            </w:r>
          </w:p>
        </w:tc>
      </w:tr>
      <w:tr w14:paraId="667039A0">
        <w:tblPrEx>
          <w:tblCellMar>
            <w:top w:w="15" w:type="dxa"/>
            <w:left w:w="15" w:type="dxa"/>
            <w:bottom w:w="15" w:type="dxa"/>
            <w:right w:w="15" w:type="dxa"/>
          </w:tblCellMar>
        </w:tblPrEx>
        <w:trPr>
          <w:trHeight w:val="565" w:hRule="atLeast"/>
        </w:trPr>
        <w:tc>
          <w:tcPr>
            <w:tcW w:w="303" w:type="dxa"/>
            <w:tcBorders>
              <w:top w:val="single" w:color="000000" w:sz="4" w:space="0"/>
              <w:left w:val="single" w:color="000000" w:sz="4" w:space="0"/>
              <w:bottom w:val="single" w:color="000000" w:sz="4" w:space="0"/>
              <w:right w:val="single" w:color="000000" w:sz="4" w:space="0"/>
            </w:tcBorders>
            <w:vAlign w:val="center"/>
          </w:tcPr>
          <w:p w14:paraId="2F9E6784">
            <w:pPr>
              <w:widowControl/>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1098" w:type="dxa"/>
            <w:tcBorders>
              <w:top w:val="single" w:color="000000" w:sz="4" w:space="0"/>
              <w:left w:val="single" w:color="000000" w:sz="4" w:space="0"/>
              <w:bottom w:val="single" w:color="000000" w:sz="4" w:space="0"/>
              <w:right w:val="single" w:color="000000" w:sz="4" w:space="0"/>
            </w:tcBorders>
            <w:vAlign w:val="center"/>
          </w:tcPr>
          <w:p w14:paraId="7905BA25">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视频展台</w:t>
            </w:r>
          </w:p>
        </w:tc>
        <w:tc>
          <w:tcPr>
            <w:tcW w:w="11907" w:type="dxa"/>
            <w:tcBorders>
              <w:top w:val="single" w:color="000000" w:sz="4" w:space="0"/>
              <w:left w:val="single" w:color="000000" w:sz="4" w:space="0"/>
              <w:bottom w:val="single" w:color="000000" w:sz="4" w:space="0"/>
              <w:right w:val="single" w:color="000000" w:sz="4" w:space="0"/>
            </w:tcBorders>
            <w:vAlign w:val="center"/>
          </w:tcPr>
          <w:p w14:paraId="7C0308DA">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1.壁挂式安装，无锐角无利边设计，采用三折叠开合式托板，展开后托板尺寸≥A4面积，托板可收起。</w:t>
            </w:r>
          </w:p>
          <w:p w14:paraId="166843AB">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2.采二维码扫码：打开扫一扫功能后，将书本上的二维码放入扫描框内即可自动扫描，并进入系统浏览器获取二维码的链接内容，可获取电子教学资源。</w:t>
            </w:r>
          </w:p>
          <w:p w14:paraId="68FFB0B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3.支持实时视频矫正功能，拍摄输出画面无梯形畸变，画面如垂直悬臂拍摄效果。</w:t>
            </w:r>
          </w:p>
          <w:p w14:paraId="0CE52B9A">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rPr>
              <w:t>USB接口。</w:t>
            </w:r>
          </w:p>
          <w:p w14:paraId="5198B597">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5.摄像头可拍摄不少于1300万像素数的照片，摄像头支持自动对焦，可拍摄A4画幅，显示视频输出像素≥3840*2160。</w:t>
            </w:r>
          </w:p>
          <w:p w14:paraId="076D7AE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6.支持实时降噪功能，并可开关控制。</w:t>
            </w:r>
          </w:p>
          <w:p w14:paraId="1A903235">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7.支持通过双击屏幕画面任意位置，即时改变对焦位置,可对立体物体的局部进行对焦。</w:t>
            </w:r>
          </w:p>
          <w:p w14:paraId="133A548B">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8.展台按键采用触摸按键，可实现一键启动展台画面、画面放大、画面缩小、画面旋转、拍照截图功能，同时也支持在展台软件上进行同样的操作。</w:t>
            </w:r>
          </w:p>
          <w:p w14:paraId="00A15017">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9.摄像头部分进行外壳防护等级试验，防护等级达到IP4X级别。</w:t>
            </w:r>
          </w:p>
          <w:p w14:paraId="71A9657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10.可选择图像、文本或动态三种情景模式，适应不同展示内容。</w:t>
            </w:r>
          </w:p>
          <w:p w14:paraId="470D2474">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11.支持故障自动检测，在软件无法出现展台拍摄画面时，自动出现检测链接，帮助用户检测“无画面”原因，并给出引导性解决方案。可判断硬件连接、显卡驱动、摄像头占用、软件版本等问题。</w:t>
            </w:r>
          </w:p>
        </w:tc>
        <w:tc>
          <w:tcPr>
            <w:tcW w:w="577" w:type="dxa"/>
            <w:tcBorders>
              <w:top w:val="single" w:color="000000" w:sz="4" w:space="0"/>
              <w:left w:val="single" w:color="000000" w:sz="4" w:space="0"/>
              <w:bottom w:val="single" w:color="000000" w:sz="4" w:space="0"/>
              <w:right w:val="single" w:color="000000" w:sz="4" w:space="0"/>
            </w:tcBorders>
            <w:vAlign w:val="center"/>
          </w:tcPr>
          <w:p w14:paraId="7F7790D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套</w:t>
            </w:r>
          </w:p>
        </w:tc>
        <w:tc>
          <w:tcPr>
            <w:tcW w:w="610" w:type="dxa"/>
            <w:tcBorders>
              <w:top w:val="single" w:color="000000" w:sz="4" w:space="0"/>
              <w:left w:val="single" w:color="000000" w:sz="4" w:space="0"/>
              <w:bottom w:val="single" w:color="000000" w:sz="4" w:space="0"/>
              <w:right w:val="single" w:color="000000" w:sz="4" w:space="0"/>
            </w:tcBorders>
            <w:vAlign w:val="center"/>
          </w:tcPr>
          <w:p w14:paraId="5A1F6BA9">
            <w:pPr>
              <w:widowControl/>
              <w:jc w:val="center"/>
              <w:textAlignment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79</w:t>
            </w:r>
          </w:p>
        </w:tc>
      </w:tr>
      <w:tr w14:paraId="51848C4D">
        <w:tblPrEx>
          <w:tblCellMar>
            <w:top w:w="15" w:type="dxa"/>
            <w:left w:w="15" w:type="dxa"/>
            <w:bottom w:w="15" w:type="dxa"/>
            <w:right w:w="15" w:type="dxa"/>
          </w:tblCellMar>
        </w:tblPrEx>
        <w:trPr>
          <w:trHeight w:val="565" w:hRule="atLeast"/>
        </w:trPr>
        <w:tc>
          <w:tcPr>
            <w:tcW w:w="303" w:type="dxa"/>
            <w:tcBorders>
              <w:top w:val="single" w:color="000000" w:sz="4" w:space="0"/>
              <w:left w:val="single" w:color="000000" w:sz="4" w:space="0"/>
              <w:bottom w:val="single" w:color="000000" w:sz="4" w:space="0"/>
              <w:right w:val="single" w:color="000000" w:sz="4" w:space="0"/>
            </w:tcBorders>
            <w:vAlign w:val="center"/>
          </w:tcPr>
          <w:p w14:paraId="61F6869D">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p>
        </w:tc>
        <w:tc>
          <w:tcPr>
            <w:tcW w:w="1098" w:type="dxa"/>
            <w:tcBorders>
              <w:top w:val="single" w:color="000000" w:sz="4" w:space="0"/>
              <w:left w:val="single" w:color="000000" w:sz="4" w:space="0"/>
              <w:bottom w:val="single" w:color="000000" w:sz="4" w:space="0"/>
              <w:right w:val="single" w:color="000000" w:sz="4" w:space="0"/>
            </w:tcBorders>
            <w:vAlign w:val="center"/>
          </w:tcPr>
          <w:p w14:paraId="2B478AC0">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有源音箱</w:t>
            </w:r>
          </w:p>
        </w:tc>
        <w:tc>
          <w:tcPr>
            <w:tcW w:w="11907" w:type="dxa"/>
            <w:tcBorders>
              <w:top w:val="single" w:color="000000" w:sz="4" w:space="0"/>
              <w:left w:val="single" w:color="000000" w:sz="4" w:space="0"/>
              <w:bottom w:val="single" w:color="000000" w:sz="4" w:space="0"/>
              <w:right w:val="single" w:color="000000" w:sz="4" w:space="0"/>
            </w:tcBorders>
            <w:vAlign w:val="center"/>
          </w:tcPr>
          <w:p w14:paraId="1468203F">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1.采用功放与有源音箱一体化设计，内置麦克风无线接收模块，帮助教师实现多媒体扩音以及本地扩声功能。</w:t>
            </w:r>
          </w:p>
          <w:p w14:paraId="57C34925">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2.输出额定功率≥ 2x15W。</w:t>
            </w:r>
          </w:p>
          <w:p w14:paraId="34FDC573">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3.音箱灵敏度≥85dB，1W/1M。</w:t>
            </w:r>
          </w:p>
          <w:p w14:paraId="0EBDCF11">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4.信噪比≥80dB@额定功率、A计权。</w:t>
            </w:r>
          </w:p>
          <w:p w14:paraId="2591FAAE">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5.全频喇叭单元尺寸≥5英寸。</w:t>
            </w:r>
          </w:p>
          <w:p w14:paraId="15CD0997">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6.THD+N≤1%。</w:t>
            </w:r>
          </w:p>
          <w:p w14:paraId="11787FA1">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7.声频响110Hz-16kHz。</w:t>
            </w:r>
          </w:p>
          <w:p w14:paraId="78645BBC">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8.距离音箱10米处声压级≥75dB。</w:t>
            </w:r>
          </w:p>
          <w:p w14:paraId="2BCEE57D">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9.具备≥1路电源开关、1路LINE IN、1路USB 接口。USB接口可外接U盘设备对音箱固件进行升级。</w:t>
            </w:r>
          </w:p>
          <w:p w14:paraId="3A6CD456">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10.支持无线麦克风扩音接收，采用Wi-Fi射频2.4GHz与 5GHz双频段传输，有效避免环境中运营商U段（700MHz）的信号干扰。</w:t>
            </w:r>
          </w:p>
          <w:p w14:paraId="5968130A">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11.采用红外对码方式，避免连接到其他教室音箱。可快速完成与教学扩声麦克风对码，无需繁琐操作。</w:t>
            </w:r>
          </w:p>
          <w:p w14:paraId="1E9CBB3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12.配置独立音频数字信号处理芯片，支持啸叫抑制功能。</w:t>
            </w:r>
          </w:p>
          <w:p w14:paraId="7A7C6131">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13.支持蓝牙无线接收，可分享移动设备上的音频。支持密码模式，防止学生连接。</w:t>
            </w:r>
          </w:p>
          <w:p w14:paraId="18C3DC01">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14.支持安卓手机通过蓝牙无线连接音箱，实现控制有源音箱的音量、设置蓝牙名称、设置蓝牙密码等功能，方便教师对音箱的管控。</w:t>
            </w:r>
          </w:p>
          <w:p w14:paraId="2C9D7065">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15.支持交互智能黑板显示设备通过蓝牙无线连接音箱，实现控制有源音箱的音量的功能（需要智慧黑板及有源音箱为同一品牌）。</w:t>
            </w:r>
          </w:p>
          <w:p w14:paraId="36F19738">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16.为保证兼容性及稳定性，一体化有源音箱需与为无线麦克风同一品牌厂家。</w:t>
            </w:r>
          </w:p>
        </w:tc>
        <w:tc>
          <w:tcPr>
            <w:tcW w:w="577" w:type="dxa"/>
            <w:tcBorders>
              <w:top w:val="single" w:color="000000" w:sz="4" w:space="0"/>
              <w:left w:val="single" w:color="000000" w:sz="4" w:space="0"/>
              <w:bottom w:val="single" w:color="000000" w:sz="4" w:space="0"/>
              <w:right w:val="single" w:color="000000" w:sz="4" w:space="0"/>
            </w:tcBorders>
            <w:vAlign w:val="center"/>
          </w:tcPr>
          <w:p w14:paraId="5FD2DDD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套</w:t>
            </w:r>
          </w:p>
        </w:tc>
        <w:tc>
          <w:tcPr>
            <w:tcW w:w="610" w:type="dxa"/>
            <w:tcBorders>
              <w:top w:val="single" w:color="000000" w:sz="4" w:space="0"/>
              <w:left w:val="single" w:color="000000" w:sz="4" w:space="0"/>
              <w:bottom w:val="single" w:color="000000" w:sz="4" w:space="0"/>
              <w:right w:val="single" w:color="000000" w:sz="4" w:space="0"/>
            </w:tcBorders>
            <w:vAlign w:val="center"/>
          </w:tcPr>
          <w:p w14:paraId="023AEFBA">
            <w:pPr>
              <w:widowControl/>
              <w:jc w:val="center"/>
              <w:textAlignment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79</w:t>
            </w:r>
          </w:p>
        </w:tc>
      </w:tr>
      <w:tr w14:paraId="09FEB825">
        <w:tblPrEx>
          <w:tblCellMar>
            <w:top w:w="15" w:type="dxa"/>
            <w:left w:w="15" w:type="dxa"/>
            <w:bottom w:w="15" w:type="dxa"/>
            <w:right w:w="15" w:type="dxa"/>
          </w:tblCellMar>
        </w:tblPrEx>
        <w:trPr>
          <w:trHeight w:val="565" w:hRule="atLeast"/>
        </w:trPr>
        <w:tc>
          <w:tcPr>
            <w:tcW w:w="303" w:type="dxa"/>
            <w:tcBorders>
              <w:top w:val="single" w:color="000000" w:sz="4" w:space="0"/>
              <w:left w:val="single" w:color="000000" w:sz="4" w:space="0"/>
              <w:bottom w:val="single" w:color="000000" w:sz="4" w:space="0"/>
              <w:right w:val="single" w:color="000000" w:sz="4" w:space="0"/>
            </w:tcBorders>
            <w:vAlign w:val="center"/>
          </w:tcPr>
          <w:p w14:paraId="498F893D">
            <w:pPr>
              <w:widowControl/>
              <w:jc w:val="center"/>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1098" w:type="dxa"/>
            <w:tcBorders>
              <w:top w:val="single" w:color="000000" w:sz="4" w:space="0"/>
              <w:left w:val="single" w:color="000000" w:sz="4" w:space="0"/>
              <w:bottom w:val="single" w:color="000000" w:sz="4" w:space="0"/>
              <w:right w:val="single" w:color="000000" w:sz="4" w:space="0"/>
            </w:tcBorders>
            <w:vAlign w:val="center"/>
          </w:tcPr>
          <w:p w14:paraId="03CB0A05">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麦克风</w:t>
            </w:r>
          </w:p>
        </w:tc>
        <w:tc>
          <w:tcPr>
            <w:tcW w:w="11907" w:type="dxa"/>
            <w:tcBorders>
              <w:top w:val="single" w:color="000000" w:sz="4" w:space="0"/>
              <w:left w:val="single" w:color="000000" w:sz="4" w:space="0"/>
              <w:bottom w:val="single" w:color="000000" w:sz="4" w:space="0"/>
              <w:right w:val="single" w:color="000000" w:sz="4" w:space="0"/>
            </w:tcBorders>
            <w:vAlign w:val="center"/>
          </w:tcPr>
          <w:p w14:paraId="680BDD5F">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1.无线麦克风集音频发射处理器、天线、电池、拾音麦克风于一体，配合一体化有源音箱，无需任何外接辅助设备即可实现本地扩声功能。</w:t>
            </w:r>
          </w:p>
          <w:p w14:paraId="435DC846">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2.采样率≥48KHz，16bit；扩音增益≥15dB；声频响100Hz-16kHz，底噪≤100uVrms，声信噪比≥60dB；配合一体化有源音箱，扩音延时≤35ms。</w:t>
            </w:r>
          </w:p>
          <w:p w14:paraId="1BA74F1D">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3.用Wi-Fi射频频段传输。</w:t>
            </w:r>
          </w:p>
          <w:p w14:paraId="6030CF5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4.支持2.4GHz与5G双频段工作，信道数量≥</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个。</w:t>
            </w:r>
          </w:p>
          <w:p w14:paraId="6798883C">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5.电续航时间≥5小时，充电10分钟满足一节课（45分钟/一节课）授课时间。</w:t>
            </w:r>
          </w:p>
          <w:p w14:paraId="716DA691">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6.采用红外对码方式连接。</w:t>
            </w:r>
          </w:p>
          <w:p w14:paraId="203D79ED">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7.支持两个无线麦克风同时配对一个一体化有源音箱使用。</w:t>
            </w:r>
          </w:p>
          <w:p w14:paraId="37E430E0">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8.具备Type-c外置麦克风接口，与充电接口复用。可搭配Type-C接口的麦克风进行使用，比如头戴式、挂耳式的外置麦克风。</w:t>
            </w:r>
          </w:p>
          <w:p w14:paraId="0253D536">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9.空旷无干扰的环境，无线传输有效距离≥15 米。</w:t>
            </w:r>
          </w:p>
          <w:p w14:paraId="226813BD">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10.一体化领夹设计。</w:t>
            </w:r>
          </w:p>
          <w:p w14:paraId="105A0234">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11.外壳防火等级≥V1。</w:t>
            </w:r>
          </w:p>
        </w:tc>
        <w:tc>
          <w:tcPr>
            <w:tcW w:w="577" w:type="dxa"/>
            <w:tcBorders>
              <w:top w:val="single" w:color="000000" w:sz="4" w:space="0"/>
              <w:left w:val="single" w:color="000000" w:sz="4" w:space="0"/>
              <w:bottom w:val="single" w:color="000000" w:sz="4" w:space="0"/>
              <w:right w:val="single" w:color="000000" w:sz="4" w:space="0"/>
            </w:tcBorders>
            <w:vAlign w:val="center"/>
          </w:tcPr>
          <w:p w14:paraId="5F5058F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套</w:t>
            </w:r>
          </w:p>
        </w:tc>
        <w:tc>
          <w:tcPr>
            <w:tcW w:w="610" w:type="dxa"/>
            <w:tcBorders>
              <w:top w:val="single" w:color="000000" w:sz="4" w:space="0"/>
              <w:left w:val="single" w:color="000000" w:sz="4" w:space="0"/>
              <w:bottom w:val="single" w:color="000000" w:sz="4" w:space="0"/>
              <w:right w:val="single" w:color="000000" w:sz="4" w:space="0"/>
            </w:tcBorders>
            <w:vAlign w:val="center"/>
          </w:tcPr>
          <w:p w14:paraId="39498EC6">
            <w:pPr>
              <w:widowControl/>
              <w:jc w:val="center"/>
              <w:textAlignment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79</w:t>
            </w:r>
          </w:p>
        </w:tc>
      </w:tr>
      <w:tr w14:paraId="13AA9D53">
        <w:tblPrEx>
          <w:tblCellMar>
            <w:top w:w="15" w:type="dxa"/>
            <w:left w:w="15" w:type="dxa"/>
            <w:bottom w:w="15" w:type="dxa"/>
            <w:right w:w="15" w:type="dxa"/>
          </w:tblCellMar>
        </w:tblPrEx>
        <w:trPr>
          <w:trHeight w:val="565" w:hRule="atLeast"/>
        </w:trPr>
        <w:tc>
          <w:tcPr>
            <w:tcW w:w="303" w:type="dxa"/>
            <w:tcBorders>
              <w:top w:val="single" w:color="000000" w:sz="4" w:space="0"/>
              <w:left w:val="single" w:color="000000" w:sz="4" w:space="0"/>
              <w:bottom w:val="single" w:color="000000" w:sz="4" w:space="0"/>
              <w:right w:val="single" w:color="000000" w:sz="4" w:space="0"/>
            </w:tcBorders>
            <w:vAlign w:val="center"/>
          </w:tcPr>
          <w:p w14:paraId="34F4ECEE">
            <w:pPr>
              <w:widowControl/>
              <w:jc w:val="center"/>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1098" w:type="dxa"/>
            <w:tcBorders>
              <w:top w:val="single" w:color="000000" w:sz="4" w:space="0"/>
              <w:left w:val="single" w:color="000000" w:sz="4" w:space="0"/>
              <w:bottom w:val="single" w:color="000000" w:sz="4" w:space="0"/>
              <w:right w:val="single" w:color="000000" w:sz="4" w:space="0"/>
            </w:tcBorders>
            <w:vAlign w:val="center"/>
          </w:tcPr>
          <w:p w14:paraId="2B885C4F">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智能笔</w:t>
            </w:r>
          </w:p>
        </w:tc>
        <w:tc>
          <w:tcPr>
            <w:tcW w:w="11907" w:type="dxa"/>
            <w:tcBorders>
              <w:top w:val="single" w:color="000000" w:sz="4" w:space="0"/>
              <w:left w:val="single" w:color="000000" w:sz="4" w:space="0"/>
              <w:bottom w:val="single" w:color="000000" w:sz="4" w:space="0"/>
              <w:right w:val="single" w:color="000000" w:sz="4" w:space="0"/>
            </w:tcBorders>
            <w:vAlign w:val="center"/>
          </w:tcPr>
          <w:p w14:paraId="72744D0D">
            <w:pPr>
              <w:widowControl/>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1.外观：笔身造型采用圆润一体化笔型设计，表面采用手感漆工艺便于握持</w:t>
            </w:r>
            <w:r>
              <w:rPr>
                <w:rFonts w:hint="eastAsia" w:ascii="宋体" w:hAnsi="宋体" w:cs="宋体"/>
                <w:b w:val="0"/>
                <w:bCs w:val="0"/>
                <w:color w:val="auto"/>
                <w:sz w:val="21"/>
                <w:szCs w:val="21"/>
                <w:highlight w:val="none"/>
                <w:lang w:eastAsia="zh-CN"/>
              </w:rPr>
              <w:t>。</w:t>
            </w:r>
          </w:p>
          <w:p w14:paraId="0698897B">
            <w:pPr>
              <w:widowControl/>
              <w:jc w:val="left"/>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2.笔身配置不少于五个按键，具备上下翻页，智能语音，远程聚光灯/放大，书写颜色切换，兼顾触摸书写以及远程操控的握持姿态</w:t>
            </w:r>
            <w:r>
              <w:rPr>
                <w:rFonts w:hint="eastAsia" w:ascii="宋体" w:hAnsi="宋体" w:cs="宋体"/>
                <w:b w:val="0"/>
                <w:bCs w:val="0"/>
                <w:color w:val="auto"/>
                <w:sz w:val="21"/>
                <w:szCs w:val="21"/>
                <w:highlight w:val="none"/>
                <w:lang w:eastAsia="zh-CN"/>
              </w:rPr>
              <w:t>。</w:t>
            </w:r>
          </w:p>
          <w:p w14:paraId="594C09B0">
            <w:pPr>
              <w:widowControl/>
              <w:jc w:val="left"/>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3.笔头：采用锥型笔尖设计，直径≤3mm；同时支持电容，红外触控设备书写，书写最小精度2mm</w:t>
            </w:r>
            <w:r>
              <w:rPr>
                <w:rFonts w:hint="eastAsia" w:ascii="宋体" w:hAnsi="宋体" w:cs="宋体"/>
                <w:b w:val="0"/>
                <w:bCs w:val="0"/>
                <w:color w:val="auto"/>
                <w:sz w:val="21"/>
                <w:szCs w:val="21"/>
                <w:highlight w:val="none"/>
                <w:lang w:eastAsia="zh-CN"/>
              </w:rPr>
              <w:t>。</w:t>
            </w:r>
          </w:p>
          <w:p w14:paraId="5615371F">
            <w:pPr>
              <w:widowControl/>
              <w:jc w:val="left"/>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4.笔头：连续书写距离不小于7km</w:t>
            </w:r>
            <w:r>
              <w:rPr>
                <w:rFonts w:hint="eastAsia" w:ascii="宋体" w:hAnsi="宋体" w:cs="宋体"/>
                <w:b w:val="0"/>
                <w:bCs w:val="0"/>
                <w:color w:val="auto"/>
                <w:sz w:val="21"/>
                <w:szCs w:val="21"/>
                <w:highlight w:val="none"/>
                <w:lang w:eastAsia="zh-CN"/>
              </w:rPr>
              <w:t>。</w:t>
            </w:r>
          </w:p>
          <w:p w14:paraId="3D94A81A">
            <w:pPr>
              <w:widowControl/>
              <w:jc w:val="left"/>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5.按键：上下翻页按键</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可实现白板软件/ppt/pdf等文档上下翻页</w:t>
            </w:r>
            <w:r>
              <w:rPr>
                <w:rFonts w:hint="eastAsia" w:ascii="宋体" w:hAnsi="宋体" w:cs="宋体"/>
                <w:b w:val="0"/>
                <w:bCs w:val="0"/>
                <w:color w:val="auto"/>
                <w:sz w:val="21"/>
                <w:szCs w:val="21"/>
                <w:highlight w:val="none"/>
                <w:lang w:eastAsia="zh-CN"/>
              </w:rPr>
              <w:t>。</w:t>
            </w:r>
          </w:p>
          <w:p w14:paraId="63859145">
            <w:pPr>
              <w:widowControl/>
              <w:jc w:val="left"/>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6.可实现播放/暂停音视频或flash</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可实现空鼠/放大镜/聚光灯等功能切换</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可实现对应功能(空鼠/放大镜/聚光灯)</w:t>
            </w:r>
            <w:r>
              <w:rPr>
                <w:rFonts w:hint="eastAsia" w:ascii="宋体" w:hAnsi="宋体" w:cs="宋体"/>
                <w:b w:val="0"/>
                <w:bCs w:val="0"/>
                <w:color w:val="auto"/>
                <w:sz w:val="21"/>
                <w:szCs w:val="21"/>
                <w:highlight w:val="none"/>
                <w:lang w:eastAsia="zh-CN"/>
              </w:rPr>
              <w:t>。</w:t>
            </w:r>
          </w:p>
          <w:p w14:paraId="3E601539">
            <w:pPr>
              <w:widowControl/>
              <w:jc w:val="left"/>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7.语音：内置麦克风，支持按键唤醒语音识别功能</w:t>
            </w:r>
            <w:r>
              <w:rPr>
                <w:rFonts w:hint="eastAsia" w:ascii="宋体" w:hAnsi="宋体" w:cs="宋体"/>
                <w:b w:val="0"/>
                <w:bCs w:val="0"/>
                <w:color w:val="auto"/>
                <w:sz w:val="21"/>
                <w:szCs w:val="21"/>
                <w:highlight w:val="none"/>
                <w:lang w:eastAsia="zh-CN"/>
              </w:rPr>
              <w:t>。</w:t>
            </w:r>
          </w:p>
          <w:p w14:paraId="257F1A0C">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语音：支持唤醒语音识别时，可直接通过语音打开已安装的应用，可直接通过语音调用网络搜索引擎搜索查询相应资料，可进行语音转写输入，支持语音控制屏幕黑屏、亮屏，音量大小调整，返回桌面，截屏，关机等操作。</w:t>
            </w:r>
          </w:p>
          <w:p w14:paraId="5DD3D410">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9.语音：支持白板软件内，通过语音控制：切换书写、擦除、选择模式，最小化返回桌面，打开板中板，清空书写批注等操作；</w:t>
            </w:r>
          </w:p>
          <w:p w14:paraId="66C2294F">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10.批注：支持按键调起批注功能，可通过按键实现批注颜色切换，可实现橡皮擦功能。</w:t>
            </w:r>
          </w:p>
          <w:p w14:paraId="2716A8DF">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11.无线：支持无线dongle及蓝牙两种连接方式，支持蓝牙5.1协议；</w:t>
            </w:r>
          </w:p>
          <w:p w14:paraId="61E9EA5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12.无线：无线dongle&amp;蓝牙连接距离≥12m，上下翻页/语音控制/远程批注实现距离≥12m；</w:t>
            </w:r>
          </w:p>
          <w:p w14:paraId="2E7CC3DE">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13.充电：内置锂电池，支持type-c充电，待机时间≥60h,连续书写时间≥8h，从无电到满电的充电时长≤1小时；</w:t>
            </w:r>
          </w:p>
          <w:p w14:paraId="31E2E4E4">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14.自动休眠：支持智能休眠节电，当设备&gt;5min无人操作时，设备自动进入休眠节电模式；</w:t>
            </w:r>
          </w:p>
        </w:tc>
        <w:tc>
          <w:tcPr>
            <w:tcW w:w="577" w:type="dxa"/>
            <w:tcBorders>
              <w:top w:val="single" w:color="000000" w:sz="4" w:space="0"/>
              <w:left w:val="single" w:color="000000" w:sz="4" w:space="0"/>
              <w:bottom w:val="single" w:color="000000" w:sz="4" w:space="0"/>
              <w:right w:val="single" w:color="000000" w:sz="4" w:space="0"/>
            </w:tcBorders>
            <w:vAlign w:val="center"/>
          </w:tcPr>
          <w:p w14:paraId="57460D7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套</w:t>
            </w:r>
          </w:p>
        </w:tc>
        <w:tc>
          <w:tcPr>
            <w:tcW w:w="610" w:type="dxa"/>
            <w:tcBorders>
              <w:top w:val="single" w:color="000000" w:sz="4" w:space="0"/>
              <w:left w:val="single" w:color="000000" w:sz="4" w:space="0"/>
              <w:bottom w:val="single" w:color="000000" w:sz="4" w:space="0"/>
              <w:right w:val="single" w:color="000000" w:sz="4" w:space="0"/>
            </w:tcBorders>
            <w:vAlign w:val="center"/>
          </w:tcPr>
          <w:p w14:paraId="0552A8E1">
            <w:pPr>
              <w:widowControl/>
              <w:jc w:val="center"/>
              <w:textAlignment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79</w:t>
            </w:r>
          </w:p>
        </w:tc>
      </w:tr>
      <w:tr w14:paraId="0E6A3660">
        <w:tblPrEx>
          <w:tblCellMar>
            <w:top w:w="15" w:type="dxa"/>
            <w:left w:w="15" w:type="dxa"/>
            <w:bottom w:w="15" w:type="dxa"/>
            <w:right w:w="15" w:type="dxa"/>
          </w:tblCellMar>
        </w:tblPrEx>
        <w:trPr>
          <w:trHeight w:val="565" w:hRule="atLeast"/>
        </w:trPr>
        <w:tc>
          <w:tcPr>
            <w:tcW w:w="303" w:type="dxa"/>
            <w:tcBorders>
              <w:top w:val="single" w:color="000000" w:sz="4" w:space="0"/>
              <w:left w:val="single" w:color="000000" w:sz="4" w:space="0"/>
              <w:bottom w:val="single" w:color="000000" w:sz="4" w:space="0"/>
              <w:right w:val="single" w:color="000000" w:sz="4" w:space="0"/>
            </w:tcBorders>
            <w:vAlign w:val="center"/>
          </w:tcPr>
          <w:p w14:paraId="22C5537A">
            <w:pPr>
              <w:widowControl/>
              <w:jc w:val="center"/>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p>
        </w:tc>
        <w:tc>
          <w:tcPr>
            <w:tcW w:w="1098" w:type="dxa"/>
            <w:tcBorders>
              <w:top w:val="single" w:color="000000" w:sz="4" w:space="0"/>
              <w:left w:val="single" w:color="000000" w:sz="4" w:space="0"/>
              <w:bottom w:val="single" w:color="000000" w:sz="4" w:space="0"/>
              <w:right w:val="single" w:color="000000" w:sz="4" w:space="0"/>
            </w:tcBorders>
            <w:vAlign w:val="center"/>
          </w:tcPr>
          <w:p w14:paraId="128E73D3">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智慧讲桌</w:t>
            </w:r>
          </w:p>
        </w:tc>
        <w:tc>
          <w:tcPr>
            <w:tcW w:w="11907" w:type="dxa"/>
            <w:tcBorders>
              <w:top w:val="single" w:color="000000" w:sz="4" w:space="0"/>
              <w:left w:val="single" w:color="000000" w:sz="4" w:space="0"/>
              <w:bottom w:val="single" w:color="000000" w:sz="4" w:space="0"/>
              <w:right w:val="single" w:color="000000" w:sz="4" w:space="0"/>
            </w:tcBorders>
            <w:vAlign w:val="center"/>
          </w:tcPr>
          <w:p w14:paraId="4E2C5E1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1.智能讲台结构：木结构部分均采用E0级木质板材结构，甲醛释放量≤0.05mg/m³，桌面防静电。</w:t>
            </w:r>
          </w:p>
          <w:p w14:paraId="5E33B328">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2.智能讲台外观：讲台三面环抱式设计，讲台桌面高度合适老师放置教学用品，外观桌面平整，边缘光滑，无棱角处理。</w:t>
            </w:r>
          </w:p>
          <w:p w14:paraId="241BCB1C">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3.智能讲台包含≥21.5英寸触摸屏幕，采用防眩光全钢化防爆玻璃面板，支持≥10点同时触摸。</w:t>
            </w:r>
          </w:p>
          <w:p w14:paraId="72A3360D">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4.智能讲台支持通过触控屏幕对一体机的画面进行控制，支持同步显示一体机画面。</w:t>
            </w:r>
          </w:p>
          <w:p w14:paraId="11A74AA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5.设置实体的物理按键，并具备独立的快捷按键，可通过快捷按键进行声音的调节、一键息屏等操作。</w:t>
            </w:r>
          </w:p>
          <w:p w14:paraId="50D40298">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6.智能讲台具备≥1个可自定义功能按键，可通过软件设置选择按键功能，包括一键启动白板、一键启动视频展台，一键关闭当前应用程序选项功能。</w:t>
            </w:r>
          </w:p>
          <w:p w14:paraId="1E4A224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7.智能讲台设置≥3个USB充电口。</w:t>
            </w:r>
          </w:p>
          <w:p w14:paraId="1445FBE5">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8.智能讲台设置有收纳抽屉和隔板 。</w:t>
            </w:r>
          </w:p>
          <w:p w14:paraId="5392E690">
            <w:pPr>
              <w:pStyle w:val="2"/>
              <w:numPr>
                <w:ilvl w:val="0"/>
                <w:numId w:val="0"/>
              </w:numPr>
              <w:rPr>
                <w:rFonts w:hint="default"/>
                <w:color w:val="auto"/>
                <w:highlight w:val="none"/>
                <w:lang w:val="en-US"/>
              </w:rPr>
            </w:pPr>
            <w:r>
              <w:rPr>
                <w:rFonts w:hint="eastAsia" w:ascii="宋体" w:hAnsi="宋体" w:eastAsia="宋体" w:cs="宋体"/>
                <w:b w:val="0"/>
                <w:bCs w:val="0"/>
                <w:color w:val="auto"/>
                <w:sz w:val="21"/>
                <w:szCs w:val="21"/>
                <w:highlight w:val="none"/>
                <w:lang w:val="en-US" w:eastAsia="zh-CN"/>
              </w:rPr>
              <w:t>9.尺寸可根据现场环境定制。</w:t>
            </w:r>
          </w:p>
        </w:tc>
        <w:tc>
          <w:tcPr>
            <w:tcW w:w="577" w:type="dxa"/>
            <w:tcBorders>
              <w:top w:val="single" w:color="000000" w:sz="4" w:space="0"/>
              <w:left w:val="single" w:color="000000" w:sz="4" w:space="0"/>
              <w:bottom w:val="single" w:color="000000" w:sz="4" w:space="0"/>
              <w:right w:val="single" w:color="000000" w:sz="4" w:space="0"/>
            </w:tcBorders>
            <w:vAlign w:val="center"/>
          </w:tcPr>
          <w:p w14:paraId="7B93897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套</w:t>
            </w:r>
          </w:p>
        </w:tc>
        <w:tc>
          <w:tcPr>
            <w:tcW w:w="610" w:type="dxa"/>
            <w:tcBorders>
              <w:top w:val="single" w:color="000000" w:sz="4" w:space="0"/>
              <w:left w:val="single" w:color="000000" w:sz="4" w:space="0"/>
              <w:bottom w:val="single" w:color="000000" w:sz="4" w:space="0"/>
              <w:right w:val="single" w:color="000000" w:sz="4" w:space="0"/>
            </w:tcBorders>
            <w:vAlign w:val="center"/>
          </w:tcPr>
          <w:p w14:paraId="480320E5">
            <w:pPr>
              <w:widowControl/>
              <w:jc w:val="center"/>
              <w:textAlignment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79</w:t>
            </w:r>
          </w:p>
        </w:tc>
      </w:tr>
      <w:tr w14:paraId="62986249">
        <w:tblPrEx>
          <w:tblCellMar>
            <w:top w:w="15" w:type="dxa"/>
            <w:left w:w="15" w:type="dxa"/>
            <w:bottom w:w="15" w:type="dxa"/>
            <w:right w:w="15" w:type="dxa"/>
          </w:tblCellMar>
        </w:tblPrEx>
        <w:trPr>
          <w:trHeight w:val="565" w:hRule="atLeast"/>
        </w:trPr>
        <w:tc>
          <w:tcPr>
            <w:tcW w:w="303" w:type="dxa"/>
            <w:tcBorders>
              <w:top w:val="single" w:color="000000" w:sz="4" w:space="0"/>
              <w:left w:val="single" w:color="000000" w:sz="4" w:space="0"/>
              <w:bottom w:val="single" w:color="000000" w:sz="4" w:space="0"/>
              <w:right w:val="single" w:color="000000" w:sz="4" w:space="0"/>
            </w:tcBorders>
            <w:vAlign w:val="center"/>
          </w:tcPr>
          <w:p w14:paraId="145E98D2">
            <w:pPr>
              <w:widowControl/>
              <w:jc w:val="center"/>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p>
        </w:tc>
        <w:tc>
          <w:tcPr>
            <w:tcW w:w="1098" w:type="dxa"/>
            <w:tcBorders>
              <w:top w:val="single" w:color="000000" w:sz="4" w:space="0"/>
              <w:left w:val="single" w:color="000000" w:sz="4" w:space="0"/>
              <w:bottom w:val="single" w:color="000000" w:sz="4" w:space="0"/>
              <w:right w:val="single" w:color="000000" w:sz="4" w:space="0"/>
            </w:tcBorders>
            <w:vAlign w:val="center"/>
          </w:tcPr>
          <w:p w14:paraId="796852A2">
            <w:pPr>
              <w:spacing w:line="360" w:lineRule="auto"/>
              <w:jc w:val="center"/>
              <w:textAlignment w:val="baseline"/>
              <w:rPr>
                <w:rFonts w:hint="eastAsia" w:ascii="宋体" w:hAnsi="Times New Roman" w:eastAsia="宋体" w:cs="宋体"/>
                <w:color w:val="auto"/>
                <w:kern w:val="2"/>
                <w:sz w:val="21"/>
                <w:szCs w:val="21"/>
                <w:highlight w:val="none"/>
                <w:lang w:val="en-US" w:eastAsia="zh-CN" w:bidi="ar-SA"/>
              </w:rPr>
            </w:pPr>
            <w:r>
              <w:rPr>
                <w:rFonts w:hint="eastAsia" w:ascii="宋体" w:cs="宋体"/>
                <w:color w:val="auto"/>
                <w:szCs w:val="21"/>
                <w:highlight w:val="none"/>
              </w:rPr>
              <w:t>集中管理控制软件</w:t>
            </w:r>
          </w:p>
        </w:tc>
        <w:tc>
          <w:tcPr>
            <w:tcW w:w="11907" w:type="dxa"/>
            <w:tcBorders>
              <w:top w:val="single" w:color="000000" w:sz="4" w:space="0"/>
              <w:left w:val="single" w:color="000000" w:sz="4" w:space="0"/>
              <w:bottom w:val="single" w:color="000000" w:sz="4" w:space="0"/>
              <w:right w:val="single" w:color="000000" w:sz="4" w:space="0"/>
            </w:tcBorders>
            <w:vAlign w:val="center"/>
          </w:tcPr>
          <w:p w14:paraId="2418E3DC">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rPr>
              <w:tab/>
            </w:r>
            <w:r>
              <w:rPr>
                <w:rFonts w:hint="eastAsia" w:ascii="宋体" w:hAnsi="宋体" w:cs="宋体"/>
                <w:b w:val="0"/>
                <w:bCs w:val="0"/>
                <w:color w:val="auto"/>
                <w:sz w:val="21"/>
                <w:szCs w:val="21"/>
                <w:highlight w:val="none"/>
                <w:lang w:val="en-US" w:eastAsia="zh-CN"/>
              </w:rPr>
              <w:t>系统基于SaaS布局，</w:t>
            </w:r>
            <w:r>
              <w:rPr>
                <w:rFonts w:hint="eastAsia" w:ascii="宋体" w:hAnsi="宋体" w:eastAsia="宋体" w:cs="宋体"/>
                <w:b w:val="0"/>
                <w:bCs w:val="0"/>
                <w:color w:val="auto"/>
                <w:sz w:val="21"/>
                <w:szCs w:val="21"/>
                <w:highlight w:val="none"/>
              </w:rPr>
              <w:t>应用界面采用B/S架构设计，支持学校管理员在Windows、Linux、Android、IOS等多种不同的操作系统上通过网页浏览器登录进行所有管理指令操作。</w:t>
            </w:r>
          </w:p>
          <w:p w14:paraId="77CD7AC9">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系统支持多类型设备接入，集中运维。包含班班通设备、录播设备、班牌设备、校园屏显设备、学生平板设备。</w:t>
            </w:r>
          </w:p>
          <w:p w14:paraId="2FAB7A16">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支持通过设备辅助管理软件，在单台班班通设备关联学校代码后，自动发现并关联同网段下其他班班通设备。</w:t>
            </w:r>
          </w:p>
          <w:p w14:paraId="62C127B5">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支持账号/密码、手机扫码登录。扫码登录：用户首次登录时绑定微信用户ID与账号的对应关系，之后即可通过微信扫一扫安全登录。</w:t>
            </w:r>
          </w:p>
          <w:p w14:paraId="0D7B7C53">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支持自定义系统logo和系统名称，适用于校园定制系统。</w:t>
            </w:r>
          </w:p>
          <w:p w14:paraId="3630487F">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支持学校高级管理员添加多位管理员协同管理，并支持为普通管理员分配不同权限，权限支持按系统功能菜单分配、按管理设备分配方式。并支持转让高级管理员给其他管理员。</w:t>
            </w:r>
          </w:p>
          <w:p w14:paraId="4AB44427">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精准管理：</w:t>
            </w:r>
          </w:p>
          <w:p w14:paraId="3B9E21AF">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支持实时展示不少于20台设备的运行画面，并支持切换画面模式/列表模式，方便管理员根据实际管理需要选择管理模式。</w:t>
            </w:r>
          </w:p>
          <w:p w14:paraId="3DC810D7">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支持查看设备当前使用老师信息，以及最近一次设备解锁时间、解锁方式、解锁老师，实时了解班班通设备教学应用情况。</w:t>
            </w:r>
          </w:p>
          <w:p w14:paraId="03E06E42">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支持根据设备类型、设备所属年级/场地/自定义分组、设备开关机状态进行分组管理；支持文字检索设备名称，快速定位对应设备进行定向精准管理。</w:t>
            </w:r>
          </w:p>
          <w:p w14:paraId="7F1F4382">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支持查看单台设备的当日开机次数、开机时间分布情况、内存/硬盘占用情况、基础参数；并支持远程修改设备关联信息。</w:t>
            </w:r>
          </w:p>
          <w:p w14:paraId="4FEABAE2">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基础指令：</w:t>
            </w:r>
          </w:p>
          <w:p w14:paraId="53671D06">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p>
          <w:p w14:paraId="17701BCF">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支持同时上传多个大于50MB的文件，并可批量发送至多台设备。</w:t>
            </w:r>
          </w:p>
          <w:p w14:paraId="230A615D">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支持设置即时、定时、循环模式的关机、重启、打铃、锁屏/解锁指令。其中打铃指令支持上传自定义铃声、设置播放时长；</w:t>
            </w:r>
          </w:p>
          <w:p w14:paraId="59BE0F07">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支持发送提醒类通知、全剧弹窗类紧急通知、桌面常驻类公告通知。支持设置常用通知消息模版，便于快捷发布。</w:t>
            </w:r>
          </w:p>
          <w:p w14:paraId="69D324E5">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支持远程实时控制设备，可监测设备当前运行界面，并远程操作设备界面，适用于远程维护和修复设备软件问题。</w:t>
            </w:r>
          </w:p>
          <w:p w14:paraId="1FF2A52F">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支持设置倒计日，用于重大教学安排的提醒，并可定向远程开启/关闭指定设备的倒计日功能。</w:t>
            </w:r>
          </w:p>
          <w:p w14:paraId="4ACD6C33">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支持查看和撤销待执行指令；支持查看已执行指令情况、指令执行实时状态；支持查看设备操作日志，精确记录设备每次解锁方式、解锁时间、解锁人信息，便于管理员了解设备是否存在违规使用，规范管理。</w:t>
            </w:r>
          </w:p>
          <w:p w14:paraId="41C9C608">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高效管理：</w:t>
            </w:r>
          </w:p>
          <w:p w14:paraId="4970F0D8">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18.</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支持同时查看</w:t>
            </w:r>
            <w:r>
              <w:rPr>
                <w:rFonts w:hint="eastAsia" w:ascii="宋体" w:hAnsi="宋体" w:cs="宋体"/>
                <w:b w:val="0"/>
                <w:bCs w:val="0"/>
                <w:color w:val="auto"/>
                <w:sz w:val="21"/>
                <w:szCs w:val="21"/>
                <w:highlight w:val="none"/>
                <w:lang w:val="en-US" w:eastAsia="zh-CN"/>
              </w:rPr>
              <w:t>不少于</w:t>
            </w:r>
            <w:r>
              <w:rPr>
                <w:rFonts w:hint="eastAsia" w:ascii="宋体" w:hAnsi="宋体" w:eastAsia="宋体" w:cs="宋体"/>
                <w:b w:val="0"/>
                <w:bCs w:val="0"/>
                <w:color w:val="auto"/>
                <w:sz w:val="21"/>
                <w:szCs w:val="21"/>
                <w:highlight w:val="none"/>
              </w:rPr>
              <w:t>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p>
          <w:p w14:paraId="0EFF7934">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支持设备长时间无人使用时，自动进入屏保、锁屏、息屏、关机状态，保护显示器，延长班班通使用寿命。</w:t>
            </w:r>
          </w:p>
          <w:p w14:paraId="160DF1B5">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软件静默安装：支持用户自主上传官方正版软件，经过人工封装软件后，批量将软件发送至班班通设备安装，整个安装过程完全无感，不影响正常教学。</w:t>
            </w:r>
          </w:p>
          <w:p w14:paraId="04B63EDA">
            <w:pPr>
              <w:rPr>
                <w:rFonts w:hint="eastAsia" w:ascii="宋体" w:hAnsi="Times New Roman" w:eastAsia="宋体" w:cs="宋体"/>
                <w:color w:val="auto"/>
                <w:kern w:val="2"/>
                <w:sz w:val="21"/>
                <w:szCs w:val="22"/>
                <w:highlight w:val="none"/>
                <w:lang w:val="en-US" w:eastAsia="zh-CN" w:bidi="ar-SA"/>
              </w:rPr>
            </w:pPr>
            <w:r>
              <w:rPr>
                <w:rFonts w:hint="eastAsia"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t>音视频直播：支持</w:t>
            </w:r>
            <w:r>
              <w:rPr>
                <w:rFonts w:hint="eastAsia" w:ascii="宋体" w:hAnsi="宋体" w:cs="宋体"/>
                <w:b w:val="0"/>
                <w:bCs w:val="0"/>
                <w:color w:val="auto"/>
                <w:sz w:val="21"/>
                <w:szCs w:val="21"/>
                <w:highlight w:val="none"/>
                <w:lang w:val="en-US" w:eastAsia="zh-CN"/>
              </w:rPr>
              <w:t>不少于</w:t>
            </w:r>
            <w:r>
              <w:rPr>
                <w:rFonts w:hint="eastAsia" w:ascii="宋体" w:hAnsi="宋体" w:eastAsia="宋体" w:cs="宋体"/>
                <w:b w:val="0"/>
                <w:bCs w:val="0"/>
                <w:color w:val="auto"/>
                <w:sz w:val="21"/>
                <w:szCs w:val="21"/>
                <w:highlight w:val="none"/>
              </w:rPr>
              <w:t>6位老师同时向不同设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实时掌握直播</w:t>
            </w:r>
            <w:r>
              <w:rPr>
                <w:rFonts w:hint="eastAsia" w:ascii="宋体" w:hAnsi="宋体" w:cs="宋体"/>
                <w:b w:val="0"/>
                <w:bCs w:val="0"/>
                <w:color w:val="auto"/>
                <w:sz w:val="21"/>
                <w:szCs w:val="21"/>
                <w:highlight w:val="none"/>
                <w:lang w:val="en-US" w:eastAsia="zh-CN"/>
              </w:rPr>
              <w:t>.</w:t>
            </w:r>
          </w:p>
        </w:tc>
        <w:tc>
          <w:tcPr>
            <w:tcW w:w="577" w:type="dxa"/>
            <w:tcBorders>
              <w:top w:val="single" w:color="000000" w:sz="4" w:space="0"/>
              <w:left w:val="single" w:color="000000" w:sz="4" w:space="0"/>
              <w:bottom w:val="single" w:color="000000" w:sz="4" w:space="0"/>
              <w:right w:val="single" w:color="000000" w:sz="4" w:space="0"/>
            </w:tcBorders>
            <w:vAlign w:val="center"/>
          </w:tcPr>
          <w:p w14:paraId="3F6252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套</w:t>
            </w:r>
          </w:p>
        </w:tc>
        <w:tc>
          <w:tcPr>
            <w:tcW w:w="610" w:type="dxa"/>
            <w:tcBorders>
              <w:top w:val="single" w:color="000000" w:sz="4" w:space="0"/>
              <w:left w:val="single" w:color="000000" w:sz="4" w:space="0"/>
              <w:bottom w:val="single" w:color="000000" w:sz="4" w:space="0"/>
              <w:right w:val="single" w:color="000000" w:sz="4" w:space="0"/>
            </w:tcBorders>
            <w:vAlign w:val="center"/>
          </w:tcPr>
          <w:p w14:paraId="6F83C9C1">
            <w:pPr>
              <w:widowControl/>
              <w:jc w:val="center"/>
              <w:textAlignment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79</w:t>
            </w:r>
          </w:p>
        </w:tc>
      </w:tr>
      <w:tr w14:paraId="21337A36">
        <w:tblPrEx>
          <w:tblCellMar>
            <w:top w:w="15" w:type="dxa"/>
            <w:left w:w="15" w:type="dxa"/>
            <w:bottom w:w="15" w:type="dxa"/>
            <w:right w:w="15" w:type="dxa"/>
          </w:tblCellMar>
        </w:tblPrEx>
        <w:trPr>
          <w:trHeight w:val="565" w:hRule="atLeast"/>
        </w:trPr>
        <w:tc>
          <w:tcPr>
            <w:tcW w:w="303" w:type="dxa"/>
            <w:tcBorders>
              <w:top w:val="single" w:color="000000" w:sz="4" w:space="0"/>
              <w:left w:val="single" w:color="000000" w:sz="4" w:space="0"/>
              <w:bottom w:val="single" w:color="000000" w:sz="4" w:space="0"/>
              <w:right w:val="single" w:color="000000" w:sz="4" w:space="0"/>
            </w:tcBorders>
            <w:vAlign w:val="center"/>
          </w:tcPr>
          <w:p w14:paraId="5B2AF5F1">
            <w:pPr>
              <w:widowControl/>
              <w:jc w:val="center"/>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p>
        </w:tc>
        <w:tc>
          <w:tcPr>
            <w:tcW w:w="1098" w:type="dxa"/>
            <w:tcBorders>
              <w:top w:val="single" w:color="000000" w:sz="4" w:space="0"/>
              <w:left w:val="single" w:color="000000" w:sz="4" w:space="0"/>
              <w:bottom w:val="single" w:color="000000" w:sz="4" w:space="0"/>
              <w:right w:val="single" w:color="000000" w:sz="4" w:space="0"/>
            </w:tcBorders>
            <w:vAlign w:val="center"/>
          </w:tcPr>
          <w:p w14:paraId="179417E9">
            <w:pPr>
              <w:spacing w:line="360" w:lineRule="auto"/>
              <w:jc w:val="center"/>
              <w:textAlignment w:val="baseline"/>
              <w:rPr>
                <w:rFonts w:hint="eastAsia" w:ascii="宋体" w:hAnsi="Times New Roman" w:eastAsia="宋体" w:cs="宋体"/>
                <w:color w:val="auto"/>
                <w:kern w:val="2"/>
                <w:sz w:val="21"/>
                <w:szCs w:val="21"/>
                <w:highlight w:val="none"/>
                <w:lang w:val="en-US" w:eastAsia="zh-CN" w:bidi="ar-SA"/>
              </w:rPr>
            </w:pPr>
            <w:r>
              <w:rPr>
                <w:rFonts w:hint="eastAsia" w:ascii="宋体" w:cs="宋体"/>
                <w:color w:val="auto"/>
                <w:szCs w:val="21"/>
                <w:highlight w:val="none"/>
              </w:rPr>
              <w:t>踏台</w:t>
            </w:r>
          </w:p>
        </w:tc>
        <w:tc>
          <w:tcPr>
            <w:tcW w:w="11907" w:type="dxa"/>
            <w:tcBorders>
              <w:top w:val="single" w:color="000000" w:sz="4" w:space="0"/>
              <w:left w:val="single" w:color="000000" w:sz="4" w:space="0"/>
              <w:bottom w:val="single" w:color="000000" w:sz="4" w:space="0"/>
              <w:right w:val="single" w:color="000000" w:sz="4" w:space="0"/>
            </w:tcBorders>
            <w:vAlign w:val="center"/>
          </w:tcPr>
          <w:p w14:paraId="16A22A74">
            <w:pPr>
              <w:rPr>
                <w:rFonts w:hint="eastAsia" w:ascii="宋体" w:hAnsi="Times New Roman" w:eastAsia="宋体" w:cs="宋体"/>
                <w:color w:val="auto"/>
                <w:kern w:val="2"/>
                <w:sz w:val="21"/>
                <w:szCs w:val="22"/>
                <w:highlight w:val="none"/>
                <w:lang w:val="en-US" w:eastAsia="zh-CN" w:bidi="ar-SA"/>
              </w:rPr>
            </w:pPr>
            <w:r>
              <w:rPr>
                <w:rFonts w:hint="eastAsia" w:ascii="宋体" w:cs="宋体"/>
                <w:color w:val="auto"/>
                <w:kern w:val="0"/>
                <w:szCs w:val="21"/>
                <w:highlight w:val="none"/>
              </w:rPr>
              <w:t>根据现场环境订制，分段拼装。台面、侧面、地笼板：采用E0级18mm厚三氯氰胺防潮双贴面刨花板，侧面和地笼材料和台面材料相同，金属条封边。各项技术指标达到国家标准；甲醛含量达到国家E0级标准，无毒无害。</w:t>
            </w:r>
          </w:p>
        </w:tc>
        <w:tc>
          <w:tcPr>
            <w:tcW w:w="577" w:type="dxa"/>
            <w:tcBorders>
              <w:top w:val="single" w:color="000000" w:sz="4" w:space="0"/>
              <w:left w:val="single" w:color="000000" w:sz="4" w:space="0"/>
              <w:bottom w:val="single" w:color="000000" w:sz="4" w:space="0"/>
              <w:right w:val="single" w:color="000000" w:sz="4" w:space="0"/>
            </w:tcBorders>
            <w:vAlign w:val="center"/>
          </w:tcPr>
          <w:p w14:paraId="47ECD759">
            <w:pPr>
              <w:widowControl/>
              <w:jc w:val="center"/>
              <w:textAlignment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个</w:t>
            </w:r>
          </w:p>
        </w:tc>
        <w:tc>
          <w:tcPr>
            <w:tcW w:w="610" w:type="dxa"/>
            <w:tcBorders>
              <w:top w:val="single" w:color="000000" w:sz="4" w:space="0"/>
              <w:left w:val="single" w:color="000000" w:sz="4" w:space="0"/>
              <w:bottom w:val="single" w:color="000000" w:sz="4" w:space="0"/>
              <w:right w:val="single" w:color="000000" w:sz="4" w:space="0"/>
            </w:tcBorders>
            <w:vAlign w:val="center"/>
          </w:tcPr>
          <w:p w14:paraId="4AD59B08">
            <w:pPr>
              <w:widowControl/>
              <w:jc w:val="center"/>
              <w:textAlignment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79</w:t>
            </w:r>
          </w:p>
        </w:tc>
      </w:tr>
      <w:bookmarkEnd w:id="166"/>
    </w:tbl>
    <w:p w14:paraId="3F986B46">
      <w:pPr>
        <w:rPr>
          <w:rFonts w:hint="eastAsia"/>
        </w:rPr>
      </w:pPr>
    </w:p>
    <w:p w14:paraId="3880F2AB">
      <w:pPr>
        <w:pStyle w:val="8"/>
        <w:rPr>
          <w:rFonts w:hint="eastAsia" w:ascii="宋体" w:hAnsi="宋体" w:eastAsia="宋体" w:cs="宋体"/>
          <w:color w:val="auto"/>
          <w:highlight w:val="none"/>
        </w:rPr>
      </w:pPr>
    </w:p>
    <w:p w14:paraId="21D12762">
      <w:pPr>
        <w:pStyle w:val="8"/>
        <w:rPr>
          <w:rFonts w:hint="eastAsia" w:ascii="宋体" w:hAnsi="宋体" w:eastAsia="宋体" w:cs="宋体"/>
          <w:color w:val="auto"/>
          <w:highlight w:val="none"/>
        </w:rPr>
      </w:pPr>
    </w:p>
    <w:p w14:paraId="2CCD6FCE">
      <w:pPr>
        <w:pStyle w:val="8"/>
        <w:rPr>
          <w:rFonts w:hint="eastAsia" w:ascii="宋体" w:hAnsi="宋体" w:eastAsia="宋体" w:cs="宋体"/>
          <w:color w:val="auto"/>
          <w:highlight w:val="none"/>
        </w:rPr>
      </w:pPr>
    </w:p>
    <w:p w14:paraId="480DFCDE">
      <w:pPr>
        <w:pStyle w:val="8"/>
        <w:rPr>
          <w:rFonts w:hint="eastAsia" w:ascii="宋体" w:hAnsi="宋体" w:eastAsia="宋体" w:cs="宋体"/>
          <w:color w:val="auto"/>
          <w:highlight w:val="none"/>
        </w:rPr>
      </w:pPr>
    </w:p>
    <w:p w14:paraId="01BC5A99">
      <w:pPr>
        <w:pStyle w:val="3"/>
        <w:bidi w:val="0"/>
        <w:jc w:val="center"/>
        <w:rPr>
          <w:rFonts w:hint="eastAsia" w:ascii="宋体" w:hAnsi="宋体" w:eastAsia="宋体" w:cs="宋体"/>
          <w:color w:val="auto"/>
          <w:highlight w:val="none"/>
        </w:rPr>
      </w:pPr>
      <w:bookmarkStart w:id="146" w:name="bookmark5"/>
      <w:bookmarkEnd w:id="146"/>
    </w:p>
    <w:p w14:paraId="375C1D1F">
      <w:pPr>
        <w:rPr>
          <w:rFonts w:hint="eastAsia" w:ascii="宋体" w:hAnsi="宋体" w:eastAsia="宋体" w:cs="宋体"/>
          <w:color w:val="auto"/>
          <w:highlight w:val="none"/>
        </w:rPr>
      </w:pPr>
    </w:p>
    <w:p w14:paraId="797E4BC4">
      <w:pPr>
        <w:rPr>
          <w:rFonts w:hint="eastAsia" w:ascii="宋体" w:hAnsi="宋体" w:eastAsia="宋体" w:cs="宋体"/>
          <w:color w:val="auto"/>
          <w:highlight w:val="none"/>
        </w:rPr>
      </w:pPr>
    </w:p>
    <w:p w14:paraId="47EC5650">
      <w:pPr>
        <w:pStyle w:val="7"/>
        <w:rPr>
          <w:rFonts w:hint="eastAsia" w:ascii="宋体" w:hAnsi="宋体" w:eastAsia="宋体" w:cs="宋体"/>
          <w:color w:val="auto"/>
          <w:highlight w:val="none"/>
        </w:rPr>
      </w:pPr>
    </w:p>
    <w:p w14:paraId="5656187D">
      <w:pPr>
        <w:pStyle w:val="7"/>
        <w:rPr>
          <w:rFonts w:hint="eastAsia" w:ascii="宋体" w:hAnsi="宋体" w:eastAsia="宋体" w:cs="宋体"/>
          <w:color w:val="auto"/>
          <w:highlight w:val="none"/>
        </w:rPr>
        <w:sectPr>
          <w:pgSz w:w="16839" w:h="11906" w:orient="landscape"/>
          <w:pgMar w:top="1365" w:right="1392" w:bottom="1501" w:left="1395" w:header="0" w:footer="737" w:gutter="0"/>
          <w:pgNumType w:fmt="decimal"/>
          <w:cols w:space="720" w:num="1"/>
        </w:sectPr>
      </w:pPr>
    </w:p>
    <w:p w14:paraId="77A0F6A0">
      <w:pPr>
        <w:pStyle w:val="3"/>
        <w:bidi w:val="0"/>
        <w:jc w:val="center"/>
        <w:rPr>
          <w:rFonts w:hint="eastAsia" w:ascii="宋体" w:hAnsi="宋体" w:eastAsia="宋体" w:cs="宋体"/>
          <w:color w:val="auto"/>
          <w:highlight w:val="none"/>
        </w:rPr>
      </w:pPr>
      <w:bookmarkStart w:id="147" w:name="_Toc6306"/>
      <w:r>
        <w:rPr>
          <w:rFonts w:hint="eastAsia" w:ascii="宋体" w:hAnsi="宋体" w:eastAsia="宋体" w:cs="宋体"/>
          <w:color w:val="auto"/>
          <w:highlight w:val="none"/>
        </w:rPr>
        <w:t>第五部分合同条款</w:t>
      </w:r>
      <w:bookmarkEnd w:id="147"/>
    </w:p>
    <w:p w14:paraId="4C74C9D8">
      <w:pPr>
        <w:pStyle w:val="8"/>
        <w:spacing w:line="301" w:lineRule="auto"/>
        <w:rPr>
          <w:rFonts w:hint="eastAsia" w:ascii="宋体" w:hAnsi="宋体" w:eastAsia="宋体" w:cs="宋体"/>
          <w:color w:val="auto"/>
          <w:highlight w:val="none"/>
        </w:rPr>
      </w:pPr>
    </w:p>
    <w:p w14:paraId="6974F37B">
      <w:pPr>
        <w:pStyle w:val="3"/>
        <w:autoSpaceDN w:val="0"/>
        <w:spacing w:after="120" w:line="520" w:lineRule="exact"/>
        <w:jc w:val="center"/>
        <w:rPr>
          <w:rFonts w:hint="eastAsia" w:ascii="宋体" w:hAnsi="宋体" w:eastAsia="宋体" w:cs="宋体"/>
          <w:color w:val="auto"/>
          <w:highlight w:val="none"/>
        </w:rPr>
      </w:pPr>
      <w:bookmarkStart w:id="148" w:name="_Toc24010"/>
      <w:r>
        <w:rPr>
          <w:rFonts w:hint="eastAsia" w:ascii="宋体" w:hAnsi="宋体" w:eastAsia="宋体" w:cs="宋体"/>
          <w:color w:val="auto"/>
          <w:highlight w:val="none"/>
        </w:rPr>
        <w:t>（以实际</w:t>
      </w:r>
      <w:r>
        <w:rPr>
          <w:rFonts w:hint="eastAsia" w:ascii="宋体" w:hAnsi="宋体" w:eastAsia="宋体" w:cs="宋体"/>
          <w:color w:val="auto"/>
          <w:highlight w:val="none"/>
          <w:lang w:val="en-US" w:eastAsia="zh-CN"/>
        </w:rPr>
        <w:t>签订</w:t>
      </w:r>
      <w:r>
        <w:rPr>
          <w:rFonts w:hint="eastAsia" w:ascii="宋体" w:hAnsi="宋体" w:eastAsia="宋体" w:cs="宋体"/>
          <w:color w:val="auto"/>
          <w:highlight w:val="none"/>
        </w:rPr>
        <w:t>为准）</w:t>
      </w:r>
      <w:bookmarkEnd w:id="148"/>
    </w:p>
    <w:p w14:paraId="275B1D0D">
      <w:pPr>
        <w:autoSpaceDN w:val="0"/>
        <w:jc w:val="center"/>
        <w:rPr>
          <w:rFonts w:hint="eastAsia" w:ascii="宋体" w:hAnsi="宋体" w:eastAsia="宋体" w:cs="宋体"/>
          <w:b/>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44"/>
          <w:szCs w:val="44"/>
          <w:highlight w:val="none"/>
        </w:rPr>
        <w:t>政府采购合同书格式</w:t>
      </w:r>
    </w:p>
    <w:p w14:paraId="728159DD">
      <w:pPr>
        <w:autoSpaceDE w:val="0"/>
        <w:autoSpaceDN w:val="0"/>
        <w:adjustRightInd w:val="0"/>
        <w:rPr>
          <w:rFonts w:hint="eastAsia" w:ascii="宋体" w:hAnsi="宋体" w:eastAsia="宋体" w:cs="宋体"/>
          <w:color w:val="auto"/>
          <w:sz w:val="28"/>
          <w:szCs w:val="28"/>
          <w:highlight w:val="none"/>
        </w:rPr>
      </w:pPr>
    </w:p>
    <w:p w14:paraId="1D67BB0C">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合同编号：</w:t>
      </w:r>
    </w:p>
    <w:p w14:paraId="7F1A8D9E">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w:t>
      </w:r>
    </w:p>
    <w:p w14:paraId="0BACA68B">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签订日期：      年  月  日 </w:t>
      </w:r>
    </w:p>
    <w:p w14:paraId="2BB6C805">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采购任务通知书编号：</w:t>
      </w:r>
    </w:p>
    <w:p w14:paraId="76A052F1">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（需方）       </w:t>
      </w:r>
      <w:r>
        <w:rPr>
          <w:rFonts w:hint="eastAsia" w:ascii="宋体" w:hAnsi="宋体" w:eastAsia="宋体" w:cs="宋体"/>
          <w:color w:val="auto"/>
          <w:sz w:val="24"/>
          <w:highlight w:val="none"/>
        </w:rPr>
        <w:t>需求的（货物名称）经招标公司以编号为的招标文件在国内公开招标，评标委员会评定</w:t>
      </w:r>
      <w:r>
        <w:rPr>
          <w:rFonts w:hint="eastAsia" w:ascii="宋体" w:hAnsi="宋体" w:eastAsia="宋体" w:cs="宋体"/>
          <w:color w:val="auto"/>
          <w:sz w:val="24"/>
          <w:highlight w:val="none"/>
          <w:u w:val="single"/>
        </w:rPr>
        <w:t xml:space="preserve">    （供方）  </w:t>
      </w:r>
      <w:r>
        <w:rPr>
          <w:rFonts w:hint="eastAsia" w:ascii="宋体" w:hAnsi="宋体" w:eastAsia="宋体" w:cs="宋体"/>
          <w:color w:val="auto"/>
          <w:sz w:val="24"/>
          <w:highlight w:val="none"/>
        </w:rPr>
        <w:t>为中标</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。供需双方按照有关法律法规，遵循平等、自愿、公平和诚实信用原则，同意按照下面的条款和条件订立本合同，共同信守。</w:t>
      </w:r>
    </w:p>
    <w:p w14:paraId="0FFD7D03">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1.合同标的</w:t>
      </w:r>
      <w:r>
        <w:rPr>
          <w:rFonts w:hint="eastAsia" w:ascii="宋体" w:hAnsi="宋体" w:eastAsia="宋体" w:cs="宋体"/>
          <w:color w:val="auto"/>
          <w:sz w:val="24"/>
          <w:highlight w:val="none"/>
        </w:rPr>
        <w:t xml:space="preserve">： </w:t>
      </w:r>
    </w:p>
    <w:tbl>
      <w:tblPr>
        <w:tblStyle w:val="22"/>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 w:type="dxa"/>
          <w:bottom w:w="0" w:type="dxa"/>
          <w:right w:w="10" w:type="dxa"/>
        </w:tblCellMar>
      </w:tblPr>
      <w:tblGrid>
        <w:gridCol w:w="1728"/>
        <w:gridCol w:w="2864"/>
        <w:gridCol w:w="1128"/>
        <w:gridCol w:w="1114"/>
        <w:gridCol w:w="1721"/>
      </w:tblGrid>
      <w:tr w14:paraId="3CEB96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 w:type="dxa"/>
            <w:bottom w:w="0" w:type="dxa"/>
            <w:right w:w="10" w:type="dxa"/>
          </w:tblCellMar>
        </w:tblPrEx>
        <w:trPr>
          <w:trHeight w:val="510" w:hRule="atLeast"/>
          <w:jc w:val="center"/>
        </w:trPr>
        <w:tc>
          <w:tcPr>
            <w:tcW w:w="1728" w:type="dxa"/>
            <w:tcBorders>
              <w:top w:val="single" w:color="auto" w:sz="6" w:space="0"/>
              <w:left w:val="single" w:color="auto" w:sz="6" w:space="0"/>
              <w:bottom w:val="single" w:color="auto" w:sz="6" w:space="0"/>
              <w:right w:val="single" w:color="auto" w:sz="6" w:space="0"/>
            </w:tcBorders>
            <w:shd w:val="clear" w:color="auto" w:fill="auto"/>
            <w:vAlign w:val="center"/>
          </w:tcPr>
          <w:p w14:paraId="07F5CA5B">
            <w:pPr>
              <w:widowControl/>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tc>
        <w:tc>
          <w:tcPr>
            <w:tcW w:w="2864" w:type="dxa"/>
            <w:tcBorders>
              <w:top w:val="single" w:color="auto" w:sz="6" w:space="0"/>
              <w:left w:val="nil"/>
              <w:bottom w:val="single" w:color="auto" w:sz="6" w:space="0"/>
              <w:right w:val="single" w:color="auto" w:sz="6" w:space="0"/>
            </w:tcBorders>
            <w:shd w:val="clear" w:color="auto" w:fill="auto"/>
            <w:vAlign w:val="center"/>
          </w:tcPr>
          <w:p w14:paraId="00ED3086">
            <w:pPr>
              <w:widowControl/>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详细配置及主要技术参数</w:t>
            </w:r>
          </w:p>
        </w:tc>
        <w:tc>
          <w:tcPr>
            <w:tcW w:w="1128" w:type="dxa"/>
            <w:tcBorders>
              <w:top w:val="single" w:color="auto" w:sz="6" w:space="0"/>
              <w:left w:val="nil"/>
              <w:bottom w:val="single" w:color="auto" w:sz="6" w:space="0"/>
              <w:right w:val="single" w:color="auto" w:sz="6" w:space="0"/>
            </w:tcBorders>
            <w:shd w:val="clear" w:color="auto" w:fill="auto"/>
            <w:vAlign w:val="center"/>
          </w:tcPr>
          <w:p w14:paraId="4A77E5DE">
            <w:pPr>
              <w:widowControl/>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114" w:type="dxa"/>
            <w:tcBorders>
              <w:top w:val="single" w:color="auto" w:sz="6" w:space="0"/>
              <w:left w:val="nil"/>
              <w:bottom w:val="single" w:color="auto" w:sz="6" w:space="0"/>
              <w:right w:val="single" w:color="auto" w:sz="6" w:space="0"/>
            </w:tcBorders>
            <w:shd w:val="clear" w:color="auto" w:fill="auto"/>
            <w:vAlign w:val="center"/>
          </w:tcPr>
          <w:p w14:paraId="2B586214">
            <w:pPr>
              <w:widowControl/>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单价(元)</w:t>
            </w:r>
          </w:p>
        </w:tc>
        <w:tc>
          <w:tcPr>
            <w:tcW w:w="1721" w:type="dxa"/>
            <w:tcBorders>
              <w:top w:val="single" w:color="auto" w:sz="6" w:space="0"/>
              <w:left w:val="nil"/>
              <w:bottom w:val="single" w:color="auto" w:sz="6" w:space="0"/>
              <w:right w:val="single" w:color="auto" w:sz="6" w:space="0"/>
            </w:tcBorders>
            <w:shd w:val="clear" w:color="auto" w:fill="auto"/>
            <w:vAlign w:val="center"/>
          </w:tcPr>
          <w:p w14:paraId="3ED3EECD">
            <w:pPr>
              <w:widowControl/>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小计金额(元)</w:t>
            </w:r>
          </w:p>
        </w:tc>
      </w:tr>
      <w:tr w14:paraId="25E7AE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 w:type="dxa"/>
            <w:bottom w:w="0" w:type="dxa"/>
            <w:right w:w="10" w:type="dxa"/>
          </w:tblCellMar>
        </w:tblPrEx>
        <w:trPr>
          <w:trHeight w:val="510" w:hRule="atLeast"/>
          <w:jc w:val="center"/>
        </w:trPr>
        <w:tc>
          <w:tcPr>
            <w:tcW w:w="1728" w:type="dxa"/>
            <w:tcBorders>
              <w:top w:val="single" w:color="auto" w:sz="6" w:space="0"/>
              <w:left w:val="single" w:color="auto" w:sz="6" w:space="0"/>
              <w:bottom w:val="single" w:color="auto" w:sz="6" w:space="0"/>
              <w:right w:val="single" w:color="auto" w:sz="6" w:space="0"/>
            </w:tcBorders>
            <w:shd w:val="clear" w:color="auto" w:fill="auto"/>
            <w:vAlign w:val="center"/>
          </w:tcPr>
          <w:p w14:paraId="6774304A">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2864" w:type="dxa"/>
            <w:tcBorders>
              <w:top w:val="single" w:color="auto" w:sz="6" w:space="0"/>
              <w:left w:val="nil"/>
              <w:bottom w:val="single" w:color="auto" w:sz="6" w:space="0"/>
              <w:right w:val="single" w:color="auto" w:sz="6" w:space="0"/>
            </w:tcBorders>
            <w:shd w:val="clear" w:color="auto" w:fill="auto"/>
            <w:vAlign w:val="center"/>
          </w:tcPr>
          <w:p w14:paraId="3D9F3F3F">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128" w:type="dxa"/>
            <w:tcBorders>
              <w:top w:val="single" w:color="auto" w:sz="6" w:space="0"/>
              <w:left w:val="nil"/>
              <w:bottom w:val="single" w:color="auto" w:sz="6" w:space="0"/>
              <w:right w:val="single" w:color="auto" w:sz="6" w:space="0"/>
            </w:tcBorders>
            <w:shd w:val="clear" w:color="auto" w:fill="auto"/>
            <w:vAlign w:val="center"/>
          </w:tcPr>
          <w:p w14:paraId="7ABAC002">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114" w:type="dxa"/>
            <w:tcBorders>
              <w:top w:val="single" w:color="auto" w:sz="6" w:space="0"/>
              <w:left w:val="nil"/>
              <w:bottom w:val="single" w:color="auto" w:sz="6" w:space="0"/>
              <w:right w:val="single" w:color="auto" w:sz="6" w:space="0"/>
            </w:tcBorders>
            <w:shd w:val="clear" w:color="auto" w:fill="auto"/>
            <w:vAlign w:val="center"/>
          </w:tcPr>
          <w:p w14:paraId="20269B1A">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721" w:type="dxa"/>
            <w:tcBorders>
              <w:top w:val="single" w:color="auto" w:sz="6" w:space="0"/>
              <w:left w:val="nil"/>
              <w:bottom w:val="single" w:color="auto" w:sz="6" w:space="0"/>
              <w:right w:val="single" w:color="auto" w:sz="6" w:space="0"/>
            </w:tcBorders>
            <w:shd w:val="clear" w:color="auto" w:fill="auto"/>
            <w:vAlign w:val="center"/>
          </w:tcPr>
          <w:p w14:paraId="6899FC16">
            <w:pPr>
              <w:widowControl/>
              <w:autoSpaceDE w:val="0"/>
              <w:autoSpaceDN w:val="0"/>
              <w:adjustRightInd w:val="0"/>
              <w:spacing w:line="360" w:lineRule="auto"/>
              <w:jc w:val="center"/>
              <w:rPr>
                <w:rFonts w:hint="eastAsia" w:ascii="宋体" w:hAnsi="宋体" w:eastAsia="宋体" w:cs="宋体"/>
                <w:color w:val="auto"/>
                <w:sz w:val="24"/>
                <w:highlight w:val="none"/>
              </w:rPr>
            </w:pPr>
          </w:p>
        </w:tc>
      </w:tr>
      <w:tr w14:paraId="0BE516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 w:type="dxa"/>
            <w:bottom w:w="0" w:type="dxa"/>
            <w:right w:w="10" w:type="dxa"/>
          </w:tblCellMar>
        </w:tblPrEx>
        <w:trPr>
          <w:trHeight w:val="510" w:hRule="atLeast"/>
          <w:jc w:val="center"/>
        </w:trPr>
        <w:tc>
          <w:tcPr>
            <w:tcW w:w="1728" w:type="dxa"/>
            <w:tcBorders>
              <w:top w:val="single" w:color="auto" w:sz="6" w:space="0"/>
              <w:left w:val="single" w:color="auto" w:sz="6" w:space="0"/>
              <w:bottom w:val="single" w:color="auto" w:sz="6" w:space="0"/>
              <w:right w:val="single" w:color="auto" w:sz="6" w:space="0"/>
            </w:tcBorders>
            <w:shd w:val="clear" w:color="auto" w:fill="auto"/>
            <w:vAlign w:val="center"/>
          </w:tcPr>
          <w:p w14:paraId="6E27CEBC">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2864" w:type="dxa"/>
            <w:tcBorders>
              <w:top w:val="single" w:color="auto" w:sz="6" w:space="0"/>
              <w:left w:val="nil"/>
              <w:bottom w:val="single" w:color="auto" w:sz="6" w:space="0"/>
              <w:right w:val="single" w:color="auto" w:sz="6" w:space="0"/>
            </w:tcBorders>
            <w:shd w:val="clear" w:color="auto" w:fill="auto"/>
            <w:vAlign w:val="center"/>
          </w:tcPr>
          <w:p w14:paraId="78EA950E">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128" w:type="dxa"/>
            <w:tcBorders>
              <w:top w:val="single" w:color="auto" w:sz="6" w:space="0"/>
              <w:left w:val="nil"/>
              <w:bottom w:val="single" w:color="auto" w:sz="6" w:space="0"/>
              <w:right w:val="single" w:color="auto" w:sz="6" w:space="0"/>
            </w:tcBorders>
            <w:shd w:val="clear" w:color="auto" w:fill="auto"/>
            <w:vAlign w:val="center"/>
          </w:tcPr>
          <w:p w14:paraId="5FF396D8">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114" w:type="dxa"/>
            <w:tcBorders>
              <w:top w:val="single" w:color="auto" w:sz="6" w:space="0"/>
              <w:left w:val="nil"/>
              <w:bottom w:val="single" w:color="auto" w:sz="6" w:space="0"/>
              <w:right w:val="single" w:color="auto" w:sz="6" w:space="0"/>
            </w:tcBorders>
            <w:shd w:val="clear" w:color="auto" w:fill="auto"/>
            <w:vAlign w:val="center"/>
          </w:tcPr>
          <w:p w14:paraId="5EFE0D24">
            <w:pPr>
              <w:widowControl/>
              <w:autoSpaceDE w:val="0"/>
              <w:autoSpaceDN w:val="0"/>
              <w:adjustRightInd w:val="0"/>
              <w:spacing w:line="360" w:lineRule="auto"/>
              <w:jc w:val="center"/>
              <w:rPr>
                <w:rFonts w:hint="eastAsia" w:ascii="宋体" w:hAnsi="宋体" w:eastAsia="宋体" w:cs="宋体"/>
                <w:color w:val="auto"/>
                <w:sz w:val="24"/>
                <w:highlight w:val="none"/>
              </w:rPr>
            </w:pPr>
          </w:p>
        </w:tc>
        <w:tc>
          <w:tcPr>
            <w:tcW w:w="1721" w:type="dxa"/>
            <w:tcBorders>
              <w:top w:val="single" w:color="auto" w:sz="6" w:space="0"/>
              <w:left w:val="nil"/>
              <w:bottom w:val="single" w:color="auto" w:sz="6" w:space="0"/>
              <w:right w:val="single" w:color="auto" w:sz="6" w:space="0"/>
            </w:tcBorders>
            <w:shd w:val="clear" w:color="auto" w:fill="auto"/>
            <w:vAlign w:val="center"/>
          </w:tcPr>
          <w:p w14:paraId="79907DBF">
            <w:pPr>
              <w:widowControl/>
              <w:autoSpaceDE w:val="0"/>
              <w:autoSpaceDN w:val="0"/>
              <w:adjustRightInd w:val="0"/>
              <w:spacing w:line="360" w:lineRule="auto"/>
              <w:jc w:val="center"/>
              <w:rPr>
                <w:rFonts w:hint="eastAsia" w:ascii="宋体" w:hAnsi="宋体" w:eastAsia="宋体" w:cs="宋体"/>
                <w:color w:val="auto"/>
                <w:sz w:val="24"/>
                <w:highlight w:val="none"/>
              </w:rPr>
            </w:pPr>
          </w:p>
        </w:tc>
      </w:tr>
    </w:tbl>
    <w:p w14:paraId="0895FC24">
      <w:pPr>
        <w:autoSpaceDE w:val="0"/>
        <w:autoSpaceDN w:val="0"/>
        <w:adjustRightIn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 合同价格：</w:t>
      </w:r>
      <w:r>
        <w:rPr>
          <w:rFonts w:hint="eastAsia" w:ascii="宋体" w:hAnsi="宋体" w:eastAsia="宋体" w:cs="宋体"/>
          <w:color w:val="auto"/>
          <w:sz w:val="24"/>
          <w:highlight w:val="none"/>
        </w:rPr>
        <w:t>人民币（大写）元，（小写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01D53986">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 交货时间、地点、方式</w:t>
      </w:r>
    </w:p>
    <w:p w14:paraId="7AB2DA23">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3.1交货时间： </w:t>
      </w:r>
    </w:p>
    <w:p w14:paraId="74EB9DC3">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3.2交货地点： </w:t>
      </w:r>
    </w:p>
    <w:p w14:paraId="6F659ED3">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3.3交货方式：供方负责将货物安全完好运抵交货地点，保证验收合格。</w:t>
      </w:r>
    </w:p>
    <w:p w14:paraId="4CBA4FBA">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4. 付款方式 </w:t>
      </w:r>
    </w:p>
    <w:p w14:paraId="45725177">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4.1供方交货时应提交下列文件：销售发票，国家有关质检机构出具的检验报告或证书（如果合同约定有的话），进口产品的报关文件（如果合同约定有的话），制造厂商出具的质量检验证书、产品合格证等。</w:t>
      </w:r>
    </w:p>
    <w:p w14:paraId="424FD5AA">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4.2 本合同总价款中由需方自行支付元。本合同总价款中由需方自行支付元。需方承诺工程结束且需方组织验收合格并扣除质保金后一次性付清。其中产生的费用需方概不承担，如果需方未按上述原则支付，由需方承担违约责任，供方承担全部收款责任，与招标机构无关。</w:t>
      </w:r>
    </w:p>
    <w:p w14:paraId="11A2EE01">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5．履约保证金</w:t>
      </w:r>
    </w:p>
    <w:p w14:paraId="4A8E6263">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 （如采购方要求）在签署本合同之前，供方应向需方提交合同总价款%的履约保证金（人民币，取整数位到百元）。履约保证金可以采用银行转帐或者现金的方式提交。</w:t>
      </w:r>
    </w:p>
    <w:p w14:paraId="259722A0">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5.2 履约保证金的有效期到供方提交的货物经需方验收合格并交付给需方之日止，到期后自动转为质量保证金。</w:t>
      </w:r>
    </w:p>
    <w:p w14:paraId="37225B2A">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6.质量保证金</w:t>
      </w:r>
    </w:p>
    <w:p w14:paraId="63B29BE4">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6.1质量保证金为合同总价款的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459124C9">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6.2</w:t>
      </w:r>
      <w:r>
        <w:rPr>
          <w:rFonts w:hint="eastAsia" w:ascii="宋体" w:hAnsi="宋体" w:eastAsia="宋体" w:cs="宋体"/>
          <w:b/>
          <w:bCs/>
          <w:color w:val="auto"/>
          <w:sz w:val="24"/>
          <w:highlight w:val="none"/>
        </w:rPr>
        <w:t>供方提交的履约保证金到期后转作质量保证金。</w:t>
      </w:r>
    </w:p>
    <w:p w14:paraId="3C60E64A">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6.3质量保证金的有效期到合同规定的质量保证期期满之日止，扣除供方承担质量保证责任的费用后，剩余部分在质量保证期期满后20个工作日内返还，不计利息。</w:t>
      </w:r>
    </w:p>
    <w:p w14:paraId="108F8903">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7.合同补充条款：</w:t>
      </w:r>
    </w:p>
    <w:p w14:paraId="3491927D">
      <w:pPr>
        <w:autoSpaceDE w:val="0"/>
        <w:autoSpaceDN w:val="0"/>
        <w:adjustRightInd w:val="0"/>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8.争议解决方式：</w:t>
      </w:r>
      <w:r>
        <w:rPr>
          <w:rFonts w:hint="eastAsia" w:ascii="宋体" w:hAnsi="宋体" w:eastAsia="宋体" w:cs="宋体"/>
          <w:color w:val="auto"/>
          <w:sz w:val="24"/>
          <w:highlight w:val="none"/>
        </w:rPr>
        <w:t>供需双方达成仲裁协议，向仲裁委员会申请仲裁（向合同签定地人民法院提起诉讼）。</w:t>
      </w:r>
    </w:p>
    <w:p w14:paraId="49FE3EC2">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9．合同构成：</w:t>
      </w:r>
      <w:r>
        <w:rPr>
          <w:rFonts w:hint="eastAsia" w:ascii="宋体" w:hAnsi="宋体" w:eastAsia="宋体" w:cs="宋体"/>
          <w:color w:val="auto"/>
          <w:sz w:val="24"/>
          <w:highlight w:val="none"/>
        </w:rPr>
        <w:t>下列文件构成本合同不可分割的组成部分，与本合同具有同等法律效力：</w:t>
      </w:r>
    </w:p>
    <w:p w14:paraId="4C7E5B42">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9.1本合同书；</w:t>
      </w:r>
    </w:p>
    <w:p w14:paraId="1F9692F6">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9.2中标通知书；</w:t>
      </w:r>
    </w:p>
    <w:p w14:paraId="5651BD3D">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9.3招标文件及澄清、修改、补遗文件；</w:t>
      </w:r>
    </w:p>
    <w:p w14:paraId="0893F53E">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9.4供方的投标文件及书面澄清、说明、补正文件；</w:t>
      </w:r>
    </w:p>
    <w:p w14:paraId="24168220">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9.5产品样本、样品（样机）、说明书、图纸等有关资料；</w:t>
      </w:r>
    </w:p>
    <w:p w14:paraId="30CDF79F">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9.6政府采购验收报告单；</w:t>
      </w:r>
    </w:p>
    <w:p w14:paraId="7BB41975">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9.7合同的其它附件。</w:t>
      </w:r>
    </w:p>
    <w:p w14:paraId="0262BCD2">
      <w:pPr>
        <w:autoSpaceDE w:val="0"/>
        <w:autoSpaceDN w:val="0"/>
        <w:adjustRightIn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上述组成合同的文件如有不一致之处，以日期在后的为准。</w:t>
      </w:r>
    </w:p>
    <w:p w14:paraId="36085C6D">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10.合同份数：</w:t>
      </w:r>
      <w:r>
        <w:rPr>
          <w:rFonts w:hint="eastAsia" w:ascii="宋体" w:hAnsi="宋体" w:eastAsia="宋体" w:cs="宋体"/>
          <w:color w:val="auto"/>
          <w:sz w:val="24"/>
          <w:highlight w:val="none"/>
        </w:rPr>
        <w:t xml:space="preserve">本合同一式份，供需双方各执一份，另一份作为需方向提请付款的凭证。 </w:t>
      </w:r>
    </w:p>
    <w:p w14:paraId="41ACB733">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11.合同生效：</w:t>
      </w:r>
      <w:r>
        <w:rPr>
          <w:rFonts w:hint="eastAsia" w:ascii="宋体" w:hAnsi="宋体" w:eastAsia="宋体" w:cs="宋体"/>
          <w:color w:val="auto"/>
          <w:sz w:val="24"/>
          <w:highlight w:val="none"/>
        </w:rPr>
        <w:t>本合同在供需双方法定代表人或其授权代理人签字、加盖双方公章或者合同专用章，并且需方收到供方提交的履约保证金后生效。</w:t>
      </w:r>
    </w:p>
    <w:p w14:paraId="2B187A1E">
      <w:pPr>
        <w:autoSpaceDE w:val="0"/>
        <w:autoSpaceDN w:val="0"/>
        <w:adjustRightInd w:val="0"/>
        <w:spacing w:line="360" w:lineRule="auto"/>
        <w:ind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12.合同修改：</w:t>
      </w:r>
      <w:r>
        <w:rPr>
          <w:rFonts w:hint="eastAsia" w:ascii="宋体" w:hAnsi="宋体" w:eastAsia="宋体" w:cs="宋体"/>
          <w:color w:val="auto"/>
          <w:sz w:val="24"/>
          <w:highlight w:val="none"/>
        </w:rPr>
        <w:t>除供需双方签署书面修改、补充协议外，本合同条件不得有任何变化或修改。</w:t>
      </w:r>
    </w:p>
    <w:p w14:paraId="529ADFF2">
      <w:pPr>
        <w:autoSpaceDE w:val="0"/>
        <w:autoSpaceDN w:val="0"/>
        <w:adjustRightInd w:val="0"/>
        <w:spacing w:line="271" w:lineRule="auto"/>
        <w:rPr>
          <w:rFonts w:hint="eastAsia" w:ascii="宋体" w:hAnsi="宋体" w:eastAsia="宋体" w:cs="宋体"/>
          <w:color w:val="auto"/>
          <w:sz w:val="24"/>
          <w:highlight w:val="none"/>
        </w:rPr>
      </w:pPr>
    </w:p>
    <w:p w14:paraId="780DF15C">
      <w:pPr>
        <w:autoSpaceDE w:val="0"/>
        <w:autoSpaceDN w:val="0"/>
        <w:adjustRightInd w:val="0"/>
        <w:spacing w:line="271" w:lineRule="auto"/>
        <w:rPr>
          <w:rFonts w:hint="eastAsia" w:ascii="宋体" w:hAnsi="宋体" w:eastAsia="宋体" w:cs="宋体"/>
          <w:color w:val="auto"/>
          <w:sz w:val="24"/>
          <w:highlight w:val="none"/>
        </w:rPr>
      </w:pPr>
    </w:p>
    <w:p w14:paraId="383B8349">
      <w:pPr>
        <w:autoSpaceDE w:val="0"/>
        <w:autoSpaceDN w:val="0"/>
        <w:adjustRightInd w:val="0"/>
        <w:spacing w:line="271" w:lineRule="auto"/>
        <w:rPr>
          <w:rFonts w:hint="eastAsia" w:ascii="宋体" w:hAnsi="宋体" w:eastAsia="宋体" w:cs="宋体"/>
          <w:color w:val="auto"/>
          <w:sz w:val="24"/>
          <w:highlight w:val="none"/>
        </w:rPr>
      </w:pPr>
    </w:p>
    <w:p w14:paraId="587F7381">
      <w:pPr>
        <w:autoSpaceDE w:val="0"/>
        <w:autoSpaceDN w:val="0"/>
        <w:adjustRightInd w:val="0"/>
        <w:spacing w:line="271" w:lineRule="auto"/>
        <w:rPr>
          <w:rFonts w:hint="eastAsia" w:ascii="宋体" w:hAnsi="宋体" w:eastAsia="宋体" w:cs="宋体"/>
          <w:color w:val="auto"/>
          <w:sz w:val="24"/>
          <w:highlight w:val="none"/>
        </w:rPr>
      </w:pPr>
    </w:p>
    <w:p w14:paraId="1CFF0040">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需方：                             供方：</w:t>
      </w:r>
    </w:p>
    <w:p w14:paraId="3687A226">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（加盖公章或合同专用章）          （加盖公章或合同专用章）</w:t>
      </w:r>
    </w:p>
    <w:p w14:paraId="03A00F60">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地址：</w:t>
      </w:r>
    </w:p>
    <w:p w14:paraId="2A0EB442">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                         法定代表人               </w:t>
      </w:r>
    </w:p>
    <w:p w14:paraId="5C6AA16B">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或授权代理人签字：                 或授权代理人签字：</w:t>
      </w:r>
    </w:p>
    <w:p w14:paraId="400EE7C9">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签字日期：                         签字日期：</w:t>
      </w:r>
    </w:p>
    <w:p w14:paraId="2616F20B">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14:paraId="07CA0013">
      <w:pPr>
        <w:autoSpaceDE w:val="0"/>
        <w:autoSpaceDN w:val="0"/>
        <w:adjustRightInd w:val="0"/>
        <w:spacing w:line="271"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电话：</w:t>
      </w:r>
    </w:p>
    <w:p w14:paraId="296B936A">
      <w:pPr>
        <w:autoSpaceDE w:val="0"/>
        <w:autoSpaceDN w:val="0"/>
        <w:adjustRightInd w:val="0"/>
        <w:spacing w:line="271" w:lineRule="auto"/>
        <w:ind w:firstLine="4200" w:firstLineChars="175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6D184884">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w:t>
      </w:r>
    </w:p>
    <w:p w14:paraId="0FA3AE9D">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开户银行：</w:t>
      </w:r>
    </w:p>
    <w:p w14:paraId="3287B198">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帐户名称：</w:t>
      </w:r>
    </w:p>
    <w:p w14:paraId="5AED32E5">
      <w:pPr>
        <w:autoSpaceDE w:val="0"/>
        <w:autoSpaceDN w:val="0"/>
        <w:adjustRightInd w:val="0"/>
        <w:spacing w:line="271"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帐号：</w:t>
      </w:r>
    </w:p>
    <w:p w14:paraId="5C6B2C0D">
      <w:pPr>
        <w:autoSpaceDE w:val="0"/>
        <w:autoSpaceDN w:val="0"/>
        <w:adjustRightInd w:val="0"/>
        <w:spacing w:line="271" w:lineRule="auto"/>
        <w:rPr>
          <w:rFonts w:hint="eastAsia" w:ascii="宋体" w:hAnsi="宋体" w:eastAsia="宋体" w:cs="宋体"/>
          <w:color w:val="auto"/>
          <w:sz w:val="24"/>
          <w:highlight w:val="none"/>
        </w:rPr>
      </w:pPr>
    </w:p>
    <w:p w14:paraId="23DBD95E">
      <w:pPr>
        <w:autoSpaceDE w:val="0"/>
        <w:autoSpaceDN w:val="0"/>
        <w:adjustRightInd w:val="0"/>
        <w:spacing w:line="271" w:lineRule="auto"/>
        <w:jc w:val="left"/>
        <w:rPr>
          <w:rFonts w:hint="eastAsia"/>
          <w:color w:val="auto"/>
          <w:highlight w:val="none"/>
        </w:rPr>
      </w:pPr>
      <w:r>
        <w:rPr>
          <w:rFonts w:hint="eastAsia" w:ascii="宋体" w:hAnsi="宋体" w:eastAsia="宋体" w:cs="宋体"/>
          <w:b/>
          <w:bCs/>
          <w:color w:val="auto"/>
          <w:sz w:val="28"/>
          <w:szCs w:val="28"/>
          <w:highlight w:val="none"/>
        </w:rPr>
        <w:t>注：本合同条款仅供参考，最终以甲方提供的样本并经甲乙双方协商一致的合同为准。</w:t>
      </w:r>
    </w:p>
    <w:p w14:paraId="7A83B9AE">
      <w:pPr>
        <w:autoSpaceDE w:val="0"/>
        <w:autoSpaceDN w:val="0"/>
        <w:adjustRightInd w:val="0"/>
        <w:spacing w:line="271" w:lineRule="auto"/>
        <w:jc w:val="left"/>
        <w:rPr>
          <w:rFonts w:hint="eastAsia" w:ascii="宋体" w:hAnsi="宋体" w:eastAsia="宋体" w:cs="宋体"/>
          <w:b/>
          <w:bCs/>
          <w:color w:val="auto"/>
          <w:sz w:val="28"/>
          <w:szCs w:val="28"/>
          <w:highlight w:val="none"/>
        </w:rPr>
      </w:pPr>
    </w:p>
    <w:p w14:paraId="614619C1">
      <w:pPr>
        <w:spacing w:before="221" w:line="229" w:lineRule="auto"/>
        <w:ind w:left="6"/>
        <w:rPr>
          <w:rFonts w:hint="eastAsia" w:ascii="宋体" w:hAnsi="宋体" w:eastAsia="宋体" w:cs="宋体"/>
          <w:color w:val="auto"/>
          <w:sz w:val="20"/>
          <w:szCs w:val="20"/>
          <w:highlight w:val="none"/>
          <w:lang w:eastAsia="zh-CN"/>
        </w:rPr>
      </w:pPr>
    </w:p>
    <w:p w14:paraId="0FF79DD9">
      <w:pPr>
        <w:spacing w:line="229" w:lineRule="auto"/>
        <w:rPr>
          <w:rFonts w:hint="eastAsia" w:ascii="宋体" w:hAnsi="宋体" w:eastAsia="宋体" w:cs="宋体"/>
          <w:color w:val="auto"/>
          <w:sz w:val="20"/>
          <w:szCs w:val="20"/>
          <w:highlight w:val="none"/>
          <w:lang w:eastAsia="zh-CN"/>
        </w:rPr>
        <w:sectPr>
          <w:pgSz w:w="11906" w:h="16839"/>
          <w:pgMar w:top="1392" w:right="1501" w:bottom="1395" w:left="1365" w:header="0" w:footer="737" w:gutter="0"/>
          <w:pgNumType w:fmt="decimal"/>
          <w:cols w:space="720" w:num="1"/>
        </w:sectPr>
      </w:pPr>
    </w:p>
    <w:p w14:paraId="754CBAE1">
      <w:pPr>
        <w:pStyle w:val="8"/>
        <w:spacing w:line="293" w:lineRule="auto"/>
        <w:rPr>
          <w:rFonts w:hint="eastAsia" w:ascii="宋体" w:hAnsi="宋体" w:eastAsia="宋体" w:cs="宋体"/>
          <w:color w:val="auto"/>
          <w:highlight w:val="none"/>
          <w:lang w:eastAsia="zh-CN"/>
        </w:rPr>
      </w:pPr>
    </w:p>
    <w:p w14:paraId="009CB0A7">
      <w:pPr>
        <w:pStyle w:val="3"/>
        <w:bidi w:val="0"/>
        <w:rPr>
          <w:rFonts w:hint="eastAsia" w:ascii="宋体" w:hAnsi="宋体" w:eastAsia="宋体" w:cs="宋体"/>
          <w:color w:val="auto"/>
          <w:highlight w:val="none"/>
          <w:lang w:eastAsia="zh-CN"/>
        </w:rPr>
      </w:pPr>
      <w:bookmarkStart w:id="149" w:name="_Toc10677"/>
      <w:r>
        <w:rPr>
          <w:rFonts w:hint="eastAsia" w:ascii="宋体" w:hAnsi="宋体" w:eastAsia="宋体" w:cs="宋体"/>
          <w:color w:val="auto"/>
          <w:highlight w:val="none"/>
          <w:lang w:eastAsia="zh-CN"/>
        </w:rPr>
        <w:t>第六部分投标文件格式</w:t>
      </w:r>
      <w:bookmarkEnd w:id="149"/>
    </w:p>
    <w:p w14:paraId="67F93191">
      <w:pPr>
        <w:pStyle w:val="8"/>
        <w:spacing w:line="253" w:lineRule="auto"/>
        <w:rPr>
          <w:rFonts w:hint="eastAsia" w:ascii="宋体" w:hAnsi="宋体" w:eastAsia="宋体" w:cs="宋体"/>
          <w:color w:val="auto"/>
          <w:highlight w:val="none"/>
          <w:lang w:eastAsia="zh-CN"/>
        </w:rPr>
      </w:pPr>
    </w:p>
    <w:p w14:paraId="67448818">
      <w:pPr>
        <w:pStyle w:val="8"/>
        <w:spacing w:line="253" w:lineRule="auto"/>
        <w:rPr>
          <w:rFonts w:hint="eastAsia" w:ascii="宋体" w:hAnsi="宋体" w:eastAsia="宋体" w:cs="宋体"/>
          <w:color w:val="auto"/>
          <w:highlight w:val="none"/>
          <w:lang w:eastAsia="zh-CN"/>
        </w:rPr>
      </w:pPr>
    </w:p>
    <w:p w14:paraId="51B0DDED">
      <w:pPr>
        <w:pStyle w:val="8"/>
        <w:spacing w:line="253" w:lineRule="auto"/>
        <w:rPr>
          <w:rFonts w:hint="eastAsia" w:ascii="宋体" w:hAnsi="宋体" w:eastAsia="宋体" w:cs="宋体"/>
          <w:color w:val="auto"/>
          <w:highlight w:val="none"/>
          <w:lang w:eastAsia="zh-CN"/>
        </w:rPr>
      </w:pPr>
    </w:p>
    <w:p w14:paraId="4E4BE00C">
      <w:pPr>
        <w:pStyle w:val="8"/>
        <w:spacing w:line="253" w:lineRule="auto"/>
        <w:rPr>
          <w:rFonts w:hint="eastAsia" w:ascii="宋体" w:hAnsi="宋体" w:eastAsia="宋体" w:cs="宋体"/>
          <w:color w:val="auto"/>
          <w:highlight w:val="none"/>
          <w:lang w:eastAsia="zh-CN"/>
        </w:rPr>
      </w:pPr>
    </w:p>
    <w:p w14:paraId="330C2425">
      <w:pPr>
        <w:pStyle w:val="8"/>
        <w:spacing w:line="253" w:lineRule="auto"/>
        <w:rPr>
          <w:rFonts w:hint="eastAsia" w:ascii="宋体" w:hAnsi="宋体" w:eastAsia="宋体" w:cs="宋体"/>
          <w:color w:val="auto"/>
          <w:highlight w:val="none"/>
          <w:lang w:eastAsia="zh-CN"/>
        </w:rPr>
      </w:pPr>
    </w:p>
    <w:p w14:paraId="03C3D950">
      <w:pPr>
        <w:pStyle w:val="8"/>
        <w:spacing w:line="253" w:lineRule="auto"/>
        <w:rPr>
          <w:rFonts w:hint="eastAsia" w:ascii="宋体" w:hAnsi="宋体" w:eastAsia="宋体" w:cs="宋体"/>
          <w:color w:val="auto"/>
          <w:highlight w:val="none"/>
          <w:lang w:eastAsia="zh-CN"/>
        </w:rPr>
      </w:pPr>
    </w:p>
    <w:p w14:paraId="55FC6ECE">
      <w:pPr>
        <w:pStyle w:val="8"/>
        <w:spacing w:line="253" w:lineRule="auto"/>
        <w:rPr>
          <w:rFonts w:hint="eastAsia" w:ascii="宋体" w:hAnsi="宋体" w:eastAsia="宋体" w:cs="宋体"/>
          <w:color w:val="auto"/>
          <w:highlight w:val="none"/>
          <w:lang w:eastAsia="zh-CN"/>
        </w:rPr>
      </w:pPr>
    </w:p>
    <w:p w14:paraId="6E5FDF1F">
      <w:pPr>
        <w:pStyle w:val="8"/>
        <w:spacing w:line="253" w:lineRule="auto"/>
        <w:rPr>
          <w:rFonts w:hint="eastAsia" w:ascii="宋体" w:hAnsi="宋体" w:eastAsia="宋体" w:cs="宋体"/>
          <w:color w:val="auto"/>
          <w:highlight w:val="none"/>
          <w:lang w:eastAsia="zh-CN"/>
        </w:rPr>
      </w:pPr>
    </w:p>
    <w:p w14:paraId="011C8C48">
      <w:pPr>
        <w:pStyle w:val="8"/>
        <w:spacing w:line="253" w:lineRule="auto"/>
        <w:rPr>
          <w:rFonts w:hint="eastAsia" w:ascii="宋体" w:hAnsi="宋体" w:eastAsia="宋体" w:cs="宋体"/>
          <w:color w:val="auto"/>
          <w:highlight w:val="none"/>
          <w:lang w:eastAsia="zh-CN"/>
        </w:rPr>
      </w:pPr>
    </w:p>
    <w:p w14:paraId="5A573BD4">
      <w:pPr>
        <w:spacing w:before="91" w:line="222" w:lineRule="auto"/>
        <w:ind w:left="2516"/>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（项目名称</w:t>
      </w:r>
      <w:r>
        <w:rPr>
          <w:rFonts w:hint="eastAsia" w:ascii="宋体" w:hAnsi="宋体" w:eastAsia="宋体" w:cs="宋体"/>
          <w:color w:val="auto"/>
          <w:spacing w:val="-15"/>
          <w:sz w:val="28"/>
          <w:szCs w:val="28"/>
          <w:highlight w:val="none"/>
          <w:lang w:eastAsia="zh-CN"/>
        </w:rPr>
        <w:t>）（</w:t>
      </w:r>
      <w:r>
        <w:rPr>
          <w:rFonts w:hint="eastAsia" w:ascii="宋体" w:hAnsi="宋体" w:eastAsia="宋体" w:cs="宋体"/>
          <w:color w:val="auto"/>
          <w:sz w:val="28"/>
          <w:szCs w:val="28"/>
          <w:highlight w:val="none"/>
          <w:lang w:eastAsia="zh-CN"/>
        </w:rPr>
        <w:t>标段名称）</w:t>
      </w:r>
    </w:p>
    <w:p w14:paraId="6368A02D">
      <w:pPr>
        <w:pStyle w:val="8"/>
        <w:spacing w:line="242" w:lineRule="auto"/>
        <w:rPr>
          <w:rFonts w:hint="eastAsia" w:ascii="宋体" w:hAnsi="宋体" w:eastAsia="宋体" w:cs="宋体"/>
          <w:color w:val="auto"/>
          <w:highlight w:val="none"/>
          <w:lang w:eastAsia="zh-CN"/>
        </w:rPr>
      </w:pPr>
    </w:p>
    <w:p w14:paraId="7A318A55">
      <w:pPr>
        <w:pStyle w:val="8"/>
        <w:spacing w:line="243" w:lineRule="auto"/>
        <w:rPr>
          <w:rFonts w:hint="eastAsia" w:ascii="宋体" w:hAnsi="宋体" w:eastAsia="宋体" w:cs="宋体"/>
          <w:color w:val="auto"/>
          <w:highlight w:val="none"/>
          <w:lang w:eastAsia="zh-CN"/>
        </w:rPr>
      </w:pPr>
    </w:p>
    <w:p w14:paraId="566526B6">
      <w:pPr>
        <w:spacing w:before="465" w:line="223" w:lineRule="auto"/>
        <w:ind w:left="1330"/>
        <w:outlineLvl w:val="0"/>
        <w:rPr>
          <w:rFonts w:hint="eastAsia" w:ascii="宋体" w:hAnsi="宋体" w:eastAsia="宋体" w:cs="宋体"/>
          <w:color w:val="auto"/>
          <w:sz w:val="143"/>
          <w:szCs w:val="143"/>
          <w:highlight w:val="none"/>
          <w:lang w:eastAsia="zh-CN"/>
        </w:rPr>
      </w:pPr>
      <w:bookmarkStart w:id="150" w:name="bookmark6"/>
      <w:bookmarkEnd w:id="150"/>
      <w:bookmarkStart w:id="151" w:name="_Toc29050"/>
      <w:bookmarkStart w:id="152" w:name="_Toc23278"/>
      <w:r>
        <w:rPr>
          <w:rFonts w:hint="eastAsia" w:ascii="宋体" w:hAnsi="宋体" w:eastAsia="宋体" w:cs="宋体"/>
          <w:color w:val="auto"/>
          <w:spacing w:val="-2"/>
          <w:sz w:val="143"/>
          <w:szCs w:val="143"/>
          <w:highlight w:val="none"/>
          <w:lang w:eastAsia="zh-CN"/>
        </w:rPr>
        <w:t>投标文件</w:t>
      </w:r>
      <w:bookmarkEnd w:id="151"/>
      <w:bookmarkEnd w:id="152"/>
    </w:p>
    <w:p w14:paraId="3A42D122">
      <w:pPr>
        <w:spacing w:before="101" w:line="222" w:lineRule="auto"/>
        <w:ind w:left="3478"/>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2"/>
          <w:sz w:val="28"/>
          <w:szCs w:val="28"/>
          <w:highlight w:val="none"/>
          <w:lang w:eastAsia="zh-CN"/>
        </w:rPr>
        <w:t>项目编号：</w:t>
      </w:r>
    </w:p>
    <w:p w14:paraId="12FE17A9">
      <w:pPr>
        <w:pStyle w:val="8"/>
        <w:spacing w:line="251" w:lineRule="auto"/>
        <w:rPr>
          <w:rFonts w:hint="eastAsia" w:ascii="宋体" w:hAnsi="宋体" w:eastAsia="宋体" w:cs="宋体"/>
          <w:color w:val="auto"/>
          <w:highlight w:val="none"/>
          <w:lang w:eastAsia="zh-CN"/>
        </w:rPr>
      </w:pPr>
    </w:p>
    <w:p w14:paraId="01305311">
      <w:pPr>
        <w:pStyle w:val="8"/>
        <w:spacing w:line="251" w:lineRule="auto"/>
        <w:rPr>
          <w:rFonts w:hint="eastAsia" w:ascii="宋体" w:hAnsi="宋体" w:eastAsia="宋体" w:cs="宋体"/>
          <w:color w:val="auto"/>
          <w:highlight w:val="none"/>
          <w:lang w:eastAsia="zh-CN"/>
        </w:rPr>
      </w:pPr>
    </w:p>
    <w:p w14:paraId="4A35003B">
      <w:pPr>
        <w:pStyle w:val="8"/>
        <w:spacing w:line="251" w:lineRule="auto"/>
        <w:rPr>
          <w:rFonts w:hint="eastAsia" w:ascii="宋体" w:hAnsi="宋体" w:eastAsia="宋体" w:cs="宋体"/>
          <w:color w:val="auto"/>
          <w:highlight w:val="none"/>
          <w:lang w:eastAsia="zh-CN"/>
        </w:rPr>
      </w:pPr>
    </w:p>
    <w:p w14:paraId="0FE0AB7E">
      <w:pPr>
        <w:pStyle w:val="8"/>
        <w:spacing w:line="251" w:lineRule="auto"/>
        <w:rPr>
          <w:rFonts w:hint="eastAsia" w:ascii="宋体" w:hAnsi="宋体" w:eastAsia="宋体" w:cs="宋体"/>
          <w:color w:val="auto"/>
          <w:highlight w:val="none"/>
          <w:lang w:eastAsia="zh-CN"/>
        </w:rPr>
      </w:pPr>
    </w:p>
    <w:p w14:paraId="79D1849E">
      <w:pPr>
        <w:pStyle w:val="8"/>
        <w:spacing w:line="251" w:lineRule="auto"/>
        <w:rPr>
          <w:rFonts w:hint="eastAsia" w:ascii="宋体" w:hAnsi="宋体" w:eastAsia="宋体" w:cs="宋体"/>
          <w:color w:val="auto"/>
          <w:highlight w:val="none"/>
          <w:lang w:eastAsia="zh-CN"/>
        </w:rPr>
      </w:pPr>
    </w:p>
    <w:p w14:paraId="6990F273">
      <w:pPr>
        <w:pStyle w:val="8"/>
        <w:spacing w:line="251" w:lineRule="auto"/>
        <w:rPr>
          <w:rFonts w:hint="eastAsia" w:ascii="宋体" w:hAnsi="宋体" w:eastAsia="宋体" w:cs="宋体"/>
          <w:color w:val="auto"/>
          <w:highlight w:val="none"/>
          <w:lang w:eastAsia="zh-CN"/>
        </w:rPr>
      </w:pPr>
    </w:p>
    <w:p w14:paraId="19A077AB">
      <w:pPr>
        <w:pStyle w:val="8"/>
        <w:spacing w:line="251" w:lineRule="auto"/>
        <w:rPr>
          <w:rFonts w:hint="eastAsia" w:ascii="宋体" w:hAnsi="宋体" w:eastAsia="宋体" w:cs="宋体"/>
          <w:color w:val="auto"/>
          <w:highlight w:val="none"/>
          <w:lang w:eastAsia="zh-CN"/>
        </w:rPr>
      </w:pPr>
    </w:p>
    <w:p w14:paraId="4D389688">
      <w:pPr>
        <w:pStyle w:val="8"/>
        <w:spacing w:line="251" w:lineRule="auto"/>
        <w:rPr>
          <w:rFonts w:hint="eastAsia" w:ascii="宋体" w:hAnsi="宋体" w:eastAsia="宋体" w:cs="宋体"/>
          <w:color w:val="auto"/>
          <w:highlight w:val="none"/>
          <w:lang w:eastAsia="zh-CN"/>
        </w:rPr>
      </w:pPr>
    </w:p>
    <w:p w14:paraId="7A4473F9">
      <w:pPr>
        <w:pStyle w:val="8"/>
        <w:spacing w:line="251" w:lineRule="auto"/>
        <w:rPr>
          <w:rFonts w:hint="eastAsia" w:ascii="宋体" w:hAnsi="宋体" w:eastAsia="宋体" w:cs="宋体"/>
          <w:color w:val="auto"/>
          <w:highlight w:val="none"/>
          <w:lang w:eastAsia="zh-CN"/>
        </w:rPr>
      </w:pPr>
    </w:p>
    <w:p w14:paraId="048738A2">
      <w:pPr>
        <w:pStyle w:val="8"/>
        <w:spacing w:line="251" w:lineRule="auto"/>
        <w:rPr>
          <w:rFonts w:hint="eastAsia" w:ascii="宋体" w:hAnsi="宋体" w:eastAsia="宋体" w:cs="宋体"/>
          <w:color w:val="auto"/>
          <w:highlight w:val="none"/>
          <w:lang w:eastAsia="zh-CN"/>
        </w:rPr>
      </w:pPr>
    </w:p>
    <w:p w14:paraId="3A51C1E9">
      <w:pPr>
        <w:pStyle w:val="8"/>
        <w:spacing w:line="251" w:lineRule="auto"/>
        <w:rPr>
          <w:rFonts w:hint="eastAsia" w:ascii="宋体" w:hAnsi="宋体" w:eastAsia="宋体" w:cs="宋体"/>
          <w:color w:val="auto"/>
          <w:highlight w:val="none"/>
          <w:lang w:eastAsia="zh-CN"/>
        </w:rPr>
      </w:pPr>
    </w:p>
    <w:p w14:paraId="7BB19C60">
      <w:pPr>
        <w:pStyle w:val="8"/>
        <w:spacing w:line="251" w:lineRule="auto"/>
        <w:rPr>
          <w:rFonts w:hint="eastAsia" w:ascii="宋体" w:hAnsi="宋体" w:eastAsia="宋体" w:cs="宋体"/>
          <w:color w:val="auto"/>
          <w:highlight w:val="none"/>
          <w:lang w:eastAsia="zh-CN"/>
        </w:rPr>
      </w:pPr>
    </w:p>
    <w:p w14:paraId="41DCF458">
      <w:pPr>
        <w:pStyle w:val="8"/>
        <w:spacing w:line="251" w:lineRule="auto"/>
        <w:rPr>
          <w:rFonts w:hint="eastAsia" w:ascii="宋体" w:hAnsi="宋体" w:eastAsia="宋体" w:cs="宋体"/>
          <w:color w:val="auto"/>
          <w:highlight w:val="none"/>
          <w:lang w:eastAsia="zh-CN"/>
        </w:rPr>
      </w:pPr>
    </w:p>
    <w:p w14:paraId="0279478E">
      <w:pPr>
        <w:pStyle w:val="8"/>
        <w:spacing w:line="251" w:lineRule="auto"/>
        <w:rPr>
          <w:rFonts w:hint="eastAsia" w:ascii="宋体" w:hAnsi="宋体" w:eastAsia="宋体" w:cs="宋体"/>
          <w:color w:val="auto"/>
          <w:highlight w:val="none"/>
          <w:lang w:eastAsia="zh-CN"/>
        </w:rPr>
      </w:pPr>
    </w:p>
    <w:p w14:paraId="68E90D4F">
      <w:pPr>
        <w:pStyle w:val="8"/>
        <w:spacing w:line="253" w:lineRule="auto"/>
        <w:rPr>
          <w:rFonts w:hint="eastAsia" w:ascii="宋体" w:hAnsi="宋体" w:eastAsia="宋体" w:cs="宋体"/>
          <w:color w:val="auto"/>
          <w:highlight w:val="none"/>
          <w:lang w:eastAsia="zh-CN"/>
        </w:rPr>
      </w:pPr>
    </w:p>
    <w:p w14:paraId="7B270D46">
      <w:pPr>
        <w:spacing w:before="91" w:line="222" w:lineRule="auto"/>
        <w:ind w:left="2776"/>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2"/>
          <w:sz w:val="28"/>
          <w:szCs w:val="28"/>
          <w:highlight w:val="none"/>
          <w:lang w:eastAsia="zh-CN"/>
        </w:rPr>
        <w:t>投标人</w:t>
      </w:r>
      <w:r>
        <w:rPr>
          <w:rFonts w:hint="eastAsia" w:ascii="宋体" w:hAnsi="宋体" w:eastAsia="宋体" w:cs="宋体"/>
          <w:color w:val="auto"/>
          <w:spacing w:val="-14"/>
          <w:sz w:val="28"/>
          <w:szCs w:val="28"/>
          <w:highlight w:val="none"/>
          <w:lang w:eastAsia="zh-CN"/>
        </w:rPr>
        <w:t>：（</w:t>
      </w:r>
      <w:r>
        <w:rPr>
          <w:rFonts w:hint="eastAsia" w:ascii="宋体" w:hAnsi="宋体" w:eastAsia="宋体" w:cs="宋体"/>
          <w:color w:val="auto"/>
          <w:spacing w:val="2"/>
          <w:sz w:val="28"/>
          <w:szCs w:val="28"/>
          <w:highlight w:val="none"/>
          <w:lang w:eastAsia="zh-CN"/>
        </w:rPr>
        <w:t>盖单位章）</w:t>
      </w:r>
    </w:p>
    <w:p w14:paraId="5D725D63">
      <w:pPr>
        <w:spacing w:before="287" w:line="222" w:lineRule="auto"/>
        <w:ind w:left="1800"/>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sz w:val="28"/>
          <w:szCs w:val="28"/>
          <w:highlight w:val="none"/>
          <w:lang w:eastAsia="zh-CN"/>
        </w:rPr>
        <w:t>法定代表人或其委托代理人</w:t>
      </w:r>
      <w:r>
        <w:rPr>
          <w:rFonts w:hint="eastAsia" w:ascii="宋体" w:hAnsi="宋体" w:eastAsia="宋体" w:cs="宋体"/>
          <w:color w:val="auto"/>
          <w:spacing w:val="-15"/>
          <w:sz w:val="28"/>
          <w:szCs w:val="28"/>
          <w:highlight w:val="none"/>
          <w:lang w:eastAsia="zh-CN"/>
        </w:rPr>
        <w:t>：（</w:t>
      </w:r>
      <w:r>
        <w:rPr>
          <w:rFonts w:hint="eastAsia" w:ascii="宋体" w:hAnsi="宋体" w:eastAsia="宋体" w:cs="宋体"/>
          <w:color w:val="auto"/>
          <w:spacing w:val="1"/>
          <w:sz w:val="28"/>
          <w:szCs w:val="28"/>
          <w:highlight w:val="none"/>
          <w:lang w:eastAsia="zh-CN"/>
        </w:rPr>
        <w:t>签字）</w:t>
      </w:r>
    </w:p>
    <w:p w14:paraId="0D48AC2B">
      <w:pPr>
        <w:spacing w:before="287" w:line="224"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4"/>
          <w:sz w:val="28"/>
          <w:szCs w:val="28"/>
          <w:highlight w:val="none"/>
          <w:lang w:val="en-US" w:eastAsia="zh-CN"/>
        </w:rPr>
        <w:t xml:space="preserve">日期：  </w:t>
      </w:r>
      <w:r>
        <w:rPr>
          <w:rFonts w:hint="eastAsia" w:ascii="宋体" w:hAnsi="宋体" w:eastAsia="宋体" w:cs="宋体"/>
          <w:color w:val="auto"/>
          <w:spacing w:val="-4"/>
          <w:sz w:val="28"/>
          <w:szCs w:val="28"/>
          <w:highlight w:val="none"/>
          <w:lang w:eastAsia="zh-CN"/>
        </w:rPr>
        <w:t>年</w:t>
      </w:r>
      <w:r>
        <w:rPr>
          <w:rFonts w:hint="eastAsia" w:ascii="宋体" w:hAnsi="宋体" w:eastAsia="宋体" w:cs="宋体"/>
          <w:color w:val="auto"/>
          <w:spacing w:val="-4"/>
          <w:sz w:val="28"/>
          <w:szCs w:val="28"/>
          <w:highlight w:val="none"/>
          <w:lang w:val="en-US" w:eastAsia="zh-CN"/>
        </w:rPr>
        <w:t xml:space="preserve">  </w:t>
      </w:r>
      <w:r>
        <w:rPr>
          <w:rFonts w:hint="eastAsia" w:ascii="宋体" w:hAnsi="宋体" w:eastAsia="宋体" w:cs="宋体"/>
          <w:color w:val="auto"/>
          <w:spacing w:val="-4"/>
          <w:sz w:val="28"/>
          <w:szCs w:val="28"/>
          <w:highlight w:val="none"/>
          <w:lang w:eastAsia="zh-CN"/>
        </w:rPr>
        <w:t>月</w:t>
      </w:r>
      <w:r>
        <w:rPr>
          <w:rFonts w:hint="eastAsia" w:ascii="宋体" w:hAnsi="宋体" w:eastAsia="宋体" w:cs="宋体"/>
          <w:color w:val="auto"/>
          <w:spacing w:val="-4"/>
          <w:sz w:val="28"/>
          <w:szCs w:val="28"/>
          <w:highlight w:val="none"/>
          <w:lang w:val="en-US" w:eastAsia="zh-CN"/>
        </w:rPr>
        <w:t xml:space="preserve">  </w:t>
      </w:r>
      <w:r>
        <w:rPr>
          <w:rFonts w:hint="eastAsia" w:ascii="宋体" w:hAnsi="宋体" w:eastAsia="宋体" w:cs="宋体"/>
          <w:color w:val="auto"/>
          <w:spacing w:val="-4"/>
          <w:sz w:val="28"/>
          <w:szCs w:val="28"/>
          <w:highlight w:val="none"/>
          <w:lang w:eastAsia="zh-CN"/>
        </w:rPr>
        <w:t>日</w:t>
      </w:r>
    </w:p>
    <w:p w14:paraId="3B050F28">
      <w:pPr>
        <w:spacing w:line="224" w:lineRule="auto"/>
        <w:rPr>
          <w:rFonts w:hint="eastAsia" w:ascii="宋体" w:hAnsi="宋体" w:eastAsia="宋体" w:cs="宋体"/>
          <w:color w:val="auto"/>
          <w:sz w:val="28"/>
          <w:szCs w:val="28"/>
          <w:highlight w:val="none"/>
          <w:lang w:eastAsia="zh-CN"/>
        </w:rPr>
        <w:sectPr>
          <w:pgSz w:w="11906" w:h="16839"/>
          <w:pgMar w:top="1431" w:right="1785" w:bottom="0" w:left="1785" w:header="0" w:footer="737" w:gutter="0"/>
          <w:pgNumType w:fmt="decimal"/>
          <w:cols w:space="720" w:num="1"/>
        </w:sectPr>
      </w:pPr>
    </w:p>
    <w:p w14:paraId="64A3A622">
      <w:pPr>
        <w:pStyle w:val="8"/>
        <w:spacing w:line="292" w:lineRule="auto"/>
        <w:rPr>
          <w:rFonts w:hint="eastAsia" w:ascii="宋体" w:hAnsi="宋体" w:eastAsia="宋体" w:cs="宋体"/>
          <w:color w:val="auto"/>
          <w:highlight w:val="none"/>
          <w:lang w:eastAsia="zh-CN"/>
        </w:rPr>
      </w:pPr>
    </w:p>
    <w:p w14:paraId="4E49DF4A">
      <w:pPr>
        <w:tabs>
          <w:tab w:val="left" w:pos="1365"/>
        </w:tabs>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346BED85">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14:paraId="3A095EA3">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2、法定代表人证明</w:t>
      </w:r>
    </w:p>
    <w:p w14:paraId="22DAE63F">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3、授权委托书</w:t>
      </w:r>
    </w:p>
    <w:p w14:paraId="15988ECC">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4、开标一览表</w:t>
      </w:r>
    </w:p>
    <w:p w14:paraId="0A9C7965">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5、投标报价明细表</w:t>
      </w:r>
    </w:p>
    <w:p w14:paraId="759121B8">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6、投标货物技术文件</w:t>
      </w:r>
    </w:p>
    <w:p w14:paraId="477ABA36">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7、投标人资格声明</w:t>
      </w:r>
    </w:p>
    <w:p w14:paraId="17592909">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8、投标人基本情况</w:t>
      </w:r>
    </w:p>
    <w:p w14:paraId="3F6CEFC2">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9、公司财务状况依法缴纳税收和社会保障资金的相关证明材料</w:t>
      </w:r>
    </w:p>
    <w:p w14:paraId="13BB3B34">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年至今完成类似项目一览表</w:t>
      </w:r>
    </w:p>
    <w:p w14:paraId="1C74D36E">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、招标文件要求的其他材料   </w:t>
      </w:r>
    </w:p>
    <w:p w14:paraId="79C10DCA">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、投标人认为需要提供的其他材料</w:t>
      </w:r>
    </w:p>
    <w:p w14:paraId="295F2AF2">
      <w:pPr>
        <w:tabs>
          <w:tab w:val="left" w:pos="1365"/>
        </w:tabs>
        <w:rPr>
          <w:rFonts w:hint="eastAsia" w:ascii="宋体" w:hAnsi="宋体" w:eastAsia="宋体" w:cs="宋体"/>
          <w:b/>
          <w:color w:val="auto"/>
          <w:sz w:val="32"/>
          <w:highlight w:val="none"/>
        </w:rPr>
      </w:pPr>
    </w:p>
    <w:p w14:paraId="085A5A5B">
      <w:pPr>
        <w:tabs>
          <w:tab w:val="left" w:pos="1365"/>
        </w:tabs>
        <w:rPr>
          <w:rFonts w:hint="eastAsia" w:ascii="宋体" w:hAnsi="宋体" w:eastAsia="宋体" w:cs="宋体"/>
          <w:b/>
          <w:color w:val="auto"/>
          <w:sz w:val="32"/>
          <w:highlight w:val="none"/>
        </w:rPr>
      </w:pPr>
    </w:p>
    <w:p w14:paraId="278FFB02">
      <w:pPr>
        <w:tabs>
          <w:tab w:val="left" w:pos="1365"/>
        </w:tabs>
        <w:spacing w:line="360" w:lineRule="auto"/>
        <w:jc w:val="left"/>
        <w:rPr>
          <w:rFonts w:hint="eastAsia" w:ascii="宋体" w:hAnsi="宋体" w:eastAsia="宋体" w:cs="宋体"/>
          <w:b/>
          <w:color w:val="auto"/>
          <w:sz w:val="28"/>
          <w:szCs w:val="28"/>
          <w:highlight w:val="none"/>
        </w:rPr>
      </w:pPr>
    </w:p>
    <w:p w14:paraId="6DD8B7E7">
      <w:pPr>
        <w:tabs>
          <w:tab w:val="left" w:pos="1365"/>
        </w:tabs>
        <w:spacing w:line="360" w:lineRule="auto"/>
        <w:jc w:val="left"/>
        <w:rPr>
          <w:rFonts w:hint="eastAsia" w:ascii="宋体" w:hAnsi="宋体" w:eastAsia="宋体" w:cs="宋体"/>
          <w:b/>
          <w:color w:val="auto"/>
          <w:sz w:val="28"/>
          <w:szCs w:val="28"/>
          <w:highlight w:val="none"/>
        </w:rPr>
      </w:pPr>
    </w:p>
    <w:p w14:paraId="0ED17DAF">
      <w:pPr>
        <w:tabs>
          <w:tab w:val="left" w:pos="1365"/>
        </w:tabs>
        <w:spacing w:line="360" w:lineRule="auto"/>
        <w:jc w:val="left"/>
        <w:rPr>
          <w:rFonts w:hint="eastAsia" w:ascii="宋体" w:hAnsi="宋体" w:eastAsia="宋体" w:cs="宋体"/>
          <w:b/>
          <w:color w:val="auto"/>
          <w:sz w:val="28"/>
          <w:szCs w:val="28"/>
          <w:highlight w:val="none"/>
        </w:rPr>
      </w:pPr>
    </w:p>
    <w:p w14:paraId="36250F32">
      <w:pPr>
        <w:tabs>
          <w:tab w:val="left" w:pos="1365"/>
        </w:tabs>
        <w:spacing w:line="360" w:lineRule="auto"/>
        <w:jc w:val="left"/>
        <w:rPr>
          <w:rFonts w:hint="eastAsia" w:ascii="宋体" w:hAnsi="宋体" w:eastAsia="宋体" w:cs="宋体"/>
          <w:b/>
          <w:color w:val="auto"/>
          <w:sz w:val="28"/>
          <w:szCs w:val="28"/>
          <w:highlight w:val="none"/>
        </w:rPr>
      </w:pPr>
    </w:p>
    <w:p w14:paraId="35D8A955">
      <w:pPr>
        <w:tabs>
          <w:tab w:val="left" w:pos="1365"/>
        </w:tabs>
        <w:spacing w:line="360" w:lineRule="auto"/>
        <w:jc w:val="left"/>
        <w:rPr>
          <w:rFonts w:hint="eastAsia" w:ascii="宋体" w:hAnsi="宋体" w:eastAsia="宋体" w:cs="宋体"/>
          <w:b/>
          <w:color w:val="auto"/>
          <w:sz w:val="28"/>
          <w:szCs w:val="28"/>
          <w:highlight w:val="none"/>
        </w:rPr>
      </w:pPr>
    </w:p>
    <w:p w14:paraId="1929B216">
      <w:pPr>
        <w:tabs>
          <w:tab w:val="left" w:pos="1365"/>
        </w:tabs>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32"/>
          <w:szCs w:val="32"/>
          <w:highlight w:val="none"/>
        </w:rPr>
        <w:t xml:space="preserve">1、投 标 函 </w:t>
      </w:r>
    </w:p>
    <w:p w14:paraId="603B72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zh-CN"/>
        </w:rPr>
        <w:t>采购人</w:t>
      </w:r>
      <w:r>
        <w:rPr>
          <w:rFonts w:hint="eastAsia" w:ascii="宋体" w:hAnsi="宋体" w:eastAsia="宋体" w:cs="宋体"/>
          <w:color w:val="auto"/>
          <w:sz w:val="24"/>
          <w:szCs w:val="24"/>
          <w:highlight w:val="none"/>
        </w:rPr>
        <w:t>名称}</w:t>
      </w:r>
    </w:p>
    <w:p w14:paraId="2614D9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val="zh-CN"/>
        </w:rPr>
        <w:t>（标书编号：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rPr>
        <w:t>的招标邀请正式授权下述签字人</w:t>
      </w:r>
      <w:r>
        <w:rPr>
          <w:rFonts w:hint="eastAsia" w:ascii="宋体" w:hAnsi="宋体" w:eastAsia="宋体" w:cs="宋体"/>
          <w:color w:val="auto"/>
          <w:sz w:val="24"/>
          <w:szCs w:val="24"/>
          <w:highlight w:val="none"/>
          <w:u w:val="single"/>
        </w:rPr>
        <w:t xml:space="preserve">     （姓名和职务）   </w:t>
      </w:r>
      <w:r>
        <w:rPr>
          <w:rFonts w:hint="eastAsia" w:ascii="宋体" w:hAnsi="宋体" w:eastAsia="宋体" w:cs="宋体"/>
          <w:color w:val="auto"/>
          <w:sz w:val="24"/>
          <w:szCs w:val="24"/>
          <w:highlight w:val="none"/>
        </w:rPr>
        <w:t>代表投标方</w:t>
      </w:r>
      <w:r>
        <w:rPr>
          <w:rFonts w:hint="eastAsia" w:ascii="宋体" w:hAnsi="宋体" w:eastAsia="宋体" w:cs="宋体"/>
          <w:color w:val="auto"/>
          <w:sz w:val="24"/>
          <w:szCs w:val="24"/>
          <w:highlight w:val="none"/>
          <w:u w:val="single"/>
        </w:rPr>
        <w:t xml:space="preserve">     （投标单位名称）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对此项目进行投标</w:t>
      </w:r>
      <w:r>
        <w:rPr>
          <w:rFonts w:hint="eastAsia" w:ascii="宋体" w:hAnsi="宋体" w:eastAsia="宋体" w:cs="宋体"/>
          <w:color w:val="auto"/>
          <w:sz w:val="24"/>
          <w:szCs w:val="24"/>
          <w:highlight w:val="none"/>
        </w:rPr>
        <w:t>。</w:t>
      </w:r>
    </w:p>
    <w:p w14:paraId="53F6F0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据此函，签字人同意如下：</w:t>
      </w:r>
    </w:p>
    <w:p w14:paraId="02EF7B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我们已详细审核全部招标文件，并严格按照招标文件要求编制投标书和履行一切必要手续。</w:t>
      </w:r>
    </w:p>
    <w:p w14:paraId="0EF13D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(1)我们如中标后，严格履行招标规定的责任和义务，保证按时签订合同，并于合同签字生效后立即开始依合同要求履行相关义务。</w:t>
      </w:r>
    </w:p>
    <w:p w14:paraId="6D8508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(2)如果中标签约后，我们有违反合同的行为，同意依照招标文件中关于罚则的规定进行处理。</w:t>
      </w:r>
    </w:p>
    <w:p w14:paraId="5C8FA7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(3)同意向贵方提供贵方可能另外要求的与投标有关的任何证据或资料。</w:t>
      </w:r>
    </w:p>
    <w:p w14:paraId="5A873C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(4)投标文件所提供的材料全部真实；</w:t>
      </w:r>
    </w:p>
    <w:p w14:paraId="6880EE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(5)不以不正当手段诋毁、排挤其他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3CAF26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(6)不与采购人、其他投标人、招标代理机构串通谋取中标；</w:t>
      </w:r>
    </w:p>
    <w:p w14:paraId="3B1A6F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(7)不向采购人、评委、招标代理机构行贿或提供不正当利益，中标后也不向采购人行贿；</w:t>
      </w:r>
    </w:p>
    <w:p w14:paraId="379D27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(8)自觉遵守我市政府采购招投标有关工作纪律，不以任何方式干涉招标工作正常进行；</w:t>
      </w:r>
    </w:p>
    <w:p w14:paraId="053F3C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(9)愿意向贵方提供任何与该项投标有关的数据、情况和技术资料。</w:t>
      </w:r>
    </w:p>
    <w:p w14:paraId="403894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(10)投标报价总价为：人民币大写：</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FB7F9EA">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(11)我方承诺供供货期为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w:t>
      </w:r>
    </w:p>
    <w:p w14:paraId="072B13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本投标自开标之日起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天内有效。</w:t>
      </w:r>
    </w:p>
    <w:p w14:paraId="35007E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与本投标有关的正式通讯地址为：</w:t>
      </w:r>
    </w:p>
    <w:p w14:paraId="34FDA3F7">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3F72513C">
      <w:pPr>
        <w:autoSpaceDE w:val="0"/>
        <w:autoSpaceDN w:val="0"/>
        <w:adjustRightInd w:val="0"/>
        <w:spacing w:line="400" w:lineRule="exact"/>
        <w:ind w:firstLine="2640" w:firstLineChars="1100"/>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法定代表人：</w:t>
      </w:r>
      <w:r>
        <w:rPr>
          <w:rFonts w:hint="eastAsia" w:ascii="宋体" w:hAnsi="宋体" w:eastAsia="宋体" w:cs="宋体"/>
          <w:bCs/>
          <w:color w:val="auto"/>
          <w:sz w:val="24"/>
          <w:szCs w:val="24"/>
          <w:highlight w:val="none"/>
          <w:u w:val="single"/>
          <w:lang w:val="zh-CN"/>
        </w:rPr>
        <w:t xml:space="preserve">  </w:t>
      </w:r>
      <w:r>
        <w:rPr>
          <w:rFonts w:hint="default"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w:t>
      </w:r>
    </w:p>
    <w:p w14:paraId="4F8C5794">
      <w:pPr>
        <w:wordWrap w:val="0"/>
        <w:spacing w:line="360" w:lineRule="auto"/>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地址：</w:t>
      </w:r>
      <w:r>
        <w:rPr>
          <w:rFonts w:hint="eastAsia" w:ascii="宋体" w:hAnsi="宋体" w:eastAsia="宋体" w:cs="宋体"/>
          <w:bCs/>
          <w:color w:val="auto"/>
          <w:sz w:val="24"/>
          <w:szCs w:val="24"/>
          <w:highlight w:val="none"/>
          <w:u w:val="single"/>
          <w:lang w:val="zh-CN"/>
        </w:rPr>
        <w:t xml:space="preserve">                 </w:t>
      </w:r>
      <w:r>
        <w:rPr>
          <w:rFonts w:hint="default"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u w:val="single"/>
          <w:lang w:val="zh-CN"/>
        </w:rPr>
        <w:t xml:space="preserve">                    </w:t>
      </w:r>
    </w:p>
    <w:p w14:paraId="5B3594F6">
      <w:pPr>
        <w:wordWrap w:val="0"/>
        <w:spacing w:line="360" w:lineRule="auto"/>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邮政编码：</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zh-CN"/>
        </w:rPr>
        <w:t xml:space="preserve">                                  </w:t>
      </w:r>
    </w:p>
    <w:p w14:paraId="43042057">
      <w:pPr>
        <w:wordWrap w:val="0"/>
        <w:spacing w:line="360" w:lineRule="auto"/>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年</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月</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日</w:t>
      </w:r>
    </w:p>
    <w:p w14:paraId="31F97937">
      <w:pPr>
        <w:tabs>
          <w:tab w:val="left" w:pos="1365"/>
        </w:tabs>
        <w:spacing w:line="360" w:lineRule="auto"/>
        <w:jc w:val="center"/>
        <w:rPr>
          <w:rFonts w:hint="eastAsia" w:ascii="宋体" w:hAnsi="宋体" w:eastAsia="宋体" w:cs="宋体"/>
          <w:b/>
          <w:color w:val="auto"/>
          <w:sz w:val="30"/>
          <w:szCs w:val="30"/>
          <w:highlight w:val="none"/>
        </w:rPr>
      </w:pPr>
    </w:p>
    <w:p w14:paraId="12CFC13C">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2、法定代表人证明</w:t>
      </w:r>
    </w:p>
    <w:p w14:paraId="79A87971">
      <w:pPr>
        <w:spacing w:line="360" w:lineRule="auto"/>
        <w:rPr>
          <w:rFonts w:hint="eastAsia" w:ascii="宋体" w:hAnsi="宋体" w:eastAsia="宋体" w:cs="宋体"/>
          <w:b/>
          <w:bCs/>
          <w:color w:val="auto"/>
          <w:sz w:val="24"/>
          <w:szCs w:val="24"/>
          <w:highlight w:val="none"/>
          <w:u w:val="single"/>
        </w:rPr>
      </w:pPr>
    </w:p>
    <w:p w14:paraId="1CF99B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（职务）</w:t>
      </w:r>
      <w:r>
        <w:rPr>
          <w:rFonts w:hint="eastAsia" w:ascii="宋体" w:hAnsi="宋体" w:eastAsia="宋体" w:cs="宋体"/>
          <w:color w:val="auto"/>
          <w:sz w:val="24"/>
          <w:szCs w:val="24"/>
          <w:highlight w:val="none"/>
        </w:rPr>
        <w:t>，为法定代表人，特此证明。</w:t>
      </w:r>
    </w:p>
    <w:p w14:paraId="34660E7E">
      <w:pPr>
        <w:spacing w:line="360" w:lineRule="auto"/>
        <w:rPr>
          <w:rFonts w:hint="eastAsia" w:ascii="宋体" w:hAnsi="宋体" w:eastAsia="宋体" w:cs="宋体"/>
          <w:color w:val="auto"/>
          <w:sz w:val="24"/>
          <w:szCs w:val="24"/>
          <w:highlight w:val="none"/>
        </w:rPr>
      </w:pPr>
    </w:p>
    <w:p w14:paraId="7A8A12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27E0BE0E">
      <w:pPr>
        <w:spacing w:line="360" w:lineRule="auto"/>
        <w:rPr>
          <w:rFonts w:hint="eastAsia" w:ascii="宋体" w:hAnsi="宋体" w:eastAsia="宋体" w:cs="宋体"/>
          <w:color w:val="auto"/>
          <w:sz w:val="24"/>
          <w:szCs w:val="24"/>
          <w:highlight w:val="none"/>
        </w:rPr>
      </w:pPr>
    </w:p>
    <w:p w14:paraId="61FD65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254D50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代表人性别：</w:t>
      </w:r>
    </w:p>
    <w:p w14:paraId="4806F23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p w14:paraId="3E55F9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14:paraId="74506A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营业执照（注册号）：</w:t>
      </w:r>
    </w:p>
    <w:p w14:paraId="610C407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经济性质：</w:t>
      </w:r>
    </w:p>
    <w:p w14:paraId="606BDE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w:t>
      </w:r>
    </w:p>
    <w:p w14:paraId="52CB670E">
      <w:pPr>
        <w:spacing w:line="360" w:lineRule="auto"/>
        <w:rPr>
          <w:rFonts w:hint="eastAsia" w:ascii="宋体" w:hAnsi="宋体" w:eastAsia="宋体" w:cs="宋体"/>
          <w:color w:val="auto"/>
          <w:sz w:val="24"/>
          <w:szCs w:val="24"/>
          <w:highlight w:val="none"/>
        </w:rPr>
      </w:pPr>
    </w:p>
    <w:tbl>
      <w:tblPr>
        <w:tblStyle w:val="22"/>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55FC0C2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trPr>
        <w:tc>
          <w:tcPr>
            <w:tcW w:w="6720" w:type="dxa"/>
            <w:tcBorders>
              <w:top w:val="double" w:color="auto" w:sz="4" w:space="0"/>
              <w:left w:val="double" w:color="auto" w:sz="4" w:space="0"/>
              <w:bottom w:val="double" w:color="auto" w:sz="4" w:space="0"/>
              <w:right w:val="double" w:color="auto" w:sz="4" w:space="0"/>
            </w:tcBorders>
            <w:vAlign w:val="center"/>
          </w:tcPr>
          <w:p w14:paraId="6AB2397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w:t>
            </w:r>
          </w:p>
          <w:p w14:paraId="518CE33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居民身份证复印件（正、反面）</w:t>
            </w:r>
          </w:p>
        </w:tc>
      </w:tr>
    </w:tbl>
    <w:p w14:paraId="6F871AE8">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49EB1CED">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0C834F7A">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59CCB92A">
      <w:pPr>
        <w:tabs>
          <w:tab w:val="left" w:pos="1365"/>
        </w:tabs>
        <w:spacing w:line="360" w:lineRule="auto"/>
        <w:jc w:val="left"/>
        <w:outlineLvl w:val="9"/>
        <w:rPr>
          <w:rFonts w:hint="eastAsia" w:ascii="宋体" w:hAnsi="宋体" w:eastAsia="宋体" w:cs="宋体"/>
          <w:b/>
          <w:color w:val="auto"/>
          <w:sz w:val="24"/>
          <w:szCs w:val="24"/>
          <w:highlight w:val="none"/>
          <w:lang w:val="en-US" w:eastAsia="zh-CN"/>
        </w:rPr>
      </w:pPr>
    </w:p>
    <w:p w14:paraId="1E11A5D1">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0BE9AD13">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5930136F">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23D8AC39">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30"/>
          <w:szCs w:val="30"/>
          <w:highlight w:val="none"/>
        </w:rPr>
        <w:t>3、授权委托书</w:t>
      </w:r>
    </w:p>
    <w:p w14:paraId="18602735">
      <w:pPr>
        <w:spacing w:line="360" w:lineRule="auto"/>
        <w:ind w:firstLine="480" w:firstLineChars="200"/>
        <w:rPr>
          <w:rFonts w:hint="eastAsia" w:ascii="宋体" w:hAnsi="宋体" w:eastAsia="宋体" w:cs="宋体"/>
          <w:color w:val="auto"/>
          <w:sz w:val="24"/>
          <w:szCs w:val="24"/>
          <w:highlight w:val="none"/>
        </w:rPr>
      </w:pPr>
    </w:p>
    <w:p w14:paraId="6F0702B7">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本授权书声明：</w:t>
      </w:r>
      <w:r>
        <w:rPr>
          <w:rFonts w:hint="eastAsia" w:ascii="宋体" w:hAnsi="宋体" w:eastAsia="宋体" w:cs="宋体"/>
          <w:color w:val="auto"/>
          <w:sz w:val="24"/>
          <w:szCs w:val="24"/>
          <w:highlight w:val="none"/>
          <w:u w:val="single"/>
        </w:rPr>
        <w:t xml:space="preserve">         （公司）</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（法人代表姓名、职务）</w:t>
      </w:r>
      <w:r>
        <w:rPr>
          <w:rFonts w:hint="eastAsia" w:ascii="宋体" w:hAnsi="宋体" w:eastAsia="宋体" w:cs="宋体"/>
          <w:color w:val="auto"/>
          <w:sz w:val="24"/>
          <w:szCs w:val="24"/>
          <w:highlight w:val="none"/>
        </w:rPr>
        <w:t>代表本公司授权</w:t>
      </w:r>
      <w:r>
        <w:rPr>
          <w:rFonts w:hint="eastAsia" w:ascii="宋体" w:hAnsi="宋体" w:eastAsia="宋体" w:cs="宋体"/>
          <w:color w:val="auto"/>
          <w:sz w:val="24"/>
          <w:szCs w:val="24"/>
          <w:highlight w:val="none"/>
          <w:u w:val="single"/>
        </w:rPr>
        <w:t>（被授权人姓名、职务）</w:t>
      </w:r>
      <w:r>
        <w:rPr>
          <w:rFonts w:hint="eastAsia" w:ascii="宋体" w:hAnsi="宋体" w:eastAsia="宋体" w:cs="宋体"/>
          <w:color w:val="auto"/>
          <w:sz w:val="24"/>
          <w:szCs w:val="24"/>
          <w:highlight w:val="none"/>
        </w:rPr>
        <w:t>为本公司的合法代理人就参加项目编号为：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的 </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的投标、签订合同，以及合同的执行等，以本公司的名义处理一切与之有关的事务。特此声明。</w:t>
      </w:r>
    </w:p>
    <w:p w14:paraId="180831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单位名称（加盖公章）：</w:t>
      </w:r>
    </w:p>
    <w:p w14:paraId="2B8390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3516D3C6">
      <w:pPr>
        <w:pStyle w:val="8"/>
        <w:spacing w:line="360" w:lineRule="auto"/>
        <w:rPr>
          <w:rFonts w:hint="eastAsia" w:ascii="宋体" w:hAnsi="宋体" w:eastAsia="宋体" w:cs="宋体"/>
          <w:color w:val="auto"/>
          <w:sz w:val="24"/>
          <w:szCs w:val="24"/>
          <w:highlight w:val="none"/>
        </w:rPr>
      </w:pPr>
    </w:p>
    <w:p w14:paraId="1E9293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0ACB333A">
      <w:pPr>
        <w:spacing w:line="360" w:lineRule="auto"/>
        <w:rPr>
          <w:rFonts w:hint="eastAsia" w:ascii="宋体" w:hAnsi="宋体" w:eastAsia="宋体" w:cs="宋体"/>
          <w:color w:val="auto"/>
          <w:sz w:val="24"/>
          <w:szCs w:val="24"/>
          <w:highlight w:val="none"/>
        </w:rPr>
      </w:pPr>
    </w:p>
    <w:p w14:paraId="686D96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投标代表人（被授权人）签字：</w:t>
      </w:r>
    </w:p>
    <w:p w14:paraId="65FA9D44">
      <w:pPr>
        <w:spacing w:line="360" w:lineRule="auto"/>
        <w:rPr>
          <w:rFonts w:hint="eastAsia" w:ascii="宋体" w:hAnsi="宋体" w:eastAsia="宋体" w:cs="宋体"/>
          <w:color w:val="auto"/>
          <w:sz w:val="24"/>
          <w:szCs w:val="24"/>
          <w:highlight w:val="none"/>
        </w:rPr>
      </w:pPr>
    </w:p>
    <w:tbl>
      <w:tblPr>
        <w:tblStyle w:val="22"/>
        <w:tblW w:w="0" w:type="auto"/>
        <w:tblInd w:w="1473"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7035"/>
      </w:tblGrid>
      <w:tr w14:paraId="7ADC934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35" w:hRule="atLeast"/>
        </w:trPr>
        <w:tc>
          <w:tcPr>
            <w:tcW w:w="7035" w:type="dxa"/>
            <w:tcBorders>
              <w:top w:val="double" w:color="auto" w:sz="4" w:space="0"/>
              <w:left w:val="double" w:color="auto" w:sz="4" w:space="0"/>
              <w:bottom w:val="double" w:color="auto" w:sz="4" w:space="0"/>
              <w:right w:val="double" w:color="auto" w:sz="4" w:space="0"/>
            </w:tcBorders>
            <w:vAlign w:val="center"/>
          </w:tcPr>
          <w:p w14:paraId="724613D0">
            <w:pPr>
              <w:pStyle w:val="36"/>
              <w:ind w:left="105"/>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被授权人（授权代表）</w:t>
            </w:r>
          </w:p>
          <w:p w14:paraId="07C24965">
            <w:pPr>
              <w:pStyle w:val="36"/>
              <w:ind w:left="105"/>
              <w:jc w:val="center"/>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居民身份证复印件（正、反面）</w:t>
            </w:r>
          </w:p>
        </w:tc>
      </w:tr>
    </w:tbl>
    <w:p w14:paraId="2BE347E6">
      <w:pPr>
        <w:spacing w:line="360" w:lineRule="auto"/>
        <w:jc w:val="left"/>
        <w:rPr>
          <w:rFonts w:hint="eastAsia" w:ascii="宋体" w:hAnsi="宋体" w:eastAsia="宋体" w:cs="宋体"/>
          <w:color w:val="auto"/>
          <w:sz w:val="24"/>
          <w:szCs w:val="24"/>
          <w:highlight w:val="none"/>
        </w:rPr>
      </w:pPr>
    </w:p>
    <w:p w14:paraId="15C2121E">
      <w:pPr>
        <w:tabs>
          <w:tab w:val="left" w:pos="1365"/>
        </w:tabs>
        <w:spacing w:line="360" w:lineRule="auto"/>
        <w:ind w:left="-2" w:leftChars="-1" w:firstLine="2"/>
        <w:jc w:val="left"/>
        <w:outlineLvl w:val="0"/>
        <w:rPr>
          <w:rFonts w:hint="eastAsia" w:ascii="宋体" w:hAnsi="宋体" w:eastAsia="宋体" w:cs="宋体"/>
          <w:color w:val="auto"/>
          <w:sz w:val="24"/>
          <w:szCs w:val="24"/>
          <w:highlight w:val="none"/>
        </w:rPr>
      </w:pPr>
      <w:bookmarkStart w:id="153" w:name="_Toc21928"/>
      <w:bookmarkStart w:id="154" w:name="_Toc24205"/>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bookmarkEnd w:id="153"/>
      <w:bookmarkEnd w:id="154"/>
    </w:p>
    <w:p w14:paraId="4B5BECD7">
      <w:pPr>
        <w:tabs>
          <w:tab w:val="left" w:pos="0"/>
        </w:tabs>
        <w:spacing w:line="360" w:lineRule="auto"/>
        <w:jc w:val="center"/>
        <w:rPr>
          <w:rFonts w:hint="eastAsia" w:ascii="宋体" w:hAnsi="宋体" w:eastAsia="宋体" w:cs="宋体"/>
          <w:color w:val="auto"/>
          <w:sz w:val="24"/>
          <w:szCs w:val="24"/>
          <w:highlight w:val="none"/>
        </w:rPr>
      </w:pPr>
    </w:p>
    <w:p w14:paraId="1CEC7257">
      <w:pPr>
        <w:tabs>
          <w:tab w:val="left" w:pos="0"/>
        </w:tabs>
        <w:spacing w:line="360" w:lineRule="auto"/>
        <w:jc w:val="center"/>
        <w:rPr>
          <w:rFonts w:hint="eastAsia" w:ascii="宋体" w:hAnsi="宋体" w:eastAsia="宋体" w:cs="宋体"/>
          <w:color w:val="auto"/>
          <w:sz w:val="24"/>
          <w:szCs w:val="24"/>
          <w:highlight w:val="none"/>
        </w:rPr>
      </w:pPr>
    </w:p>
    <w:p w14:paraId="73DD680E">
      <w:pPr>
        <w:tabs>
          <w:tab w:val="left" w:pos="0"/>
        </w:tabs>
        <w:spacing w:line="360" w:lineRule="auto"/>
        <w:jc w:val="center"/>
        <w:rPr>
          <w:rFonts w:hint="eastAsia" w:ascii="宋体" w:hAnsi="宋体" w:eastAsia="宋体" w:cs="宋体"/>
          <w:color w:val="auto"/>
          <w:sz w:val="24"/>
          <w:szCs w:val="24"/>
          <w:highlight w:val="none"/>
        </w:rPr>
      </w:pPr>
    </w:p>
    <w:p w14:paraId="7AD655B4">
      <w:pPr>
        <w:spacing w:line="360" w:lineRule="auto"/>
        <w:jc w:val="left"/>
        <w:rPr>
          <w:rFonts w:hint="eastAsia" w:ascii="宋体" w:hAnsi="宋体" w:eastAsia="宋体" w:cs="宋体"/>
          <w:b/>
          <w:color w:val="auto"/>
          <w:sz w:val="24"/>
          <w:szCs w:val="24"/>
          <w:highlight w:val="none"/>
        </w:rPr>
      </w:pPr>
    </w:p>
    <w:p w14:paraId="6776D9A2">
      <w:pPr>
        <w:spacing w:line="360" w:lineRule="auto"/>
        <w:jc w:val="left"/>
        <w:rPr>
          <w:rFonts w:hint="eastAsia" w:ascii="宋体" w:hAnsi="宋体" w:eastAsia="宋体" w:cs="宋体"/>
          <w:b/>
          <w:color w:val="auto"/>
          <w:sz w:val="24"/>
          <w:szCs w:val="24"/>
          <w:highlight w:val="none"/>
        </w:rPr>
      </w:pPr>
    </w:p>
    <w:p w14:paraId="6E87C7A5">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4、</w:t>
      </w:r>
      <w:r>
        <w:rPr>
          <w:rFonts w:hint="eastAsia" w:ascii="宋体" w:hAnsi="宋体" w:eastAsia="宋体" w:cs="宋体"/>
          <w:b/>
          <w:color w:val="auto"/>
          <w:sz w:val="30"/>
          <w:szCs w:val="30"/>
          <w:highlight w:val="none"/>
        </w:rPr>
        <w:t>开标一览表</w:t>
      </w:r>
    </w:p>
    <w:p w14:paraId="17E19A39">
      <w:pPr>
        <w:spacing w:line="360" w:lineRule="auto"/>
        <w:ind w:left="21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p w14:paraId="04D96F30">
      <w:pPr>
        <w:spacing w:line="360" w:lineRule="auto"/>
        <w:ind w:left="21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招标编号：</w:t>
      </w:r>
    </w:p>
    <w:tbl>
      <w:tblPr>
        <w:tblStyle w:val="22"/>
        <w:tblW w:w="9364"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559"/>
        <w:gridCol w:w="1563"/>
        <w:gridCol w:w="1176"/>
        <w:gridCol w:w="1133"/>
        <w:gridCol w:w="1110"/>
        <w:gridCol w:w="1423"/>
      </w:tblGrid>
      <w:tr w14:paraId="12D8CE2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14:paraId="1167A3E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p>
          <w:p w14:paraId="2AE3C91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1559" w:type="dxa"/>
            <w:tcBorders>
              <w:top w:val="single" w:color="auto" w:sz="4" w:space="0"/>
              <w:left w:val="single" w:color="auto" w:sz="4" w:space="0"/>
              <w:bottom w:val="single" w:color="auto" w:sz="4" w:space="0"/>
              <w:right w:val="single" w:color="auto" w:sz="4" w:space="0"/>
            </w:tcBorders>
          </w:tcPr>
          <w:p w14:paraId="57DF4CD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0C6B201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3939A92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小写</w:t>
            </w:r>
            <w:r>
              <w:rPr>
                <w:rFonts w:hint="eastAsia" w:ascii="宋体" w:hAnsi="宋体" w:eastAsia="宋体" w:cs="宋体"/>
                <w:color w:val="auto"/>
                <w:sz w:val="24"/>
                <w:szCs w:val="24"/>
                <w:highlight w:val="none"/>
              </w:rPr>
              <w:t>（元）</w:t>
            </w:r>
          </w:p>
          <w:p w14:paraId="1809690C">
            <w:pPr>
              <w:jc w:val="center"/>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tcPr>
          <w:p w14:paraId="1016E4B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B92C61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5A0C9E8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大写</w:t>
            </w:r>
          </w:p>
        </w:tc>
        <w:tc>
          <w:tcPr>
            <w:tcW w:w="1176" w:type="dxa"/>
            <w:tcBorders>
              <w:top w:val="single" w:color="auto" w:sz="4" w:space="0"/>
              <w:left w:val="single" w:color="auto" w:sz="4" w:space="0"/>
              <w:bottom w:val="single" w:color="auto" w:sz="4" w:space="0"/>
              <w:right w:val="single" w:color="auto" w:sz="4" w:space="0"/>
            </w:tcBorders>
            <w:vAlign w:val="center"/>
          </w:tcPr>
          <w:p w14:paraId="01BD3F3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供货期</w:t>
            </w:r>
          </w:p>
        </w:tc>
        <w:tc>
          <w:tcPr>
            <w:tcW w:w="1133" w:type="dxa"/>
            <w:tcBorders>
              <w:top w:val="single" w:color="auto" w:sz="4" w:space="0"/>
              <w:left w:val="single" w:color="auto" w:sz="4" w:space="0"/>
              <w:bottom w:val="single" w:color="auto" w:sz="4" w:space="0"/>
              <w:right w:val="single" w:color="auto" w:sz="4" w:space="0"/>
            </w:tcBorders>
            <w:vAlign w:val="center"/>
          </w:tcPr>
          <w:p w14:paraId="6D602ED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p w14:paraId="66B0E1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1110" w:type="dxa"/>
            <w:tcBorders>
              <w:top w:val="single" w:color="auto" w:sz="4" w:space="0"/>
              <w:left w:val="single" w:color="auto" w:sz="4" w:space="0"/>
              <w:bottom w:val="single" w:color="auto" w:sz="4" w:space="0"/>
              <w:right w:val="single" w:color="auto" w:sz="4" w:space="0"/>
            </w:tcBorders>
            <w:vAlign w:val="center"/>
          </w:tcPr>
          <w:p w14:paraId="24D86A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质保期</w:t>
            </w:r>
          </w:p>
        </w:tc>
        <w:tc>
          <w:tcPr>
            <w:tcW w:w="1423" w:type="dxa"/>
            <w:tcBorders>
              <w:top w:val="single" w:color="auto" w:sz="4" w:space="0"/>
              <w:left w:val="single" w:color="auto" w:sz="4" w:space="0"/>
              <w:bottom w:val="single" w:color="auto" w:sz="4" w:space="0"/>
              <w:right w:val="single" w:color="auto" w:sz="4" w:space="0"/>
            </w:tcBorders>
            <w:vAlign w:val="center"/>
          </w:tcPr>
          <w:p w14:paraId="03332196">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优惠条件及服务承诺</w:t>
            </w:r>
          </w:p>
        </w:tc>
      </w:tr>
      <w:tr w14:paraId="52A16ED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14:paraId="1FA7144B">
            <w:pPr>
              <w:jc w:val="center"/>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FE3A4F6">
            <w:pPr>
              <w:jc w:val="left"/>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340FD7A5">
            <w:pPr>
              <w:spacing w:line="48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9E2703E">
            <w:pPr>
              <w:jc w:val="center"/>
              <w:rPr>
                <w:rFonts w:hint="eastAsia" w:ascii="宋体" w:hAnsi="宋体" w:eastAsia="宋体" w:cs="宋体"/>
                <w:color w:val="auto"/>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14:paraId="5E674D0C">
            <w:pPr>
              <w:jc w:val="center"/>
              <w:rPr>
                <w:rFonts w:hint="eastAsia" w:ascii="宋体" w:hAnsi="宋体" w:eastAsia="宋体" w:cs="宋体"/>
                <w:color w:val="auto"/>
                <w:sz w:val="24"/>
                <w:szCs w:val="24"/>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8FBA199">
            <w:pPr>
              <w:jc w:val="center"/>
              <w:rPr>
                <w:rFonts w:hint="eastAsia" w:ascii="宋体" w:hAnsi="宋体" w:eastAsia="宋体" w:cs="宋体"/>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14:paraId="78F3E858">
            <w:pPr>
              <w:jc w:val="center"/>
              <w:rPr>
                <w:rFonts w:hint="eastAsia" w:ascii="宋体" w:hAnsi="宋体" w:eastAsia="宋体" w:cs="宋体"/>
                <w:color w:val="auto"/>
                <w:sz w:val="24"/>
                <w:szCs w:val="24"/>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58550B6D">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有/无</w:t>
            </w:r>
          </w:p>
        </w:tc>
      </w:tr>
    </w:tbl>
    <w:p w14:paraId="3120AD3A">
      <w:pPr>
        <w:pStyle w:val="37"/>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en-US" w:eastAsia="zh-CN"/>
        </w:rPr>
        <w:t>投标报价以元为单位，保留小数点后二位。</w:t>
      </w:r>
    </w:p>
    <w:p w14:paraId="6A34DE31">
      <w:pPr>
        <w:pStyle w:val="37"/>
        <w:spacing w:line="360" w:lineRule="auto"/>
        <w:ind w:firstLine="840" w:firstLineChars="350"/>
        <w:rPr>
          <w:rFonts w:hint="eastAsia" w:ascii="宋体" w:hAnsi="宋体" w:eastAsia="宋体" w:cs="宋体"/>
          <w:color w:val="auto"/>
          <w:sz w:val="24"/>
          <w:szCs w:val="24"/>
          <w:highlight w:val="none"/>
        </w:rPr>
      </w:pPr>
    </w:p>
    <w:p w14:paraId="356CAAF8">
      <w:pPr>
        <w:pStyle w:val="37"/>
        <w:spacing w:line="360" w:lineRule="auto"/>
        <w:ind w:firstLine="840" w:firstLineChars="350"/>
        <w:rPr>
          <w:rFonts w:hint="eastAsia" w:ascii="宋体" w:hAnsi="宋体" w:eastAsia="宋体" w:cs="宋体"/>
          <w:color w:val="auto"/>
          <w:sz w:val="24"/>
          <w:szCs w:val="24"/>
          <w:highlight w:val="none"/>
        </w:rPr>
      </w:pPr>
    </w:p>
    <w:p w14:paraId="04A9E70E">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2C673F3D">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5ADA2154">
      <w:pPr>
        <w:ind w:left="-708" w:leftChars="-337" w:firstLine="480" w:firstLineChars="200"/>
        <w:rPr>
          <w:rFonts w:hint="eastAsia" w:ascii="宋体" w:hAnsi="宋体" w:eastAsia="宋体" w:cs="宋体"/>
          <w:color w:val="auto"/>
          <w:sz w:val="24"/>
          <w:szCs w:val="24"/>
          <w:highlight w:val="none"/>
        </w:rPr>
      </w:pPr>
    </w:p>
    <w:p w14:paraId="67D84C57">
      <w:pPr>
        <w:ind w:left="-708" w:leftChars="-337" w:firstLine="480" w:firstLineChars="200"/>
        <w:rPr>
          <w:rFonts w:hint="eastAsia" w:ascii="宋体" w:hAnsi="宋体" w:eastAsia="宋体" w:cs="宋体"/>
          <w:color w:val="auto"/>
          <w:sz w:val="24"/>
          <w:szCs w:val="24"/>
          <w:highlight w:val="none"/>
        </w:rPr>
      </w:pPr>
    </w:p>
    <w:p w14:paraId="60D4B6EB">
      <w:pPr>
        <w:ind w:left="-708" w:leftChars="-337"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7CFF3BB">
      <w:pPr>
        <w:spacing w:line="360" w:lineRule="auto"/>
        <w:rPr>
          <w:rFonts w:hint="eastAsia" w:ascii="宋体" w:hAnsi="宋体" w:eastAsia="宋体" w:cs="宋体"/>
          <w:color w:val="auto"/>
          <w:sz w:val="24"/>
          <w:szCs w:val="24"/>
          <w:highlight w:val="none"/>
        </w:rPr>
      </w:pPr>
    </w:p>
    <w:p w14:paraId="4B8F9AB3">
      <w:pPr>
        <w:spacing w:line="360" w:lineRule="auto"/>
        <w:rPr>
          <w:rFonts w:hint="eastAsia" w:ascii="宋体" w:hAnsi="宋体" w:eastAsia="宋体" w:cs="宋体"/>
          <w:color w:val="auto"/>
          <w:sz w:val="24"/>
          <w:szCs w:val="24"/>
          <w:highlight w:val="none"/>
        </w:rPr>
      </w:pPr>
    </w:p>
    <w:p w14:paraId="101F9A67">
      <w:pPr>
        <w:spacing w:line="360" w:lineRule="auto"/>
        <w:rPr>
          <w:rFonts w:hint="eastAsia" w:ascii="宋体" w:hAnsi="宋体" w:eastAsia="宋体" w:cs="宋体"/>
          <w:color w:val="auto"/>
          <w:sz w:val="24"/>
          <w:szCs w:val="24"/>
          <w:highlight w:val="none"/>
        </w:rPr>
      </w:pPr>
    </w:p>
    <w:p w14:paraId="1FB793ED">
      <w:pPr>
        <w:spacing w:line="360" w:lineRule="auto"/>
        <w:rPr>
          <w:rFonts w:hint="eastAsia" w:ascii="宋体" w:hAnsi="宋体" w:eastAsia="宋体" w:cs="宋体"/>
          <w:color w:val="auto"/>
          <w:sz w:val="24"/>
          <w:szCs w:val="24"/>
          <w:highlight w:val="none"/>
        </w:rPr>
      </w:pPr>
    </w:p>
    <w:p w14:paraId="1C9CA890">
      <w:pPr>
        <w:spacing w:line="360" w:lineRule="auto"/>
        <w:rPr>
          <w:rFonts w:hint="eastAsia" w:ascii="宋体" w:hAnsi="宋体" w:eastAsia="宋体" w:cs="宋体"/>
          <w:color w:val="auto"/>
          <w:sz w:val="24"/>
          <w:szCs w:val="24"/>
          <w:highlight w:val="none"/>
        </w:rPr>
      </w:pPr>
    </w:p>
    <w:p w14:paraId="45CDCE7B">
      <w:pPr>
        <w:spacing w:line="360" w:lineRule="auto"/>
        <w:rPr>
          <w:rFonts w:hint="eastAsia" w:ascii="宋体" w:hAnsi="宋体" w:eastAsia="宋体" w:cs="宋体"/>
          <w:color w:val="auto"/>
          <w:sz w:val="24"/>
          <w:szCs w:val="24"/>
          <w:highlight w:val="none"/>
        </w:rPr>
      </w:pPr>
    </w:p>
    <w:p w14:paraId="6D85C2C1">
      <w:pPr>
        <w:spacing w:line="360" w:lineRule="auto"/>
        <w:rPr>
          <w:rFonts w:hint="eastAsia" w:ascii="宋体" w:hAnsi="宋体" w:eastAsia="宋体" w:cs="宋体"/>
          <w:color w:val="auto"/>
          <w:sz w:val="24"/>
          <w:szCs w:val="24"/>
          <w:highlight w:val="none"/>
        </w:rPr>
      </w:pPr>
    </w:p>
    <w:p w14:paraId="4D85779F">
      <w:pPr>
        <w:spacing w:line="360" w:lineRule="auto"/>
        <w:rPr>
          <w:rFonts w:hint="eastAsia" w:ascii="宋体" w:hAnsi="宋体" w:eastAsia="宋体" w:cs="宋体"/>
          <w:color w:val="auto"/>
          <w:sz w:val="24"/>
          <w:szCs w:val="24"/>
          <w:highlight w:val="none"/>
        </w:rPr>
      </w:pPr>
    </w:p>
    <w:p w14:paraId="5017D49A">
      <w:pPr>
        <w:spacing w:line="360" w:lineRule="auto"/>
        <w:rPr>
          <w:rFonts w:hint="eastAsia" w:ascii="宋体" w:hAnsi="宋体" w:eastAsia="宋体" w:cs="宋体"/>
          <w:color w:val="auto"/>
          <w:sz w:val="24"/>
          <w:szCs w:val="24"/>
          <w:highlight w:val="none"/>
        </w:rPr>
      </w:pPr>
    </w:p>
    <w:p w14:paraId="2EFB03AD">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注：此表应按投标人须知的规定另外再密封一份单独提交。</w:t>
      </w:r>
    </w:p>
    <w:p w14:paraId="05E93A8D">
      <w:pPr>
        <w:tabs>
          <w:tab w:val="left" w:pos="1365"/>
        </w:tabs>
        <w:spacing w:line="360" w:lineRule="auto"/>
        <w:jc w:val="center"/>
        <w:rPr>
          <w:rFonts w:hint="eastAsia" w:ascii="宋体" w:hAnsi="宋体" w:eastAsia="宋体" w:cs="宋体"/>
          <w:b/>
          <w:color w:val="auto"/>
          <w:sz w:val="30"/>
          <w:szCs w:val="30"/>
          <w:highlight w:val="none"/>
        </w:rPr>
      </w:pPr>
    </w:p>
    <w:p w14:paraId="41F99869">
      <w:pPr>
        <w:pStyle w:val="2"/>
        <w:numPr>
          <w:ilvl w:val="0"/>
          <w:numId w:val="0"/>
        </w:numPr>
        <w:ind w:left="540" w:leftChars="0"/>
        <w:rPr>
          <w:rFonts w:hint="eastAsia"/>
          <w:color w:val="auto"/>
          <w:highlight w:val="none"/>
        </w:rPr>
      </w:pPr>
    </w:p>
    <w:p w14:paraId="1014649B">
      <w:pPr>
        <w:pStyle w:val="2"/>
        <w:numPr>
          <w:ilvl w:val="0"/>
          <w:numId w:val="0"/>
        </w:numPr>
        <w:kinsoku w:val="0"/>
        <w:autoSpaceDE w:val="0"/>
        <w:autoSpaceDN w:val="0"/>
        <w:adjustRightInd w:val="0"/>
        <w:snapToGrid w:val="0"/>
        <w:spacing w:line="360" w:lineRule="auto"/>
        <w:textAlignment w:val="baseline"/>
        <w:rPr>
          <w:rFonts w:hint="eastAsia"/>
          <w:color w:val="auto"/>
          <w:highlight w:val="none"/>
        </w:rPr>
      </w:pPr>
    </w:p>
    <w:p w14:paraId="25E4E28B">
      <w:pPr>
        <w:pStyle w:val="2"/>
        <w:numPr>
          <w:ilvl w:val="0"/>
          <w:numId w:val="0"/>
        </w:numPr>
        <w:kinsoku w:val="0"/>
        <w:autoSpaceDE w:val="0"/>
        <w:autoSpaceDN w:val="0"/>
        <w:adjustRightInd w:val="0"/>
        <w:snapToGrid w:val="0"/>
        <w:spacing w:line="360" w:lineRule="auto"/>
        <w:textAlignment w:val="baseline"/>
        <w:rPr>
          <w:rFonts w:hint="eastAsia"/>
          <w:color w:val="auto"/>
          <w:highlight w:val="none"/>
        </w:rPr>
      </w:pPr>
    </w:p>
    <w:p w14:paraId="07F32A93">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5、投标报价明细表</w:t>
      </w:r>
    </w:p>
    <w:p w14:paraId="600EFA95">
      <w:pPr>
        <w:spacing w:line="48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报价说明：</w:t>
      </w:r>
    </w:p>
    <w:p w14:paraId="769736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采用总价的方式报价。</w:t>
      </w:r>
    </w:p>
    <w:p w14:paraId="569D8B3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报价必须包含完成采购方要求的一切可能的费用，无论本文件是否以文字形式规定，投标人应具备足够的专业知识和能力判定本项目所需的一切材料及货物，考虑各种未预见费用，采购方不接受任何可选择的报价。</w:t>
      </w:r>
    </w:p>
    <w:p w14:paraId="4072AD27">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 xml:space="preserve">表5.1 </w:t>
      </w:r>
    </w:p>
    <w:p w14:paraId="691ED132">
      <w:pPr>
        <w:tabs>
          <w:tab w:val="left" w:pos="1365"/>
        </w:tabs>
        <w:spacing w:line="360" w:lineRule="auto"/>
        <w:jc w:val="center"/>
        <w:rPr>
          <w:rFonts w:hint="eastAsia" w:ascii="宋体" w:hAnsi="宋体" w:eastAsia="宋体" w:cs="宋体"/>
          <w:b/>
          <w:color w:val="auto"/>
          <w:sz w:val="30"/>
          <w:szCs w:val="30"/>
          <w:highlight w:val="none"/>
        </w:rPr>
      </w:pPr>
      <w:bookmarkStart w:id="155" w:name="_Toc28852"/>
      <w:r>
        <w:rPr>
          <w:rFonts w:hint="eastAsia" w:ascii="宋体" w:hAnsi="宋体" w:eastAsia="宋体" w:cs="宋体"/>
          <w:b/>
          <w:color w:val="auto"/>
          <w:sz w:val="30"/>
          <w:szCs w:val="30"/>
          <w:highlight w:val="none"/>
        </w:rPr>
        <w:t>报价明细表</w:t>
      </w:r>
      <w:bookmarkEnd w:id="155"/>
    </w:p>
    <w:p w14:paraId="19B5E322">
      <w:pPr>
        <w:pStyle w:val="2"/>
        <w:numPr>
          <w:ilvl w:val="0"/>
          <w:numId w:val="0"/>
        </w:numPr>
        <w:rPr>
          <w:rFonts w:hint="eastAsia"/>
          <w:color w:val="auto"/>
          <w:highlight w:val="none"/>
        </w:rPr>
      </w:pPr>
    </w:p>
    <w:p w14:paraId="55E51509">
      <w:pPr>
        <w:tabs>
          <w:tab w:val="left" w:pos="1365"/>
        </w:tabs>
        <w:spacing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清单（包含</w:t>
      </w:r>
      <w:r>
        <w:rPr>
          <w:rFonts w:hint="eastAsia" w:ascii="宋体" w:hAnsi="宋体" w:eastAsia="宋体" w:cs="宋体"/>
          <w:b/>
          <w:color w:val="auto"/>
          <w:sz w:val="24"/>
          <w:szCs w:val="24"/>
          <w:highlight w:val="none"/>
          <w:lang w:val="en-US" w:eastAsia="zh-CN"/>
        </w:rPr>
        <w:t>序号、</w:t>
      </w:r>
      <w:r>
        <w:rPr>
          <w:rFonts w:hint="eastAsia" w:ascii="宋体" w:hAnsi="宋体" w:eastAsia="宋体" w:cs="宋体"/>
          <w:b/>
          <w:color w:val="auto"/>
          <w:sz w:val="24"/>
          <w:szCs w:val="24"/>
          <w:highlight w:val="none"/>
        </w:rPr>
        <w:t>货物名称、品牌、规格型号、产地、生产厂家、</w:t>
      </w:r>
      <w:r>
        <w:rPr>
          <w:rFonts w:hint="eastAsia" w:ascii="宋体" w:hAnsi="宋体" w:eastAsia="宋体" w:cs="宋体"/>
          <w:b/>
          <w:color w:val="auto"/>
          <w:sz w:val="24"/>
          <w:szCs w:val="24"/>
          <w:highlight w:val="none"/>
          <w:lang w:val="en-US" w:eastAsia="zh-CN"/>
        </w:rPr>
        <w:t>参数、</w:t>
      </w:r>
      <w:r>
        <w:rPr>
          <w:rFonts w:hint="eastAsia" w:ascii="宋体" w:hAnsi="宋体" w:eastAsia="宋体" w:cs="宋体"/>
          <w:b/>
          <w:color w:val="auto"/>
          <w:sz w:val="24"/>
          <w:szCs w:val="24"/>
          <w:highlight w:val="none"/>
        </w:rPr>
        <w:t>数量、</w:t>
      </w:r>
      <w:r>
        <w:rPr>
          <w:rFonts w:hint="eastAsia" w:ascii="宋体" w:hAnsi="宋体" w:eastAsia="宋体" w:cs="宋体"/>
          <w:b/>
          <w:color w:val="auto"/>
          <w:sz w:val="24"/>
          <w:szCs w:val="24"/>
          <w:highlight w:val="none"/>
          <w:lang w:val="en-US" w:eastAsia="zh-CN"/>
        </w:rPr>
        <w:t>单位、</w:t>
      </w:r>
      <w:r>
        <w:rPr>
          <w:rFonts w:hint="eastAsia" w:ascii="宋体" w:hAnsi="宋体" w:eastAsia="宋体" w:cs="宋体"/>
          <w:b/>
          <w:color w:val="auto"/>
          <w:sz w:val="24"/>
          <w:szCs w:val="24"/>
          <w:highlight w:val="none"/>
        </w:rPr>
        <w:t>单价、小计）</w:t>
      </w:r>
    </w:p>
    <w:tbl>
      <w:tblPr>
        <w:tblStyle w:val="22"/>
        <w:tblW w:w="5342" w:type="pct"/>
        <w:tblInd w:w="0" w:type="dxa"/>
        <w:tblLayout w:type="autofit"/>
        <w:tblCellMar>
          <w:top w:w="15" w:type="dxa"/>
          <w:left w:w="15" w:type="dxa"/>
          <w:bottom w:w="15" w:type="dxa"/>
          <w:right w:w="15" w:type="dxa"/>
        </w:tblCellMar>
      </w:tblPr>
      <w:tblGrid>
        <w:gridCol w:w="681"/>
        <w:gridCol w:w="1432"/>
        <w:gridCol w:w="884"/>
        <w:gridCol w:w="900"/>
        <w:gridCol w:w="681"/>
        <w:gridCol w:w="1359"/>
        <w:gridCol w:w="767"/>
        <w:gridCol w:w="626"/>
        <w:gridCol w:w="711"/>
        <w:gridCol w:w="1047"/>
        <w:gridCol w:w="971"/>
      </w:tblGrid>
      <w:tr w14:paraId="0C0305DA">
        <w:tblPrEx>
          <w:tblCellMar>
            <w:top w:w="15" w:type="dxa"/>
            <w:left w:w="15" w:type="dxa"/>
            <w:bottom w:w="15" w:type="dxa"/>
            <w:right w:w="15" w:type="dxa"/>
          </w:tblCellMar>
        </w:tblPrEx>
        <w:trPr>
          <w:trHeight w:val="777" w:hRule="atLeast"/>
        </w:trPr>
        <w:tc>
          <w:tcPr>
            <w:tcW w:w="681" w:type="dxa"/>
            <w:tcBorders>
              <w:top w:val="single" w:color="000000" w:sz="4" w:space="0"/>
              <w:left w:val="single" w:color="000000" w:sz="4" w:space="0"/>
              <w:bottom w:val="single" w:color="000000" w:sz="4" w:space="0"/>
              <w:right w:val="single" w:color="000000" w:sz="4" w:space="0"/>
            </w:tcBorders>
            <w:vAlign w:val="center"/>
          </w:tcPr>
          <w:p w14:paraId="6EB4ECB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序号</w:t>
            </w:r>
          </w:p>
        </w:tc>
        <w:tc>
          <w:tcPr>
            <w:tcW w:w="1432" w:type="dxa"/>
            <w:tcBorders>
              <w:top w:val="single" w:color="000000" w:sz="4" w:space="0"/>
              <w:left w:val="single" w:color="000000" w:sz="4" w:space="0"/>
              <w:bottom w:val="single" w:color="000000" w:sz="4" w:space="0"/>
              <w:right w:val="single" w:color="000000" w:sz="4" w:space="0"/>
            </w:tcBorders>
            <w:vAlign w:val="center"/>
          </w:tcPr>
          <w:p w14:paraId="1A3634E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货物名称</w:t>
            </w:r>
          </w:p>
        </w:tc>
        <w:tc>
          <w:tcPr>
            <w:tcW w:w="884" w:type="dxa"/>
            <w:tcBorders>
              <w:top w:val="single" w:color="000000" w:sz="4" w:space="0"/>
              <w:left w:val="single" w:color="000000" w:sz="4" w:space="0"/>
              <w:bottom w:val="single" w:color="000000" w:sz="4" w:space="0"/>
              <w:right w:val="single" w:color="000000" w:sz="4" w:space="0"/>
            </w:tcBorders>
            <w:vAlign w:val="center"/>
          </w:tcPr>
          <w:p w14:paraId="72EF2B6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 xml:space="preserve">品牌 </w:t>
            </w:r>
          </w:p>
        </w:tc>
        <w:tc>
          <w:tcPr>
            <w:tcW w:w="900" w:type="dxa"/>
            <w:tcBorders>
              <w:top w:val="single" w:color="000000" w:sz="4" w:space="0"/>
              <w:left w:val="single" w:color="000000" w:sz="4" w:space="0"/>
              <w:bottom w:val="single" w:color="000000" w:sz="4" w:space="0"/>
              <w:right w:val="single" w:color="000000" w:sz="4" w:space="0"/>
            </w:tcBorders>
            <w:vAlign w:val="center"/>
          </w:tcPr>
          <w:p w14:paraId="370C16D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规格</w:t>
            </w:r>
            <w:r>
              <w:rPr>
                <w:rFonts w:hint="eastAsia" w:ascii="宋体" w:hAnsi="宋体" w:eastAsia="宋体" w:cs="宋体"/>
                <w:b w:val="0"/>
                <w:bCs w:val="0"/>
                <w:color w:val="auto"/>
                <w:kern w:val="0"/>
                <w:sz w:val="21"/>
                <w:szCs w:val="21"/>
                <w:highlight w:val="none"/>
              </w:rPr>
              <w:t>型号</w:t>
            </w:r>
          </w:p>
        </w:tc>
        <w:tc>
          <w:tcPr>
            <w:tcW w:w="681" w:type="dxa"/>
            <w:tcBorders>
              <w:top w:val="single" w:color="000000" w:sz="4" w:space="0"/>
              <w:left w:val="single" w:color="000000" w:sz="4" w:space="0"/>
              <w:bottom w:val="single" w:color="000000" w:sz="4" w:space="0"/>
              <w:right w:val="single" w:color="000000" w:sz="4" w:space="0"/>
            </w:tcBorders>
            <w:vAlign w:val="center"/>
          </w:tcPr>
          <w:p w14:paraId="0CED45C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产地</w:t>
            </w:r>
          </w:p>
        </w:tc>
        <w:tc>
          <w:tcPr>
            <w:tcW w:w="1359" w:type="dxa"/>
            <w:tcBorders>
              <w:top w:val="single" w:color="000000" w:sz="4" w:space="0"/>
              <w:left w:val="single" w:color="000000" w:sz="4" w:space="0"/>
              <w:bottom w:val="single" w:color="000000" w:sz="4" w:space="0"/>
              <w:right w:val="single" w:color="000000" w:sz="4" w:space="0"/>
            </w:tcBorders>
            <w:vAlign w:val="center"/>
          </w:tcPr>
          <w:p w14:paraId="0BCF51F6">
            <w:pPr>
              <w:widowControl/>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生产厂家</w:t>
            </w:r>
          </w:p>
        </w:tc>
        <w:tc>
          <w:tcPr>
            <w:tcW w:w="767" w:type="dxa"/>
            <w:tcBorders>
              <w:top w:val="single" w:color="000000" w:sz="4" w:space="0"/>
              <w:left w:val="single" w:color="000000" w:sz="4" w:space="0"/>
              <w:bottom w:val="single" w:color="000000" w:sz="4" w:space="0"/>
              <w:right w:val="single" w:color="000000" w:sz="4" w:space="0"/>
            </w:tcBorders>
            <w:vAlign w:val="center"/>
          </w:tcPr>
          <w:p w14:paraId="5E2A4F18">
            <w:pPr>
              <w:widowControl/>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参数</w:t>
            </w:r>
          </w:p>
        </w:tc>
        <w:tc>
          <w:tcPr>
            <w:tcW w:w="626" w:type="dxa"/>
            <w:tcBorders>
              <w:top w:val="single" w:color="000000" w:sz="4" w:space="0"/>
              <w:left w:val="single" w:color="000000" w:sz="4" w:space="0"/>
              <w:bottom w:val="single" w:color="000000" w:sz="4" w:space="0"/>
              <w:right w:val="single" w:color="000000" w:sz="4" w:space="0"/>
            </w:tcBorders>
            <w:vAlign w:val="center"/>
          </w:tcPr>
          <w:p w14:paraId="35EEFD5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单位</w:t>
            </w:r>
          </w:p>
        </w:tc>
        <w:tc>
          <w:tcPr>
            <w:tcW w:w="711" w:type="dxa"/>
            <w:tcBorders>
              <w:top w:val="single" w:color="000000" w:sz="4" w:space="0"/>
              <w:left w:val="single" w:color="000000" w:sz="4" w:space="0"/>
              <w:bottom w:val="single" w:color="000000" w:sz="4" w:space="0"/>
              <w:right w:val="single" w:color="000000" w:sz="4" w:space="0"/>
            </w:tcBorders>
            <w:vAlign w:val="center"/>
          </w:tcPr>
          <w:p w14:paraId="0851752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数量</w:t>
            </w:r>
          </w:p>
        </w:tc>
        <w:tc>
          <w:tcPr>
            <w:tcW w:w="1047" w:type="dxa"/>
            <w:tcBorders>
              <w:top w:val="single" w:color="000000" w:sz="4" w:space="0"/>
              <w:left w:val="single" w:color="000000" w:sz="4" w:space="0"/>
              <w:bottom w:val="single" w:color="000000" w:sz="4" w:space="0"/>
              <w:right w:val="single" w:color="000000" w:sz="4" w:space="0"/>
            </w:tcBorders>
            <w:vAlign w:val="center"/>
          </w:tcPr>
          <w:p w14:paraId="483D6244">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单价</w:t>
            </w:r>
          </w:p>
          <w:p w14:paraId="57C8EDD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（元）</w:t>
            </w:r>
          </w:p>
        </w:tc>
        <w:tc>
          <w:tcPr>
            <w:tcW w:w="971" w:type="dxa"/>
            <w:tcBorders>
              <w:top w:val="single" w:color="000000" w:sz="4" w:space="0"/>
              <w:left w:val="single" w:color="000000" w:sz="4" w:space="0"/>
              <w:bottom w:val="single" w:color="000000" w:sz="4" w:space="0"/>
              <w:right w:val="single" w:color="000000" w:sz="4" w:space="0"/>
            </w:tcBorders>
            <w:vAlign w:val="center"/>
          </w:tcPr>
          <w:p w14:paraId="0400481B">
            <w:pPr>
              <w:widowControl/>
              <w:jc w:val="center"/>
              <w:textAlignment w:val="center"/>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小</w:t>
            </w:r>
            <w:r>
              <w:rPr>
                <w:rFonts w:hint="eastAsia" w:ascii="宋体" w:hAnsi="宋体" w:eastAsia="宋体" w:cs="宋体"/>
                <w:b w:val="0"/>
                <w:bCs w:val="0"/>
                <w:color w:val="auto"/>
                <w:kern w:val="0"/>
                <w:sz w:val="21"/>
                <w:szCs w:val="21"/>
                <w:highlight w:val="none"/>
              </w:rPr>
              <w:t>计</w:t>
            </w:r>
          </w:p>
          <w:p w14:paraId="0B1EAEC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（元）</w:t>
            </w:r>
          </w:p>
        </w:tc>
      </w:tr>
      <w:tr w14:paraId="25A9CC17">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1D8B4B52">
            <w:pPr>
              <w:widowControl/>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711" w:type="pct"/>
            <w:tcBorders>
              <w:top w:val="single" w:color="000000" w:sz="4" w:space="0"/>
              <w:left w:val="single" w:color="000000" w:sz="4" w:space="0"/>
              <w:bottom w:val="single" w:color="000000" w:sz="4" w:space="0"/>
              <w:right w:val="single" w:color="000000" w:sz="4" w:space="0"/>
            </w:tcBorders>
            <w:vAlign w:val="center"/>
          </w:tcPr>
          <w:p w14:paraId="240C473D">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30243CE6">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6CA2F040">
            <w:pPr>
              <w:widowControl/>
              <w:jc w:val="center"/>
              <w:textAlignment w:val="center"/>
              <w:rPr>
                <w:rFonts w:hint="eastAsia" w:ascii="宋体" w:hAnsi="宋体" w:eastAsia="宋体" w:cs="宋体"/>
                <w:b w:val="0"/>
                <w:bCs w:val="0"/>
                <w:color w:val="auto"/>
                <w:sz w:val="21"/>
                <w:szCs w:val="21"/>
                <w:highlight w:val="none"/>
                <w:u w:val="dotted"/>
                <w:lang w:val="en-US"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7296F170">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1E095A82">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277ED437">
            <w:pPr>
              <w:widowControl/>
              <w:jc w:val="left"/>
              <w:textAlignment w:val="center"/>
              <w:rPr>
                <w:rFonts w:hint="eastAsia" w:ascii="宋体" w:hAnsi="宋体" w:eastAsia="宋体" w:cs="宋体"/>
                <w:b w:val="0"/>
                <w:bCs w:val="0"/>
                <w:color w:val="auto"/>
                <w:sz w:val="21"/>
                <w:szCs w:val="21"/>
                <w:highlight w:val="none"/>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449898A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012CAE1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14C3F4A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4BC43ED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r>
      <w:tr w14:paraId="4CD12B1C">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4B7026C3">
            <w:pPr>
              <w:widowControl/>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711" w:type="pct"/>
            <w:tcBorders>
              <w:top w:val="single" w:color="000000" w:sz="4" w:space="0"/>
              <w:left w:val="single" w:color="000000" w:sz="4" w:space="0"/>
              <w:bottom w:val="single" w:color="000000" w:sz="4" w:space="0"/>
              <w:right w:val="single" w:color="000000" w:sz="4" w:space="0"/>
            </w:tcBorders>
            <w:vAlign w:val="center"/>
          </w:tcPr>
          <w:p w14:paraId="3674B793">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6BE087A1">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43EC9E31">
            <w:pPr>
              <w:widowControl/>
              <w:jc w:val="center"/>
              <w:textAlignment w:val="center"/>
              <w:rPr>
                <w:rFonts w:hint="eastAsia" w:ascii="宋体" w:hAnsi="宋体" w:eastAsia="宋体" w:cs="宋体"/>
                <w:b w:val="0"/>
                <w:bCs w:val="0"/>
                <w:color w:val="auto"/>
                <w:sz w:val="21"/>
                <w:szCs w:val="21"/>
                <w:highlight w:val="none"/>
                <w:u w:val="dotted"/>
                <w:lang w:val="en-US"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7008B679">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38CEB351">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7FD5650E">
            <w:pPr>
              <w:widowControl/>
              <w:jc w:val="left"/>
              <w:textAlignment w:val="center"/>
              <w:rPr>
                <w:rFonts w:hint="eastAsia" w:ascii="宋体" w:hAnsi="宋体" w:eastAsia="宋体" w:cs="宋体"/>
                <w:b w:val="0"/>
                <w:bCs w:val="0"/>
                <w:color w:val="auto"/>
                <w:sz w:val="21"/>
                <w:szCs w:val="21"/>
                <w:highlight w:val="none"/>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49B1D7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220971A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255FDA8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4106E2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r>
      <w:tr w14:paraId="165198A2">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51B2B4CB">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vAlign w:val="center"/>
          </w:tcPr>
          <w:p w14:paraId="1C1960F9">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3F8F0354">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4F0642DD">
            <w:pPr>
              <w:widowControl/>
              <w:jc w:val="center"/>
              <w:textAlignment w:val="center"/>
              <w:rPr>
                <w:rFonts w:hint="eastAsia" w:ascii="宋体" w:hAnsi="宋体" w:eastAsia="宋体" w:cs="宋体"/>
                <w:b w:val="0"/>
                <w:bCs w:val="0"/>
                <w:color w:val="auto"/>
                <w:sz w:val="21"/>
                <w:szCs w:val="21"/>
                <w:highlight w:val="none"/>
                <w:u w:val="dotted"/>
                <w:lang w:val="en-US"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06F2569A">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392E46B1">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5377D648">
            <w:pPr>
              <w:widowControl/>
              <w:jc w:val="left"/>
              <w:textAlignment w:val="center"/>
              <w:rPr>
                <w:rFonts w:hint="eastAsia" w:ascii="宋体" w:hAnsi="宋体" w:eastAsia="宋体" w:cs="宋体"/>
                <w:b w:val="0"/>
                <w:bCs w:val="0"/>
                <w:color w:val="auto"/>
                <w:sz w:val="21"/>
                <w:szCs w:val="21"/>
                <w:highlight w:val="none"/>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0BBEA9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65AD21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3FDF8F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29A769A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r>
      <w:tr w14:paraId="71D6ABDC">
        <w:tblPrEx>
          <w:tblCellMar>
            <w:top w:w="15" w:type="dxa"/>
            <w:left w:w="15" w:type="dxa"/>
            <w:bottom w:w="15" w:type="dxa"/>
            <w:right w:w="15" w:type="dxa"/>
          </w:tblCellMar>
        </w:tblPrEx>
        <w:trPr>
          <w:trHeight w:val="812"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31BD4E64">
            <w:pPr>
              <w:widowControl/>
              <w:jc w:val="center"/>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合计</w:t>
            </w:r>
          </w:p>
          <w:p w14:paraId="2C267C6E">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（元）</w:t>
            </w:r>
          </w:p>
        </w:tc>
        <w:tc>
          <w:tcPr>
            <w:tcW w:w="711" w:type="pct"/>
            <w:tcBorders>
              <w:top w:val="single" w:color="000000" w:sz="4" w:space="0"/>
              <w:left w:val="single" w:color="000000" w:sz="4" w:space="0"/>
              <w:bottom w:val="single" w:color="000000" w:sz="4" w:space="0"/>
              <w:right w:val="single" w:color="000000" w:sz="4" w:space="0"/>
            </w:tcBorders>
            <w:vAlign w:val="center"/>
          </w:tcPr>
          <w:p w14:paraId="69E1E8AE">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5DB40959">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67B30778">
            <w:pPr>
              <w:widowControl/>
              <w:jc w:val="center"/>
              <w:textAlignment w:val="center"/>
              <w:rPr>
                <w:rFonts w:hint="eastAsia" w:ascii="宋体" w:hAnsi="宋体" w:eastAsia="宋体" w:cs="宋体"/>
                <w:b w:val="0"/>
                <w:bCs w:val="0"/>
                <w:color w:val="auto"/>
                <w:sz w:val="21"/>
                <w:szCs w:val="21"/>
                <w:highlight w:val="none"/>
                <w:u w:val="dotted"/>
                <w:lang w:val="en-US"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580CC4CA">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1C229993">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3B565367">
            <w:pPr>
              <w:widowControl/>
              <w:jc w:val="left"/>
              <w:textAlignment w:val="center"/>
              <w:rPr>
                <w:rFonts w:hint="eastAsia" w:ascii="宋体" w:hAnsi="宋体" w:eastAsia="宋体" w:cs="宋体"/>
                <w:b w:val="0"/>
                <w:bCs w:val="0"/>
                <w:color w:val="auto"/>
                <w:sz w:val="21"/>
                <w:szCs w:val="21"/>
                <w:highlight w:val="none"/>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15D67E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124CF75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3A91517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2B0529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r>
    </w:tbl>
    <w:p w14:paraId="7EDF8D1B">
      <w:pPr>
        <w:pStyle w:val="2"/>
        <w:numPr>
          <w:ilvl w:val="0"/>
          <w:numId w:val="0"/>
        </w:numPr>
        <w:rPr>
          <w:rFonts w:hint="eastAsia" w:ascii="宋体" w:hAnsi="宋体" w:eastAsia="宋体" w:cs="宋体"/>
          <w:b/>
          <w:bCs/>
          <w:color w:val="auto"/>
          <w:sz w:val="24"/>
          <w:szCs w:val="24"/>
          <w:highlight w:val="none"/>
        </w:rPr>
      </w:pPr>
    </w:p>
    <w:p w14:paraId="439E6EA9">
      <w:pPr>
        <w:tabs>
          <w:tab w:val="left" w:pos="1365"/>
        </w:tabs>
        <w:spacing w:line="360" w:lineRule="auto"/>
        <w:jc w:val="left"/>
        <w:rPr>
          <w:rFonts w:hint="eastAsia" w:ascii="宋体" w:hAnsi="宋体" w:eastAsia="宋体" w:cs="宋体"/>
          <w:b/>
          <w:snapToGrid w:val="0"/>
          <w:color w:val="auto"/>
          <w:sz w:val="24"/>
          <w:szCs w:val="24"/>
          <w:highlight w:val="none"/>
          <w:lang w:val="en-US" w:eastAsia="zh-CN" w:bidi="ar-SA"/>
        </w:rPr>
      </w:pPr>
      <w:r>
        <w:rPr>
          <w:rFonts w:hint="eastAsia" w:ascii="宋体" w:hAnsi="宋体" w:eastAsia="宋体" w:cs="宋体"/>
          <w:b/>
          <w:color w:val="auto"/>
          <w:sz w:val="24"/>
          <w:szCs w:val="24"/>
          <w:highlight w:val="none"/>
        </w:rPr>
        <w:t>注：1、</w:t>
      </w:r>
      <w:r>
        <w:rPr>
          <w:rFonts w:hint="eastAsia" w:ascii="宋体" w:hAnsi="宋体" w:eastAsia="宋体" w:cs="宋体"/>
          <w:b/>
          <w:snapToGrid w:val="0"/>
          <w:color w:val="auto"/>
          <w:sz w:val="24"/>
          <w:szCs w:val="24"/>
          <w:highlight w:val="none"/>
          <w:lang w:val="en-US" w:eastAsia="zh-CN" w:bidi="ar-SA"/>
        </w:rPr>
        <w:t>清单中各项必须填写完整，不能以空格、斜杠等其它形式代替，不能有合并单元格。</w:t>
      </w:r>
    </w:p>
    <w:p w14:paraId="10F42A40">
      <w:pPr>
        <w:tabs>
          <w:tab w:val="left" w:pos="1365"/>
        </w:tabs>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snapToGrid w:val="0"/>
          <w:color w:val="auto"/>
          <w:sz w:val="24"/>
          <w:szCs w:val="24"/>
          <w:highlight w:val="none"/>
          <w:lang w:val="en-US" w:eastAsia="zh-CN" w:bidi="ar-SA"/>
        </w:rPr>
        <w:t>2、</w:t>
      </w:r>
      <w:r>
        <w:rPr>
          <w:rFonts w:hint="eastAsia" w:ascii="宋体" w:hAnsi="宋体" w:eastAsia="宋体" w:cs="宋体"/>
          <w:b/>
          <w:color w:val="auto"/>
          <w:sz w:val="24"/>
          <w:szCs w:val="24"/>
          <w:highlight w:val="none"/>
        </w:rPr>
        <w:t>投标报价应包括货物款、附件款、运输费、安装调试费、税费、保险费及到达指定地点交付验收前的其它一切费用。</w:t>
      </w:r>
    </w:p>
    <w:p w14:paraId="6B2EF2C0">
      <w:pPr>
        <w:tabs>
          <w:tab w:val="left" w:pos="1365"/>
        </w:tabs>
        <w:spacing w:line="360" w:lineRule="auto"/>
        <w:jc w:val="center"/>
        <w:rPr>
          <w:rFonts w:hint="eastAsia" w:ascii="宋体" w:hAnsi="宋体" w:eastAsia="宋体" w:cs="宋体"/>
          <w:b/>
          <w:color w:val="auto"/>
          <w:sz w:val="30"/>
          <w:szCs w:val="30"/>
          <w:highlight w:val="none"/>
        </w:rPr>
      </w:pPr>
    </w:p>
    <w:p w14:paraId="7E0C9C64">
      <w:pPr>
        <w:pStyle w:val="38"/>
        <w:rPr>
          <w:rFonts w:hint="eastAsia" w:ascii="宋体" w:hAnsi="宋体" w:eastAsia="宋体" w:cs="宋体"/>
          <w:b/>
          <w:color w:val="auto"/>
          <w:sz w:val="30"/>
          <w:szCs w:val="30"/>
          <w:highlight w:val="none"/>
        </w:rPr>
      </w:pPr>
    </w:p>
    <w:p w14:paraId="30DA2A7B">
      <w:pPr>
        <w:pStyle w:val="38"/>
        <w:rPr>
          <w:rFonts w:hint="eastAsia" w:ascii="宋体" w:hAnsi="宋体" w:eastAsia="宋体" w:cs="宋体"/>
          <w:b/>
          <w:color w:val="auto"/>
          <w:sz w:val="30"/>
          <w:szCs w:val="30"/>
          <w:highlight w:val="none"/>
        </w:rPr>
      </w:pPr>
    </w:p>
    <w:p w14:paraId="22F396FF">
      <w:pPr>
        <w:pStyle w:val="38"/>
        <w:rPr>
          <w:rFonts w:hint="eastAsia" w:ascii="宋体" w:hAnsi="宋体" w:eastAsia="宋体" w:cs="宋体"/>
          <w:b/>
          <w:color w:val="auto"/>
          <w:sz w:val="30"/>
          <w:szCs w:val="30"/>
          <w:highlight w:val="none"/>
        </w:rPr>
      </w:pPr>
    </w:p>
    <w:p w14:paraId="5EF31D3C">
      <w:pPr>
        <w:pStyle w:val="38"/>
        <w:rPr>
          <w:rFonts w:hint="eastAsia" w:ascii="宋体" w:hAnsi="宋体" w:eastAsia="宋体" w:cs="宋体"/>
          <w:b/>
          <w:color w:val="auto"/>
          <w:sz w:val="30"/>
          <w:szCs w:val="30"/>
          <w:highlight w:val="none"/>
        </w:rPr>
      </w:pPr>
    </w:p>
    <w:p w14:paraId="31075401">
      <w:pPr>
        <w:pStyle w:val="38"/>
        <w:rPr>
          <w:rFonts w:hint="eastAsia" w:ascii="宋体" w:hAnsi="宋体" w:eastAsia="宋体" w:cs="宋体"/>
          <w:b/>
          <w:color w:val="auto"/>
          <w:sz w:val="30"/>
          <w:szCs w:val="30"/>
          <w:highlight w:val="none"/>
        </w:rPr>
      </w:pPr>
    </w:p>
    <w:p w14:paraId="701EBAA9">
      <w:pPr>
        <w:pStyle w:val="38"/>
        <w:rPr>
          <w:rFonts w:hint="eastAsia" w:ascii="宋体" w:hAnsi="宋体" w:eastAsia="宋体" w:cs="宋体"/>
          <w:b/>
          <w:color w:val="auto"/>
          <w:sz w:val="30"/>
          <w:szCs w:val="30"/>
          <w:highlight w:val="none"/>
        </w:rPr>
      </w:pPr>
    </w:p>
    <w:p w14:paraId="58172A56">
      <w:pPr>
        <w:pStyle w:val="38"/>
        <w:rPr>
          <w:rFonts w:hint="eastAsia" w:ascii="宋体" w:hAnsi="宋体" w:eastAsia="宋体" w:cs="宋体"/>
          <w:b/>
          <w:color w:val="auto"/>
          <w:sz w:val="30"/>
          <w:szCs w:val="30"/>
          <w:highlight w:val="none"/>
        </w:rPr>
      </w:pPr>
    </w:p>
    <w:p w14:paraId="6360F9EA">
      <w:pPr>
        <w:pStyle w:val="38"/>
        <w:rPr>
          <w:rFonts w:hint="eastAsia" w:ascii="宋体" w:hAnsi="宋体" w:eastAsia="宋体" w:cs="宋体"/>
          <w:b/>
          <w:color w:val="auto"/>
          <w:sz w:val="30"/>
          <w:szCs w:val="30"/>
          <w:highlight w:val="none"/>
        </w:rPr>
      </w:pPr>
    </w:p>
    <w:p w14:paraId="0B6F12A6">
      <w:pPr>
        <w:pStyle w:val="38"/>
        <w:rPr>
          <w:rFonts w:hint="eastAsia" w:ascii="宋体" w:hAnsi="宋体" w:eastAsia="宋体" w:cs="宋体"/>
          <w:b/>
          <w:color w:val="auto"/>
          <w:sz w:val="30"/>
          <w:szCs w:val="30"/>
          <w:highlight w:val="none"/>
        </w:rPr>
      </w:pPr>
    </w:p>
    <w:p w14:paraId="4F09E286">
      <w:pPr>
        <w:pStyle w:val="38"/>
        <w:rPr>
          <w:rFonts w:hint="eastAsia" w:ascii="宋体" w:hAnsi="宋体" w:eastAsia="宋体" w:cs="宋体"/>
          <w:b/>
          <w:color w:val="auto"/>
          <w:sz w:val="30"/>
          <w:szCs w:val="30"/>
          <w:highlight w:val="none"/>
        </w:rPr>
      </w:pPr>
    </w:p>
    <w:p w14:paraId="3DFDB993">
      <w:pPr>
        <w:pStyle w:val="38"/>
        <w:rPr>
          <w:rFonts w:hint="eastAsia" w:ascii="宋体" w:hAnsi="宋体" w:eastAsia="宋体" w:cs="宋体"/>
          <w:b/>
          <w:color w:val="auto"/>
          <w:sz w:val="30"/>
          <w:szCs w:val="30"/>
          <w:highlight w:val="none"/>
        </w:rPr>
      </w:pPr>
    </w:p>
    <w:p w14:paraId="7BFB4130">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6、投标货物技术文件</w:t>
      </w:r>
    </w:p>
    <w:p w14:paraId="26E81485">
      <w:pPr>
        <w:pStyle w:val="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投标人应根据自身的实力以及经验，结合采购人需求编制科学、合理、可行性的项目</w:t>
      </w:r>
      <w:r>
        <w:rPr>
          <w:rFonts w:hint="eastAsia" w:ascii="宋体" w:hAnsi="宋体" w:eastAsia="宋体" w:cs="宋体"/>
          <w:b/>
          <w:color w:val="auto"/>
          <w:kern w:val="0"/>
          <w:sz w:val="24"/>
          <w:szCs w:val="24"/>
          <w:highlight w:val="none"/>
          <w:lang w:val="zh-CN"/>
        </w:rPr>
        <w:t>技术方案、实施方案及产品简介等相关介绍</w:t>
      </w:r>
      <w:r>
        <w:rPr>
          <w:rFonts w:hint="eastAsia" w:ascii="宋体" w:hAnsi="宋体" w:eastAsia="宋体" w:cs="宋体"/>
          <w:b/>
          <w:color w:val="auto"/>
          <w:sz w:val="24"/>
          <w:szCs w:val="24"/>
          <w:highlight w:val="none"/>
        </w:rPr>
        <w:t>：</w:t>
      </w:r>
    </w:p>
    <w:p w14:paraId="4EF16A4A">
      <w:pPr>
        <w:pStyle w:val="5"/>
        <w:spacing w:line="360" w:lineRule="auto"/>
        <w:rPr>
          <w:rFonts w:hint="eastAsia" w:ascii="宋体" w:hAnsi="宋体" w:eastAsia="宋体" w:cs="宋体"/>
          <w:b/>
          <w:color w:val="auto"/>
          <w:kern w:val="0"/>
          <w:sz w:val="24"/>
          <w:szCs w:val="24"/>
          <w:highlight w:val="none"/>
        </w:rPr>
      </w:pPr>
    </w:p>
    <w:p w14:paraId="0279D745">
      <w:pPr>
        <w:pStyle w:val="4"/>
        <w:ind w:left="210" w:right="210"/>
        <w:rPr>
          <w:color w:val="auto"/>
          <w:szCs w:val="21"/>
          <w:highlight w:val="none"/>
          <w:lang w:eastAsia="zh-CN"/>
        </w:rPr>
      </w:pPr>
      <w:r>
        <w:rPr>
          <w:rFonts w:hint="eastAsia" w:ascii="宋体" w:hAnsi="宋体" w:eastAsia="宋体" w:cs="宋体"/>
          <w:b/>
          <w:color w:val="auto"/>
          <w:kern w:val="0"/>
          <w:sz w:val="24"/>
          <w:szCs w:val="24"/>
          <w:highlight w:val="none"/>
          <w:lang w:val="zh-CN"/>
        </w:rPr>
        <w:br w:type="page"/>
      </w:r>
      <w:bookmarkStart w:id="156" w:name="_Toc13665"/>
      <w:bookmarkStart w:id="157" w:name="_Toc424468855"/>
      <w:r>
        <w:rPr>
          <w:rFonts w:hint="eastAsia"/>
          <w:color w:val="auto"/>
          <w:szCs w:val="21"/>
          <w:highlight w:val="none"/>
          <w:lang w:eastAsia="zh-CN"/>
        </w:rPr>
        <w:t>6.1：商务条款偏离表</w:t>
      </w:r>
      <w:bookmarkEnd w:id="156"/>
    </w:p>
    <w:p w14:paraId="68A33CD0">
      <w:pPr>
        <w:jc w:val="center"/>
        <w:rPr>
          <w:rFonts w:ascii="宋体" w:hAnsi="宋体"/>
          <w:b/>
          <w:color w:val="auto"/>
          <w:sz w:val="22"/>
          <w:szCs w:val="22"/>
          <w:highlight w:val="none"/>
          <w:lang w:eastAsia="zh-CN"/>
        </w:rPr>
      </w:pPr>
    </w:p>
    <w:p w14:paraId="2EF80DF3">
      <w:pPr>
        <w:spacing w:line="360" w:lineRule="auto"/>
        <w:jc w:val="center"/>
        <w:rPr>
          <w:rFonts w:hint="eastAsia" w:ascii="宋体" w:hAnsi="宋体" w:cs="宋体"/>
          <w:b/>
          <w:bCs/>
          <w:color w:val="auto"/>
          <w:sz w:val="32"/>
          <w:szCs w:val="40"/>
          <w:highlight w:val="none"/>
          <w:lang w:eastAsia="zh-CN"/>
        </w:rPr>
      </w:pPr>
      <w:r>
        <w:rPr>
          <w:rFonts w:hint="eastAsia" w:ascii="宋体" w:hAnsi="宋体" w:cs="宋体"/>
          <w:b/>
          <w:bCs/>
          <w:color w:val="auto"/>
          <w:sz w:val="32"/>
          <w:szCs w:val="40"/>
          <w:highlight w:val="none"/>
          <w:lang w:eastAsia="zh-CN"/>
        </w:rPr>
        <w:t>商务条款偏离表</w:t>
      </w:r>
    </w:p>
    <w:p w14:paraId="6D1BDDE5">
      <w:pPr>
        <w:spacing w:line="360" w:lineRule="auto"/>
        <w:jc w:val="both"/>
        <w:rPr>
          <w:rFonts w:ascii="宋体" w:hAnsi="宋体" w:cs="宋体"/>
          <w:b/>
          <w:bCs/>
          <w:color w:val="auto"/>
          <w:sz w:val="40"/>
          <w:szCs w:val="40"/>
          <w:highlight w:val="none"/>
          <w:u w:val="single"/>
          <w:lang w:eastAsia="zh-CN"/>
        </w:rPr>
      </w:pPr>
      <w:r>
        <w:rPr>
          <w:rFonts w:hint="eastAsia" w:ascii="宋体" w:hAnsi="宋体"/>
          <w:color w:val="auto"/>
          <w:highlight w:val="none"/>
          <w:lang w:eastAsia="zh-CN"/>
        </w:rPr>
        <w:t>项目名称：</w:t>
      </w:r>
      <w:r>
        <w:rPr>
          <w:rFonts w:hint="eastAsia" w:ascii="宋体" w:hAnsi="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lang w:eastAsia="zh-CN"/>
        </w:rPr>
        <w:t xml:space="preserve">   </w:t>
      </w:r>
      <w:r>
        <w:rPr>
          <w:rFonts w:ascii="宋体" w:hAnsi="宋体"/>
          <w:color w:val="auto"/>
          <w:highlight w:val="none"/>
          <w:lang w:eastAsia="zh-CN"/>
        </w:rPr>
        <w:t xml:space="preserve"> </w:t>
      </w:r>
      <w:r>
        <w:rPr>
          <w:rFonts w:hint="eastAsia" w:ascii="宋体" w:hAnsi="宋体"/>
          <w:color w:val="auto"/>
          <w:highlight w:val="none"/>
          <w:lang w:eastAsia="zh-CN"/>
        </w:rPr>
        <w:t xml:space="preserve">            项目编号：</w:t>
      </w:r>
      <w:r>
        <w:rPr>
          <w:rFonts w:hint="eastAsia" w:ascii="宋体" w:hAnsi="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 xml:space="preserve">        </w:t>
      </w:r>
    </w:p>
    <w:tbl>
      <w:tblPr>
        <w:tblStyle w:val="22"/>
        <w:tblpPr w:leftFromText="180" w:rightFromText="180" w:vertAnchor="text" w:horzAnchor="page" w:tblpX="1638" w:tblpY="24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13"/>
        <w:gridCol w:w="3318"/>
        <w:gridCol w:w="3050"/>
        <w:gridCol w:w="1124"/>
        <w:gridCol w:w="1172"/>
      </w:tblGrid>
      <w:tr w14:paraId="062C641E">
        <w:tblPrEx>
          <w:tblCellMar>
            <w:top w:w="0" w:type="dxa"/>
            <w:left w:w="0" w:type="dxa"/>
            <w:bottom w:w="0" w:type="dxa"/>
            <w:right w:w="0" w:type="dxa"/>
          </w:tblCellMar>
        </w:tblPrEx>
        <w:trPr>
          <w:cantSplit/>
          <w:trHeight w:val="715" w:hRule="atLeast"/>
        </w:trPr>
        <w:tc>
          <w:tcPr>
            <w:tcW w:w="713" w:type="dxa"/>
            <w:tcMar>
              <w:top w:w="15" w:type="dxa"/>
              <w:left w:w="15" w:type="dxa"/>
              <w:bottom w:w="0" w:type="dxa"/>
              <w:right w:w="15" w:type="dxa"/>
            </w:tcMar>
            <w:vAlign w:val="center"/>
          </w:tcPr>
          <w:p w14:paraId="36A90320">
            <w:pPr>
              <w:spacing w:before="120" w:beforeLines="50" w:after="120" w:afterLines="50" w:line="240" w:lineRule="exact"/>
              <w:jc w:val="center"/>
              <w:rPr>
                <w:rFonts w:ascii="宋体" w:hAnsi="宋体" w:cs="宋体"/>
                <w:color w:val="auto"/>
                <w:highlight w:val="none"/>
                <w:lang w:val="zh-CN"/>
              </w:rPr>
            </w:pPr>
            <w:r>
              <w:rPr>
                <w:rFonts w:hint="eastAsia" w:ascii="宋体" w:hAnsi="宋体" w:cs="宋体"/>
                <w:color w:val="auto"/>
                <w:highlight w:val="none"/>
                <w:lang w:val="zh-CN"/>
              </w:rPr>
              <w:t>序号</w:t>
            </w:r>
          </w:p>
        </w:tc>
        <w:tc>
          <w:tcPr>
            <w:tcW w:w="3318" w:type="dxa"/>
            <w:tcMar>
              <w:top w:w="15" w:type="dxa"/>
              <w:left w:w="15" w:type="dxa"/>
              <w:bottom w:w="0" w:type="dxa"/>
              <w:right w:w="15" w:type="dxa"/>
            </w:tcMar>
            <w:vAlign w:val="center"/>
          </w:tcPr>
          <w:p w14:paraId="50AB8ECF">
            <w:pPr>
              <w:spacing w:before="120" w:beforeLines="50" w:after="120" w:afterLines="50" w:line="240" w:lineRule="exact"/>
              <w:jc w:val="center"/>
              <w:rPr>
                <w:rFonts w:ascii="宋体" w:hAnsi="宋体" w:cs="宋体"/>
                <w:color w:val="auto"/>
                <w:highlight w:val="none"/>
                <w:lang w:val="zh-CN" w:eastAsia="zh-CN"/>
              </w:rPr>
            </w:pPr>
            <w:r>
              <w:rPr>
                <w:rFonts w:hint="eastAsia" w:ascii="宋体" w:hAnsi="宋体" w:cs="宋体"/>
                <w:color w:val="auto"/>
                <w:highlight w:val="none"/>
                <w:lang w:val="zh-CN" w:eastAsia="zh-CN"/>
              </w:rPr>
              <w:t>采购文件商务要求</w:t>
            </w:r>
          </w:p>
        </w:tc>
        <w:tc>
          <w:tcPr>
            <w:tcW w:w="3050" w:type="dxa"/>
            <w:tcMar>
              <w:top w:w="15" w:type="dxa"/>
              <w:left w:w="15" w:type="dxa"/>
              <w:bottom w:w="0" w:type="dxa"/>
              <w:right w:w="15" w:type="dxa"/>
            </w:tcMar>
            <w:vAlign w:val="center"/>
          </w:tcPr>
          <w:p w14:paraId="6827C774">
            <w:pPr>
              <w:spacing w:before="120" w:beforeLines="50" w:after="120" w:afterLines="50" w:line="240" w:lineRule="exact"/>
              <w:jc w:val="center"/>
              <w:rPr>
                <w:rFonts w:ascii="宋体" w:hAnsi="宋体" w:cs="宋体"/>
                <w:color w:val="auto"/>
                <w:highlight w:val="none"/>
                <w:lang w:val="zh-CN"/>
              </w:rPr>
            </w:pPr>
            <w:r>
              <w:rPr>
                <w:rFonts w:hint="eastAsia" w:ascii="宋体" w:hAnsi="宋体" w:cs="宋体"/>
                <w:color w:val="auto"/>
                <w:highlight w:val="none"/>
                <w:lang w:val="zh-CN"/>
              </w:rPr>
              <w:t>投标文件商务应答</w:t>
            </w:r>
          </w:p>
        </w:tc>
        <w:tc>
          <w:tcPr>
            <w:tcW w:w="1124" w:type="dxa"/>
            <w:tcMar>
              <w:top w:w="15" w:type="dxa"/>
              <w:left w:w="15" w:type="dxa"/>
              <w:bottom w:w="0" w:type="dxa"/>
              <w:right w:w="15" w:type="dxa"/>
            </w:tcMar>
            <w:vAlign w:val="center"/>
          </w:tcPr>
          <w:p w14:paraId="68678A30">
            <w:pPr>
              <w:spacing w:before="120" w:beforeLines="50" w:after="120" w:afterLines="50" w:line="240" w:lineRule="exact"/>
              <w:jc w:val="center"/>
              <w:rPr>
                <w:rFonts w:ascii="宋体" w:hAnsi="宋体" w:cs="宋体"/>
                <w:color w:val="auto"/>
                <w:highlight w:val="none"/>
                <w:lang w:val="zh-CN"/>
              </w:rPr>
            </w:pPr>
            <w:r>
              <w:rPr>
                <w:rFonts w:hint="eastAsia" w:ascii="宋体" w:hAnsi="宋体" w:cs="宋体"/>
                <w:color w:val="auto"/>
                <w:highlight w:val="none"/>
                <w:lang w:val="zh-CN"/>
              </w:rPr>
              <w:t>偏离情况</w:t>
            </w:r>
          </w:p>
        </w:tc>
        <w:tc>
          <w:tcPr>
            <w:tcW w:w="1172" w:type="dxa"/>
            <w:tcMar>
              <w:top w:w="15" w:type="dxa"/>
              <w:left w:w="15" w:type="dxa"/>
              <w:bottom w:w="0" w:type="dxa"/>
              <w:right w:w="15" w:type="dxa"/>
            </w:tcMar>
            <w:vAlign w:val="center"/>
          </w:tcPr>
          <w:p w14:paraId="6F7DB4DB">
            <w:pPr>
              <w:spacing w:before="120" w:beforeLines="50" w:after="120" w:afterLines="50" w:line="240" w:lineRule="exact"/>
              <w:jc w:val="center"/>
              <w:rPr>
                <w:rFonts w:ascii="宋体" w:hAnsi="宋体" w:cs="宋体"/>
                <w:color w:val="auto"/>
                <w:highlight w:val="none"/>
                <w:lang w:val="zh-CN"/>
              </w:rPr>
            </w:pPr>
            <w:r>
              <w:rPr>
                <w:rFonts w:hint="eastAsia" w:ascii="宋体" w:hAnsi="宋体" w:cs="宋体"/>
                <w:color w:val="auto"/>
                <w:highlight w:val="none"/>
                <w:lang w:val="zh-CN"/>
              </w:rPr>
              <w:t>说明</w:t>
            </w:r>
          </w:p>
        </w:tc>
      </w:tr>
      <w:tr w14:paraId="3AF6A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22903B59">
            <w:pPr>
              <w:spacing w:line="360" w:lineRule="exact"/>
              <w:jc w:val="center"/>
              <w:rPr>
                <w:rFonts w:ascii="宋体" w:hAnsi="宋体" w:cs="宋体"/>
                <w:color w:val="auto"/>
                <w:highlight w:val="none"/>
              </w:rPr>
            </w:pPr>
            <w:r>
              <w:rPr>
                <w:rFonts w:hint="eastAsia" w:ascii="宋体" w:hAnsi="宋体" w:cs="宋体"/>
                <w:color w:val="auto"/>
                <w:highlight w:val="none"/>
              </w:rPr>
              <w:t>1</w:t>
            </w:r>
          </w:p>
        </w:tc>
        <w:tc>
          <w:tcPr>
            <w:tcW w:w="3318" w:type="dxa"/>
            <w:tcMar>
              <w:top w:w="15" w:type="dxa"/>
              <w:left w:w="15" w:type="dxa"/>
              <w:bottom w:w="0" w:type="dxa"/>
              <w:right w:w="15" w:type="dxa"/>
            </w:tcMar>
            <w:vAlign w:val="center"/>
          </w:tcPr>
          <w:p w14:paraId="7E57C914">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12B9D880">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36BE1394">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4048CFAB">
            <w:pPr>
              <w:spacing w:line="360" w:lineRule="exact"/>
              <w:jc w:val="center"/>
              <w:rPr>
                <w:rFonts w:ascii="宋体" w:hAnsi="宋体" w:cs="宋体"/>
                <w:color w:val="auto"/>
                <w:highlight w:val="none"/>
              </w:rPr>
            </w:pPr>
          </w:p>
        </w:tc>
      </w:tr>
      <w:tr w14:paraId="7A0D0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42435886">
            <w:pPr>
              <w:spacing w:line="360" w:lineRule="exact"/>
              <w:jc w:val="center"/>
              <w:rPr>
                <w:rFonts w:ascii="宋体" w:hAnsi="宋体" w:cs="宋体"/>
                <w:color w:val="auto"/>
                <w:highlight w:val="none"/>
              </w:rPr>
            </w:pPr>
            <w:r>
              <w:rPr>
                <w:rFonts w:hint="eastAsia" w:ascii="宋体" w:hAnsi="宋体" w:cs="宋体"/>
                <w:color w:val="auto"/>
                <w:highlight w:val="none"/>
              </w:rPr>
              <w:t>2</w:t>
            </w:r>
          </w:p>
        </w:tc>
        <w:tc>
          <w:tcPr>
            <w:tcW w:w="3318" w:type="dxa"/>
            <w:tcMar>
              <w:top w:w="15" w:type="dxa"/>
              <w:left w:w="15" w:type="dxa"/>
              <w:bottom w:w="0" w:type="dxa"/>
              <w:right w:w="15" w:type="dxa"/>
            </w:tcMar>
            <w:vAlign w:val="center"/>
          </w:tcPr>
          <w:p w14:paraId="5A42448D">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35EF52C4">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6BB53073">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6654EBC9">
            <w:pPr>
              <w:spacing w:line="360" w:lineRule="exact"/>
              <w:jc w:val="center"/>
              <w:rPr>
                <w:rFonts w:ascii="宋体" w:hAnsi="宋体" w:cs="宋体"/>
                <w:color w:val="auto"/>
                <w:highlight w:val="none"/>
              </w:rPr>
            </w:pPr>
          </w:p>
        </w:tc>
      </w:tr>
      <w:tr w14:paraId="3379B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63CC897B">
            <w:pPr>
              <w:spacing w:line="360" w:lineRule="exact"/>
              <w:jc w:val="center"/>
              <w:rPr>
                <w:rFonts w:ascii="宋体" w:hAnsi="宋体" w:cs="宋体"/>
                <w:color w:val="auto"/>
                <w:highlight w:val="none"/>
              </w:rPr>
            </w:pPr>
            <w:r>
              <w:rPr>
                <w:rFonts w:hint="eastAsia" w:ascii="宋体" w:hAnsi="宋体" w:cs="宋体"/>
                <w:color w:val="auto"/>
                <w:highlight w:val="none"/>
              </w:rPr>
              <w:t>3</w:t>
            </w:r>
          </w:p>
        </w:tc>
        <w:tc>
          <w:tcPr>
            <w:tcW w:w="3318" w:type="dxa"/>
            <w:tcMar>
              <w:top w:w="15" w:type="dxa"/>
              <w:left w:w="15" w:type="dxa"/>
              <w:bottom w:w="0" w:type="dxa"/>
              <w:right w:w="15" w:type="dxa"/>
            </w:tcMar>
            <w:vAlign w:val="center"/>
          </w:tcPr>
          <w:p w14:paraId="6B8F9A7E">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466305AE">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3914DF0A">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398B05BC">
            <w:pPr>
              <w:spacing w:line="360" w:lineRule="exact"/>
              <w:jc w:val="center"/>
              <w:rPr>
                <w:rFonts w:ascii="宋体" w:hAnsi="宋体" w:cs="宋体"/>
                <w:color w:val="auto"/>
                <w:highlight w:val="none"/>
              </w:rPr>
            </w:pPr>
          </w:p>
        </w:tc>
      </w:tr>
      <w:tr w14:paraId="2081C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34F6E416">
            <w:pPr>
              <w:spacing w:line="360" w:lineRule="exact"/>
              <w:jc w:val="center"/>
              <w:rPr>
                <w:rFonts w:ascii="宋体" w:hAnsi="宋体" w:cs="宋体"/>
                <w:color w:val="auto"/>
                <w:highlight w:val="none"/>
              </w:rPr>
            </w:pPr>
            <w:r>
              <w:rPr>
                <w:rFonts w:hint="eastAsia" w:ascii="宋体" w:hAnsi="宋体" w:cs="宋体"/>
                <w:color w:val="auto"/>
                <w:highlight w:val="none"/>
              </w:rPr>
              <w:t>4</w:t>
            </w:r>
          </w:p>
        </w:tc>
        <w:tc>
          <w:tcPr>
            <w:tcW w:w="3318" w:type="dxa"/>
            <w:tcMar>
              <w:top w:w="15" w:type="dxa"/>
              <w:left w:w="15" w:type="dxa"/>
              <w:bottom w:w="0" w:type="dxa"/>
              <w:right w:w="15" w:type="dxa"/>
            </w:tcMar>
            <w:vAlign w:val="center"/>
          </w:tcPr>
          <w:p w14:paraId="4F4DECEA">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29450856">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47C3DD76">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2AF1DD8A">
            <w:pPr>
              <w:spacing w:line="360" w:lineRule="exact"/>
              <w:jc w:val="center"/>
              <w:rPr>
                <w:rFonts w:ascii="宋体" w:hAnsi="宋体" w:cs="宋体"/>
                <w:color w:val="auto"/>
                <w:highlight w:val="none"/>
              </w:rPr>
            </w:pPr>
          </w:p>
        </w:tc>
      </w:tr>
      <w:tr w14:paraId="48228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1B03A5D2">
            <w:pPr>
              <w:spacing w:line="360" w:lineRule="exact"/>
              <w:jc w:val="center"/>
              <w:rPr>
                <w:rFonts w:ascii="宋体" w:hAnsi="宋体" w:cs="宋体"/>
                <w:color w:val="auto"/>
                <w:highlight w:val="none"/>
              </w:rPr>
            </w:pPr>
            <w:r>
              <w:rPr>
                <w:rFonts w:hint="eastAsia" w:ascii="宋体" w:hAnsi="宋体" w:cs="宋体"/>
                <w:color w:val="auto"/>
                <w:highlight w:val="none"/>
              </w:rPr>
              <w:t>5</w:t>
            </w:r>
          </w:p>
        </w:tc>
        <w:tc>
          <w:tcPr>
            <w:tcW w:w="3318" w:type="dxa"/>
            <w:tcMar>
              <w:top w:w="15" w:type="dxa"/>
              <w:left w:w="15" w:type="dxa"/>
              <w:bottom w:w="0" w:type="dxa"/>
              <w:right w:w="15" w:type="dxa"/>
            </w:tcMar>
            <w:vAlign w:val="center"/>
          </w:tcPr>
          <w:p w14:paraId="0B991074">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1AAF5055">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605B68B6">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063CFA17">
            <w:pPr>
              <w:spacing w:line="360" w:lineRule="exact"/>
              <w:jc w:val="center"/>
              <w:rPr>
                <w:rFonts w:ascii="宋体" w:hAnsi="宋体" w:cs="宋体"/>
                <w:color w:val="auto"/>
                <w:highlight w:val="none"/>
              </w:rPr>
            </w:pPr>
          </w:p>
        </w:tc>
      </w:tr>
      <w:tr w14:paraId="207F8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40" w:hRule="atLeast"/>
        </w:trPr>
        <w:tc>
          <w:tcPr>
            <w:tcW w:w="713" w:type="dxa"/>
            <w:tcMar>
              <w:top w:w="15" w:type="dxa"/>
              <w:left w:w="15" w:type="dxa"/>
              <w:bottom w:w="0" w:type="dxa"/>
              <w:right w:w="15" w:type="dxa"/>
            </w:tcMar>
            <w:vAlign w:val="center"/>
          </w:tcPr>
          <w:p w14:paraId="2CB26CD1">
            <w:pPr>
              <w:spacing w:line="360" w:lineRule="exact"/>
              <w:jc w:val="center"/>
              <w:rPr>
                <w:rFonts w:ascii="宋体" w:hAnsi="宋体" w:cs="宋体"/>
                <w:color w:val="auto"/>
                <w:highlight w:val="none"/>
              </w:rPr>
            </w:pPr>
            <w:r>
              <w:rPr>
                <w:rFonts w:hint="eastAsia" w:ascii="宋体" w:hAnsi="宋体" w:cs="宋体"/>
                <w:color w:val="auto"/>
                <w:highlight w:val="none"/>
              </w:rPr>
              <w:t>……</w:t>
            </w:r>
          </w:p>
        </w:tc>
        <w:tc>
          <w:tcPr>
            <w:tcW w:w="3318" w:type="dxa"/>
            <w:tcMar>
              <w:top w:w="15" w:type="dxa"/>
              <w:left w:w="15" w:type="dxa"/>
              <w:bottom w:w="0" w:type="dxa"/>
              <w:right w:w="15" w:type="dxa"/>
            </w:tcMar>
            <w:vAlign w:val="center"/>
          </w:tcPr>
          <w:p w14:paraId="245A31E2">
            <w:pPr>
              <w:spacing w:line="360" w:lineRule="exact"/>
              <w:jc w:val="center"/>
              <w:rPr>
                <w:rFonts w:ascii="宋体" w:hAnsi="宋体" w:cs="宋体"/>
                <w:color w:val="auto"/>
                <w:highlight w:val="none"/>
              </w:rPr>
            </w:pPr>
          </w:p>
        </w:tc>
        <w:tc>
          <w:tcPr>
            <w:tcW w:w="3050" w:type="dxa"/>
            <w:tcMar>
              <w:top w:w="15" w:type="dxa"/>
              <w:left w:w="15" w:type="dxa"/>
              <w:bottom w:w="0" w:type="dxa"/>
              <w:right w:w="15" w:type="dxa"/>
            </w:tcMar>
            <w:vAlign w:val="center"/>
          </w:tcPr>
          <w:p w14:paraId="24A0349C">
            <w:pPr>
              <w:spacing w:line="360" w:lineRule="exact"/>
              <w:jc w:val="center"/>
              <w:rPr>
                <w:rFonts w:ascii="宋体" w:hAnsi="宋体" w:cs="宋体"/>
                <w:color w:val="auto"/>
                <w:highlight w:val="none"/>
              </w:rPr>
            </w:pPr>
            <w:r>
              <w:rPr>
                <w:rFonts w:hint="eastAsia" w:ascii="宋体" w:hAnsi="宋体" w:cs="宋体"/>
                <w:color w:val="auto"/>
                <w:highlight w:val="none"/>
              </w:rPr>
              <w:t>　</w:t>
            </w:r>
          </w:p>
        </w:tc>
        <w:tc>
          <w:tcPr>
            <w:tcW w:w="1124" w:type="dxa"/>
            <w:tcMar>
              <w:top w:w="15" w:type="dxa"/>
              <w:left w:w="15" w:type="dxa"/>
              <w:bottom w:w="0" w:type="dxa"/>
              <w:right w:w="15" w:type="dxa"/>
            </w:tcMar>
            <w:vAlign w:val="center"/>
          </w:tcPr>
          <w:p w14:paraId="68E9BB9C">
            <w:pPr>
              <w:spacing w:line="360" w:lineRule="exact"/>
              <w:jc w:val="center"/>
              <w:rPr>
                <w:rFonts w:ascii="宋体" w:hAnsi="宋体" w:cs="宋体"/>
                <w:color w:val="auto"/>
                <w:highlight w:val="none"/>
              </w:rPr>
            </w:pPr>
          </w:p>
        </w:tc>
        <w:tc>
          <w:tcPr>
            <w:tcW w:w="1172" w:type="dxa"/>
            <w:tcMar>
              <w:top w:w="15" w:type="dxa"/>
              <w:left w:w="15" w:type="dxa"/>
              <w:bottom w:w="0" w:type="dxa"/>
              <w:right w:w="15" w:type="dxa"/>
            </w:tcMar>
            <w:vAlign w:val="center"/>
          </w:tcPr>
          <w:p w14:paraId="55686F7C">
            <w:pPr>
              <w:spacing w:line="360" w:lineRule="exact"/>
              <w:jc w:val="center"/>
              <w:rPr>
                <w:rFonts w:ascii="宋体" w:hAnsi="宋体" w:cs="宋体"/>
                <w:color w:val="auto"/>
                <w:highlight w:val="none"/>
              </w:rPr>
            </w:pPr>
          </w:p>
        </w:tc>
      </w:tr>
    </w:tbl>
    <w:p w14:paraId="0D08BACB">
      <w:pPr>
        <w:spacing w:line="360" w:lineRule="auto"/>
        <w:rPr>
          <w:rFonts w:hint="eastAsia" w:ascii="宋体" w:hAnsi="宋体" w:cs="宋体"/>
          <w:color w:val="auto"/>
          <w:highlight w:val="none"/>
        </w:rPr>
      </w:pPr>
    </w:p>
    <w:p w14:paraId="3B724C73">
      <w:pPr>
        <w:spacing w:line="360" w:lineRule="auto"/>
        <w:ind w:firstLine="570"/>
        <w:jc w:val="both"/>
        <w:rPr>
          <w:rFonts w:hint="eastAsia" w:ascii="宋体" w:hAnsi="宋体" w:eastAsia="宋体" w:cs="宋体"/>
          <w:color w:val="auto"/>
          <w:kern w:val="2"/>
          <w:sz w:val="21"/>
          <w:szCs w:val="21"/>
          <w:highlight w:val="none"/>
          <w:lang w:eastAsia="zh-CN"/>
        </w:rPr>
      </w:pPr>
      <w:r>
        <w:rPr>
          <w:rFonts w:hint="eastAsia" w:ascii="宋体" w:hAnsi="宋体" w:cs="宋体"/>
          <w:color w:val="auto"/>
          <w:sz w:val="21"/>
          <w:szCs w:val="21"/>
          <w:highlight w:val="none"/>
        </w:rPr>
        <w:t>注：</w:t>
      </w:r>
      <w:r>
        <w:rPr>
          <w:rFonts w:hint="eastAsia" w:ascii="宋体" w:hAnsi="宋体" w:eastAsia="宋体" w:cs="宋体"/>
          <w:color w:val="auto"/>
          <w:kern w:val="2"/>
          <w:sz w:val="21"/>
          <w:szCs w:val="21"/>
          <w:highlight w:val="none"/>
          <w:lang w:eastAsia="zh-CN"/>
        </w:rPr>
        <w:t>1.商务条款均应根据投标文件对采购文件的偏离情况相对应地填列。</w:t>
      </w:r>
    </w:p>
    <w:p w14:paraId="0E1303D4">
      <w:pPr>
        <w:spacing w:line="360" w:lineRule="auto"/>
        <w:ind w:firstLine="57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2.商务条款主要填列付款</w:t>
      </w:r>
      <w:r>
        <w:rPr>
          <w:rFonts w:hint="eastAsia" w:ascii="宋体" w:hAnsi="宋体" w:eastAsia="宋体" w:cs="宋体"/>
          <w:color w:val="auto"/>
          <w:kern w:val="2"/>
          <w:sz w:val="21"/>
          <w:szCs w:val="21"/>
          <w:highlight w:val="none"/>
          <w:lang w:val="en-US" w:eastAsia="zh-CN"/>
        </w:rPr>
        <w:t>方式</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合同履行期限</w:t>
      </w:r>
      <w:r>
        <w:rPr>
          <w:rFonts w:hint="eastAsia" w:ascii="宋体" w:hAnsi="宋体" w:eastAsia="宋体" w:cs="宋体"/>
          <w:color w:val="auto"/>
          <w:kern w:val="2"/>
          <w:sz w:val="21"/>
          <w:szCs w:val="21"/>
          <w:highlight w:val="none"/>
          <w:lang w:eastAsia="zh-CN"/>
        </w:rPr>
        <w:t>、供货地点、</w:t>
      </w:r>
      <w:r>
        <w:rPr>
          <w:rFonts w:hint="eastAsia" w:ascii="宋体" w:hAnsi="宋体" w:eastAsia="宋体" w:cs="宋体"/>
          <w:color w:val="auto"/>
          <w:kern w:val="2"/>
          <w:sz w:val="21"/>
          <w:szCs w:val="21"/>
          <w:highlight w:val="none"/>
          <w:lang w:val="en-US" w:eastAsia="zh-CN"/>
        </w:rPr>
        <w:t>投标有效期</w:t>
      </w:r>
      <w:r>
        <w:rPr>
          <w:rFonts w:hint="eastAsia" w:ascii="宋体" w:hAnsi="宋体" w:eastAsia="宋体" w:cs="宋体"/>
          <w:color w:val="auto"/>
          <w:kern w:val="2"/>
          <w:sz w:val="21"/>
          <w:szCs w:val="21"/>
          <w:highlight w:val="none"/>
          <w:lang w:eastAsia="zh-CN"/>
        </w:rPr>
        <w:t>等重要条款方面的偏离情况。</w:t>
      </w:r>
    </w:p>
    <w:p w14:paraId="5FD3B546">
      <w:pPr>
        <w:spacing w:line="360" w:lineRule="auto"/>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 3.表内如果填列不全，可另外附页说明并按规定签字和加盖公章。             </w:t>
      </w:r>
    </w:p>
    <w:p w14:paraId="6A265C3E">
      <w:pPr>
        <w:spacing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 xml:space="preserve"> 4.采购人要求</w:t>
      </w:r>
      <w:r>
        <w:rPr>
          <w:rFonts w:hint="eastAsia" w:ascii="宋体" w:hAnsi="宋体" w:cs="宋体"/>
          <w:color w:val="auto"/>
          <w:kern w:val="2"/>
          <w:sz w:val="21"/>
          <w:szCs w:val="21"/>
          <w:highlight w:val="none"/>
          <w:lang w:eastAsia="zh-CN"/>
        </w:rPr>
        <w:t>投标人</w:t>
      </w:r>
      <w:r>
        <w:rPr>
          <w:rFonts w:hint="eastAsia" w:ascii="宋体" w:hAnsi="宋体" w:eastAsia="宋体" w:cs="宋体"/>
          <w:color w:val="auto"/>
          <w:kern w:val="2"/>
          <w:sz w:val="21"/>
          <w:szCs w:val="21"/>
          <w:highlight w:val="none"/>
          <w:lang w:eastAsia="zh-CN"/>
        </w:rPr>
        <w:t>认真填写本表。</w:t>
      </w:r>
      <w:r>
        <w:rPr>
          <w:rFonts w:hint="eastAsia" w:ascii="宋体" w:hAnsi="宋体" w:eastAsia="宋体" w:cs="宋体"/>
          <w:color w:val="auto"/>
          <w:kern w:val="2"/>
          <w:sz w:val="21"/>
          <w:szCs w:val="21"/>
          <w:highlight w:val="none"/>
          <w:lang w:val="zh-CN" w:eastAsia="zh-CN"/>
        </w:rPr>
        <w:t>“偏离情况”</w:t>
      </w:r>
      <w:r>
        <w:rPr>
          <w:rFonts w:hint="eastAsia" w:ascii="宋体" w:hAnsi="宋体" w:eastAsia="宋体" w:cs="宋体"/>
          <w:color w:val="auto"/>
          <w:kern w:val="2"/>
          <w:sz w:val="21"/>
          <w:szCs w:val="21"/>
          <w:highlight w:val="none"/>
          <w:lang w:val="en-US" w:eastAsia="zh-CN"/>
        </w:rPr>
        <w:t>一</w:t>
      </w:r>
      <w:r>
        <w:rPr>
          <w:rFonts w:hint="eastAsia" w:ascii="宋体" w:hAnsi="宋体" w:eastAsia="宋体" w:cs="宋体"/>
          <w:color w:val="auto"/>
          <w:kern w:val="2"/>
          <w:sz w:val="21"/>
          <w:szCs w:val="21"/>
          <w:highlight w:val="none"/>
          <w:lang w:val="zh-CN" w:eastAsia="zh-CN"/>
        </w:rPr>
        <w:t>栏中</w:t>
      </w:r>
      <w:r>
        <w:rPr>
          <w:rFonts w:hint="eastAsia" w:ascii="宋体" w:hAnsi="宋体" w:eastAsia="宋体" w:cs="宋体"/>
          <w:color w:val="auto"/>
          <w:kern w:val="2"/>
          <w:sz w:val="21"/>
          <w:szCs w:val="21"/>
          <w:highlight w:val="none"/>
          <w:lang w:val="en-US" w:eastAsia="zh-CN"/>
        </w:rPr>
        <w:t>必须</w:t>
      </w:r>
      <w:r>
        <w:rPr>
          <w:rFonts w:hint="eastAsia" w:ascii="宋体" w:hAnsi="宋体" w:eastAsia="宋体" w:cs="宋体"/>
          <w:color w:val="auto"/>
          <w:kern w:val="2"/>
          <w:sz w:val="21"/>
          <w:szCs w:val="21"/>
          <w:highlight w:val="none"/>
          <w:lang w:val="zh-CN" w:eastAsia="zh-CN"/>
        </w:rPr>
        <w:t>如实</w:t>
      </w:r>
      <w:r>
        <w:rPr>
          <w:rFonts w:hint="eastAsia" w:ascii="宋体" w:hAnsi="宋体" w:eastAsia="宋体" w:cs="宋体"/>
          <w:color w:val="auto"/>
          <w:kern w:val="2"/>
          <w:sz w:val="21"/>
          <w:szCs w:val="21"/>
          <w:highlight w:val="none"/>
          <w:lang w:val="en-US" w:eastAsia="zh-CN"/>
        </w:rPr>
        <w:t>并按照商务要求的内容逐项</w:t>
      </w:r>
      <w:r>
        <w:rPr>
          <w:rFonts w:hint="eastAsia" w:ascii="宋体" w:hAnsi="宋体" w:eastAsia="宋体" w:cs="宋体"/>
          <w:color w:val="auto"/>
          <w:kern w:val="2"/>
          <w:sz w:val="21"/>
          <w:szCs w:val="21"/>
          <w:highlight w:val="none"/>
          <w:lang w:val="zh-CN" w:eastAsia="zh-CN"/>
        </w:rPr>
        <w:t>填写“正偏离”、“负偏离”或“无偏离”，投标人的响应必须完全满足或者正偏离，否则按照</w:t>
      </w:r>
      <w:r>
        <w:rPr>
          <w:rFonts w:hint="eastAsia" w:ascii="宋体" w:hAnsi="宋体" w:eastAsia="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CN" w:eastAsia="zh-CN"/>
        </w:rPr>
        <w:t>无效处理。</w:t>
      </w:r>
    </w:p>
    <w:p w14:paraId="4F1F255C">
      <w:pPr>
        <w:spacing w:line="360" w:lineRule="auto"/>
        <w:ind w:firstLine="420" w:firstLineChars="200"/>
        <w:jc w:val="both"/>
        <w:outlineLvl w:val="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 </w:t>
      </w:r>
      <w:bookmarkStart w:id="158" w:name="_Toc21807"/>
      <w:r>
        <w:rPr>
          <w:rFonts w:hint="eastAsia" w:ascii="宋体" w:hAnsi="宋体" w:eastAsia="宋体" w:cs="宋体"/>
          <w:color w:val="auto"/>
          <w:kern w:val="2"/>
          <w:sz w:val="21"/>
          <w:szCs w:val="21"/>
          <w:highlight w:val="none"/>
          <w:lang w:eastAsia="zh-CN"/>
        </w:rPr>
        <w:t>5.此表可根据需要自行拉长加宽。</w:t>
      </w:r>
      <w:bookmarkEnd w:id="158"/>
    </w:p>
    <w:p w14:paraId="4BCEC8AE">
      <w:pPr>
        <w:pStyle w:val="9"/>
        <w:ind w:left="366" w:firstLine="420"/>
        <w:rPr>
          <w:rFonts w:hAnsi="宋体" w:cs="宋体"/>
          <w:color w:val="auto"/>
          <w:sz w:val="21"/>
          <w:highlight w:val="none"/>
          <w:lang w:eastAsia="zh-CN"/>
        </w:rPr>
      </w:pPr>
    </w:p>
    <w:p w14:paraId="7F6E27A4">
      <w:pPr>
        <w:pStyle w:val="9"/>
        <w:ind w:left="366" w:firstLine="420"/>
        <w:rPr>
          <w:rFonts w:hAnsi="宋体" w:cs="宋体"/>
          <w:color w:val="auto"/>
          <w:sz w:val="21"/>
          <w:highlight w:val="none"/>
          <w:lang w:eastAsia="zh-CN"/>
        </w:rPr>
      </w:pPr>
    </w:p>
    <w:p w14:paraId="5B39F4BA">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7F2CD08C">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174995C5">
      <w:pPr>
        <w:pStyle w:val="9"/>
        <w:ind w:left="0" w:leftChars="0" w:firstLine="0" w:firstLineChars="0"/>
        <w:rPr>
          <w:rFonts w:hAnsi="宋体" w:cs="宋体"/>
          <w:color w:val="auto"/>
          <w:sz w:val="21"/>
          <w:highlight w:val="none"/>
          <w:lang w:eastAsia="zh-CN"/>
        </w:rPr>
      </w:pPr>
    </w:p>
    <w:p w14:paraId="16BF17D6">
      <w:pPr>
        <w:pStyle w:val="9"/>
        <w:ind w:left="366" w:firstLine="420"/>
        <w:jc w:val="right"/>
        <w:rPr>
          <w:rFonts w:hAnsi="宋体" w:cs="宋体"/>
          <w:color w:val="auto"/>
          <w:sz w:val="21"/>
          <w:highlight w:val="none"/>
          <w:lang w:eastAsia="zh-CN"/>
        </w:rPr>
      </w:pPr>
      <w:r>
        <w:rPr>
          <w:rFonts w:hint="eastAsia" w:hAnsi="宋体" w:cs="宋体"/>
          <w:bCs/>
          <w:color w:val="auto"/>
          <w:sz w:val="21"/>
          <w:highlight w:val="none"/>
          <w:lang w:eastAsia="zh-CN"/>
        </w:rPr>
        <w:t>日期:</w:t>
      </w:r>
      <w:r>
        <w:rPr>
          <w:rFonts w:hint="eastAsia" w:hAnsi="宋体" w:cs="宋体"/>
          <w:color w:val="auto"/>
          <w:sz w:val="21"/>
          <w:highlight w:val="none"/>
          <w:u w:val="single"/>
          <w:lang w:eastAsia="zh-CN"/>
        </w:rPr>
        <w:t xml:space="preserve">     </w:t>
      </w:r>
      <w:r>
        <w:rPr>
          <w:rFonts w:hint="eastAsia" w:hAnsi="宋体" w:cs="宋体"/>
          <w:color w:val="auto"/>
          <w:sz w:val="21"/>
          <w:highlight w:val="none"/>
          <w:lang w:eastAsia="zh-CN"/>
        </w:rPr>
        <w:t>年</w:t>
      </w:r>
      <w:r>
        <w:rPr>
          <w:rFonts w:hint="eastAsia" w:hAnsi="宋体" w:cs="宋体"/>
          <w:color w:val="auto"/>
          <w:sz w:val="21"/>
          <w:highlight w:val="none"/>
          <w:u w:val="single"/>
          <w:lang w:eastAsia="zh-CN"/>
        </w:rPr>
        <w:t xml:space="preserve">   </w:t>
      </w:r>
      <w:r>
        <w:rPr>
          <w:rFonts w:hint="eastAsia" w:hAnsi="宋体" w:cs="宋体"/>
          <w:color w:val="auto"/>
          <w:sz w:val="21"/>
          <w:highlight w:val="none"/>
          <w:lang w:eastAsia="zh-CN"/>
        </w:rPr>
        <w:t>月</w:t>
      </w:r>
      <w:r>
        <w:rPr>
          <w:rFonts w:hint="eastAsia" w:hAnsi="宋体" w:cs="宋体"/>
          <w:color w:val="auto"/>
          <w:sz w:val="21"/>
          <w:highlight w:val="none"/>
          <w:u w:val="single"/>
          <w:lang w:eastAsia="zh-CN"/>
        </w:rPr>
        <w:t xml:space="preserve">   </w:t>
      </w:r>
      <w:r>
        <w:rPr>
          <w:rFonts w:hint="eastAsia" w:hAnsi="宋体" w:cs="宋体"/>
          <w:color w:val="auto"/>
          <w:sz w:val="21"/>
          <w:highlight w:val="none"/>
          <w:lang w:eastAsia="zh-CN"/>
        </w:rPr>
        <w:t>日</w:t>
      </w:r>
    </w:p>
    <w:p w14:paraId="7B82C50A">
      <w:pPr>
        <w:spacing w:before="120" w:beforeLines="50" w:after="240" w:afterLines="100" w:line="420" w:lineRule="exact"/>
        <w:rPr>
          <w:rFonts w:ascii="宋体" w:hAnsi="宋体" w:cs="宋体"/>
          <w:b/>
          <w:color w:val="auto"/>
          <w:highlight w:val="none"/>
          <w:lang w:eastAsia="zh-CN"/>
        </w:rPr>
      </w:pPr>
    </w:p>
    <w:p w14:paraId="3E152FB7">
      <w:pPr>
        <w:jc w:val="both"/>
        <w:rPr>
          <w:rFonts w:ascii="宋体" w:hAnsi="宋体"/>
          <w:b/>
          <w:color w:val="auto"/>
          <w:sz w:val="22"/>
          <w:szCs w:val="22"/>
          <w:highlight w:val="none"/>
          <w:lang w:eastAsia="zh-CN"/>
        </w:rPr>
      </w:pPr>
    </w:p>
    <w:p w14:paraId="3415C5BA">
      <w:pPr>
        <w:pStyle w:val="4"/>
        <w:ind w:left="210" w:right="210"/>
        <w:rPr>
          <w:color w:val="auto"/>
          <w:szCs w:val="21"/>
          <w:highlight w:val="none"/>
          <w:lang w:eastAsia="zh-CN"/>
        </w:rPr>
      </w:pPr>
      <w:bookmarkStart w:id="159" w:name="_Toc19864"/>
      <w:r>
        <w:rPr>
          <w:rFonts w:hint="eastAsia"/>
          <w:color w:val="auto"/>
          <w:szCs w:val="21"/>
          <w:highlight w:val="none"/>
          <w:lang w:eastAsia="zh-CN"/>
        </w:rPr>
        <w:t>6.2：技术规格偏离表</w:t>
      </w:r>
      <w:bookmarkEnd w:id="159"/>
    </w:p>
    <w:p w14:paraId="59C19F09">
      <w:pPr>
        <w:spacing w:line="360" w:lineRule="auto"/>
        <w:jc w:val="center"/>
        <w:rPr>
          <w:rFonts w:ascii="宋体" w:hAnsi="宋体"/>
          <w:b/>
          <w:color w:val="auto"/>
          <w:sz w:val="28"/>
          <w:szCs w:val="28"/>
          <w:highlight w:val="none"/>
          <w:lang w:eastAsia="zh-CN"/>
        </w:rPr>
      </w:pPr>
      <w:r>
        <w:rPr>
          <w:rFonts w:hint="eastAsia" w:ascii="宋体" w:hAnsi="宋体"/>
          <w:b/>
          <w:color w:val="auto"/>
          <w:sz w:val="28"/>
          <w:szCs w:val="28"/>
          <w:highlight w:val="none"/>
          <w:lang w:eastAsia="zh-CN"/>
        </w:rPr>
        <w:t>技术规格偏离表</w:t>
      </w:r>
    </w:p>
    <w:p w14:paraId="7465A57A">
      <w:pPr>
        <w:spacing w:line="360" w:lineRule="auto"/>
        <w:rPr>
          <w:rFonts w:ascii="宋体" w:hAnsi="宋体"/>
          <w:color w:val="auto"/>
          <w:highlight w:val="none"/>
          <w:u w:val="single"/>
          <w:lang w:eastAsia="zh-CN"/>
        </w:rPr>
      </w:pPr>
      <w:r>
        <w:rPr>
          <w:rFonts w:hint="eastAsia" w:ascii="宋体" w:hAnsi="宋体"/>
          <w:color w:val="auto"/>
          <w:highlight w:val="none"/>
          <w:lang w:eastAsia="zh-CN"/>
        </w:rPr>
        <w:t>项目名称：</w:t>
      </w:r>
      <w:r>
        <w:rPr>
          <w:rFonts w:hint="eastAsia" w:ascii="宋体" w:hAnsi="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lang w:eastAsia="zh-CN"/>
        </w:rPr>
        <w:t xml:space="preserve">   </w:t>
      </w:r>
      <w:r>
        <w:rPr>
          <w:rFonts w:ascii="宋体" w:hAnsi="宋体"/>
          <w:color w:val="auto"/>
          <w:highlight w:val="none"/>
          <w:lang w:eastAsia="zh-CN"/>
        </w:rPr>
        <w:t xml:space="preserve"> </w:t>
      </w:r>
      <w:r>
        <w:rPr>
          <w:rFonts w:hint="eastAsia" w:ascii="宋体" w:hAnsi="宋体"/>
          <w:color w:val="auto"/>
          <w:highlight w:val="none"/>
          <w:lang w:eastAsia="zh-CN"/>
        </w:rPr>
        <w:t xml:space="preserve">            项目编号：</w:t>
      </w:r>
      <w:r>
        <w:rPr>
          <w:rFonts w:hint="eastAsia" w:ascii="宋体" w:hAnsi="宋体"/>
          <w:color w:val="auto"/>
          <w:highlight w:val="none"/>
          <w:u w:val="single"/>
          <w:lang w:eastAsia="zh-CN"/>
        </w:rPr>
        <w:t xml:space="preserve">   </w:t>
      </w:r>
      <w:r>
        <w:rPr>
          <w:rFonts w:ascii="宋体" w:hAnsi="宋体"/>
          <w:color w:val="auto"/>
          <w:highlight w:val="none"/>
          <w:u w:val="single"/>
          <w:lang w:eastAsia="zh-CN"/>
        </w:rPr>
        <w:t xml:space="preserve">    </w:t>
      </w:r>
      <w:r>
        <w:rPr>
          <w:rFonts w:hint="eastAsia" w:ascii="宋体" w:hAnsi="宋体"/>
          <w:color w:val="auto"/>
          <w:highlight w:val="none"/>
          <w:u w:val="single"/>
          <w:lang w:eastAsia="zh-CN"/>
        </w:rPr>
        <w:t xml:space="preserve">        </w:t>
      </w:r>
    </w:p>
    <w:tbl>
      <w:tblPr>
        <w:tblStyle w:val="22"/>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4"/>
        <w:gridCol w:w="3253"/>
        <w:gridCol w:w="2340"/>
        <w:gridCol w:w="1772"/>
        <w:gridCol w:w="1564"/>
      </w:tblGrid>
      <w:tr w14:paraId="0CA0F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12254703">
            <w:pPr>
              <w:spacing w:before="120" w:beforeLines="50" w:after="120" w:afterLines="50" w:line="240" w:lineRule="exact"/>
              <w:jc w:val="center"/>
              <w:rPr>
                <w:rFonts w:ascii="宋体" w:hAnsi="宋体" w:cs="宋体"/>
                <w:color w:val="auto"/>
                <w:highlight w:val="none"/>
              </w:rPr>
            </w:pPr>
            <w:r>
              <w:rPr>
                <w:rFonts w:hint="eastAsia" w:ascii="宋体" w:hAnsi="宋体" w:cs="宋体"/>
                <w:color w:val="auto"/>
                <w:highlight w:val="none"/>
              </w:rPr>
              <w:t>序号</w:t>
            </w:r>
          </w:p>
        </w:tc>
        <w:tc>
          <w:tcPr>
            <w:tcW w:w="2987" w:type="dxa"/>
            <w:tcBorders>
              <w:top w:val="single" w:color="000000" w:sz="4" w:space="0"/>
              <w:left w:val="single" w:color="000000" w:sz="4" w:space="0"/>
              <w:bottom w:val="single" w:color="000000" w:sz="4" w:space="0"/>
              <w:right w:val="single" w:color="000000" w:sz="4" w:space="0"/>
            </w:tcBorders>
          </w:tcPr>
          <w:p w14:paraId="12E821C9">
            <w:pPr>
              <w:spacing w:before="240" w:after="240"/>
              <w:jc w:val="center"/>
              <w:rPr>
                <w:rFonts w:ascii="宋体" w:hAnsi="宋体" w:cs="宋体"/>
                <w:color w:val="auto"/>
                <w:highlight w:val="none"/>
                <w:lang w:eastAsia="zh-CN"/>
              </w:rPr>
            </w:pPr>
            <w:r>
              <w:rPr>
                <w:rFonts w:hint="eastAsia" w:ascii="宋体" w:hAnsi="宋体"/>
                <w:color w:val="auto"/>
                <w:highlight w:val="none"/>
                <w:lang w:eastAsia="zh-CN"/>
              </w:rPr>
              <w:t>采购文件的技术条款</w:t>
            </w:r>
          </w:p>
        </w:tc>
        <w:tc>
          <w:tcPr>
            <w:tcW w:w="2147" w:type="dxa"/>
            <w:tcBorders>
              <w:top w:val="single" w:color="000000" w:sz="4" w:space="0"/>
              <w:left w:val="single" w:color="000000" w:sz="4" w:space="0"/>
              <w:bottom w:val="single" w:color="000000" w:sz="4" w:space="0"/>
              <w:right w:val="single" w:color="000000" w:sz="4" w:space="0"/>
            </w:tcBorders>
          </w:tcPr>
          <w:p w14:paraId="07E44AD1">
            <w:pPr>
              <w:spacing w:before="240" w:after="240"/>
              <w:jc w:val="center"/>
              <w:rPr>
                <w:rFonts w:ascii="宋体" w:hAnsi="宋体" w:cs="宋体"/>
                <w:color w:val="auto"/>
                <w:highlight w:val="none"/>
              </w:rPr>
            </w:pPr>
            <w:r>
              <w:rPr>
                <w:rFonts w:hint="eastAsia" w:ascii="宋体" w:hAnsi="宋体"/>
                <w:color w:val="auto"/>
                <w:highlight w:val="none"/>
                <w:lang w:eastAsia="zh-CN"/>
              </w:rPr>
              <w:t>投标文件</w:t>
            </w:r>
            <w:r>
              <w:rPr>
                <w:rFonts w:hint="eastAsia" w:ascii="宋体" w:hAnsi="宋体"/>
                <w:color w:val="auto"/>
                <w:highlight w:val="none"/>
              </w:rPr>
              <w:t>的技术条款</w:t>
            </w:r>
          </w:p>
        </w:tc>
        <w:tc>
          <w:tcPr>
            <w:tcW w:w="923" w:type="pct"/>
            <w:tcBorders>
              <w:top w:val="single" w:color="000000" w:sz="4" w:space="0"/>
              <w:left w:val="single" w:color="000000" w:sz="4" w:space="0"/>
              <w:bottom w:val="single" w:color="000000" w:sz="4" w:space="0"/>
              <w:right w:val="single" w:color="000000" w:sz="4" w:space="0"/>
            </w:tcBorders>
            <w:vAlign w:val="center"/>
          </w:tcPr>
          <w:p w14:paraId="53C732A3">
            <w:pPr>
              <w:spacing w:before="120" w:beforeLines="50" w:after="120" w:afterLines="50" w:line="240" w:lineRule="exact"/>
              <w:jc w:val="center"/>
              <w:rPr>
                <w:rFonts w:ascii="宋体" w:hAnsi="宋体" w:cs="宋体"/>
                <w:color w:val="auto"/>
                <w:highlight w:val="none"/>
                <w:lang w:eastAsia="zh-CN"/>
              </w:rPr>
            </w:pPr>
            <w:r>
              <w:rPr>
                <w:rFonts w:hint="eastAsia" w:ascii="宋体" w:hAnsi="宋体" w:cs="宋体"/>
                <w:color w:val="auto"/>
                <w:highlight w:val="none"/>
                <w:lang w:eastAsia="zh-CN"/>
              </w:rPr>
              <w:t>偏离情况</w:t>
            </w:r>
          </w:p>
          <w:p w14:paraId="785E3F1E">
            <w:pPr>
              <w:spacing w:before="120" w:beforeLines="50" w:after="120" w:afterLines="50" w:line="240" w:lineRule="exact"/>
              <w:jc w:val="center"/>
              <w:rPr>
                <w:rFonts w:ascii="宋体" w:hAnsi="宋体" w:cs="宋体"/>
                <w:color w:val="auto"/>
                <w:highlight w:val="none"/>
                <w:lang w:eastAsia="zh-CN"/>
              </w:rPr>
            </w:pPr>
            <w:r>
              <w:rPr>
                <w:rFonts w:hint="eastAsia" w:ascii="宋体" w:hAnsi="宋体" w:cs="宋体"/>
                <w:color w:val="auto"/>
                <w:highlight w:val="none"/>
                <w:lang w:eastAsia="zh-CN"/>
              </w:rPr>
              <w:t>（有/无偏离）</w:t>
            </w:r>
          </w:p>
        </w:tc>
        <w:tc>
          <w:tcPr>
            <w:tcW w:w="815" w:type="pct"/>
            <w:tcBorders>
              <w:top w:val="single" w:color="000000" w:sz="4" w:space="0"/>
              <w:left w:val="single" w:color="000000" w:sz="4" w:space="0"/>
              <w:bottom w:val="single" w:color="000000" w:sz="4" w:space="0"/>
              <w:right w:val="single" w:color="000000" w:sz="4" w:space="0"/>
            </w:tcBorders>
          </w:tcPr>
          <w:p w14:paraId="1EAB7D07">
            <w:pPr>
              <w:spacing w:before="120" w:beforeLines="50" w:after="120" w:afterLines="50" w:line="240" w:lineRule="exact"/>
              <w:jc w:val="center"/>
              <w:rPr>
                <w:rFonts w:ascii="宋体" w:hAnsi="宋体" w:cs="宋体"/>
                <w:color w:val="auto"/>
                <w:highlight w:val="none"/>
                <w:lang w:eastAsia="zh-CN"/>
              </w:rPr>
            </w:pPr>
            <w:r>
              <w:rPr>
                <w:rFonts w:hint="eastAsia" w:ascii="宋体" w:hAnsi="宋体" w:cs="宋体"/>
                <w:color w:val="auto"/>
                <w:highlight w:val="none"/>
                <w:lang w:eastAsia="zh-CN"/>
              </w:rPr>
              <w:t>相关证明材料（对应页码）（如有）</w:t>
            </w:r>
          </w:p>
        </w:tc>
      </w:tr>
      <w:tr w14:paraId="1FED9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2CB62A42">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1</w:t>
            </w:r>
          </w:p>
        </w:tc>
        <w:tc>
          <w:tcPr>
            <w:tcW w:w="1695" w:type="pct"/>
            <w:tcBorders>
              <w:top w:val="single" w:color="000000" w:sz="4" w:space="0"/>
              <w:left w:val="single" w:color="000000" w:sz="4" w:space="0"/>
              <w:bottom w:val="single" w:color="000000" w:sz="4" w:space="0"/>
              <w:right w:val="single" w:color="000000" w:sz="4" w:space="0"/>
            </w:tcBorders>
          </w:tcPr>
          <w:p w14:paraId="599B44B9">
            <w:pPr>
              <w:spacing w:before="120" w:beforeLines="50" w:after="120" w:afterLines="50"/>
              <w:jc w:val="center"/>
              <w:rPr>
                <w:rFonts w:ascii="宋体" w:hAnsi="宋体" w:cs="宋体"/>
                <w:color w:val="auto"/>
                <w:highlight w:val="none"/>
              </w:rPr>
            </w:pPr>
          </w:p>
        </w:tc>
        <w:tc>
          <w:tcPr>
            <w:tcW w:w="1219" w:type="pct"/>
            <w:tcBorders>
              <w:top w:val="single" w:color="000000" w:sz="4" w:space="0"/>
              <w:left w:val="single" w:color="000000" w:sz="4" w:space="0"/>
              <w:bottom w:val="single" w:color="000000" w:sz="4" w:space="0"/>
              <w:right w:val="single" w:color="000000" w:sz="4" w:space="0"/>
            </w:tcBorders>
          </w:tcPr>
          <w:p w14:paraId="459783CE">
            <w:pPr>
              <w:spacing w:before="120" w:beforeLines="50" w:after="120" w:afterLines="50" w:line="312" w:lineRule="auto"/>
              <w:jc w:val="center"/>
              <w:rPr>
                <w:rFonts w:ascii="宋体" w:hAnsi="宋体" w:cs="宋体"/>
                <w:color w:val="auto"/>
                <w:highlight w:val="none"/>
              </w:rPr>
            </w:pPr>
          </w:p>
        </w:tc>
        <w:tc>
          <w:tcPr>
            <w:tcW w:w="923" w:type="pct"/>
            <w:tcBorders>
              <w:top w:val="single" w:color="000000" w:sz="4" w:space="0"/>
              <w:left w:val="single" w:color="000000" w:sz="4" w:space="0"/>
              <w:bottom w:val="single" w:color="000000" w:sz="4" w:space="0"/>
              <w:right w:val="single" w:color="000000" w:sz="4" w:space="0"/>
            </w:tcBorders>
          </w:tcPr>
          <w:p w14:paraId="7543B9C6">
            <w:pPr>
              <w:spacing w:before="120" w:beforeLines="50" w:after="120" w:afterLines="50" w:line="312" w:lineRule="auto"/>
              <w:jc w:val="center"/>
              <w:rPr>
                <w:rFonts w:ascii="宋体" w:hAnsi="宋体" w:cs="宋体"/>
                <w:color w:val="auto"/>
                <w:highlight w:val="none"/>
              </w:rPr>
            </w:pPr>
          </w:p>
        </w:tc>
        <w:tc>
          <w:tcPr>
            <w:tcW w:w="815" w:type="pct"/>
            <w:tcBorders>
              <w:top w:val="single" w:color="000000" w:sz="4" w:space="0"/>
              <w:left w:val="single" w:color="000000" w:sz="4" w:space="0"/>
              <w:bottom w:val="single" w:color="000000" w:sz="4" w:space="0"/>
              <w:right w:val="single" w:color="000000" w:sz="4" w:space="0"/>
            </w:tcBorders>
          </w:tcPr>
          <w:p w14:paraId="739D570C">
            <w:pPr>
              <w:spacing w:before="120" w:beforeLines="50" w:after="120" w:afterLines="50" w:line="312" w:lineRule="auto"/>
              <w:jc w:val="center"/>
              <w:rPr>
                <w:rFonts w:ascii="宋体" w:hAnsi="宋体" w:cs="宋体"/>
                <w:color w:val="auto"/>
                <w:highlight w:val="none"/>
              </w:rPr>
            </w:pPr>
          </w:p>
        </w:tc>
      </w:tr>
      <w:tr w14:paraId="2CED1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551CDB1E">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2</w:t>
            </w:r>
          </w:p>
        </w:tc>
        <w:tc>
          <w:tcPr>
            <w:tcW w:w="1695" w:type="pct"/>
            <w:tcBorders>
              <w:top w:val="single" w:color="000000" w:sz="4" w:space="0"/>
              <w:left w:val="single" w:color="000000" w:sz="4" w:space="0"/>
              <w:bottom w:val="single" w:color="000000" w:sz="4" w:space="0"/>
              <w:right w:val="single" w:color="000000" w:sz="4" w:space="0"/>
            </w:tcBorders>
          </w:tcPr>
          <w:p w14:paraId="12E82765">
            <w:pPr>
              <w:spacing w:before="120" w:beforeLines="50" w:after="120" w:afterLines="50"/>
              <w:jc w:val="center"/>
              <w:rPr>
                <w:rFonts w:ascii="宋体" w:hAnsi="宋体" w:cs="宋体"/>
                <w:color w:val="auto"/>
                <w:highlight w:val="none"/>
              </w:rPr>
            </w:pPr>
          </w:p>
        </w:tc>
        <w:tc>
          <w:tcPr>
            <w:tcW w:w="1219" w:type="pct"/>
            <w:tcBorders>
              <w:top w:val="single" w:color="000000" w:sz="4" w:space="0"/>
              <w:left w:val="single" w:color="000000" w:sz="4" w:space="0"/>
              <w:bottom w:val="single" w:color="000000" w:sz="4" w:space="0"/>
              <w:right w:val="single" w:color="000000" w:sz="4" w:space="0"/>
            </w:tcBorders>
          </w:tcPr>
          <w:p w14:paraId="495CFC0C">
            <w:pPr>
              <w:spacing w:before="120" w:beforeLines="50" w:after="120" w:afterLines="50" w:line="312" w:lineRule="auto"/>
              <w:jc w:val="center"/>
              <w:rPr>
                <w:rFonts w:ascii="宋体" w:hAnsi="宋体" w:cs="宋体"/>
                <w:color w:val="auto"/>
                <w:highlight w:val="none"/>
              </w:rPr>
            </w:pPr>
          </w:p>
        </w:tc>
        <w:tc>
          <w:tcPr>
            <w:tcW w:w="923" w:type="pct"/>
            <w:tcBorders>
              <w:top w:val="single" w:color="000000" w:sz="4" w:space="0"/>
              <w:left w:val="single" w:color="000000" w:sz="4" w:space="0"/>
              <w:bottom w:val="single" w:color="000000" w:sz="4" w:space="0"/>
              <w:right w:val="single" w:color="000000" w:sz="4" w:space="0"/>
            </w:tcBorders>
          </w:tcPr>
          <w:p w14:paraId="50A4E549">
            <w:pPr>
              <w:spacing w:before="120" w:beforeLines="50" w:after="120" w:afterLines="50" w:line="312" w:lineRule="auto"/>
              <w:jc w:val="center"/>
              <w:rPr>
                <w:rFonts w:ascii="宋体" w:hAnsi="宋体" w:cs="宋体"/>
                <w:color w:val="auto"/>
                <w:highlight w:val="none"/>
              </w:rPr>
            </w:pPr>
          </w:p>
        </w:tc>
        <w:tc>
          <w:tcPr>
            <w:tcW w:w="815" w:type="pct"/>
            <w:tcBorders>
              <w:top w:val="single" w:color="000000" w:sz="4" w:space="0"/>
              <w:left w:val="single" w:color="000000" w:sz="4" w:space="0"/>
              <w:bottom w:val="single" w:color="000000" w:sz="4" w:space="0"/>
              <w:right w:val="single" w:color="000000" w:sz="4" w:space="0"/>
            </w:tcBorders>
          </w:tcPr>
          <w:p w14:paraId="682F8E97">
            <w:pPr>
              <w:spacing w:before="120" w:beforeLines="50" w:after="120" w:afterLines="50" w:line="312" w:lineRule="auto"/>
              <w:jc w:val="center"/>
              <w:rPr>
                <w:rFonts w:ascii="宋体" w:hAnsi="宋体" w:cs="宋体"/>
                <w:color w:val="auto"/>
                <w:highlight w:val="none"/>
              </w:rPr>
            </w:pPr>
          </w:p>
        </w:tc>
      </w:tr>
      <w:tr w14:paraId="58A7D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68AD59A3">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3</w:t>
            </w:r>
          </w:p>
        </w:tc>
        <w:tc>
          <w:tcPr>
            <w:tcW w:w="1695" w:type="pct"/>
            <w:tcBorders>
              <w:top w:val="single" w:color="000000" w:sz="4" w:space="0"/>
              <w:left w:val="single" w:color="000000" w:sz="4" w:space="0"/>
              <w:bottom w:val="single" w:color="000000" w:sz="4" w:space="0"/>
              <w:right w:val="single" w:color="000000" w:sz="4" w:space="0"/>
            </w:tcBorders>
          </w:tcPr>
          <w:p w14:paraId="2103D24A">
            <w:pPr>
              <w:spacing w:before="120" w:beforeLines="50" w:after="120" w:afterLines="50"/>
              <w:jc w:val="center"/>
              <w:rPr>
                <w:rFonts w:ascii="宋体" w:hAnsi="宋体" w:cs="宋体"/>
                <w:color w:val="auto"/>
                <w:highlight w:val="none"/>
              </w:rPr>
            </w:pPr>
          </w:p>
        </w:tc>
        <w:tc>
          <w:tcPr>
            <w:tcW w:w="1219" w:type="pct"/>
            <w:tcBorders>
              <w:top w:val="single" w:color="000000" w:sz="4" w:space="0"/>
              <w:left w:val="single" w:color="000000" w:sz="4" w:space="0"/>
              <w:bottom w:val="single" w:color="000000" w:sz="4" w:space="0"/>
              <w:right w:val="single" w:color="000000" w:sz="4" w:space="0"/>
            </w:tcBorders>
          </w:tcPr>
          <w:p w14:paraId="1277A4C9">
            <w:pPr>
              <w:spacing w:before="120" w:beforeLines="50" w:after="120" w:afterLines="50" w:line="312" w:lineRule="auto"/>
              <w:jc w:val="center"/>
              <w:rPr>
                <w:rFonts w:ascii="宋体" w:hAnsi="宋体" w:cs="宋体"/>
                <w:color w:val="auto"/>
                <w:highlight w:val="none"/>
              </w:rPr>
            </w:pPr>
          </w:p>
        </w:tc>
        <w:tc>
          <w:tcPr>
            <w:tcW w:w="923" w:type="pct"/>
            <w:tcBorders>
              <w:top w:val="single" w:color="000000" w:sz="4" w:space="0"/>
              <w:left w:val="single" w:color="000000" w:sz="4" w:space="0"/>
              <w:bottom w:val="single" w:color="000000" w:sz="4" w:space="0"/>
              <w:right w:val="single" w:color="000000" w:sz="4" w:space="0"/>
            </w:tcBorders>
          </w:tcPr>
          <w:p w14:paraId="00A75E32">
            <w:pPr>
              <w:spacing w:before="120" w:beforeLines="50" w:after="120" w:afterLines="50" w:line="312" w:lineRule="auto"/>
              <w:jc w:val="center"/>
              <w:rPr>
                <w:rFonts w:ascii="宋体" w:hAnsi="宋体" w:cs="宋体"/>
                <w:color w:val="auto"/>
                <w:highlight w:val="none"/>
              </w:rPr>
            </w:pPr>
          </w:p>
        </w:tc>
        <w:tc>
          <w:tcPr>
            <w:tcW w:w="815" w:type="pct"/>
            <w:tcBorders>
              <w:top w:val="single" w:color="000000" w:sz="4" w:space="0"/>
              <w:left w:val="single" w:color="000000" w:sz="4" w:space="0"/>
              <w:bottom w:val="single" w:color="000000" w:sz="4" w:space="0"/>
              <w:right w:val="single" w:color="000000" w:sz="4" w:space="0"/>
            </w:tcBorders>
          </w:tcPr>
          <w:p w14:paraId="51CB27DB">
            <w:pPr>
              <w:spacing w:before="120" w:beforeLines="50" w:after="120" w:afterLines="50" w:line="312" w:lineRule="auto"/>
              <w:jc w:val="center"/>
              <w:rPr>
                <w:rFonts w:ascii="宋体" w:hAnsi="宋体" w:cs="宋体"/>
                <w:color w:val="auto"/>
                <w:highlight w:val="none"/>
              </w:rPr>
            </w:pPr>
          </w:p>
        </w:tc>
      </w:tr>
      <w:tr w14:paraId="260F3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tcPr>
          <w:p w14:paraId="143DE32A">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w:t>
            </w:r>
          </w:p>
        </w:tc>
        <w:tc>
          <w:tcPr>
            <w:tcW w:w="1695" w:type="pct"/>
            <w:tcBorders>
              <w:top w:val="single" w:color="000000" w:sz="4" w:space="0"/>
              <w:left w:val="single" w:color="000000" w:sz="4" w:space="0"/>
              <w:bottom w:val="single" w:color="000000" w:sz="4" w:space="0"/>
              <w:right w:val="single" w:color="000000" w:sz="4" w:space="0"/>
            </w:tcBorders>
          </w:tcPr>
          <w:p w14:paraId="1BE989DD">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w:t>
            </w:r>
          </w:p>
        </w:tc>
        <w:tc>
          <w:tcPr>
            <w:tcW w:w="1219" w:type="pct"/>
            <w:tcBorders>
              <w:top w:val="single" w:color="000000" w:sz="4" w:space="0"/>
              <w:left w:val="single" w:color="000000" w:sz="4" w:space="0"/>
              <w:bottom w:val="single" w:color="000000" w:sz="4" w:space="0"/>
              <w:right w:val="single" w:color="000000" w:sz="4" w:space="0"/>
            </w:tcBorders>
          </w:tcPr>
          <w:p w14:paraId="3270F880">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w:t>
            </w:r>
          </w:p>
        </w:tc>
        <w:tc>
          <w:tcPr>
            <w:tcW w:w="923" w:type="pct"/>
            <w:tcBorders>
              <w:top w:val="single" w:color="000000" w:sz="4" w:space="0"/>
              <w:left w:val="single" w:color="000000" w:sz="4" w:space="0"/>
              <w:bottom w:val="single" w:color="000000" w:sz="4" w:space="0"/>
              <w:right w:val="single" w:color="000000" w:sz="4" w:space="0"/>
            </w:tcBorders>
          </w:tcPr>
          <w:p w14:paraId="6FF13BDA">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w:t>
            </w:r>
          </w:p>
        </w:tc>
        <w:tc>
          <w:tcPr>
            <w:tcW w:w="815" w:type="pct"/>
            <w:tcBorders>
              <w:top w:val="single" w:color="000000" w:sz="4" w:space="0"/>
              <w:left w:val="single" w:color="000000" w:sz="4" w:space="0"/>
              <w:bottom w:val="single" w:color="000000" w:sz="4" w:space="0"/>
              <w:right w:val="single" w:color="000000" w:sz="4" w:space="0"/>
            </w:tcBorders>
          </w:tcPr>
          <w:p w14:paraId="55C2CB3B">
            <w:pPr>
              <w:spacing w:before="120" w:beforeLines="50" w:after="120" w:afterLines="50" w:line="312" w:lineRule="auto"/>
              <w:jc w:val="center"/>
              <w:rPr>
                <w:rFonts w:ascii="宋体" w:hAnsi="宋体" w:cs="宋体"/>
                <w:color w:val="auto"/>
                <w:highlight w:val="none"/>
              </w:rPr>
            </w:pPr>
            <w:r>
              <w:rPr>
                <w:rFonts w:hint="eastAsia" w:ascii="宋体" w:hAnsi="宋体" w:cs="宋体"/>
                <w:color w:val="auto"/>
                <w:highlight w:val="none"/>
              </w:rPr>
              <w:t>……</w:t>
            </w:r>
          </w:p>
        </w:tc>
      </w:tr>
    </w:tbl>
    <w:p w14:paraId="52233ED7">
      <w:pPr>
        <w:spacing w:line="360" w:lineRule="auto"/>
        <w:rPr>
          <w:rFonts w:ascii="宋体" w:hAnsi="宋体"/>
          <w:color w:val="auto"/>
          <w:highlight w:val="none"/>
        </w:rPr>
      </w:pPr>
    </w:p>
    <w:p w14:paraId="27C18674">
      <w:pPr>
        <w:spacing w:line="360" w:lineRule="auto"/>
        <w:rPr>
          <w:rFonts w:hint="eastAsia" w:ascii="宋体" w:hAnsi="宋体"/>
          <w:color w:val="auto"/>
          <w:highlight w:val="none"/>
          <w:lang w:eastAsia="zh-CN"/>
        </w:rPr>
      </w:pPr>
      <w:r>
        <w:rPr>
          <w:rFonts w:hint="eastAsia" w:ascii="宋体" w:hAnsi="宋体"/>
          <w:color w:val="auto"/>
          <w:highlight w:val="none"/>
          <w:lang w:eastAsia="zh-CN"/>
        </w:rPr>
        <w:t>注：1.技术需求均应根据投标文件对采购文件的偏离情况相对应地填列。</w:t>
      </w:r>
    </w:p>
    <w:p w14:paraId="4FAF57F5">
      <w:pPr>
        <w:spacing w:line="360" w:lineRule="auto"/>
        <w:rPr>
          <w:rFonts w:hint="eastAsia" w:ascii="宋体" w:hAnsi="宋体"/>
          <w:color w:val="auto"/>
          <w:highlight w:val="none"/>
          <w:lang w:eastAsia="zh-CN"/>
        </w:rPr>
      </w:pPr>
      <w:r>
        <w:rPr>
          <w:rFonts w:hint="eastAsia" w:ascii="宋体" w:hAnsi="宋体"/>
          <w:color w:val="auto"/>
          <w:highlight w:val="none"/>
          <w:lang w:eastAsia="zh-CN"/>
        </w:rPr>
        <w:t xml:space="preserve">2.表内如果填列不全，可另外附页说明并按规定签字和加盖公章。             </w:t>
      </w:r>
    </w:p>
    <w:p w14:paraId="19B8D96E">
      <w:pPr>
        <w:spacing w:line="360" w:lineRule="auto"/>
        <w:rPr>
          <w:rFonts w:hint="eastAsia" w:ascii="宋体" w:hAnsi="宋体"/>
          <w:color w:val="auto"/>
          <w:highlight w:val="none"/>
          <w:lang w:eastAsia="zh-CN"/>
        </w:rPr>
      </w:pPr>
      <w:r>
        <w:rPr>
          <w:rFonts w:hint="eastAsia" w:ascii="宋体" w:hAnsi="宋体"/>
          <w:color w:val="auto"/>
          <w:highlight w:val="none"/>
          <w:lang w:eastAsia="zh-CN"/>
        </w:rPr>
        <w:t>3.采购人要求投标人认真填写本表。</w:t>
      </w:r>
    </w:p>
    <w:p w14:paraId="07372B7F">
      <w:pPr>
        <w:spacing w:line="360" w:lineRule="auto"/>
        <w:rPr>
          <w:rFonts w:ascii="宋体" w:hAnsi="宋体"/>
          <w:color w:val="auto"/>
          <w:highlight w:val="none"/>
          <w:lang w:eastAsia="zh-CN"/>
        </w:rPr>
      </w:pPr>
      <w:r>
        <w:rPr>
          <w:rFonts w:hint="eastAsia" w:ascii="宋体" w:hAnsi="宋体"/>
          <w:color w:val="auto"/>
          <w:highlight w:val="none"/>
          <w:lang w:eastAsia="zh-CN"/>
        </w:rPr>
        <w:t>4.此表可根据需要自行拉长加宽。</w:t>
      </w:r>
    </w:p>
    <w:p w14:paraId="0DED1503">
      <w:pPr>
        <w:spacing w:line="360" w:lineRule="auto"/>
        <w:rPr>
          <w:rFonts w:hint="eastAsia" w:ascii="宋体" w:hAnsi="宋体" w:cs="宋体"/>
          <w:color w:val="auto"/>
          <w:highlight w:val="none"/>
          <w:lang w:eastAsia="zh-CN"/>
        </w:rPr>
      </w:pPr>
    </w:p>
    <w:p w14:paraId="3406A7E8">
      <w:pPr>
        <w:spacing w:line="360" w:lineRule="auto"/>
        <w:rPr>
          <w:rFonts w:hint="eastAsia" w:ascii="宋体" w:hAnsi="宋体" w:cs="宋体"/>
          <w:color w:val="auto"/>
          <w:highlight w:val="none"/>
          <w:lang w:eastAsia="zh-CN"/>
        </w:rPr>
      </w:pPr>
    </w:p>
    <w:p w14:paraId="56E4DF1F">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72BBC799">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5F7EFB95">
      <w:pPr>
        <w:spacing w:before="120" w:line="360" w:lineRule="auto"/>
        <w:jc w:val="right"/>
        <w:rPr>
          <w:rFonts w:ascii="宋体" w:hAnsi="宋体" w:cs="宋体"/>
          <w:bCs/>
          <w:color w:val="auto"/>
          <w:highlight w:val="none"/>
          <w:lang w:eastAsia="zh-CN"/>
        </w:rPr>
      </w:pPr>
    </w:p>
    <w:p w14:paraId="1FBF0296">
      <w:pPr>
        <w:spacing w:before="120" w:line="360" w:lineRule="auto"/>
        <w:jc w:val="right"/>
        <w:rPr>
          <w:rFonts w:ascii="宋体" w:hAnsi="宋体" w:cs="宋体"/>
          <w:bCs/>
          <w:color w:val="auto"/>
          <w:highlight w:val="none"/>
          <w:lang w:eastAsia="zh-CN"/>
        </w:rPr>
      </w:pPr>
    </w:p>
    <w:p w14:paraId="39038A05">
      <w:pPr>
        <w:tabs>
          <w:tab w:val="left" w:pos="1365"/>
        </w:tabs>
        <w:spacing w:line="360" w:lineRule="auto"/>
        <w:jc w:val="center"/>
        <w:rPr>
          <w:rFonts w:ascii="宋体" w:hAnsi="宋体" w:cs="宋体"/>
          <w:color w:val="auto"/>
          <w:highlight w:val="none"/>
          <w:lang w:eastAsia="zh-CN"/>
        </w:rPr>
      </w:pPr>
      <w:r>
        <w:rPr>
          <w:rFonts w:hint="eastAsia" w:ascii="宋体" w:hAnsi="宋体" w:cs="宋体"/>
          <w:bCs/>
          <w:color w:val="auto"/>
          <w:highlight w:val="none"/>
          <w:lang w:val="en-US" w:eastAsia="zh-CN"/>
        </w:rPr>
        <w:t xml:space="preserve">                                   </w:t>
      </w:r>
      <w:r>
        <w:rPr>
          <w:rFonts w:hint="eastAsia" w:ascii="宋体" w:hAnsi="宋体" w:cs="宋体"/>
          <w:bCs/>
          <w:color w:val="auto"/>
          <w:highlight w:val="none"/>
          <w:lang w:eastAsia="zh-CN"/>
        </w:rPr>
        <w:t>日期:</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日</w:t>
      </w:r>
    </w:p>
    <w:p w14:paraId="72CCA39B">
      <w:pPr>
        <w:jc w:val="center"/>
        <w:rPr>
          <w:rFonts w:hint="eastAsia" w:ascii="宋体" w:hAnsi="宋体" w:eastAsia="宋体" w:cs="宋体"/>
          <w:b/>
          <w:color w:val="auto"/>
          <w:kern w:val="0"/>
          <w:sz w:val="24"/>
          <w:szCs w:val="24"/>
          <w:highlight w:val="none"/>
          <w:lang w:val="zh-CN"/>
        </w:rPr>
      </w:pPr>
    </w:p>
    <w:p w14:paraId="2AF21208">
      <w:pPr>
        <w:jc w:val="center"/>
        <w:rPr>
          <w:rFonts w:hint="eastAsia" w:ascii="宋体" w:hAnsi="宋体" w:eastAsia="宋体" w:cs="宋体"/>
          <w:b/>
          <w:color w:val="auto"/>
          <w:kern w:val="0"/>
          <w:sz w:val="24"/>
          <w:szCs w:val="24"/>
          <w:highlight w:val="none"/>
          <w:lang w:val="zh-CN"/>
        </w:rPr>
      </w:pPr>
    </w:p>
    <w:p w14:paraId="398E7C02">
      <w:pPr>
        <w:jc w:val="center"/>
        <w:rPr>
          <w:rFonts w:hint="eastAsia" w:ascii="宋体" w:hAnsi="宋体" w:eastAsia="宋体" w:cs="宋体"/>
          <w:b/>
          <w:color w:val="auto"/>
          <w:kern w:val="0"/>
          <w:sz w:val="24"/>
          <w:szCs w:val="24"/>
          <w:highlight w:val="none"/>
          <w:lang w:val="zh-CN"/>
        </w:rPr>
      </w:pPr>
    </w:p>
    <w:p w14:paraId="0CAF9AB2">
      <w:pPr>
        <w:jc w:val="center"/>
        <w:rPr>
          <w:rFonts w:hint="eastAsia" w:ascii="宋体" w:hAnsi="宋体" w:eastAsia="宋体" w:cs="宋体"/>
          <w:b/>
          <w:color w:val="auto"/>
          <w:kern w:val="0"/>
          <w:sz w:val="24"/>
          <w:szCs w:val="24"/>
          <w:highlight w:val="none"/>
          <w:lang w:val="zh-CN"/>
        </w:rPr>
      </w:pPr>
    </w:p>
    <w:p w14:paraId="7554AA2B">
      <w:pPr>
        <w:jc w:val="center"/>
        <w:rPr>
          <w:rFonts w:hint="eastAsia" w:ascii="宋体" w:hAnsi="宋体" w:eastAsia="宋体" w:cs="宋体"/>
          <w:b/>
          <w:color w:val="auto"/>
          <w:kern w:val="0"/>
          <w:sz w:val="24"/>
          <w:szCs w:val="24"/>
          <w:highlight w:val="none"/>
          <w:lang w:val="zh-CN"/>
        </w:rPr>
      </w:pPr>
    </w:p>
    <w:p w14:paraId="43E4768F">
      <w:pPr>
        <w:jc w:val="center"/>
        <w:rPr>
          <w:rFonts w:hint="eastAsia" w:ascii="宋体" w:hAnsi="宋体" w:eastAsia="宋体" w:cs="宋体"/>
          <w:b/>
          <w:color w:val="auto"/>
          <w:kern w:val="0"/>
          <w:sz w:val="24"/>
          <w:szCs w:val="24"/>
          <w:highlight w:val="none"/>
          <w:lang w:val="zh-CN"/>
        </w:rPr>
      </w:pPr>
    </w:p>
    <w:p w14:paraId="662C7E6D">
      <w:pPr>
        <w:pStyle w:val="2"/>
        <w:numPr>
          <w:ilvl w:val="0"/>
          <w:numId w:val="0"/>
        </w:numPr>
        <w:kinsoku w:val="0"/>
        <w:autoSpaceDE w:val="0"/>
        <w:autoSpaceDN w:val="0"/>
        <w:adjustRightInd w:val="0"/>
        <w:snapToGrid w:val="0"/>
        <w:spacing w:line="360" w:lineRule="auto"/>
        <w:textAlignment w:val="baseline"/>
        <w:rPr>
          <w:rFonts w:hint="eastAsia" w:ascii="宋体" w:hAnsi="宋体" w:eastAsia="宋体" w:cs="宋体"/>
          <w:b/>
          <w:color w:val="auto"/>
          <w:kern w:val="0"/>
          <w:sz w:val="24"/>
          <w:szCs w:val="24"/>
          <w:highlight w:val="none"/>
          <w:lang w:val="zh-CN"/>
        </w:rPr>
      </w:pPr>
    </w:p>
    <w:p w14:paraId="083CBBC9">
      <w:pPr>
        <w:jc w:val="both"/>
        <w:rPr>
          <w:rFonts w:hint="eastAsia" w:ascii="宋体" w:hAnsi="宋体" w:eastAsia="宋体" w:cs="宋体"/>
          <w:b/>
          <w:color w:val="auto"/>
          <w:kern w:val="0"/>
          <w:sz w:val="24"/>
          <w:szCs w:val="24"/>
          <w:highlight w:val="none"/>
          <w:lang w:val="zh-CN"/>
        </w:rPr>
      </w:pPr>
    </w:p>
    <w:p w14:paraId="502AA948">
      <w:pPr>
        <w:pStyle w:val="2"/>
        <w:rPr>
          <w:rFonts w:hint="eastAsia"/>
          <w:color w:val="auto"/>
          <w:highlight w:val="none"/>
          <w:lang w:val="zh-CN"/>
        </w:rPr>
      </w:pPr>
    </w:p>
    <w:p w14:paraId="2CDDA959">
      <w:pPr>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24"/>
          <w:szCs w:val="24"/>
          <w:highlight w:val="none"/>
          <w:lang w:val="zh-CN"/>
        </w:rPr>
        <w:t>7</w:t>
      </w:r>
      <w:r>
        <w:rPr>
          <w:rFonts w:hint="eastAsia" w:ascii="宋体" w:hAnsi="宋体" w:eastAsia="宋体" w:cs="宋体"/>
          <w:b/>
          <w:color w:val="auto"/>
          <w:sz w:val="32"/>
          <w:szCs w:val="32"/>
          <w:highlight w:val="none"/>
        </w:rPr>
        <w:t>、投标人资格声明</w:t>
      </w:r>
      <w:bookmarkEnd w:id="157"/>
    </w:p>
    <w:p w14:paraId="7448701A">
      <w:pPr>
        <w:autoSpaceDE w:val="0"/>
        <w:autoSpaceDN w:val="0"/>
        <w:adjustRightIn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u w:val="single"/>
          <w:lang w:val="zh-CN"/>
        </w:rPr>
        <w:t>采购人</w:t>
      </w:r>
      <w:r>
        <w:rPr>
          <w:rFonts w:hint="eastAsia" w:ascii="宋体" w:hAnsi="宋体" w:eastAsia="宋体" w:cs="宋体"/>
          <w:color w:val="auto"/>
          <w:sz w:val="24"/>
          <w:szCs w:val="24"/>
          <w:highlight w:val="none"/>
          <w:u w:val="single"/>
        </w:rPr>
        <w:t>名称}</w:t>
      </w:r>
    </w:p>
    <w:p w14:paraId="3E49B17A">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按照《中华人民共和国政府采购法》第</w:t>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zh-CN"/>
        </w:rPr>
        <w:t>条和你公司发布的《</w:t>
      </w:r>
      <w:r>
        <w:rPr>
          <w:rFonts w:hint="eastAsia" w:ascii="宋体" w:hAnsi="宋体" w:eastAsia="宋体" w:cs="宋体"/>
          <w:color w:val="auto"/>
          <w:sz w:val="24"/>
          <w:szCs w:val="24"/>
          <w:highlight w:val="none"/>
          <w:u w:val="single"/>
          <w:lang w:val="zh-CN"/>
        </w:rPr>
        <w:t>项目名称、项目编号</w:t>
      </w:r>
      <w:r>
        <w:rPr>
          <w:rFonts w:hint="eastAsia" w:ascii="宋体" w:hAnsi="宋体" w:eastAsia="宋体" w:cs="宋体"/>
          <w:color w:val="auto"/>
          <w:sz w:val="24"/>
          <w:szCs w:val="24"/>
          <w:highlight w:val="none"/>
          <w:lang w:val="zh-CN"/>
        </w:rPr>
        <w:t>招标文件》的规定，我公司郑重声明如下：</w:t>
      </w:r>
    </w:p>
    <w:p w14:paraId="2F3F38AF">
      <w:pPr>
        <w:autoSpaceDE w:val="0"/>
        <w:autoSpaceDN w:val="0"/>
        <w:adjustRightInd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、我公司是按照中华人民共和国法律在工商管理机关登记注册的企业法人，注册地点为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，公司全称为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，具有独立承担民事责任的能力。</w:t>
      </w:r>
    </w:p>
    <w:p w14:paraId="5CB9D462">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、我公司具有良好的商业信誉和健全的财务会计制度。</w:t>
      </w:r>
    </w:p>
    <w:p w14:paraId="7E280EAD">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、我公司具有履行本项目采购合同所必需的设备和专业技术能力。</w:t>
      </w:r>
    </w:p>
    <w:p w14:paraId="2A577BAA">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、我公司具有依法缴纳税收和社会保障资金的良好记录。</w:t>
      </w:r>
    </w:p>
    <w:p w14:paraId="794BA247">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、我公司在参与本次政府采购活动之前三年内，在经营活动中无重大违法记录。</w:t>
      </w:r>
    </w:p>
    <w:p w14:paraId="4F3E038A">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、我公司在参与本次政府采购活动时未受到任何地方政府采购部门作出的暂停参加政府采购活动的处罚。</w:t>
      </w:r>
    </w:p>
    <w:p w14:paraId="433D78BE">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二、我公司保证上述声明的事项都是真实的，如有虚假，我公司承担相应的法律责任，并承担因此给你公司以及本项目采购人所造成的损失。</w:t>
      </w:r>
    </w:p>
    <w:p w14:paraId="49B93D0B">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5AFAD27A">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p>
    <w:p w14:paraId="63D27234">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p>
    <w:p w14:paraId="21165B4E">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p>
    <w:p w14:paraId="73F82402">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p>
    <w:p w14:paraId="31ADAE8D">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26F94BFD">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53A6B6DA">
      <w:pPr>
        <w:ind w:left="-708" w:leftChars="-337" w:firstLine="480" w:firstLineChars="200"/>
        <w:rPr>
          <w:rFonts w:hint="eastAsia" w:ascii="宋体" w:hAnsi="宋体" w:eastAsia="宋体" w:cs="宋体"/>
          <w:color w:val="auto"/>
          <w:sz w:val="24"/>
          <w:szCs w:val="24"/>
          <w:highlight w:val="none"/>
        </w:rPr>
      </w:pPr>
    </w:p>
    <w:p w14:paraId="142AC822">
      <w:pPr>
        <w:ind w:left="-708" w:leftChars="-337" w:firstLine="480" w:firstLineChars="200"/>
        <w:rPr>
          <w:rFonts w:hint="eastAsia" w:ascii="宋体" w:hAnsi="宋体" w:eastAsia="宋体" w:cs="宋体"/>
          <w:color w:val="auto"/>
          <w:sz w:val="24"/>
          <w:szCs w:val="24"/>
          <w:highlight w:val="none"/>
        </w:rPr>
      </w:pPr>
    </w:p>
    <w:p w14:paraId="1FB49133">
      <w:pPr>
        <w:ind w:left="-708" w:leftChars="-337"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7AB809B">
      <w:pPr>
        <w:autoSpaceDE w:val="0"/>
        <w:autoSpaceDN w:val="0"/>
        <w:adjustRightInd w:val="0"/>
        <w:ind w:firstLine="482"/>
        <w:rPr>
          <w:rFonts w:hint="eastAsia" w:ascii="宋体" w:hAnsi="宋体" w:eastAsia="宋体" w:cs="宋体"/>
          <w:color w:val="auto"/>
          <w:sz w:val="24"/>
          <w:highlight w:val="none"/>
          <w:lang w:val="zh-CN"/>
        </w:rPr>
      </w:pPr>
    </w:p>
    <w:p w14:paraId="0CD8E503">
      <w:pPr>
        <w:tabs>
          <w:tab w:val="left" w:pos="1365"/>
        </w:tabs>
        <w:jc w:val="center"/>
        <w:rPr>
          <w:rFonts w:hint="eastAsia" w:ascii="宋体" w:hAnsi="宋体" w:eastAsia="宋体" w:cs="宋体"/>
          <w:b/>
          <w:color w:val="auto"/>
          <w:sz w:val="32"/>
          <w:szCs w:val="32"/>
          <w:highlight w:val="none"/>
        </w:rPr>
      </w:pPr>
    </w:p>
    <w:p w14:paraId="1D6CEC37">
      <w:pPr>
        <w:numPr>
          <w:ilvl w:val="0"/>
          <w:numId w:val="0"/>
        </w:numPr>
        <w:ind w:lef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32"/>
          <w:szCs w:val="32"/>
          <w:highlight w:val="none"/>
        </w:rPr>
        <w:t>投标人基本情况</w:t>
      </w:r>
    </w:p>
    <w:tbl>
      <w:tblPr>
        <w:tblStyle w:val="22"/>
        <w:tblW w:w="0" w:type="auto"/>
        <w:jc w:val="center"/>
        <w:tblLayout w:type="fixed"/>
        <w:tblCellMar>
          <w:top w:w="0" w:type="dxa"/>
          <w:left w:w="108" w:type="dxa"/>
          <w:bottom w:w="0" w:type="dxa"/>
          <w:right w:w="108" w:type="dxa"/>
        </w:tblCellMar>
      </w:tblPr>
      <w:tblGrid>
        <w:gridCol w:w="4056"/>
        <w:gridCol w:w="5754"/>
      </w:tblGrid>
      <w:tr w14:paraId="1CBAE96A">
        <w:tblPrEx>
          <w:tblCellMar>
            <w:top w:w="0" w:type="dxa"/>
            <w:left w:w="108" w:type="dxa"/>
            <w:bottom w:w="0" w:type="dxa"/>
            <w:right w:w="108" w:type="dxa"/>
          </w:tblCellMar>
        </w:tblPrEx>
        <w:trPr>
          <w:trHeight w:val="791" w:hRule="atLeast"/>
          <w:jc w:val="center"/>
        </w:trPr>
        <w:tc>
          <w:tcPr>
            <w:tcW w:w="9810" w:type="dxa"/>
            <w:gridSpan w:val="2"/>
            <w:tcBorders>
              <w:top w:val="nil"/>
              <w:left w:val="nil"/>
              <w:bottom w:val="nil"/>
              <w:right w:val="nil"/>
            </w:tcBorders>
            <w:vAlign w:val="bottom"/>
          </w:tcPr>
          <w:p w14:paraId="132837EB">
            <w:pPr>
              <w:widowControl/>
              <w:wordWrap w:val="0"/>
              <w:spacing w:afterLines="100"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单位名称：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（盖单位公章）</w:t>
            </w:r>
          </w:p>
        </w:tc>
      </w:tr>
      <w:tr w14:paraId="069F568D">
        <w:tblPrEx>
          <w:tblCellMar>
            <w:top w:w="0" w:type="dxa"/>
            <w:left w:w="108" w:type="dxa"/>
            <w:bottom w:w="0" w:type="dxa"/>
            <w:right w:w="108" w:type="dxa"/>
          </w:tblCellMar>
        </w:tblPrEx>
        <w:trPr>
          <w:trHeight w:val="619" w:hRule="atLeast"/>
          <w:jc w:val="center"/>
        </w:trPr>
        <w:tc>
          <w:tcPr>
            <w:tcW w:w="4056" w:type="dxa"/>
            <w:tcBorders>
              <w:top w:val="single" w:color="auto" w:sz="12" w:space="0"/>
              <w:left w:val="single" w:color="auto" w:sz="12" w:space="0"/>
              <w:bottom w:val="single" w:color="auto" w:sz="4" w:space="0"/>
              <w:right w:val="single" w:color="auto" w:sz="4" w:space="0"/>
            </w:tcBorders>
            <w:vAlign w:val="center"/>
          </w:tcPr>
          <w:p w14:paraId="095FFA49">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注册资金</w:t>
            </w:r>
          </w:p>
        </w:tc>
        <w:tc>
          <w:tcPr>
            <w:tcW w:w="5754" w:type="dxa"/>
            <w:tcBorders>
              <w:top w:val="single" w:color="auto" w:sz="12" w:space="0"/>
              <w:left w:val="nil"/>
              <w:bottom w:val="single" w:color="auto" w:sz="4" w:space="0"/>
              <w:right w:val="single" w:color="auto" w:sz="12" w:space="0"/>
            </w:tcBorders>
            <w:vAlign w:val="center"/>
          </w:tcPr>
          <w:p w14:paraId="2176A975">
            <w:pPr>
              <w:widowControl/>
              <w:wordWrap w:val="0"/>
              <w:spacing w:line="360" w:lineRule="auto"/>
              <w:jc w:val="righ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（万元）</w:t>
            </w:r>
          </w:p>
        </w:tc>
      </w:tr>
      <w:tr w14:paraId="1A76464D">
        <w:tblPrEx>
          <w:tblCellMar>
            <w:top w:w="0" w:type="dxa"/>
            <w:left w:w="108" w:type="dxa"/>
            <w:bottom w:w="0" w:type="dxa"/>
            <w:right w:w="108" w:type="dxa"/>
          </w:tblCellMar>
        </w:tblPrEx>
        <w:trPr>
          <w:trHeight w:val="663" w:hRule="atLeast"/>
          <w:jc w:val="center"/>
        </w:trPr>
        <w:tc>
          <w:tcPr>
            <w:tcW w:w="4056" w:type="dxa"/>
            <w:tcBorders>
              <w:top w:val="single" w:color="auto" w:sz="12" w:space="0"/>
              <w:left w:val="single" w:color="auto" w:sz="12" w:space="0"/>
              <w:bottom w:val="single" w:color="auto" w:sz="4" w:space="0"/>
              <w:right w:val="single" w:color="auto" w:sz="4" w:space="0"/>
            </w:tcBorders>
            <w:vAlign w:val="center"/>
          </w:tcPr>
          <w:p w14:paraId="7FFA6C67">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行业类别</w:t>
            </w:r>
          </w:p>
          <w:p w14:paraId="0AEE72A5">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（对应“□”画“√”）</w:t>
            </w:r>
          </w:p>
        </w:tc>
        <w:tc>
          <w:tcPr>
            <w:tcW w:w="5754" w:type="dxa"/>
            <w:tcBorders>
              <w:top w:val="single" w:color="auto" w:sz="12" w:space="0"/>
              <w:left w:val="nil"/>
              <w:bottom w:val="single" w:color="auto" w:sz="4" w:space="0"/>
              <w:right w:val="single" w:color="auto" w:sz="12" w:space="0"/>
            </w:tcBorders>
            <w:vAlign w:val="bottom"/>
          </w:tcPr>
          <w:p w14:paraId="6CD1926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□（一）农、林、牧、渔业 </w:t>
            </w:r>
          </w:p>
          <w:p w14:paraId="1530270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□（二）工业 </w:t>
            </w:r>
          </w:p>
          <w:p w14:paraId="5D336316">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□（三）建筑业 </w:t>
            </w:r>
          </w:p>
          <w:p w14:paraId="3416620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□（四）批发业 </w:t>
            </w:r>
          </w:p>
          <w:p w14:paraId="0739154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□（五）零售业 </w:t>
            </w:r>
          </w:p>
          <w:p w14:paraId="296CC53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□（六）交通运输业 </w:t>
            </w:r>
          </w:p>
          <w:p w14:paraId="25D0C21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□（七）仓储业 </w:t>
            </w:r>
          </w:p>
          <w:p w14:paraId="4620F09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□（八）邮政业 </w:t>
            </w:r>
          </w:p>
          <w:p w14:paraId="45EA8BA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□（九）住宿业 </w:t>
            </w:r>
          </w:p>
          <w:p w14:paraId="61986D1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□（十）餐饮业 </w:t>
            </w:r>
          </w:p>
          <w:p w14:paraId="36E71A2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□（十一）信息传输业 </w:t>
            </w:r>
          </w:p>
          <w:p w14:paraId="0594CE4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□（十二）软件和信息信息技术服务业 </w:t>
            </w:r>
          </w:p>
          <w:p w14:paraId="727784A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□（十三）房地产开发经营 </w:t>
            </w:r>
          </w:p>
          <w:p w14:paraId="159D687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□（十四）物业管理 </w:t>
            </w:r>
          </w:p>
          <w:p w14:paraId="3EC8667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□（十五）租赁和商务服务业 </w:t>
            </w:r>
          </w:p>
          <w:p w14:paraId="39E081BF">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□（十六）</w:t>
            </w:r>
            <w:r>
              <w:rPr>
                <w:rFonts w:hint="eastAsia" w:ascii="宋体" w:hAnsi="宋体" w:eastAsia="宋体" w:cs="宋体"/>
                <w:color w:val="auto"/>
                <w:kern w:val="0"/>
                <w:sz w:val="24"/>
                <w:szCs w:val="24"/>
                <w:highlight w:val="none"/>
                <w:lang w:eastAsia="zh-CN"/>
              </w:rPr>
              <w:t>软件和信息技术服务业</w:t>
            </w:r>
          </w:p>
        </w:tc>
      </w:tr>
      <w:tr w14:paraId="1E9C8DAB">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vAlign w:val="center"/>
          </w:tcPr>
          <w:p w14:paraId="458BAC3F">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职工人数</w:t>
            </w:r>
          </w:p>
        </w:tc>
        <w:tc>
          <w:tcPr>
            <w:tcW w:w="5754" w:type="dxa"/>
            <w:tcBorders>
              <w:top w:val="nil"/>
              <w:left w:val="nil"/>
              <w:bottom w:val="single" w:color="auto" w:sz="4" w:space="0"/>
              <w:right w:val="single" w:color="auto" w:sz="12" w:space="0"/>
            </w:tcBorders>
            <w:vAlign w:val="center"/>
          </w:tcPr>
          <w:p w14:paraId="239C0C3A">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r>
      <w:tr w14:paraId="1A8F415C">
        <w:tblPrEx>
          <w:tblCellMar>
            <w:top w:w="0" w:type="dxa"/>
            <w:left w:w="108" w:type="dxa"/>
            <w:bottom w:w="0" w:type="dxa"/>
            <w:right w:w="108" w:type="dxa"/>
          </w:tblCellMar>
        </w:tblPrEx>
        <w:trPr>
          <w:trHeight w:val="588" w:hRule="atLeast"/>
          <w:jc w:val="center"/>
        </w:trPr>
        <w:tc>
          <w:tcPr>
            <w:tcW w:w="4056" w:type="dxa"/>
            <w:tcBorders>
              <w:top w:val="nil"/>
              <w:left w:val="single" w:color="auto" w:sz="12" w:space="0"/>
              <w:bottom w:val="single" w:color="auto" w:sz="4" w:space="0"/>
              <w:right w:val="single" w:color="auto" w:sz="4" w:space="0"/>
            </w:tcBorders>
            <w:vAlign w:val="center"/>
          </w:tcPr>
          <w:p w14:paraId="2191287A">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专业技术人员人数</w:t>
            </w:r>
          </w:p>
        </w:tc>
        <w:tc>
          <w:tcPr>
            <w:tcW w:w="5754" w:type="dxa"/>
            <w:tcBorders>
              <w:top w:val="nil"/>
              <w:left w:val="nil"/>
              <w:bottom w:val="single" w:color="auto" w:sz="4" w:space="0"/>
              <w:right w:val="single" w:color="auto" w:sz="12" w:space="0"/>
            </w:tcBorders>
            <w:vAlign w:val="center"/>
          </w:tcPr>
          <w:p w14:paraId="4AADA837">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r>
      <w:tr w14:paraId="43FD8A2D">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vAlign w:val="center"/>
          </w:tcPr>
          <w:p w14:paraId="0D2F085E">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上年度营业收入</w:t>
            </w:r>
          </w:p>
        </w:tc>
        <w:tc>
          <w:tcPr>
            <w:tcW w:w="5754" w:type="dxa"/>
            <w:tcBorders>
              <w:top w:val="nil"/>
              <w:left w:val="nil"/>
              <w:bottom w:val="single" w:color="auto" w:sz="4" w:space="0"/>
              <w:right w:val="single" w:color="auto" w:sz="12" w:space="0"/>
            </w:tcBorders>
            <w:vAlign w:val="center"/>
          </w:tcPr>
          <w:p w14:paraId="20C146D9">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r>
      <w:tr w14:paraId="29F8A0F7">
        <w:tblPrEx>
          <w:tblCellMar>
            <w:top w:w="0" w:type="dxa"/>
            <w:left w:w="108" w:type="dxa"/>
            <w:bottom w:w="0" w:type="dxa"/>
            <w:right w:w="108" w:type="dxa"/>
          </w:tblCellMar>
        </w:tblPrEx>
        <w:trPr>
          <w:trHeight w:val="690" w:hRule="atLeast"/>
          <w:jc w:val="center"/>
        </w:trPr>
        <w:tc>
          <w:tcPr>
            <w:tcW w:w="4056" w:type="dxa"/>
            <w:tcBorders>
              <w:top w:val="nil"/>
              <w:left w:val="single" w:color="auto" w:sz="12" w:space="0"/>
              <w:bottom w:val="nil"/>
              <w:right w:val="single" w:color="auto" w:sz="4" w:space="0"/>
            </w:tcBorders>
            <w:vAlign w:val="center"/>
          </w:tcPr>
          <w:p w14:paraId="35CD7BB8">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社会保障资金情况</w:t>
            </w:r>
          </w:p>
        </w:tc>
        <w:tc>
          <w:tcPr>
            <w:tcW w:w="5754" w:type="dxa"/>
            <w:tcBorders>
              <w:top w:val="nil"/>
              <w:left w:val="nil"/>
              <w:bottom w:val="nil"/>
              <w:right w:val="single" w:color="auto" w:sz="12" w:space="0"/>
            </w:tcBorders>
            <w:vAlign w:val="center"/>
          </w:tcPr>
          <w:p w14:paraId="5172369E">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附缴费证明复印件</w:t>
            </w:r>
          </w:p>
        </w:tc>
      </w:tr>
      <w:tr w14:paraId="7DB36D40">
        <w:tblPrEx>
          <w:tblCellMar>
            <w:top w:w="0" w:type="dxa"/>
            <w:left w:w="108" w:type="dxa"/>
            <w:bottom w:w="0" w:type="dxa"/>
            <w:right w:w="108" w:type="dxa"/>
          </w:tblCellMar>
        </w:tblPrEx>
        <w:trPr>
          <w:trHeight w:val="641" w:hRule="atLeast"/>
          <w:jc w:val="center"/>
        </w:trPr>
        <w:tc>
          <w:tcPr>
            <w:tcW w:w="4056" w:type="dxa"/>
            <w:tcBorders>
              <w:top w:val="single" w:color="auto" w:sz="4" w:space="0"/>
              <w:left w:val="single" w:color="auto" w:sz="12" w:space="0"/>
              <w:bottom w:val="nil"/>
              <w:right w:val="single" w:color="auto" w:sz="4" w:space="0"/>
            </w:tcBorders>
            <w:vAlign w:val="center"/>
          </w:tcPr>
          <w:p w14:paraId="378479F2">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缴税情况</w:t>
            </w:r>
          </w:p>
        </w:tc>
        <w:tc>
          <w:tcPr>
            <w:tcW w:w="5754" w:type="dxa"/>
            <w:tcBorders>
              <w:top w:val="single" w:color="auto" w:sz="4" w:space="0"/>
              <w:left w:val="nil"/>
              <w:bottom w:val="nil"/>
              <w:right w:val="single" w:color="auto" w:sz="12" w:space="0"/>
            </w:tcBorders>
            <w:vAlign w:val="center"/>
          </w:tcPr>
          <w:p w14:paraId="43B21435">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有/无（有，附近期的缴费证明复印件）</w:t>
            </w:r>
          </w:p>
        </w:tc>
      </w:tr>
      <w:tr w14:paraId="484320BB">
        <w:tblPrEx>
          <w:tblCellMar>
            <w:top w:w="0" w:type="dxa"/>
            <w:left w:w="108" w:type="dxa"/>
            <w:bottom w:w="0" w:type="dxa"/>
            <w:right w:w="108" w:type="dxa"/>
          </w:tblCellMar>
        </w:tblPrEx>
        <w:trPr>
          <w:trHeight w:val="663" w:hRule="atLeast"/>
          <w:jc w:val="center"/>
        </w:trPr>
        <w:tc>
          <w:tcPr>
            <w:tcW w:w="4056" w:type="dxa"/>
            <w:tcBorders>
              <w:top w:val="single" w:color="auto" w:sz="4" w:space="0"/>
              <w:left w:val="single" w:color="auto" w:sz="12" w:space="0"/>
              <w:bottom w:val="single" w:color="auto" w:sz="12" w:space="0"/>
              <w:right w:val="single" w:color="auto" w:sz="4" w:space="0"/>
            </w:tcBorders>
            <w:vAlign w:val="center"/>
          </w:tcPr>
          <w:p w14:paraId="0D596ADC">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上年利润</w:t>
            </w:r>
          </w:p>
        </w:tc>
        <w:tc>
          <w:tcPr>
            <w:tcW w:w="5754" w:type="dxa"/>
            <w:tcBorders>
              <w:top w:val="single" w:color="auto" w:sz="4" w:space="0"/>
              <w:left w:val="nil"/>
              <w:bottom w:val="single" w:color="auto" w:sz="12" w:space="0"/>
              <w:right w:val="single" w:color="auto" w:sz="12" w:space="0"/>
            </w:tcBorders>
            <w:vAlign w:val="center"/>
          </w:tcPr>
          <w:p w14:paraId="486AA1BB">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r>
    </w:tbl>
    <w:p w14:paraId="53CA8983">
      <w:pPr>
        <w:pStyle w:val="38"/>
        <w:numPr>
          <w:ilvl w:val="0"/>
          <w:numId w:val="0"/>
        </w:numPr>
        <w:ind w:leftChars="0"/>
        <w:rPr>
          <w:rFonts w:hint="eastAsia" w:ascii="宋体" w:hAnsi="宋体" w:eastAsia="宋体" w:cs="宋体"/>
          <w:color w:val="auto"/>
          <w:highlight w:val="none"/>
        </w:rPr>
      </w:pPr>
    </w:p>
    <w:p w14:paraId="61B9ED51">
      <w:pPr>
        <w:spacing w:line="360" w:lineRule="auto"/>
        <w:rPr>
          <w:rFonts w:hint="eastAsia" w:ascii="宋体" w:hAnsi="宋体" w:eastAsia="宋体" w:cs="宋体"/>
          <w:bCs/>
          <w:color w:val="auto"/>
          <w:sz w:val="24"/>
          <w:highlight w:val="none"/>
          <w:lang w:val="zh-CN"/>
        </w:rPr>
      </w:pPr>
      <w:r>
        <w:rPr>
          <w:rFonts w:hint="eastAsia" w:ascii="宋体" w:hAnsi="宋体" w:eastAsia="宋体" w:cs="宋体"/>
          <w:b/>
          <w:color w:val="auto"/>
          <w:sz w:val="24"/>
          <w:highlight w:val="none"/>
          <w:lang w:val="zh-CN"/>
        </w:rPr>
        <w:t>注：</w:t>
      </w:r>
      <w:r>
        <w:rPr>
          <w:rFonts w:hint="eastAsia" w:ascii="宋体" w:hAnsi="宋体" w:eastAsia="宋体" w:cs="宋体"/>
          <w:bCs/>
          <w:color w:val="auto"/>
          <w:sz w:val="24"/>
          <w:highlight w:val="none"/>
          <w:lang w:val="zh-CN"/>
        </w:rPr>
        <w:t>后附营业执照 、税务登记证（五证合一除外）、组织机构代码证（五证合一除外）、相关的资质证书等相关材料。</w:t>
      </w:r>
    </w:p>
    <w:p w14:paraId="33092387">
      <w:pPr>
        <w:autoSpaceDE w:val="0"/>
        <w:autoSpaceDN w:val="0"/>
        <w:adjustRightInd w:val="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9</w:t>
      </w:r>
      <w:r>
        <w:rPr>
          <w:rFonts w:hint="eastAsia" w:ascii="宋体" w:hAnsi="宋体" w:eastAsia="宋体" w:cs="宋体"/>
          <w:color w:val="auto"/>
          <w:sz w:val="28"/>
          <w:szCs w:val="28"/>
          <w:highlight w:val="none"/>
        </w:rPr>
        <w:t>、</w:t>
      </w:r>
      <w:r>
        <w:rPr>
          <w:rFonts w:hint="eastAsia" w:ascii="宋体" w:hAnsi="宋体" w:eastAsia="宋体" w:cs="宋体"/>
          <w:b/>
          <w:color w:val="auto"/>
          <w:sz w:val="28"/>
          <w:szCs w:val="28"/>
          <w:highlight w:val="none"/>
        </w:rPr>
        <w:t>公司财务状况</w:t>
      </w:r>
      <w:r>
        <w:rPr>
          <w:rFonts w:hint="eastAsia" w:ascii="宋体" w:hAnsi="宋体" w:eastAsia="宋体" w:cs="宋体"/>
          <w:b/>
          <w:color w:val="auto"/>
          <w:sz w:val="28"/>
          <w:szCs w:val="28"/>
          <w:highlight w:val="none"/>
          <w:lang w:val="en-US" w:eastAsia="zh-CN"/>
        </w:rPr>
        <w:t>及依法缴纳税收和社会保障资金的相关证明材料</w:t>
      </w:r>
    </w:p>
    <w:p w14:paraId="64628EC0">
      <w:pPr>
        <w:pStyle w:val="8"/>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color w:val="auto"/>
          <w:sz w:val="21"/>
          <w:szCs w:val="21"/>
          <w:highlight w:val="none"/>
        </w:rPr>
      </w:pPr>
    </w:p>
    <w:p w14:paraId="6E2B5D4E">
      <w:pPr>
        <w:keepNext w:val="0"/>
        <w:keepLines w:val="0"/>
        <w:pageBreakBefore w:val="0"/>
        <w:widowControl/>
        <w:kinsoku w:val="0"/>
        <w:wordWrap/>
        <w:overflowPunct/>
        <w:topLinePunct w:val="0"/>
        <w:autoSpaceDE w:val="0"/>
        <w:autoSpaceDN w:val="0"/>
        <w:bidi w:val="0"/>
        <w:adjustRightInd w:val="0"/>
        <w:snapToGrid w:val="0"/>
        <w:ind w:firstLine="560" w:firstLineChars="200"/>
        <w:jc w:val="left"/>
        <w:textAlignment w:val="baseline"/>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提供</w:t>
      </w:r>
      <w:r>
        <w:rPr>
          <w:rFonts w:hint="eastAsia" w:ascii="宋体" w:hAnsi="宋体" w:cs="宋体"/>
          <w:b w:val="0"/>
          <w:bCs/>
          <w:color w:val="auto"/>
          <w:sz w:val="28"/>
          <w:szCs w:val="28"/>
          <w:highlight w:val="none"/>
          <w:lang w:val="en-US" w:eastAsia="zh-CN"/>
        </w:rPr>
        <w:t>2024</w:t>
      </w:r>
      <w:r>
        <w:rPr>
          <w:rFonts w:hint="eastAsia" w:ascii="宋体" w:hAnsi="宋体" w:eastAsia="宋体" w:cs="宋体"/>
          <w:b w:val="0"/>
          <w:bCs/>
          <w:color w:val="auto"/>
          <w:sz w:val="28"/>
          <w:szCs w:val="28"/>
          <w:highlight w:val="none"/>
          <w:lang w:val="zh-CN" w:eastAsia="zh-CN"/>
        </w:rPr>
        <w:t>年</w:t>
      </w:r>
      <w:r>
        <w:rPr>
          <w:rFonts w:hint="eastAsia" w:ascii="宋体" w:hAnsi="宋体" w:eastAsia="宋体" w:cs="宋体"/>
          <w:b w:val="0"/>
          <w:bCs/>
          <w:color w:val="auto"/>
          <w:sz w:val="28"/>
          <w:szCs w:val="28"/>
          <w:highlight w:val="none"/>
          <w:lang w:val="zh-CN"/>
        </w:rPr>
        <w:t>经审计的财务审计报告（若为20</w:t>
      </w:r>
      <w:r>
        <w:rPr>
          <w:rFonts w:hint="eastAsia" w:ascii="宋体" w:hAnsi="宋体" w:cs="宋体"/>
          <w:b w:val="0"/>
          <w:bCs/>
          <w:color w:val="auto"/>
          <w:sz w:val="28"/>
          <w:szCs w:val="28"/>
          <w:highlight w:val="none"/>
          <w:lang w:val="en-US" w:eastAsia="zh-CN"/>
        </w:rPr>
        <w:t>25</w:t>
      </w:r>
      <w:r>
        <w:rPr>
          <w:rFonts w:hint="eastAsia" w:ascii="宋体" w:hAnsi="宋体" w:eastAsia="宋体" w:cs="宋体"/>
          <w:b w:val="0"/>
          <w:bCs/>
          <w:color w:val="auto"/>
          <w:sz w:val="28"/>
          <w:szCs w:val="28"/>
          <w:highlight w:val="none"/>
          <w:lang w:val="zh-CN"/>
        </w:rPr>
        <w:t>年后成立公司可提供自成立之日起至今的财务报表</w:t>
      </w:r>
      <w:r>
        <w:rPr>
          <w:rFonts w:hint="eastAsia" w:ascii="宋体" w:hAnsi="宋体" w:eastAsia="宋体" w:cs="宋体"/>
          <w:b w:val="0"/>
          <w:bCs/>
          <w:color w:val="auto"/>
          <w:sz w:val="28"/>
          <w:szCs w:val="28"/>
          <w:highlight w:val="none"/>
          <w:lang w:val="zh-CN" w:eastAsia="zh-CN"/>
        </w:rPr>
        <w:t>或近三个月内基本银行账户开具的资信证明</w:t>
      </w:r>
      <w:r>
        <w:rPr>
          <w:rFonts w:hint="eastAsia" w:ascii="宋体" w:hAnsi="宋体" w:eastAsia="宋体" w:cs="宋体"/>
          <w:b w:val="0"/>
          <w:bCs/>
          <w:color w:val="auto"/>
          <w:sz w:val="28"/>
          <w:szCs w:val="28"/>
          <w:highlight w:val="none"/>
          <w:lang w:val="zh-CN"/>
        </w:rPr>
        <w:t>）。</w:t>
      </w:r>
    </w:p>
    <w:p w14:paraId="2261D1BD">
      <w:pPr>
        <w:keepNext w:val="0"/>
        <w:keepLines w:val="0"/>
        <w:pageBreakBefore w:val="0"/>
        <w:widowControl/>
        <w:kinsoku w:val="0"/>
        <w:wordWrap/>
        <w:overflowPunct/>
        <w:topLinePunct w:val="0"/>
        <w:autoSpaceDE w:val="0"/>
        <w:autoSpaceDN w:val="0"/>
        <w:bidi w:val="0"/>
        <w:adjustRightInd w:val="0"/>
        <w:snapToGrid w:val="0"/>
        <w:ind w:firstLine="560" w:firstLineChars="200"/>
        <w:jc w:val="both"/>
        <w:textAlignment w:val="baseline"/>
        <w:rPr>
          <w:rFonts w:hint="eastAsia" w:ascii="宋体" w:hAnsi="宋体" w:eastAsia="宋体" w:cs="宋体"/>
          <w:b w:val="0"/>
          <w:bCs/>
          <w:color w:val="auto"/>
          <w:sz w:val="28"/>
          <w:szCs w:val="28"/>
          <w:highlight w:val="none"/>
          <w:lang w:val="zh-CN"/>
        </w:rPr>
      </w:pPr>
      <w:r>
        <w:rPr>
          <w:rFonts w:hint="eastAsia" w:ascii="宋体" w:hAnsi="宋体" w:eastAsia="宋体" w:cs="宋体"/>
          <w:b w:val="0"/>
          <w:bCs/>
          <w:color w:val="auto"/>
          <w:sz w:val="28"/>
          <w:szCs w:val="28"/>
          <w:highlight w:val="none"/>
          <w:lang w:val="zh-CN"/>
        </w:rPr>
        <w:t>提供近半年任意一个月依法缴纳税收和社会保障资金的相关证明材料。</w:t>
      </w:r>
    </w:p>
    <w:p w14:paraId="2F9E5058">
      <w:pPr>
        <w:jc w:val="center"/>
        <w:rPr>
          <w:rFonts w:hint="eastAsia" w:ascii="宋体" w:hAnsi="宋体" w:eastAsia="宋体" w:cs="宋体"/>
          <w:b/>
          <w:color w:val="auto"/>
          <w:sz w:val="32"/>
          <w:szCs w:val="32"/>
          <w:highlight w:val="none"/>
        </w:rPr>
      </w:pPr>
    </w:p>
    <w:p w14:paraId="06AE91E6">
      <w:pPr>
        <w:jc w:val="center"/>
        <w:rPr>
          <w:rFonts w:hint="eastAsia" w:ascii="宋体" w:hAnsi="宋体" w:eastAsia="宋体" w:cs="宋体"/>
          <w:b/>
          <w:color w:val="auto"/>
          <w:sz w:val="32"/>
          <w:szCs w:val="32"/>
          <w:highlight w:val="none"/>
        </w:rPr>
      </w:pPr>
    </w:p>
    <w:p w14:paraId="02E700CF">
      <w:pPr>
        <w:jc w:val="center"/>
        <w:rPr>
          <w:rFonts w:hint="eastAsia" w:ascii="宋体" w:hAnsi="宋体" w:eastAsia="宋体" w:cs="宋体"/>
          <w:b/>
          <w:color w:val="auto"/>
          <w:sz w:val="32"/>
          <w:szCs w:val="32"/>
          <w:highlight w:val="none"/>
        </w:rPr>
      </w:pPr>
    </w:p>
    <w:p w14:paraId="52262052">
      <w:pPr>
        <w:jc w:val="center"/>
        <w:rPr>
          <w:rFonts w:hint="eastAsia" w:ascii="宋体" w:hAnsi="宋体" w:eastAsia="宋体" w:cs="宋体"/>
          <w:b/>
          <w:color w:val="auto"/>
          <w:sz w:val="32"/>
          <w:szCs w:val="32"/>
          <w:highlight w:val="none"/>
        </w:rPr>
      </w:pPr>
    </w:p>
    <w:p w14:paraId="5925F26C">
      <w:pPr>
        <w:jc w:val="center"/>
        <w:rPr>
          <w:rFonts w:hint="eastAsia" w:ascii="宋体" w:hAnsi="宋体" w:eastAsia="宋体" w:cs="宋体"/>
          <w:b/>
          <w:color w:val="auto"/>
          <w:sz w:val="32"/>
          <w:szCs w:val="32"/>
          <w:highlight w:val="none"/>
        </w:rPr>
      </w:pPr>
    </w:p>
    <w:p w14:paraId="72ACD49A">
      <w:pPr>
        <w:jc w:val="center"/>
        <w:rPr>
          <w:rFonts w:hint="eastAsia" w:ascii="宋体" w:hAnsi="宋体" w:eastAsia="宋体" w:cs="宋体"/>
          <w:b/>
          <w:color w:val="auto"/>
          <w:sz w:val="32"/>
          <w:szCs w:val="32"/>
          <w:highlight w:val="none"/>
        </w:rPr>
      </w:pPr>
    </w:p>
    <w:p w14:paraId="43927C18">
      <w:pPr>
        <w:pStyle w:val="9"/>
        <w:rPr>
          <w:rFonts w:hint="eastAsia" w:ascii="宋体" w:hAnsi="宋体" w:eastAsia="宋体" w:cs="宋体"/>
          <w:b/>
          <w:color w:val="auto"/>
          <w:sz w:val="32"/>
          <w:szCs w:val="32"/>
          <w:highlight w:val="none"/>
        </w:rPr>
      </w:pPr>
    </w:p>
    <w:p w14:paraId="7D02D40C">
      <w:pPr>
        <w:pStyle w:val="9"/>
        <w:rPr>
          <w:rFonts w:hint="eastAsia" w:ascii="宋体" w:hAnsi="宋体" w:eastAsia="宋体" w:cs="宋体"/>
          <w:b/>
          <w:color w:val="auto"/>
          <w:sz w:val="32"/>
          <w:szCs w:val="32"/>
          <w:highlight w:val="none"/>
        </w:rPr>
      </w:pPr>
    </w:p>
    <w:p w14:paraId="3969748B">
      <w:pPr>
        <w:pStyle w:val="9"/>
        <w:rPr>
          <w:rFonts w:hint="eastAsia" w:ascii="宋体" w:hAnsi="宋体" w:eastAsia="宋体" w:cs="宋体"/>
          <w:b/>
          <w:color w:val="auto"/>
          <w:sz w:val="32"/>
          <w:szCs w:val="32"/>
          <w:highlight w:val="none"/>
        </w:rPr>
      </w:pPr>
    </w:p>
    <w:p w14:paraId="13AE99DC">
      <w:pPr>
        <w:pStyle w:val="9"/>
        <w:rPr>
          <w:rFonts w:hint="eastAsia" w:ascii="宋体" w:hAnsi="宋体" w:eastAsia="宋体" w:cs="宋体"/>
          <w:b/>
          <w:color w:val="auto"/>
          <w:sz w:val="32"/>
          <w:szCs w:val="32"/>
          <w:highlight w:val="none"/>
        </w:rPr>
      </w:pPr>
    </w:p>
    <w:p w14:paraId="6DDBE424">
      <w:pPr>
        <w:pStyle w:val="9"/>
        <w:rPr>
          <w:rFonts w:hint="eastAsia" w:ascii="宋体" w:hAnsi="宋体" w:eastAsia="宋体" w:cs="宋体"/>
          <w:b/>
          <w:color w:val="auto"/>
          <w:sz w:val="32"/>
          <w:szCs w:val="32"/>
          <w:highlight w:val="none"/>
        </w:rPr>
      </w:pPr>
    </w:p>
    <w:p w14:paraId="3D9C57B6">
      <w:pPr>
        <w:pStyle w:val="9"/>
        <w:rPr>
          <w:rFonts w:hint="eastAsia" w:ascii="宋体" w:hAnsi="宋体" w:eastAsia="宋体" w:cs="宋体"/>
          <w:b/>
          <w:color w:val="auto"/>
          <w:sz w:val="32"/>
          <w:szCs w:val="32"/>
          <w:highlight w:val="none"/>
        </w:rPr>
      </w:pPr>
    </w:p>
    <w:p w14:paraId="21624CE0">
      <w:pPr>
        <w:pStyle w:val="9"/>
        <w:rPr>
          <w:rFonts w:hint="eastAsia" w:ascii="宋体" w:hAnsi="宋体" w:eastAsia="宋体" w:cs="宋体"/>
          <w:b/>
          <w:color w:val="auto"/>
          <w:sz w:val="32"/>
          <w:szCs w:val="32"/>
          <w:highlight w:val="none"/>
        </w:rPr>
      </w:pPr>
    </w:p>
    <w:p w14:paraId="71E63637">
      <w:pPr>
        <w:pStyle w:val="9"/>
        <w:rPr>
          <w:rFonts w:hint="eastAsia" w:ascii="宋体" w:hAnsi="宋体" w:eastAsia="宋体" w:cs="宋体"/>
          <w:b/>
          <w:color w:val="auto"/>
          <w:sz w:val="32"/>
          <w:szCs w:val="32"/>
          <w:highlight w:val="none"/>
        </w:rPr>
      </w:pPr>
    </w:p>
    <w:p w14:paraId="0C643D8E">
      <w:pPr>
        <w:pStyle w:val="9"/>
        <w:rPr>
          <w:rFonts w:hint="eastAsia" w:ascii="宋体" w:hAnsi="宋体" w:eastAsia="宋体" w:cs="宋体"/>
          <w:b/>
          <w:color w:val="auto"/>
          <w:sz w:val="32"/>
          <w:szCs w:val="32"/>
          <w:highlight w:val="none"/>
        </w:rPr>
      </w:pPr>
    </w:p>
    <w:p w14:paraId="1C041945">
      <w:pPr>
        <w:rPr>
          <w:rFonts w:hint="eastAsia" w:ascii="宋体" w:hAnsi="宋体" w:eastAsia="宋体" w:cs="宋体"/>
          <w:b/>
          <w:color w:val="auto"/>
          <w:sz w:val="32"/>
          <w:szCs w:val="32"/>
          <w:highlight w:val="none"/>
        </w:rPr>
      </w:pPr>
    </w:p>
    <w:p w14:paraId="3947EF1D">
      <w:pPr>
        <w:pStyle w:val="8"/>
        <w:rPr>
          <w:rFonts w:hint="eastAsia" w:ascii="宋体" w:hAnsi="宋体" w:eastAsia="宋体" w:cs="宋体"/>
          <w:b/>
          <w:color w:val="auto"/>
          <w:sz w:val="32"/>
          <w:szCs w:val="32"/>
          <w:highlight w:val="none"/>
        </w:rPr>
      </w:pPr>
    </w:p>
    <w:p w14:paraId="64032722">
      <w:pPr>
        <w:rPr>
          <w:rFonts w:hint="eastAsia" w:ascii="宋体" w:hAnsi="宋体" w:eastAsia="宋体" w:cs="宋体"/>
          <w:b/>
          <w:color w:val="auto"/>
          <w:sz w:val="32"/>
          <w:szCs w:val="32"/>
          <w:highlight w:val="none"/>
        </w:rPr>
      </w:pPr>
    </w:p>
    <w:p w14:paraId="3BE94D2B">
      <w:pPr>
        <w:pStyle w:val="8"/>
        <w:rPr>
          <w:rFonts w:hint="eastAsia" w:ascii="宋体" w:hAnsi="宋体" w:eastAsia="宋体" w:cs="宋体"/>
          <w:b/>
          <w:color w:val="auto"/>
          <w:sz w:val="32"/>
          <w:szCs w:val="32"/>
          <w:highlight w:val="none"/>
        </w:rPr>
      </w:pPr>
    </w:p>
    <w:p w14:paraId="5594B0FD">
      <w:pPr>
        <w:rPr>
          <w:rFonts w:hint="eastAsia" w:ascii="宋体" w:hAnsi="宋体" w:eastAsia="宋体" w:cs="宋体"/>
          <w:b/>
          <w:color w:val="auto"/>
          <w:sz w:val="32"/>
          <w:szCs w:val="32"/>
          <w:highlight w:val="none"/>
        </w:rPr>
      </w:pPr>
    </w:p>
    <w:p w14:paraId="146BD247">
      <w:pPr>
        <w:pStyle w:val="8"/>
        <w:rPr>
          <w:rFonts w:hint="eastAsia" w:ascii="宋体" w:hAnsi="宋体" w:eastAsia="宋体" w:cs="宋体"/>
          <w:b/>
          <w:color w:val="auto"/>
          <w:sz w:val="32"/>
          <w:szCs w:val="32"/>
          <w:highlight w:val="none"/>
        </w:rPr>
      </w:pPr>
    </w:p>
    <w:p w14:paraId="11D5F0C2">
      <w:pPr>
        <w:rPr>
          <w:rFonts w:hint="eastAsia" w:ascii="宋体" w:hAnsi="宋体" w:eastAsia="宋体" w:cs="宋体"/>
          <w:b/>
          <w:color w:val="auto"/>
          <w:sz w:val="32"/>
          <w:szCs w:val="32"/>
          <w:highlight w:val="none"/>
        </w:rPr>
      </w:pPr>
    </w:p>
    <w:p w14:paraId="748B3E7C">
      <w:pPr>
        <w:pStyle w:val="8"/>
        <w:rPr>
          <w:rFonts w:hint="eastAsia" w:ascii="宋体" w:hAnsi="宋体" w:eastAsia="宋体" w:cs="宋体"/>
          <w:color w:val="auto"/>
          <w:highlight w:val="none"/>
        </w:rPr>
      </w:pPr>
    </w:p>
    <w:p w14:paraId="0B802F24">
      <w:pPr>
        <w:pStyle w:val="9"/>
        <w:rPr>
          <w:rFonts w:hint="eastAsia" w:ascii="宋体" w:hAnsi="宋体" w:eastAsia="宋体" w:cs="宋体"/>
          <w:b/>
          <w:color w:val="auto"/>
          <w:sz w:val="32"/>
          <w:szCs w:val="32"/>
          <w:highlight w:val="none"/>
        </w:rPr>
      </w:pPr>
    </w:p>
    <w:p w14:paraId="634279EF">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10、</w:t>
      </w:r>
      <w:r>
        <w:rPr>
          <w:rFonts w:hint="eastAsia" w:ascii="宋体" w:hAnsi="宋体" w:eastAsia="宋体" w:cs="宋体"/>
          <w:b/>
          <w:color w:val="auto"/>
          <w:sz w:val="32"/>
          <w:szCs w:val="32"/>
          <w:highlight w:val="none"/>
        </w:rPr>
        <w:t>20</w:t>
      </w:r>
      <w:r>
        <w:rPr>
          <w:rFonts w:hint="eastAsia" w:ascii="宋体" w:hAnsi="宋体" w:eastAsia="宋体" w:cs="宋体"/>
          <w:b/>
          <w:color w:val="auto"/>
          <w:sz w:val="32"/>
          <w:szCs w:val="32"/>
          <w:highlight w:val="none"/>
          <w:lang w:val="en-US" w:eastAsia="zh-CN"/>
        </w:rPr>
        <w:t>22</w:t>
      </w:r>
      <w:r>
        <w:rPr>
          <w:rFonts w:hint="eastAsia" w:ascii="宋体" w:hAnsi="宋体" w:eastAsia="宋体" w:cs="宋体"/>
          <w:b/>
          <w:color w:val="auto"/>
          <w:sz w:val="32"/>
          <w:szCs w:val="32"/>
          <w:highlight w:val="none"/>
        </w:rPr>
        <w:t>年至今完成项目一览表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361"/>
        <w:gridCol w:w="1615"/>
        <w:gridCol w:w="1615"/>
        <w:gridCol w:w="1425"/>
        <w:gridCol w:w="1341"/>
        <w:gridCol w:w="1256"/>
      </w:tblGrid>
      <w:tr w14:paraId="29CA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5939F2E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61" w:type="dxa"/>
            <w:tcBorders>
              <w:top w:val="single" w:color="auto" w:sz="4" w:space="0"/>
              <w:left w:val="single" w:color="auto" w:sz="4" w:space="0"/>
              <w:bottom w:val="single" w:color="auto" w:sz="4" w:space="0"/>
              <w:right w:val="single" w:color="auto" w:sz="4" w:space="0"/>
            </w:tcBorders>
            <w:vAlign w:val="center"/>
          </w:tcPr>
          <w:p w14:paraId="2AD12FE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业主名称</w:t>
            </w:r>
          </w:p>
        </w:tc>
        <w:tc>
          <w:tcPr>
            <w:tcW w:w="1615" w:type="dxa"/>
            <w:tcBorders>
              <w:top w:val="single" w:color="auto" w:sz="4" w:space="0"/>
              <w:left w:val="single" w:color="auto" w:sz="4" w:space="0"/>
              <w:bottom w:val="single" w:color="auto" w:sz="4" w:space="0"/>
              <w:right w:val="single" w:color="auto" w:sz="4" w:space="0"/>
            </w:tcBorders>
            <w:vAlign w:val="center"/>
          </w:tcPr>
          <w:p w14:paraId="3518F60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615" w:type="dxa"/>
            <w:tcBorders>
              <w:top w:val="single" w:color="auto" w:sz="4" w:space="0"/>
              <w:left w:val="single" w:color="auto" w:sz="4" w:space="0"/>
              <w:bottom w:val="single" w:color="auto" w:sz="4" w:space="0"/>
              <w:right w:val="single" w:color="auto" w:sz="4" w:space="0"/>
            </w:tcBorders>
            <w:vAlign w:val="center"/>
          </w:tcPr>
          <w:p w14:paraId="4E796BB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内容概述</w:t>
            </w:r>
          </w:p>
        </w:tc>
        <w:tc>
          <w:tcPr>
            <w:tcW w:w="1425" w:type="dxa"/>
            <w:tcBorders>
              <w:top w:val="single" w:color="auto" w:sz="4" w:space="0"/>
              <w:left w:val="single" w:color="auto" w:sz="4" w:space="0"/>
              <w:bottom w:val="single" w:color="auto" w:sz="4" w:space="0"/>
              <w:right w:val="single" w:color="auto" w:sz="4" w:space="0"/>
            </w:tcBorders>
            <w:vAlign w:val="center"/>
          </w:tcPr>
          <w:p w14:paraId="1802B49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合同总价</w:t>
            </w:r>
          </w:p>
        </w:tc>
        <w:tc>
          <w:tcPr>
            <w:tcW w:w="1341" w:type="dxa"/>
            <w:tcBorders>
              <w:top w:val="single" w:color="auto" w:sz="4" w:space="0"/>
              <w:left w:val="single" w:color="auto" w:sz="4" w:space="0"/>
              <w:bottom w:val="single" w:color="auto" w:sz="4" w:space="0"/>
              <w:right w:val="single" w:color="auto" w:sz="4" w:space="0"/>
            </w:tcBorders>
            <w:vAlign w:val="center"/>
          </w:tcPr>
          <w:p w14:paraId="26A2061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供货期</w:t>
            </w:r>
          </w:p>
        </w:tc>
        <w:tc>
          <w:tcPr>
            <w:tcW w:w="1256" w:type="dxa"/>
            <w:tcBorders>
              <w:top w:val="single" w:color="auto" w:sz="4" w:space="0"/>
              <w:left w:val="single" w:color="auto" w:sz="4" w:space="0"/>
              <w:bottom w:val="single" w:color="auto" w:sz="4" w:space="0"/>
              <w:right w:val="single" w:color="auto" w:sz="4" w:space="0"/>
            </w:tcBorders>
            <w:vAlign w:val="center"/>
          </w:tcPr>
          <w:p w14:paraId="3359C2D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业主单位联系电话</w:t>
            </w:r>
          </w:p>
        </w:tc>
      </w:tr>
      <w:tr w14:paraId="7BA3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58C4EBC">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C97C18D">
            <w:pPr>
              <w:pStyle w:val="11"/>
              <w:spacing w:line="360" w:lineRule="auto"/>
              <w:ind w:left="8000"/>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79277C33">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1173D15D">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70C1A1E0">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3E2A4F4">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9C7356D">
            <w:pPr>
              <w:spacing w:line="360" w:lineRule="auto"/>
              <w:rPr>
                <w:rFonts w:hint="eastAsia" w:ascii="宋体" w:hAnsi="宋体" w:eastAsia="宋体" w:cs="宋体"/>
                <w:color w:val="auto"/>
                <w:sz w:val="24"/>
                <w:szCs w:val="24"/>
                <w:highlight w:val="none"/>
              </w:rPr>
            </w:pPr>
          </w:p>
        </w:tc>
      </w:tr>
      <w:tr w14:paraId="2B17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37CD7A24">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B47562C">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1CF691FC">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4F7C0044">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9EFFE4C">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30898C4A">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6EA7AD2F">
            <w:pPr>
              <w:spacing w:line="360" w:lineRule="auto"/>
              <w:rPr>
                <w:rFonts w:hint="eastAsia" w:ascii="宋体" w:hAnsi="宋体" w:eastAsia="宋体" w:cs="宋体"/>
                <w:color w:val="auto"/>
                <w:sz w:val="24"/>
                <w:szCs w:val="24"/>
                <w:highlight w:val="none"/>
              </w:rPr>
            </w:pPr>
          </w:p>
        </w:tc>
      </w:tr>
      <w:tr w14:paraId="36FF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DD5A448">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2E526E8">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6AF55259">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6EEAA95C">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9E03034">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45B4DB1">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0FEE89F">
            <w:pPr>
              <w:spacing w:line="360" w:lineRule="auto"/>
              <w:rPr>
                <w:rFonts w:hint="eastAsia" w:ascii="宋体" w:hAnsi="宋体" w:eastAsia="宋体" w:cs="宋体"/>
                <w:color w:val="auto"/>
                <w:sz w:val="24"/>
                <w:szCs w:val="24"/>
                <w:highlight w:val="none"/>
              </w:rPr>
            </w:pPr>
          </w:p>
        </w:tc>
      </w:tr>
      <w:tr w14:paraId="6D2B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E8A71F4">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4F94E8C">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41EA9845">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3A15F26B">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C691D55">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260BF70">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2FD51CB">
            <w:pPr>
              <w:spacing w:line="360" w:lineRule="auto"/>
              <w:rPr>
                <w:rFonts w:hint="eastAsia" w:ascii="宋体" w:hAnsi="宋体" w:eastAsia="宋体" w:cs="宋体"/>
                <w:color w:val="auto"/>
                <w:sz w:val="24"/>
                <w:szCs w:val="24"/>
                <w:highlight w:val="none"/>
              </w:rPr>
            </w:pPr>
          </w:p>
        </w:tc>
      </w:tr>
      <w:tr w14:paraId="578B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5ABC5A40">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B6FBB54">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56766145">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2C4C43B4">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0475C13">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77E72DE">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626A29F1">
            <w:pPr>
              <w:spacing w:line="360" w:lineRule="auto"/>
              <w:rPr>
                <w:rFonts w:hint="eastAsia" w:ascii="宋体" w:hAnsi="宋体" w:eastAsia="宋体" w:cs="宋体"/>
                <w:color w:val="auto"/>
                <w:sz w:val="24"/>
                <w:szCs w:val="24"/>
                <w:highlight w:val="none"/>
              </w:rPr>
            </w:pPr>
          </w:p>
        </w:tc>
      </w:tr>
      <w:tr w14:paraId="677D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A2D686A">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741689D">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0ABAFF4F">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6AFD8A97">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C95B404">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1DA9EBDB">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CA071F6">
            <w:pPr>
              <w:spacing w:line="360" w:lineRule="auto"/>
              <w:rPr>
                <w:rFonts w:hint="eastAsia" w:ascii="宋体" w:hAnsi="宋体" w:eastAsia="宋体" w:cs="宋体"/>
                <w:color w:val="auto"/>
                <w:sz w:val="24"/>
                <w:szCs w:val="24"/>
                <w:highlight w:val="none"/>
              </w:rPr>
            </w:pPr>
          </w:p>
        </w:tc>
      </w:tr>
      <w:tr w14:paraId="240C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11F8608F">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2C76BC6">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5A7533B1">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0E2F9669">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63E6CF03">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6431582">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3126F066">
            <w:pPr>
              <w:spacing w:line="360" w:lineRule="auto"/>
              <w:rPr>
                <w:rFonts w:hint="eastAsia" w:ascii="宋体" w:hAnsi="宋体" w:eastAsia="宋体" w:cs="宋体"/>
                <w:color w:val="auto"/>
                <w:sz w:val="24"/>
                <w:szCs w:val="24"/>
                <w:highlight w:val="none"/>
              </w:rPr>
            </w:pPr>
          </w:p>
        </w:tc>
      </w:tr>
      <w:tr w14:paraId="7A63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3203FB4F">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A42B8D5">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043F5757">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21697A5A">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435E85A6">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035835D">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FCFAD61">
            <w:pPr>
              <w:spacing w:line="360" w:lineRule="auto"/>
              <w:rPr>
                <w:rFonts w:hint="eastAsia" w:ascii="宋体" w:hAnsi="宋体" w:eastAsia="宋体" w:cs="宋体"/>
                <w:color w:val="auto"/>
                <w:sz w:val="24"/>
                <w:szCs w:val="24"/>
                <w:highlight w:val="none"/>
              </w:rPr>
            </w:pPr>
          </w:p>
        </w:tc>
      </w:tr>
    </w:tbl>
    <w:p w14:paraId="634F32B1">
      <w:pPr>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注：1、请提供上述项目的合同</w:t>
      </w:r>
      <w:r>
        <w:rPr>
          <w:rFonts w:hint="eastAsia" w:ascii="宋体" w:hAnsi="宋体" w:eastAsia="宋体" w:cs="宋体"/>
          <w:b/>
          <w:bCs/>
          <w:color w:val="auto"/>
          <w:sz w:val="24"/>
          <w:szCs w:val="24"/>
          <w:highlight w:val="none"/>
          <w:lang w:eastAsia="zh-CN"/>
        </w:rPr>
        <w:t>协议书</w:t>
      </w:r>
      <w:r>
        <w:rPr>
          <w:rFonts w:hint="eastAsia" w:ascii="宋体" w:hAnsi="宋体" w:eastAsia="宋体" w:cs="宋体"/>
          <w:b/>
          <w:bCs/>
          <w:color w:val="auto"/>
          <w:sz w:val="24"/>
          <w:szCs w:val="24"/>
          <w:highlight w:val="none"/>
        </w:rPr>
        <w:t>或中标通知书复印件</w:t>
      </w:r>
      <w:r>
        <w:rPr>
          <w:rFonts w:hint="eastAsia" w:ascii="宋体" w:hAnsi="宋体" w:cs="宋体"/>
          <w:b/>
          <w:bCs/>
          <w:color w:val="auto"/>
          <w:sz w:val="24"/>
          <w:szCs w:val="24"/>
          <w:highlight w:val="none"/>
          <w:lang w:val="en-US" w:eastAsia="zh-CN"/>
        </w:rPr>
        <w:t>并加盖公章</w:t>
      </w:r>
      <w:r>
        <w:rPr>
          <w:rFonts w:hint="eastAsia" w:ascii="宋体" w:hAnsi="宋体" w:eastAsia="宋体" w:cs="宋体"/>
          <w:b/>
          <w:color w:val="auto"/>
          <w:sz w:val="24"/>
          <w:szCs w:val="24"/>
          <w:highlight w:val="none"/>
        </w:rPr>
        <w:t>，否则该项业绩视为无效。</w:t>
      </w:r>
    </w:p>
    <w:p w14:paraId="5E8D42C6">
      <w:pPr>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2、此表可根据投标人的实际情况自行删减。</w:t>
      </w:r>
    </w:p>
    <w:p w14:paraId="2BEDBF45">
      <w:pPr>
        <w:spacing w:line="360" w:lineRule="auto"/>
        <w:ind w:left="487" w:leftChars="200" w:right="-514" w:rightChars="-245" w:hanging="67" w:hangingChars="28"/>
        <w:rPr>
          <w:rFonts w:hint="eastAsia" w:ascii="宋体" w:hAnsi="宋体" w:eastAsia="宋体" w:cs="宋体"/>
          <w:b/>
          <w:bCs/>
          <w:color w:val="auto"/>
          <w:sz w:val="24"/>
          <w:szCs w:val="24"/>
          <w:highlight w:val="none"/>
        </w:rPr>
      </w:pPr>
    </w:p>
    <w:p w14:paraId="13E2F089">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61FA3B46">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329924AD">
      <w:pPr>
        <w:tabs>
          <w:tab w:val="left" w:pos="1365"/>
        </w:tabs>
        <w:spacing w:line="360" w:lineRule="auto"/>
        <w:jc w:val="center"/>
        <w:rPr>
          <w:rFonts w:hint="eastAsia" w:ascii="宋体" w:hAnsi="宋体" w:eastAsia="宋体" w:cs="宋体"/>
          <w:color w:val="auto"/>
          <w:sz w:val="24"/>
          <w:szCs w:val="24"/>
          <w:highlight w:val="none"/>
        </w:rPr>
      </w:pPr>
    </w:p>
    <w:p w14:paraId="2088378D">
      <w:pPr>
        <w:wordWrap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183CC73C">
      <w:pPr>
        <w:tabs>
          <w:tab w:val="left" w:pos="1026"/>
          <w:tab w:val="center" w:pos="4811"/>
        </w:tabs>
        <w:spacing w:line="360" w:lineRule="auto"/>
        <w:jc w:val="center"/>
        <w:outlineLvl w:val="1"/>
        <w:rPr>
          <w:rFonts w:hint="eastAsia" w:ascii="宋体" w:hAnsi="宋体" w:eastAsia="宋体" w:cs="宋体"/>
          <w:b/>
          <w:color w:val="auto"/>
          <w:sz w:val="32"/>
          <w:szCs w:val="32"/>
          <w:highlight w:val="none"/>
        </w:rPr>
      </w:pPr>
    </w:p>
    <w:p w14:paraId="5E9398B9">
      <w:pPr>
        <w:pStyle w:val="2"/>
        <w:numPr>
          <w:ilvl w:val="0"/>
          <w:numId w:val="0"/>
        </w:numPr>
        <w:kinsoku w:val="0"/>
        <w:autoSpaceDE w:val="0"/>
        <w:autoSpaceDN w:val="0"/>
        <w:adjustRightInd w:val="0"/>
        <w:snapToGrid w:val="0"/>
        <w:spacing w:line="360" w:lineRule="auto"/>
        <w:textAlignment w:val="baseline"/>
        <w:rPr>
          <w:rFonts w:hint="eastAsia"/>
          <w:color w:val="auto"/>
          <w:highlight w:val="none"/>
        </w:rPr>
      </w:pPr>
    </w:p>
    <w:p w14:paraId="045AE4E4">
      <w:pPr>
        <w:tabs>
          <w:tab w:val="left" w:pos="1026"/>
          <w:tab w:val="center" w:pos="4811"/>
        </w:tabs>
        <w:spacing w:line="360" w:lineRule="auto"/>
        <w:jc w:val="center"/>
        <w:outlineLvl w:val="1"/>
        <w:rPr>
          <w:rFonts w:hint="eastAsia" w:ascii="宋体" w:hAnsi="宋体" w:eastAsia="宋体" w:cs="宋体"/>
          <w:b/>
          <w:color w:val="auto"/>
          <w:sz w:val="32"/>
          <w:szCs w:val="32"/>
          <w:highlight w:val="none"/>
        </w:rPr>
      </w:pPr>
      <w:bookmarkStart w:id="160" w:name="_Toc30202"/>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1</w:t>
      </w:r>
      <w:r>
        <w:rPr>
          <w:rFonts w:hint="eastAsia" w:ascii="宋体" w:hAnsi="宋体" w:eastAsia="宋体" w:cs="宋体"/>
          <w:b/>
          <w:color w:val="auto"/>
          <w:sz w:val="32"/>
          <w:szCs w:val="32"/>
          <w:highlight w:val="none"/>
        </w:rPr>
        <w:t>、招标文件要求的其他材料</w:t>
      </w:r>
      <w:bookmarkEnd w:id="160"/>
    </w:p>
    <w:p w14:paraId="590FA330">
      <w:pPr>
        <w:pStyle w:val="6"/>
        <w:jc w:val="center"/>
        <w:rPr>
          <w:rFonts w:hint="eastAsia" w:ascii="宋体" w:hAnsi="宋体" w:eastAsia="宋体" w:cs="宋体"/>
          <w:bCs w:val="0"/>
          <w:color w:val="auto"/>
          <w:sz w:val="28"/>
          <w:szCs w:val="28"/>
          <w:highlight w:val="none"/>
        </w:rPr>
      </w:pPr>
      <w:bookmarkStart w:id="161" w:name="_Toc376"/>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zh-CN"/>
        </w:rPr>
        <w:t>）</w:t>
      </w:r>
      <w:r>
        <w:rPr>
          <w:rFonts w:hint="eastAsia" w:ascii="宋体" w:hAnsi="宋体" w:eastAsia="宋体" w:cs="宋体"/>
          <w:bCs w:val="0"/>
          <w:color w:val="auto"/>
          <w:sz w:val="28"/>
          <w:szCs w:val="28"/>
          <w:highlight w:val="none"/>
        </w:rPr>
        <w:t>廉洁承诺书</w:t>
      </w:r>
      <w:bookmarkEnd w:id="161"/>
    </w:p>
    <w:p w14:paraId="6D4D1405">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参与此次【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】的投标过程中，为保证本次招标活动在“公开、公正、公平”的竞争环境下顺利开展，本公司郑重承诺：</w:t>
      </w:r>
    </w:p>
    <w:p w14:paraId="08F68879">
      <w:pPr>
        <w:numPr>
          <w:ilvl w:val="0"/>
          <w:numId w:val="2"/>
        </w:num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在本次招投标及若中标后的项目实施全过程中，我方承诺将严格遵守国家有关法律、法规、相关政策、以及廉政建设的各项规定。</w:t>
      </w:r>
    </w:p>
    <w:p w14:paraId="6F779AD2">
      <w:pPr>
        <w:numPr>
          <w:ilvl w:val="0"/>
          <w:numId w:val="2"/>
        </w:num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我方知悉采购方实行诚信制度和廉洁制度，并保证在购销活动中不涉嫌商业贿赂及违反不正当竞争法的行为，不以任何名义给予购买使用我方产品的各科室及相关工作人员回扣、礼金、有价证券。</w:t>
      </w:r>
    </w:p>
    <w:p w14:paraId="4F0FF94F">
      <w:pPr>
        <w:numPr>
          <w:ilvl w:val="0"/>
          <w:numId w:val="2"/>
        </w:num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自觉接受相关管理部门的监督，在采购活动中出现违反此承诺书规定的行为，将被列入需方不良记录档案，需方可不再以任何名义、任何形式购买我方产品或服务。涉嫌犯罪的，将移送司法机关处理。本公司及责任人愿意承担因而引发的一切法律责任。</w:t>
      </w:r>
    </w:p>
    <w:p w14:paraId="51A053FF">
      <w:pPr>
        <w:numPr>
          <w:ilvl w:val="0"/>
          <w:numId w:val="2"/>
        </w:num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本承诺书自签署之日起生效。</w:t>
      </w:r>
    </w:p>
    <w:p w14:paraId="2278D6E5">
      <w:pPr>
        <w:spacing w:line="480" w:lineRule="auto"/>
        <w:rPr>
          <w:rFonts w:hint="eastAsia" w:ascii="宋体" w:hAnsi="宋体" w:eastAsia="宋体" w:cs="宋体"/>
          <w:color w:val="auto"/>
          <w:sz w:val="24"/>
          <w:highlight w:val="none"/>
        </w:rPr>
      </w:pPr>
    </w:p>
    <w:p w14:paraId="67D4D174">
      <w:pPr>
        <w:spacing w:line="480" w:lineRule="auto"/>
        <w:rPr>
          <w:rFonts w:hint="eastAsia" w:ascii="宋体" w:hAnsi="宋体" w:eastAsia="宋体" w:cs="宋体"/>
          <w:color w:val="auto"/>
          <w:sz w:val="24"/>
          <w:highlight w:val="none"/>
        </w:rPr>
      </w:pPr>
    </w:p>
    <w:p w14:paraId="796766A2">
      <w:p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法定代表人或投标人代表签字：</w:t>
      </w:r>
      <w:r>
        <w:rPr>
          <w:rFonts w:hint="eastAsia" w:ascii="宋体" w:hAnsi="宋体" w:eastAsia="宋体" w:cs="宋体"/>
          <w:color w:val="auto"/>
          <w:sz w:val="24"/>
          <w:highlight w:val="none"/>
          <w:u w:val="single"/>
        </w:rPr>
        <w:t xml:space="preserve">                              </w:t>
      </w:r>
    </w:p>
    <w:p w14:paraId="7CD1B2E2">
      <w:p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签字日期：</w:t>
      </w:r>
      <w:r>
        <w:rPr>
          <w:rFonts w:hint="eastAsia" w:ascii="宋体" w:hAnsi="宋体" w:eastAsia="宋体" w:cs="宋体"/>
          <w:color w:val="auto"/>
          <w:sz w:val="24"/>
          <w:highlight w:val="none"/>
          <w:u w:val="single"/>
        </w:rPr>
        <w:t xml:space="preserve">                                                </w:t>
      </w:r>
    </w:p>
    <w:p w14:paraId="0E6170D2">
      <w:p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加盖投标单位公章：</w:t>
      </w:r>
      <w:r>
        <w:rPr>
          <w:rFonts w:hint="eastAsia" w:ascii="宋体" w:hAnsi="宋体" w:eastAsia="宋体" w:cs="宋体"/>
          <w:color w:val="auto"/>
          <w:sz w:val="24"/>
          <w:highlight w:val="none"/>
          <w:u w:val="single"/>
        </w:rPr>
        <w:t xml:space="preserve">                                        </w:t>
      </w:r>
    </w:p>
    <w:p w14:paraId="1338A10C">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注解：若投标人未按招标文件要求提供上述承诺书，其投标可被否决。</w:t>
      </w:r>
    </w:p>
    <w:p w14:paraId="06363E9D">
      <w:pPr>
        <w:spacing w:line="360" w:lineRule="auto"/>
        <w:rPr>
          <w:rFonts w:hint="eastAsia" w:ascii="宋体" w:hAnsi="宋体" w:eastAsia="宋体" w:cs="宋体"/>
          <w:b/>
          <w:color w:val="auto"/>
          <w:sz w:val="28"/>
          <w:szCs w:val="28"/>
          <w:highlight w:val="none"/>
        </w:rPr>
        <w:sectPr>
          <w:footerReference r:id="rId6" w:type="first"/>
          <w:footerReference r:id="rId5" w:type="default"/>
          <w:pgSz w:w="11906" w:h="16838"/>
          <w:pgMar w:top="1440" w:right="1274" w:bottom="1440" w:left="1247" w:header="851" w:footer="992" w:gutter="0"/>
          <w:pgNumType w:fmt="decimal"/>
          <w:cols w:space="720" w:num="1"/>
          <w:titlePg/>
          <w:docGrid w:type="lines" w:linePitch="312" w:charSpace="0"/>
        </w:sectPr>
      </w:pPr>
    </w:p>
    <w:p w14:paraId="3FDBEE6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8"/>
          <w:szCs w:val="28"/>
          <w:highlight w:val="none"/>
        </w:rPr>
        <w:t>参加政府采购活动前3年内在经营活动中没有重大违法记录的书面声明</w:t>
      </w:r>
    </w:p>
    <w:p w14:paraId="3285002B">
      <w:pPr>
        <w:spacing w:line="360" w:lineRule="auto"/>
        <w:ind w:firstLine="1680" w:firstLineChars="600"/>
        <w:jc w:val="center"/>
        <w:rPr>
          <w:rFonts w:hint="eastAsia" w:ascii="宋体" w:hAnsi="宋体" w:eastAsia="宋体" w:cs="宋体"/>
          <w:bCs/>
          <w:color w:val="auto"/>
          <w:sz w:val="28"/>
          <w:szCs w:val="28"/>
          <w:highlight w:val="none"/>
        </w:rPr>
      </w:pPr>
    </w:p>
    <w:p w14:paraId="67C1F834">
      <w:pPr>
        <w:spacing w:line="360" w:lineRule="auto"/>
        <w:ind w:firstLine="1680" w:firstLineChars="600"/>
        <w:jc w:val="center"/>
        <w:rPr>
          <w:rFonts w:hint="eastAsia" w:ascii="宋体" w:hAnsi="宋体" w:eastAsia="宋体" w:cs="宋体"/>
          <w:bCs/>
          <w:color w:val="auto"/>
          <w:sz w:val="28"/>
          <w:szCs w:val="28"/>
          <w:highlight w:val="none"/>
        </w:rPr>
      </w:pPr>
    </w:p>
    <w:p w14:paraId="6AB6B8F8">
      <w:pPr>
        <w:autoSpaceDE w:val="0"/>
        <w:autoSpaceDN w:val="0"/>
        <w:adjustRightInd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（格式自拟）</w:t>
      </w:r>
    </w:p>
    <w:p w14:paraId="5508B541">
      <w:pPr>
        <w:pStyle w:val="8"/>
        <w:rPr>
          <w:rFonts w:hint="eastAsia" w:ascii="宋体" w:hAnsi="宋体" w:eastAsia="宋体" w:cs="宋体"/>
          <w:bCs/>
          <w:color w:val="auto"/>
          <w:sz w:val="28"/>
          <w:szCs w:val="28"/>
          <w:highlight w:val="none"/>
        </w:rPr>
      </w:pPr>
    </w:p>
    <w:p w14:paraId="6F4AC2DB">
      <w:pPr>
        <w:pStyle w:val="8"/>
        <w:rPr>
          <w:rFonts w:hint="eastAsia" w:ascii="宋体" w:hAnsi="宋体" w:eastAsia="宋体" w:cs="宋体"/>
          <w:bCs/>
          <w:color w:val="auto"/>
          <w:sz w:val="28"/>
          <w:szCs w:val="28"/>
          <w:highlight w:val="none"/>
        </w:rPr>
      </w:pPr>
    </w:p>
    <w:p w14:paraId="2E8C753B">
      <w:pPr>
        <w:pStyle w:val="8"/>
        <w:rPr>
          <w:rFonts w:hint="eastAsia" w:ascii="宋体" w:hAnsi="宋体" w:eastAsia="宋体" w:cs="宋体"/>
          <w:bCs/>
          <w:color w:val="auto"/>
          <w:sz w:val="28"/>
          <w:szCs w:val="28"/>
          <w:highlight w:val="none"/>
        </w:rPr>
      </w:pPr>
    </w:p>
    <w:p w14:paraId="7D7F2F0E">
      <w:pPr>
        <w:pStyle w:val="8"/>
        <w:rPr>
          <w:rFonts w:hint="eastAsia" w:ascii="宋体" w:hAnsi="宋体" w:eastAsia="宋体" w:cs="宋体"/>
          <w:bCs/>
          <w:color w:val="auto"/>
          <w:sz w:val="28"/>
          <w:szCs w:val="28"/>
          <w:highlight w:val="none"/>
        </w:rPr>
      </w:pPr>
    </w:p>
    <w:p w14:paraId="73694F13">
      <w:pPr>
        <w:pStyle w:val="8"/>
        <w:rPr>
          <w:rFonts w:hint="eastAsia" w:ascii="宋体" w:hAnsi="宋体" w:eastAsia="宋体" w:cs="宋体"/>
          <w:bCs/>
          <w:color w:val="auto"/>
          <w:sz w:val="28"/>
          <w:szCs w:val="28"/>
          <w:highlight w:val="none"/>
        </w:rPr>
      </w:pPr>
    </w:p>
    <w:p w14:paraId="1766B144">
      <w:pPr>
        <w:pStyle w:val="8"/>
        <w:rPr>
          <w:rFonts w:hint="eastAsia" w:ascii="宋体" w:hAnsi="宋体" w:eastAsia="宋体" w:cs="宋体"/>
          <w:bCs/>
          <w:color w:val="auto"/>
          <w:sz w:val="28"/>
          <w:szCs w:val="28"/>
          <w:highlight w:val="none"/>
        </w:rPr>
      </w:pPr>
    </w:p>
    <w:p w14:paraId="201DA43B">
      <w:pPr>
        <w:pStyle w:val="8"/>
        <w:rPr>
          <w:rFonts w:hint="eastAsia" w:ascii="宋体" w:hAnsi="宋体" w:eastAsia="宋体" w:cs="宋体"/>
          <w:bCs/>
          <w:color w:val="auto"/>
          <w:sz w:val="28"/>
          <w:szCs w:val="28"/>
          <w:highlight w:val="none"/>
        </w:rPr>
      </w:pPr>
    </w:p>
    <w:p w14:paraId="2298B0C8">
      <w:pPr>
        <w:pStyle w:val="8"/>
        <w:rPr>
          <w:rFonts w:hint="eastAsia" w:ascii="宋体" w:hAnsi="宋体" w:eastAsia="宋体" w:cs="宋体"/>
          <w:bCs/>
          <w:color w:val="auto"/>
          <w:sz w:val="28"/>
          <w:szCs w:val="28"/>
          <w:highlight w:val="none"/>
        </w:rPr>
      </w:pPr>
    </w:p>
    <w:p w14:paraId="5177803C">
      <w:pPr>
        <w:pStyle w:val="8"/>
        <w:rPr>
          <w:rFonts w:hint="eastAsia" w:ascii="宋体" w:hAnsi="宋体" w:eastAsia="宋体" w:cs="宋体"/>
          <w:bCs/>
          <w:color w:val="auto"/>
          <w:sz w:val="28"/>
          <w:szCs w:val="28"/>
          <w:highlight w:val="none"/>
        </w:rPr>
      </w:pPr>
    </w:p>
    <w:p w14:paraId="33DF1F02">
      <w:pPr>
        <w:pStyle w:val="8"/>
        <w:rPr>
          <w:rFonts w:hint="eastAsia" w:ascii="宋体" w:hAnsi="宋体" w:eastAsia="宋体" w:cs="宋体"/>
          <w:bCs/>
          <w:color w:val="auto"/>
          <w:sz w:val="28"/>
          <w:szCs w:val="28"/>
          <w:highlight w:val="none"/>
        </w:rPr>
      </w:pPr>
    </w:p>
    <w:p w14:paraId="61FD9834">
      <w:pPr>
        <w:pStyle w:val="8"/>
        <w:rPr>
          <w:rFonts w:hint="eastAsia" w:ascii="宋体" w:hAnsi="宋体" w:eastAsia="宋体" w:cs="宋体"/>
          <w:bCs/>
          <w:color w:val="auto"/>
          <w:sz w:val="28"/>
          <w:szCs w:val="28"/>
          <w:highlight w:val="none"/>
        </w:rPr>
      </w:pPr>
    </w:p>
    <w:p w14:paraId="22CA35FD">
      <w:pPr>
        <w:pStyle w:val="8"/>
        <w:rPr>
          <w:rFonts w:hint="eastAsia" w:ascii="宋体" w:hAnsi="宋体" w:eastAsia="宋体" w:cs="宋体"/>
          <w:bCs/>
          <w:color w:val="auto"/>
          <w:sz w:val="28"/>
          <w:szCs w:val="28"/>
          <w:highlight w:val="none"/>
        </w:rPr>
      </w:pPr>
    </w:p>
    <w:p w14:paraId="06398533">
      <w:pPr>
        <w:pStyle w:val="8"/>
        <w:rPr>
          <w:rFonts w:hint="eastAsia" w:ascii="宋体" w:hAnsi="宋体" w:eastAsia="宋体" w:cs="宋体"/>
          <w:bCs/>
          <w:color w:val="auto"/>
          <w:sz w:val="28"/>
          <w:szCs w:val="28"/>
          <w:highlight w:val="none"/>
        </w:rPr>
      </w:pPr>
    </w:p>
    <w:p w14:paraId="78E1FFAA">
      <w:pPr>
        <w:pStyle w:val="8"/>
        <w:rPr>
          <w:rFonts w:hint="eastAsia" w:ascii="宋体" w:hAnsi="宋体" w:eastAsia="宋体" w:cs="宋体"/>
          <w:bCs/>
          <w:color w:val="auto"/>
          <w:sz w:val="28"/>
          <w:szCs w:val="28"/>
          <w:highlight w:val="none"/>
        </w:rPr>
      </w:pPr>
    </w:p>
    <w:p w14:paraId="5EA7D5D6">
      <w:pPr>
        <w:pStyle w:val="8"/>
        <w:rPr>
          <w:rFonts w:hint="eastAsia" w:ascii="宋体" w:hAnsi="宋体" w:eastAsia="宋体" w:cs="宋体"/>
          <w:bCs/>
          <w:color w:val="auto"/>
          <w:sz w:val="28"/>
          <w:szCs w:val="28"/>
          <w:highlight w:val="none"/>
        </w:rPr>
      </w:pPr>
    </w:p>
    <w:p w14:paraId="1D5339B4">
      <w:pPr>
        <w:pStyle w:val="8"/>
        <w:rPr>
          <w:rFonts w:hint="eastAsia" w:ascii="宋体" w:hAnsi="宋体" w:eastAsia="宋体" w:cs="宋体"/>
          <w:bCs/>
          <w:color w:val="auto"/>
          <w:sz w:val="28"/>
          <w:szCs w:val="28"/>
          <w:highlight w:val="none"/>
        </w:rPr>
      </w:pPr>
    </w:p>
    <w:p w14:paraId="675DA2D7">
      <w:pPr>
        <w:tabs>
          <w:tab w:val="left" w:pos="1365"/>
        </w:tabs>
        <w:wordWrap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14:paraId="30A95AC6">
      <w:pPr>
        <w:tabs>
          <w:tab w:val="left" w:pos="1365"/>
        </w:tabs>
        <w:wordWrap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4273F651">
      <w:pPr>
        <w:wordWrap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73FB899">
      <w:pPr>
        <w:pStyle w:val="8"/>
        <w:rPr>
          <w:rFonts w:hint="eastAsia" w:ascii="宋体" w:hAnsi="宋体" w:eastAsia="宋体" w:cs="宋体"/>
          <w:bCs/>
          <w:color w:val="auto"/>
          <w:sz w:val="28"/>
          <w:szCs w:val="28"/>
          <w:highlight w:val="none"/>
          <w:lang w:val="zh-CN"/>
        </w:rPr>
        <w:sectPr>
          <w:pgSz w:w="11906" w:h="16838"/>
          <w:pgMar w:top="1440" w:right="1797" w:bottom="1440" w:left="1797" w:header="851" w:footer="992" w:gutter="0"/>
          <w:pgNumType w:fmt="decimal"/>
          <w:cols w:space="720" w:num="1"/>
          <w:titlePg/>
          <w:docGrid w:linePitch="312" w:charSpace="0"/>
        </w:sectPr>
      </w:pPr>
    </w:p>
    <w:p w14:paraId="3338FF77">
      <w:pPr>
        <w:numPr>
          <w:ilvl w:val="0"/>
          <w:numId w:val="3"/>
        </w:numPr>
        <w:autoSpaceDE w:val="0"/>
        <w:autoSpaceDN w:val="0"/>
        <w:adjustRightInd w:val="0"/>
        <w:jc w:val="cente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售后服务承诺书</w:t>
      </w:r>
    </w:p>
    <w:p w14:paraId="30E170D3">
      <w:pPr>
        <w:pStyle w:val="38"/>
        <w:rPr>
          <w:rFonts w:hint="eastAsia" w:ascii="宋体" w:hAnsi="宋体" w:eastAsia="宋体" w:cs="宋体"/>
          <w:b/>
          <w:color w:val="auto"/>
          <w:sz w:val="28"/>
          <w:szCs w:val="28"/>
          <w:highlight w:val="none"/>
          <w:lang w:val="zh-CN"/>
        </w:rPr>
      </w:pPr>
    </w:p>
    <w:p w14:paraId="1E2BD252">
      <w:pPr>
        <w:pStyle w:val="38"/>
        <w:rPr>
          <w:rFonts w:hint="eastAsia" w:ascii="宋体" w:hAnsi="宋体" w:eastAsia="宋体" w:cs="宋体"/>
          <w:b/>
          <w:color w:val="auto"/>
          <w:sz w:val="28"/>
          <w:szCs w:val="28"/>
          <w:highlight w:val="none"/>
          <w:lang w:val="zh-CN"/>
        </w:rPr>
      </w:pPr>
    </w:p>
    <w:p w14:paraId="05A8C770">
      <w:pPr>
        <w:pStyle w:val="38"/>
        <w:rPr>
          <w:rFonts w:hint="eastAsia" w:ascii="宋体" w:hAnsi="宋体" w:eastAsia="宋体" w:cs="宋体"/>
          <w:b/>
          <w:color w:val="auto"/>
          <w:sz w:val="28"/>
          <w:szCs w:val="28"/>
          <w:highlight w:val="none"/>
          <w:lang w:val="zh-CN"/>
        </w:rPr>
      </w:pPr>
    </w:p>
    <w:p w14:paraId="7D49C4BA">
      <w:pPr>
        <w:pStyle w:val="38"/>
        <w:rPr>
          <w:rFonts w:hint="eastAsia" w:ascii="宋体" w:hAnsi="宋体" w:eastAsia="宋体" w:cs="宋体"/>
          <w:b/>
          <w:color w:val="auto"/>
          <w:sz w:val="28"/>
          <w:szCs w:val="28"/>
          <w:highlight w:val="none"/>
          <w:lang w:val="zh-CN"/>
        </w:rPr>
      </w:pPr>
    </w:p>
    <w:p w14:paraId="68DA3CD2">
      <w:pPr>
        <w:pStyle w:val="38"/>
        <w:numPr>
          <w:ilvl w:val="0"/>
          <w:numId w:val="0"/>
        </w:numPr>
        <w:rPr>
          <w:rFonts w:hint="eastAsia" w:ascii="宋体" w:hAnsi="宋体" w:eastAsia="宋体" w:cs="宋体"/>
          <w:color w:val="auto"/>
          <w:highlight w:val="none"/>
          <w:lang w:val="zh-CN"/>
        </w:rPr>
      </w:pPr>
    </w:p>
    <w:p w14:paraId="73AE74CF">
      <w:pPr>
        <w:autoSpaceDE w:val="0"/>
        <w:autoSpaceDN w:val="0"/>
        <w:adjustRightInd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（格式自拟）</w:t>
      </w:r>
    </w:p>
    <w:p w14:paraId="3C438336">
      <w:pPr>
        <w:pStyle w:val="8"/>
        <w:rPr>
          <w:rFonts w:hint="eastAsia" w:ascii="宋体" w:hAnsi="宋体" w:eastAsia="宋体" w:cs="宋体"/>
          <w:bCs/>
          <w:color w:val="auto"/>
          <w:sz w:val="28"/>
          <w:szCs w:val="28"/>
          <w:highlight w:val="none"/>
        </w:rPr>
      </w:pPr>
    </w:p>
    <w:p w14:paraId="726802F8">
      <w:pPr>
        <w:pStyle w:val="8"/>
        <w:rPr>
          <w:rFonts w:hint="eastAsia" w:ascii="宋体" w:hAnsi="宋体" w:eastAsia="宋体" w:cs="宋体"/>
          <w:bCs/>
          <w:color w:val="auto"/>
          <w:sz w:val="28"/>
          <w:szCs w:val="28"/>
          <w:highlight w:val="none"/>
        </w:rPr>
      </w:pPr>
    </w:p>
    <w:p w14:paraId="0F8AF658">
      <w:pPr>
        <w:pStyle w:val="8"/>
        <w:rPr>
          <w:rFonts w:hint="eastAsia" w:ascii="宋体" w:hAnsi="宋体" w:eastAsia="宋体" w:cs="宋体"/>
          <w:bCs/>
          <w:color w:val="auto"/>
          <w:sz w:val="28"/>
          <w:szCs w:val="28"/>
          <w:highlight w:val="none"/>
        </w:rPr>
      </w:pPr>
    </w:p>
    <w:p w14:paraId="2C7A394A">
      <w:pPr>
        <w:pStyle w:val="8"/>
        <w:rPr>
          <w:rFonts w:hint="eastAsia" w:ascii="宋体" w:hAnsi="宋体" w:eastAsia="宋体" w:cs="宋体"/>
          <w:bCs/>
          <w:color w:val="auto"/>
          <w:sz w:val="28"/>
          <w:szCs w:val="28"/>
          <w:highlight w:val="none"/>
        </w:rPr>
      </w:pPr>
    </w:p>
    <w:p w14:paraId="3F0B4CC3">
      <w:pPr>
        <w:pStyle w:val="8"/>
        <w:rPr>
          <w:rFonts w:hint="eastAsia" w:ascii="宋体" w:hAnsi="宋体" w:eastAsia="宋体" w:cs="宋体"/>
          <w:bCs/>
          <w:color w:val="auto"/>
          <w:sz w:val="28"/>
          <w:szCs w:val="28"/>
          <w:highlight w:val="none"/>
        </w:rPr>
      </w:pPr>
    </w:p>
    <w:p w14:paraId="3A04506E">
      <w:pPr>
        <w:pStyle w:val="8"/>
        <w:rPr>
          <w:rFonts w:hint="eastAsia" w:ascii="宋体" w:hAnsi="宋体" w:eastAsia="宋体" w:cs="宋体"/>
          <w:bCs/>
          <w:color w:val="auto"/>
          <w:sz w:val="28"/>
          <w:szCs w:val="28"/>
          <w:highlight w:val="none"/>
        </w:rPr>
      </w:pPr>
    </w:p>
    <w:p w14:paraId="4137C5C2">
      <w:pPr>
        <w:pStyle w:val="8"/>
        <w:rPr>
          <w:rFonts w:hint="eastAsia" w:ascii="宋体" w:hAnsi="宋体" w:eastAsia="宋体" w:cs="宋体"/>
          <w:bCs/>
          <w:color w:val="auto"/>
          <w:sz w:val="28"/>
          <w:szCs w:val="28"/>
          <w:highlight w:val="none"/>
        </w:rPr>
      </w:pPr>
    </w:p>
    <w:p w14:paraId="2778AE3E">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49DFD344">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61A4217E">
      <w:pPr>
        <w:wordWrap w:val="0"/>
        <w:spacing w:line="50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0EB9C2B">
      <w:pPr>
        <w:spacing w:line="480" w:lineRule="auto"/>
        <w:rPr>
          <w:rFonts w:hint="eastAsia" w:ascii="宋体" w:hAnsi="宋体" w:eastAsia="宋体" w:cs="宋体"/>
          <w:color w:val="auto"/>
          <w:sz w:val="24"/>
          <w:highlight w:val="none"/>
        </w:rPr>
      </w:pPr>
    </w:p>
    <w:p w14:paraId="7D085443">
      <w:pPr>
        <w:jc w:val="both"/>
        <w:rPr>
          <w:rFonts w:hint="eastAsia" w:ascii="宋体" w:hAnsi="宋体" w:eastAsia="宋体" w:cs="宋体"/>
          <w:color w:val="auto"/>
          <w:sz w:val="30"/>
          <w:szCs w:val="30"/>
          <w:highlight w:val="none"/>
        </w:rPr>
      </w:pPr>
    </w:p>
    <w:p w14:paraId="04852BB4">
      <w:pPr>
        <w:pStyle w:val="8"/>
        <w:rPr>
          <w:rFonts w:hint="eastAsia" w:ascii="宋体" w:hAnsi="宋体" w:eastAsia="宋体" w:cs="宋体"/>
          <w:color w:val="auto"/>
          <w:szCs w:val="30"/>
          <w:highlight w:val="none"/>
        </w:rPr>
      </w:pPr>
    </w:p>
    <w:p w14:paraId="46939187">
      <w:pPr>
        <w:pStyle w:val="8"/>
        <w:rPr>
          <w:rFonts w:hint="eastAsia" w:ascii="宋体" w:hAnsi="宋体" w:eastAsia="宋体" w:cs="宋体"/>
          <w:color w:val="auto"/>
          <w:szCs w:val="30"/>
          <w:highlight w:val="none"/>
        </w:rPr>
      </w:pPr>
    </w:p>
    <w:p w14:paraId="7B216DCA">
      <w:pPr>
        <w:pStyle w:val="8"/>
        <w:rPr>
          <w:rFonts w:hint="eastAsia" w:ascii="宋体" w:hAnsi="宋体" w:eastAsia="宋体" w:cs="宋体"/>
          <w:color w:val="auto"/>
          <w:szCs w:val="30"/>
          <w:highlight w:val="none"/>
        </w:rPr>
      </w:pPr>
    </w:p>
    <w:p w14:paraId="40852F89">
      <w:pPr>
        <w:tabs>
          <w:tab w:val="left" w:pos="0"/>
        </w:tabs>
        <w:rPr>
          <w:rFonts w:hint="eastAsia" w:ascii="宋体" w:hAnsi="宋体" w:eastAsia="宋体" w:cs="宋体"/>
          <w:b/>
          <w:color w:val="auto"/>
          <w:sz w:val="28"/>
          <w:szCs w:val="28"/>
          <w:highlight w:val="none"/>
        </w:rPr>
      </w:pPr>
    </w:p>
    <w:p w14:paraId="3890AE14">
      <w:pPr>
        <w:pStyle w:val="8"/>
        <w:rPr>
          <w:rFonts w:hint="eastAsia" w:ascii="宋体" w:hAnsi="宋体" w:eastAsia="宋体" w:cs="宋体"/>
          <w:b/>
          <w:color w:val="auto"/>
          <w:sz w:val="28"/>
          <w:szCs w:val="28"/>
          <w:highlight w:val="none"/>
        </w:rPr>
      </w:pPr>
    </w:p>
    <w:p w14:paraId="77CDC89B">
      <w:pPr>
        <w:rPr>
          <w:rFonts w:hint="eastAsia" w:ascii="宋体" w:hAnsi="宋体" w:eastAsia="宋体" w:cs="宋体"/>
          <w:b/>
          <w:color w:val="auto"/>
          <w:sz w:val="28"/>
          <w:szCs w:val="28"/>
          <w:highlight w:val="none"/>
        </w:rPr>
      </w:pPr>
    </w:p>
    <w:p w14:paraId="08BCEA7D">
      <w:pPr>
        <w:pStyle w:val="8"/>
        <w:rPr>
          <w:rFonts w:hint="eastAsia" w:ascii="宋体" w:hAnsi="宋体" w:eastAsia="宋体" w:cs="宋体"/>
          <w:b/>
          <w:color w:val="auto"/>
          <w:sz w:val="28"/>
          <w:szCs w:val="28"/>
          <w:highlight w:val="none"/>
        </w:rPr>
      </w:pPr>
    </w:p>
    <w:p w14:paraId="1A621B09">
      <w:pPr>
        <w:rPr>
          <w:rFonts w:hint="eastAsia" w:ascii="宋体" w:hAnsi="宋体" w:eastAsia="宋体" w:cs="宋体"/>
          <w:b/>
          <w:color w:val="auto"/>
          <w:sz w:val="28"/>
          <w:szCs w:val="28"/>
          <w:highlight w:val="none"/>
        </w:rPr>
      </w:pPr>
    </w:p>
    <w:p w14:paraId="6AFDE671">
      <w:pPr>
        <w:pStyle w:val="8"/>
        <w:rPr>
          <w:rFonts w:hint="eastAsia" w:ascii="宋体" w:hAnsi="宋体" w:eastAsia="宋体" w:cs="宋体"/>
          <w:b/>
          <w:color w:val="auto"/>
          <w:sz w:val="28"/>
          <w:szCs w:val="28"/>
          <w:highlight w:val="none"/>
        </w:rPr>
      </w:pPr>
    </w:p>
    <w:p w14:paraId="3CA8A63A">
      <w:pPr>
        <w:rPr>
          <w:rFonts w:hint="eastAsia" w:ascii="宋体" w:hAnsi="宋体" w:eastAsia="宋体" w:cs="宋体"/>
          <w:b/>
          <w:color w:val="auto"/>
          <w:sz w:val="28"/>
          <w:szCs w:val="28"/>
          <w:highlight w:val="none"/>
        </w:rPr>
      </w:pPr>
    </w:p>
    <w:p w14:paraId="1BC26D1B">
      <w:pPr>
        <w:pStyle w:val="8"/>
        <w:rPr>
          <w:rFonts w:hint="eastAsia" w:ascii="宋体" w:hAnsi="宋体" w:eastAsia="宋体" w:cs="宋体"/>
          <w:b/>
          <w:color w:val="auto"/>
          <w:sz w:val="28"/>
          <w:szCs w:val="28"/>
          <w:highlight w:val="none"/>
        </w:rPr>
      </w:pPr>
    </w:p>
    <w:p w14:paraId="59C7E652">
      <w:pPr>
        <w:rPr>
          <w:rFonts w:hint="eastAsia" w:ascii="宋体" w:hAnsi="宋体" w:eastAsia="宋体" w:cs="宋体"/>
          <w:b/>
          <w:color w:val="auto"/>
          <w:sz w:val="28"/>
          <w:szCs w:val="28"/>
          <w:highlight w:val="none"/>
        </w:rPr>
      </w:pPr>
    </w:p>
    <w:p w14:paraId="3BB7F38F">
      <w:pPr>
        <w:pStyle w:val="8"/>
        <w:rPr>
          <w:rFonts w:hint="eastAsia" w:ascii="宋体" w:hAnsi="宋体" w:eastAsia="宋体" w:cs="宋体"/>
          <w:b/>
          <w:color w:val="auto"/>
          <w:sz w:val="28"/>
          <w:szCs w:val="28"/>
          <w:highlight w:val="none"/>
        </w:rPr>
      </w:pPr>
    </w:p>
    <w:p w14:paraId="3AC04B59">
      <w:pPr>
        <w:rPr>
          <w:rFonts w:hint="eastAsia" w:ascii="宋体" w:hAnsi="宋体" w:eastAsia="宋体" w:cs="宋体"/>
          <w:b/>
          <w:color w:val="auto"/>
          <w:sz w:val="28"/>
          <w:szCs w:val="28"/>
          <w:highlight w:val="none"/>
        </w:rPr>
      </w:pPr>
    </w:p>
    <w:p w14:paraId="5BA8CBC0">
      <w:pPr>
        <w:pStyle w:val="8"/>
        <w:rPr>
          <w:rFonts w:hint="eastAsia" w:ascii="宋体" w:hAnsi="宋体" w:eastAsia="宋体" w:cs="宋体"/>
          <w:b/>
          <w:color w:val="auto"/>
          <w:sz w:val="28"/>
          <w:szCs w:val="28"/>
          <w:highlight w:val="none"/>
        </w:rPr>
      </w:pPr>
    </w:p>
    <w:p w14:paraId="6E45ADBE">
      <w:pPr>
        <w:rPr>
          <w:rFonts w:hint="eastAsia" w:ascii="宋体" w:hAnsi="宋体" w:eastAsia="宋体" w:cs="宋体"/>
          <w:b/>
          <w:color w:val="auto"/>
          <w:sz w:val="28"/>
          <w:szCs w:val="28"/>
          <w:highlight w:val="none"/>
        </w:rPr>
      </w:pPr>
    </w:p>
    <w:p w14:paraId="010B5AE5">
      <w:pPr>
        <w:pStyle w:val="2"/>
        <w:numPr>
          <w:ilvl w:val="0"/>
          <w:numId w:val="0"/>
        </w:numPr>
        <w:ind w:left="540" w:leftChars="0"/>
        <w:rPr>
          <w:rFonts w:hint="eastAsia"/>
          <w:color w:val="auto"/>
          <w:highlight w:val="none"/>
        </w:rPr>
      </w:pPr>
    </w:p>
    <w:p w14:paraId="4B348FC3">
      <w:pPr>
        <w:pStyle w:val="8"/>
        <w:rPr>
          <w:rFonts w:hint="eastAsia" w:ascii="宋体" w:hAnsi="宋体" w:eastAsia="宋体" w:cs="宋体"/>
          <w:b/>
          <w:color w:val="auto"/>
          <w:sz w:val="28"/>
          <w:szCs w:val="28"/>
          <w:highlight w:val="none"/>
        </w:rPr>
      </w:pPr>
    </w:p>
    <w:p w14:paraId="5A00CE72">
      <w:pPr>
        <w:rPr>
          <w:rFonts w:hint="eastAsia" w:ascii="宋体" w:hAnsi="宋体" w:eastAsia="宋体" w:cs="宋体"/>
          <w:b/>
          <w:color w:val="auto"/>
          <w:sz w:val="28"/>
          <w:szCs w:val="28"/>
          <w:highlight w:val="none"/>
        </w:rPr>
      </w:pPr>
    </w:p>
    <w:p w14:paraId="43D83E3B">
      <w:pPr>
        <w:spacing w:line="360" w:lineRule="auto"/>
        <w:jc w:val="center"/>
        <w:rPr>
          <w:rFonts w:hint="eastAsia" w:ascii="宋体" w:hAnsi="宋体" w:eastAsia="宋体" w:cs="宋体"/>
          <w:b/>
          <w:color w:val="auto"/>
          <w:sz w:val="32"/>
          <w:szCs w:val="32"/>
          <w:highlight w:val="none"/>
        </w:rPr>
      </w:pPr>
      <w:bookmarkStart w:id="162" w:name="_Toc424468861"/>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rPr>
        <w:t>、投标人认为需要提供的其他材料</w:t>
      </w:r>
      <w:bookmarkEnd w:id="162"/>
    </w:p>
    <w:p w14:paraId="2D97AF30">
      <w:pPr>
        <w:pStyle w:val="7"/>
        <w:outlineLvl w:val="9"/>
        <w:rPr>
          <w:rFonts w:hint="eastAsia" w:ascii="宋体" w:hAnsi="宋体" w:eastAsia="宋体" w:cs="宋体"/>
          <w:color w:val="auto"/>
          <w:highlight w:val="none"/>
        </w:rPr>
      </w:pPr>
    </w:p>
    <w:p w14:paraId="242D42CA">
      <w:pPr>
        <w:rPr>
          <w:rFonts w:hint="eastAsia" w:ascii="宋体" w:hAnsi="宋体" w:eastAsia="宋体" w:cs="宋体"/>
          <w:color w:val="auto"/>
          <w:highlight w:val="none"/>
        </w:rPr>
      </w:pPr>
    </w:p>
    <w:p w14:paraId="09A036E3">
      <w:pPr>
        <w:pStyle w:val="7"/>
        <w:outlineLvl w:val="9"/>
        <w:rPr>
          <w:rFonts w:hint="eastAsia" w:ascii="宋体" w:hAnsi="宋体" w:eastAsia="宋体" w:cs="宋体"/>
          <w:color w:val="auto"/>
          <w:highlight w:val="none"/>
        </w:rPr>
      </w:pPr>
    </w:p>
    <w:p w14:paraId="04C95296">
      <w:pPr>
        <w:rPr>
          <w:rFonts w:hint="eastAsia" w:ascii="宋体" w:hAnsi="宋体" w:eastAsia="宋体" w:cs="宋体"/>
          <w:color w:val="auto"/>
          <w:highlight w:val="none"/>
        </w:rPr>
      </w:pPr>
    </w:p>
    <w:p w14:paraId="1D5C6617">
      <w:pPr>
        <w:pStyle w:val="7"/>
        <w:outlineLvl w:val="9"/>
        <w:rPr>
          <w:rFonts w:hint="eastAsia" w:ascii="宋体" w:hAnsi="宋体" w:eastAsia="宋体" w:cs="宋体"/>
          <w:color w:val="auto"/>
          <w:highlight w:val="none"/>
        </w:rPr>
      </w:pPr>
    </w:p>
    <w:p w14:paraId="238DC6C7">
      <w:pPr>
        <w:rPr>
          <w:rFonts w:hint="eastAsia" w:ascii="宋体" w:hAnsi="宋体" w:eastAsia="宋体" w:cs="宋体"/>
          <w:color w:val="auto"/>
          <w:highlight w:val="none"/>
        </w:rPr>
      </w:pPr>
    </w:p>
    <w:p w14:paraId="659EC647">
      <w:pPr>
        <w:pStyle w:val="7"/>
        <w:outlineLvl w:val="9"/>
        <w:rPr>
          <w:rFonts w:hint="eastAsia" w:ascii="宋体" w:hAnsi="宋体" w:eastAsia="宋体" w:cs="宋体"/>
          <w:color w:val="auto"/>
          <w:highlight w:val="none"/>
        </w:rPr>
      </w:pPr>
    </w:p>
    <w:p w14:paraId="05047EB9">
      <w:pPr>
        <w:rPr>
          <w:rFonts w:hint="eastAsia" w:ascii="宋体" w:hAnsi="宋体" w:eastAsia="宋体" w:cs="宋体"/>
          <w:color w:val="auto"/>
          <w:highlight w:val="none"/>
        </w:rPr>
      </w:pPr>
    </w:p>
    <w:p w14:paraId="3293CB5A">
      <w:pPr>
        <w:pStyle w:val="9"/>
        <w:rPr>
          <w:rFonts w:hint="eastAsia" w:ascii="宋体" w:hAnsi="宋体" w:eastAsia="宋体" w:cs="宋体"/>
          <w:color w:val="auto"/>
          <w:highlight w:val="none"/>
        </w:rPr>
      </w:pPr>
    </w:p>
    <w:p w14:paraId="76D2888C">
      <w:pPr>
        <w:pStyle w:val="9"/>
        <w:rPr>
          <w:rFonts w:hint="eastAsia" w:ascii="宋体" w:hAnsi="宋体" w:eastAsia="宋体" w:cs="宋体"/>
          <w:color w:val="auto"/>
          <w:highlight w:val="none"/>
        </w:rPr>
      </w:pPr>
    </w:p>
    <w:p w14:paraId="4889C85C">
      <w:pPr>
        <w:pStyle w:val="9"/>
        <w:rPr>
          <w:rFonts w:hint="eastAsia" w:ascii="宋体" w:hAnsi="宋体" w:eastAsia="宋体" w:cs="宋体"/>
          <w:color w:val="auto"/>
          <w:highlight w:val="none"/>
        </w:rPr>
      </w:pPr>
    </w:p>
    <w:p w14:paraId="286DA5F3">
      <w:pPr>
        <w:pStyle w:val="9"/>
        <w:rPr>
          <w:rFonts w:hint="eastAsia" w:ascii="宋体" w:hAnsi="宋体" w:eastAsia="宋体" w:cs="宋体"/>
          <w:color w:val="auto"/>
          <w:highlight w:val="none"/>
        </w:rPr>
      </w:pPr>
    </w:p>
    <w:p w14:paraId="6697A915">
      <w:pPr>
        <w:pStyle w:val="9"/>
        <w:rPr>
          <w:rFonts w:hint="eastAsia" w:ascii="宋体" w:hAnsi="宋体" w:eastAsia="宋体" w:cs="宋体"/>
          <w:color w:val="auto"/>
          <w:highlight w:val="none"/>
        </w:rPr>
      </w:pPr>
    </w:p>
    <w:p w14:paraId="7C6CB803">
      <w:pPr>
        <w:rPr>
          <w:rFonts w:hint="eastAsia" w:ascii="宋体" w:hAnsi="宋体" w:eastAsia="宋体" w:cs="宋体"/>
          <w:color w:val="auto"/>
          <w:highlight w:val="none"/>
        </w:rPr>
      </w:pPr>
    </w:p>
    <w:p w14:paraId="70F46B1A">
      <w:pPr>
        <w:rPr>
          <w:rFonts w:hint="eastAsia" w:ascii="宋体" w:hAnsi="宋体" w:eastAsia="宋体" w:cs="宋体"/>
          <w:color w:val="auto"/>
          <w:highlight w:val="none"/>
        </w:rPr>
      </w:pPr>
    </w:p>
    <w:p w14:paraId="6A896973">
      <w:pPr>
        <w:pStyle w:val="3"/>
        <w:numPr>
          <w:ilvl w:val="0"/>
          <w:numId w:val="4"/>
        </w:numPr>
        <w:spacing w:before="41"/>
        <w:ind w:left="661" w:right="678"/>
        <w:jc w:val="center"/>
        <w:rPr>
          <w:rFonts w:hint="eastAsia" w:ascii="宋体" w:hAnsi="宋体" w:eastAsia="宋体" w:cs="宋体"/>
          <w:b w:val="0"/>
          <w:bCs w:val="0"/>
          <w:color w:val="auto"/>
          <w:sz w:val="32"/>
          <w:szCs w:val="32"/>
          <w:highlight w:val="none"/>
        </w:rPr>
      </w:pPr>
      <w:bookmarkStart w:id="163" w:name="_Toc11462"/>
      <w:r>
        <w:rPr>
          <w:rFonts w:hint="eastAsia" w:ascii="宋体" w:hAnsi="宋体" w:eastAsia="宋体" w:cs="宋体"/>
          <w:b w:val="0"/>
          <w:bCs w:val="0"/>
          <w:color w:val="auto"/>
          <w:sz w:val="32"/>
          <w:szCs w:val="32"/>
          <w:highlight w:val="none"/>
        </w:rPr>
        <w:br w:type="page"/>
      </w:r>
      <w:bookmarkEnd w:id="163"/>
      <w:bookmarkStart w:id="164" w:name="_Toc6077"/>
      <w:bookmarkEnd w:id="164"/>
    </w:p>
    <w:p w14:paraId="4B558694">
      <w:pPr>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※以下内容如果投标企业未涉及无需填写</w:t>
      </w:r>
    </w:p>
    <w:p w14:paraId="7C595E03">
      <w:pPr>
        <w:pStyle w:val="4"/>
        <w:jc w:val="left"/>
        <w:rPr>
          <w:rFonts w:hint="eastAsia" w:ascii="宋体" w:hAnsi="宋体" w:eastAsia="宋体" w:cs="宋体"/>
          <w:color w:val="auto"/>
          <w:highlight w:val="none"/>
        </w:rPr>
      </w:pPr>
      <w:bookmarkStart w:id="165" w:name="_Toc14242"/>
      <w:r>
        <w:rPr>
          <w:rFonts w:hint="eastAsia" w:ascii="宋体" w:hAnsi="宋体" w:eastAsia="宋体" w:cs="宋体"/>
          <w:color w:val="auto"/>
          <w:highlight w:val="none"/>
        </w:rPr>
        <w:t>附件一：</w:t>
      </w:r>
      <w:bookmarkEnd w:id="165"/>
    </w:p>
    <w:p w14:paraId="157C3F97">
      <w:pPr>
        <w:pStyle w:val="8"/>
        <w:rPr>
          <w:rFonts w:hint="eastAsia" w:ascii="宋体" w:hAnsi="宋体" w:eastAsia="宋体" w:cs="宋体"/>
          <w:b/>
          <w:color w:val="auto"/>
          <w:sz w:val="18"/>
          <w:highlight w:val="none"/>
        </w:rPr>
      </w:pPr>
    </w:p>
    <w:p w14:paraId="679964FF">
      <w:pPr>
        <w:spacing w:line="360" w:lineRule="auto"/>
        <w:jc w:val="center"/>
        <w:rPr>
          <w:rFonts w:hint="eastAsia" w:ascii="宋体" w:eastAsia="宋体"/>
          <w:b/>
          <w:bCs/>
          <w:color w:val="auto"/>
          <w:sz w:val="28"/>
          <w:szCs w:val="28"/>
          <w:highlight w:val="none"/>
        </w:rPr>
      </w:pPr>
      <w:r>
        <w:rPr>
          <w:rFonts w:hint="eastAsia" w:ascii="宋体" w:eastAsia="宋体"/>
          <w:b/>
          <w:bCs/>
          <w:color w:val="auto"/>
          <w:sz w:val="28"/>
          <w:szCs w:val="28"/>
          <w:highlight w:val="none"/>
        </w:rPr>
        <w:t>中小企业声明函（</w:t>
      </w:r>
      <w:r>
        <w:rPr>
          <w:rFonts w:hint="eastAsia" w:ascii="宋体" w:eastAsia="宋体"/>
          <w:b/>
          <w:bCs/>
          <w:color w:val="auto"/>
          <w:sz w:val="28"/>
          <w:szCs w:val="28"/>
          <w:highlight w:val="none"/>
          <w:lang w:val="en-US" w:eastAsia="zh-CN"/>
        </w:rPr>
        <w:t>货物</w:t>
      </w:r>
      <w:r>
        <w:rPr>
          <w:rFonts w:hint="eastAsia" w:ascii="宋体" w:eastAsia="宋体"/>
          <w:b/>
          <w:bCs/>
          <w:color w:val="auto"/>
          <w:sz w:val="28"/>
          <w:szCs w:val="28"/>
          <w:highlight w:val="none"/>
        </w:rPr>
        <w:t>）</w:t>
      </w:r>
    </w:p>
    <w:p w14:paraId="1F64BE0A">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本公司（联合体）郑重声明，根据《政府采购促进中小企业发展管理办法》（财库﹝2020﹞46号）的规定，本公司（联合体）参加</w:t>
      </w:r>
      <w:r>
        <w:rPr>
          <w:rFonts w:hint="eastAsia" w:ascii="宋体" w:hAnsi="宋体" w:cs="宋体"/>
          <w:color w:val="auto"/>
          <w:kern w:val="0"/>
          <w:sz w:val="24"/>
          <w:highlight w:val="none"/>
          <w:u w:val="single"/>
          <w:shd w:val="clear" w:color="auto" w:fill="FFFFFF"/>
          <w:lang w:bidi="ar"/>
        </w:rPr>
        <w:t>（单位名称）</w:t>
      </w:r>
      <w:r>
        <w:rPr>
          <w:rFonts w:hint="eastAsia" w:ascii="宋体" w:hAnsi="宋体" w:cs="宋体"/>
          <w:color w:val="auto"/>
          <w:kern w:val="0"/>
          <w:sz w:val="24"/>
          <w:highlight w:val="none"/>
          <w:shd w:val="clear" w:color="auto" w:fill="FFFFFF"/>
          <w:lang w:bidi="ar"/>
        </w:rPr>
        <w:t>的</w:t>
      </w:r>
      <w:r>
        <w:rPr>
          <w:rFonts w:hint="eastAsia" w:ascii="宋体" w:hAnsi="宋体" w:cs="宋体"/>
          <w:color w:val="auto"/>
          <w:kern w:val="0"/>
          <w:sz w:val="24"/>
          <w:highlight w:val="none"/>
          <w:u w:val="single"/>
          <w:shd w:val="clear" w:color="auto" w:fill="FFFFFF"/>
          <w:lang w:bidi="ar"/>
        </w:rPr>
        <w:t>（项目名称）</w:t>
      </w:r>
      <w:r>
        <w:rPr>
          <w:rFonts w:hint="eastAsia" w:ascii="宋体" w:hAnsi="宋体" w:cs="宋体"/>
          <w:color w:val="auto"/>
          <w:kern w:val="0"/>
          <w:sz w:val="24"/>
          <w:highlight w:val="none"/>
          <w:shd w:val="clear" w:color="auto" w:fill="FFFFFF"/>
          <w:lang w:bidi="ar"/>
        </w:rPr>
        <w:t>采购活动，提供的货物全部由符合政策要求的中小企业制造。相关企业（含联合体中的中小企业、签订分包意向协议的中小企业）的具体情况如下：</w:t>
      </w:r>
    </w:p>
    <w:p w14:paraId="155FD460">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1.</w:t>
      </w:r>
      <w:r>
        <w:rPr>
          <w:rFonts w:hint="eastAsia" w:ascii="宋体" w:hAnsi="宋体" w:cs="宋体"/>
          <w:color w:val="auto"/>
          <w:kern w:val="0"/>
          <w:sz w:val="24"/>
          <w:highlight w:val="none"/>
          <w:u w:val="single"/>
          <w:shd w:val="clear" w:color="auto" w:fill="FFFFFF"/>
          <w:lang w:bidi="ar"/>
        </w:rPr>
        <w:t>（标的名称）</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bidi="ar"/>
        </w:rPr>
        <w:t>（采购文件中明确的所属行业）</w:t>
      </w:r>
      <w:r>
        <w:rPr>
          <w:rFonts w:hint="eastAsia" w:ascii="宋体" w:hAnsi="宋体" w:cs="宋体"/>
          <w:color w:val="auto"/>
          <w:kern w:val="0"/>
          <w:sz w:val="24"/>
          <w:highlight w:val="none"/>
          <w:shd w:val="clear" w:color="auto" w:fill="FFFFFF"/>
          <w:lang w:bidi="ar"/>
        </w:rPr>
        <w:t>行业；制造商为</w:t>
      </w:r>
      <w:r>
        <w:rPr>
          <w:rFonts w:hint="eastAsia" w:ascii="宋体" w:hAnsi="宋体" w:cs="宋体"/>
          <w:color w:val="auto"/>
          <w:kern w:val="0"/>
          <w:sz w:val="24"/>
          <w:highlight w:val="none"/>
          <w:u w:val="single"/>
          <w:shd w:val="clear" w:color="auto" w:fill="FFFFFF"/>
          <w:lang w:bidi="ar"/>
        </w:rPr>
        <w:t>（企业名称）</w:t>
      </w:r>
      <w:r>
        <w:rPr>
          <w:rFonts w:hint="eastAsia" w:ascii="宋体" w:hAnsi="宋体" w:cs="宋体"/>
          <w:color w:val="auto"/>
          <w:kern w:val="0"/>
          <w:sz w:val="24"/>
          <w:highlight w:val="none"/>
          <w:shd w:val="clear" w:color="auto" w:fill="FFFFFF"/>
          <w:lang w:bidi="ar"/>
        </w:rPr>
        <w:t>，从业人员</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人，营业收入为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万元，资产总额为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万元，属于</w:t>
      </w:r>
      <w:r>
        <w:rPr>
          <w:rFonts w:hint="eastAsia" w:ascii="宋体" w:hAnsi="宋体" w:cs="宋体"/>
          <w:color w:val="auto"/>
          <w:kern w:val="0"/>
          <w:sz w:val="24"/>
          <w:highlight w:val="none"/>
          <w:u w:val="single"/>
          <w:shd w:val="clear" w:color="auto" w:fill="FFFFFF"/>
          <w:lang w:bidi="ar"/>
        </w:rPr>
        <w:t>（中型企业、小型企业、微型企业）</w:t>
      </w:r>
      <w:r>
        <w:rPr>
          <w:rFonts w:hint="eastAsia" w:ascii="宋体" w:hAnsi="宋体" w:cs="宋体"/>
          <w:color w:val="auto"/>
          <w:kern w:val="0"/>
          <w:sz w:val="24"/>
          <w:highlight w:val="none"/>
          <w:shd w:val="clear" w:color="auto" w:fill="FFFFFF"/>
          <w:lang w:bidi="ar"/>
        </w:rPr>
        <w:t>；</w:t>
      </w:r>
    </w:p>
    <w:p w14:paraId="63846B78">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2.</w:t>
      </w:r>
      <w:r>
        <w:rPr>
          <w:rFonts w:hint="eastAsia" w:ascii="宋体" w:hAnsi="宋体" w:cs="宋体"/>
          <w:color w:val="auto"/>
          <w:kern w:val="0"/>
          <w:sz w:val="24"/>
          <w:highlight w:val="none"/>
          <w:u w:val="single"/>
          <w:shd w:val="clear" w:color="auto" w:fill="FFFFFF"/>
          <w:lang w:bidi="ar"/>
        </w:rPr>
        <w:t>（标的名称）</w:t>
      </w:r>
      <w:r>
        <w:rPr>
          <w:rFonts w:hint="eastAsia" w:ascii="宋体" w:hAnsi="宋体" w:cs="宋体"/>
          <w:color w:val="auto"/>
          <w:kern w:val="0"/>
          <w:sz w:val="24"/>
          <w:highlight w:val="none"/>
          <w:shd w:val="clear" w:color="auto" w:fill="FFFFFF"/>
          <w:lang w:bidi="ar"/>
        </w:rPr>
        <w:t>，属于</w:t>
      </w:r>
      <w:r>
        <w:rPr>
          <w:rFonts w:hint="eastAsia" w:ascii="宋体" w:hAnsi="宋体" w:cs="宋体"/>
          <w:color w:val="auto"/>
          <w:kern w:val="0"/>
          <w:sz w:val="24"/>
          <w:highlight w:val="none"/>
          <w:u w:val="single"/>
          <w:shd w:val="clear" w:color="auto" w:fill="FFFFFF"/>
          <w:lang w:bidi="ar"/>
        </w:rPr>
        <w:t>（采购文件中明确的所属行业）</w:t>
      </w:r>
      <w:r>
        <w:rPr>
          <w:rFonts w:hint="eastAsia" w:ascii="宋体" w:hAnsi="宋体" w:cs="宋体"/>
          <w:color w:val="auto"/>
          <w:kern w:val="0"/>
          <w:sz w:val="24"/>
          <w:highlight w:val="none"/>
          <w:shd w:val="clear" w:color="auto" w:fill="FFFFFF"/>
          <w:lang w:bidi="ar"/>
        </w:rPr>
        <w:t>行业；制造商为</w:t>
      </w:r>
      <w:r>
        <w:rPr>
          <w:rFonts w:hint="eastAsia" w:ascii="宋体" w:hAnsi="宋体" w:cs="宋体"/>
          <w:color w:val="auto"/>
          <w:kern w:val="0"/>
          <w:sz w:val="24"/>
          <w:highlight w:val="none"/>
          <w:u w:val="single"/>
          <w:shd w:val="clear" w:color="auto" w:fill="FFFFFF"/>
          <w:lang w:bidi="ar"/>
        </w:rPr>
        <w:t>（企业名称）</w:t>
      </w:r>
      <w:r>
        <w:rPr>
          <w:rFonts w:hint="eastAsia" w:ascii="宋体" w:hAnsi="宋体" w:cs="宋体"/>
          <w:color w:val="auto"/>
          <w:kern w:val="0"/>
          <w:sz w:val="24"/>
          <w:highlight w:val="none"/>
          <w:shd w:val="clear" w:color="auto" w:fill="FFFFFF"/>
          <w:lang w:bidi="ar"/>
        </w:rPr>
        <w:t>，从业人员</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人，营业收入为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万元，资产总额为</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万元，属于</w:t>
      </w:r>
      <w:r>
        <w:rPr>
          <w:rFonts w:hint="eastAsia" w:ascii="宋体" w:hAnsi="宋体" w:cs="宋体"/>
          <w:color w:val="auto"/>
          <w:kern w:val="0"/>
          <w:sz w:val="24"/>
          <w:highlight w:val="none"/>
          <w:u w:val="single"/>
          <w:shd w:val="clear" w:color="auto" w:fill="FFFFFF"/>
          <w:lang w:bidi="ar"/>
        </w:rPr>
        <w:t>（中型企业、小型企业、微型企业）</w:t>
      </w:r>
      <w:r>
        <w:rPr>
          <w:rFonts w:hint="eastAsia" w:ascii="宋体" w:hAnsi="宋体" w:cs="宋体"/>
          <w:color w:val="auto"/>
          <w:kern w:val="0"/>
          <w:sz w:val="24"/>
          <w:highlight w:val="none"/>
          <w:shd w:val="clear" w:color="auto" w:fill="FFFFFF"/>
          <w:lang w:bidi="ar"/>
        </w:rPr>
        <w:t>；</w:t>
      </w:r>
    </w:p>
    <w:p w14:paraId="38F59152">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w:t>
      </w:r>
    </w:p>
    <w:p w14:paraId="7591B695">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以上企业，不属于大企业的分支机构，不存在控股股东为大企业的情形，也不存在与大企业的负责人为同一人的情形。</w:t>
      </w:r>
    </w:p>
    <w:p w14:paraId="197965B7">
      <w:pPr>
        <w:widowControl/>
        <w:shd w:val="clear" w:color="auto" w:fill="FFFFFF"/>
        <w:adjustRightInd w:val="0"/>
        <w:snapToGrid w:val="0"/>
        <w:spacing w:line="360" w:lineRule="auto"/>
        <w:ind w:firstLine="4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本企业对上述声明内容的真实性负责。如有虚假，将依法承担相应责任。</w:t>
      </w:r>
    </w:p>
    <w:p w14:paraId="1C477CCE">
      <w:pPr>
        <w:widowControl/>
        <w:shd w:val="clear" w:color="auto" w:fill="FFFFFF"/>
        <w:spacing w:before="100" w:beforeAutospacing="1" w:after="100" w:afterAutospacing="1" w:line="435" w:lineRule="atLeast"/>
        <w:ind w:firstLine="480"/>
        <w:jc w:val="left"/>
        <w:rPr>
          <w:rFonts w:ascii="Arial" w:hAnsi="Arial" w:cs="Arial"/>
          <w:color w:val="auto"/>
          <w:szCs w:val="21"/>
          <w:highlight w:val="none"/>
        </w:rPr>
      </w:pPr>
    </w:p>
    <w:p w14:paraId="1F0AE412">
      <w:pPr>
        <w:widowControl/>
        <w:shd w:val="clear" w:color="auto" w:fill="FFFFFF"/>
        <w:spacing w:before="100" w:beforeAutospacing="1" w:after="100" w:afterAutospacing="1" w:line="435" w:lineRule="atLeast"/>
        <w:ind w:firstLine="5280"/>
        <w:jc w:val="left"/>
        <w:rPr>
          <w:rFonts w:ascii="Arial" w:hAnsi="Arial" w:cs="Arial"/>
          <w:color w:val="auto"/>
          <w:szCs w:val="21"/>
          <w:highlight w:val="none"/>
        </w:rPr>
      </w:pPr>
      <w:r>
        <w:rPr>
          <w:rFonts w:hint="eastAsia" w:ascii="宋体" w:hAnsi="宋体" w:cs="宋体"/>
          <w:color w:val="auto"/>
          <w:kern w:val="0"/>
          <w:sz w:val="24"/>
          <w:highlight w:val="none"/>
          <w:shd w:val="clear" w:color="auto" w:fill="FFFFFF"/>
          <w:lang w:bidi="ar"/>
        </w:rPr>
        <w:t>企业名称（盖章）：</w:t>
      </w:r>
    </w:p>
    <w:p w14:paraId="52F527CB">
      <w:pPr>
        <w:pStyle w:val="20"/>
        <w:ind w:firstLine="5523" w:firstLineChars="2300"/>
        <w:rPr>
          <w:rFonts w:hint="eastAsia" w:ascii="宋体" w:cs="宋体"/>
          <w:color w:val="auto"/>
          <w:sz w:val="24"/>
          <w:highlight w:val="none"/>
        </w:rPr>
      </w:pPr>
      <w:r>
        <w:rPr>
          <w:rFonts w:hint="eastAsia" w:ascii="宋体" w:hAnsi="宋体" w:cs="宋体"/>
          <w:color w:val="auto"/>
          <w:kern w:val="0"/>
          <w:sz w:val="24"/>
          <w:highlight w:val="none"/>
          <w:shd w:val="clear" w:color="auto" w:fill="FFFFFF"/>
          <w:lang w:bidi="ar"/>
        </w:rPr>
        <w:t>日 期：</w:t>
      </w:r>
    </w:p>
    <w:p w14:paraId="79C00025">
      <w:pPr>
        <w:pStyle w:val="37"/>
        <w:rPr>
          <w:rFonts w:hint="eastAsia" w:ascii="宋体" w:hAnsi="宋体" w:eastAsia="宋体" w:cs="宋体"/>
          <w:color w:val="auto"/>
          <w:sz w:val="24"/>
          <w:szCs w:val="24"/>
          <w:highlight w:val="none"/>
        </w:rPr>
      </w:pPr>
    </w:p>
    <w:p w14:paraId="52767B04">
      <w:pPr>
        <w:pStyle w:val="37"/>
        <w:rPr>
          <w:rFonts w:hint="eastAsia" w:ascii="宋体" w:hAnsi="宋体" w:eastAsia="宋体" w:cs="宋体"/>
          <w:color w:val="auto"/>
          <w:sz w:val="24"/>
          <w:szCs w:val="24"/>
          <w:highlight w:val="none"/>
        </w:rPr>
      </w:pPr>
    </w:p>
    <w:p w14:paraId="4BF176F3">
      <w:pPr>
        <w:pStyle w:val="37"/>
        <w:rPr>
          <w:rFonts w:hint="eastAsia" w:ascii="宋体" w:hAnsi="宋体" w:eastAsia="宋体" w:cs="宋体"/>
          <w:color w:val="auto"/>
          <w:sz w:val="24"/>
          <w:szCs w:val="24"/>
          <w:highlight w:val="none"/>
        </w:rPr>
      </w:pPr>
    </w:p>
    <w:p w14:paraId="08DE243F">
      <w:pPr>
        <w:pStyle w:val="37"/>
        <w:rPr>
          <w:rFonts w:hint="eastAsia" w:ascii="宋体" w:hAnsi="宋体" w:eastAsia="宋体" w:cs="宋体"/>
          <w:color w:val="auto"/>
          <w:sz w:val="21"/>
          <w:szCs w:val="21"/>
          <w:highlight w:val="none"/>
        </w:rPr>
      </w:pPr>
    </w:p>
    <w:p w14:paraId="4E9251DF">
      <w:pPr>
        <w:pStyle w:val="37"/>
        <w:rPr>
          <w:rFonts w:hint="eastAsia" w:ascii="宋体" w:hAnsi="宋体" w:eastAsia="宋体" w:cs="宋体"/>
          <w:color w:val="auto"/>
          <w:sz w:val="21"/>
          <w:szCs w:val="21"/>
          <w:highlight w:val="none"/>
        </w:rPr>
      </w:pPr>
    </w:p>
    <w:p w14:paraId="003787A9">
      <w:pPr>
        <w:pStyle w:val="41"/>
        <w:spacing w:line="240" w:lineRule="auto"/>
        <w:rPr>
          <w:rFonts w:hint="eastAsia" w:ascii="宋体" w:hAnsi="宋体" w:eastAsia="宋体" w:cs="宋体"/>
          <w:color w:val="auto"/>
          <w:sz w:val="21"/>
          <w:szCs w:val="21"/>
          <w:highlight w:val="none"/>
          <w:vertAlign w:val="superscript"/>
        </w:rPr>
      </w:pPr>
      <w:r>
        <w:rPr>
          <w:rFonts w:hint="eastAsia" w:ascii="宋体" w:hAnsi="宋体" w:eastAsia="宋体" w:cs="宋体"/>
          <w:color w:val="auto"/>
          <w:sz w:val="21"/>
          <w:szCs w:val="21"/>
          <w:highlight w:val="none"/>
          <w:vertAlign w:val="superscript"/>
        </w:rPr>
        <w:t xml:space="preserve"> </w:t>
      </w:r>
    </w:p>
    <w:p w14:paraId="46505A17">
      <w:pPr>
        <w:pStyle w:val="41"/>
        <w:pBdr>
          <w:top w:val="single" w:color="auto" w:sz="4" w:space="1"/>
        </w:pBd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239D43FB">
      <w:pPr>
        <w:spacing w:line="190" w:lineRule="exact"/>
        <w:jc w:val="left"/>
        <w:rPr>
          <w:rFonts w:hint="eastAsia" w:ascii="宋体" w:hAnsi="宋体" w:eastAsia="宋体" w:cs="宋体"/>
          <w:color w:val="auto"/>
          <w:sz w:val="18"/>
          <w:highlight w:val="none"/>
        </w:rPr>
      </w:pPr>
    </w:p>
    <w:p w14:paraId="5F853C70">
      <w:pPr>
        <w:pStyle w:val="11"/>
        <w:rPr>
          <w:rFonts w:hint="eastAsia" w:ascii="宋体" w:hAnsi="宋体" w:eastAsia="宋体" w:cs="宋体"/>
          <w:color w:val="auto"/>
          <w:highlight w:val="none"/>
        </w:rPr>
      </w:pPr>
    </w:p>
    <w:p w14:paraId="05613B32">
      <w:pPr>
        <w:rPr>
          <w:rFonts w:hint="eastAsia" w:ascii="宋体" w:hAnsi="宋体" w:eastAsia="宋体" w:cs="宋体"/>
          <w:color w:val="auto"/>
          <w:highlight w:val="none"/>
        </w:rPr>
      </w:pPr>
    </w:p>
    <w:p w14:paraId="1E695E97">
      <w:pPr>
        <w:pStyle w:val="19"/>
        <w:rPr>
          <w:rFonts w:hint="eastAsia" w:ascii="宋体" w:hAnsi="宋体" w:eastAsia="宋体" w:cs="宋体"/>
          <w:color w:val="auto"/>
          <w:highlight w:val="none"/>
        </w:rPr>
      </w:pPr>
    </w:p>
    <w:p w14:paraId="3A69F7D0">
      <w:pPr>
        <w:rPr>
          <w:rFonts w:hint="eastAsia" w:ascii="宋体" w:hAnsi="宋体" w:eastAsia="宋体" w:cs="宋体"/>
          <w:color w:val="auto"/>
          <w:highlight w:val="none"/>
        </w:rPr>
      </w:pPr>
    </w:p>
    <w:p w14:paraId="1787C0FA">
      <w:pPr>
        <w:snapToGrid w:val="0"/>
        <w:textAlignment w:val="baseline"/>
        <w:rPr>
          <w:rStyle w:val="34"/>
          <w:rFonts w:hint="eastAsia" w:ascii="宋体" w:hAnsi="宋体" w:eastAsia="宋体" w:cs="宋体"/>
          <w:bCs/>
          <w:color w:val="auto"/>
          <w:sz w:val="28"/>
          <w:szCs w:val="28"/>
          <w:highlight w:val="none"/>
        </w:rPr>
      </w:pPr>
      <w:r>
        <w:rPr>
          <w:rStyle w:val="34"/>
          <w:rFonts w:hint="eastAsia" w:ascii="宋体" w:hAnsi="宋体" w:eastAsia="宋体" w:cs="宋体"/>
          <w:color w:val="auto"/>
          <w:highlight w:val="none"/>
        </w:rPr>
        <w:t>附件二：</w:t>
      </w:r>
    </w:p>
    <w:p w14:paraId="7FF1FE17">
      <w:pPr>
        <w:snapToGrid w:val="0"/>
        <w:spacing w:line="360" w:lineRule="auto"/>
        <w:jc w:val="center"/>
        <w:textAlignment w:val="baseline"/>
        <w:rPr>
          <w:rStyle w:val="34"/>
          <w:rFonts w:hint="eastAsia" w:ascii="宋体" w:hAnsi="宋体" w:eastAsia="宋体" w:cs="宋体"/>
          <w:b/>
          <w:color w:val="auto"/>
          <w:sz w:val="32"/>
          <w:szCs w:val="32"/>
          <w:highlight w:val="none"/>
        </w:rPr>
      </w:pPr>
      <w:r>
        <w:rPr>
          <w:rStyle w:val="34"/>
          <w:rFonts w:hint="eastAsia" w:ascii="宋体" w:hAnsi="宋体" w:eastAsia="宋体" w:cs="宋体"/>
          <w:b/>
          <w:color w:val="auto"/>
          <w:sz w:val="32"/>
          <w:szCs w:val="32"/>
          <w:highlight w:val="none"/>
        </w:rPr>
        <w:t>残疾人福利性单位声明函</w:t>
      </w:r>
    </w:p>
    <w:p w14:paraId="40F551E0">
      <w:pPr>
        <w:snapToGrid w:val="0"/>
        <w:spacing w:line="588" w:lineRule="exact"/>
        <w:textAlignment w:val="baseline"/>
        <w:rPr>
          <w:rStyle w:val="34"/>
          <w:rFonts w:hint="eastAsia" w:ascii="宋体" w:hAnsi="宋体" w:eastAsia="宋体" w:cs="宋体"/>
          <w:b/>
          <w:color w:val="auto"/>
          <w:spacing w:val="6"/>
          <w:sz w:val="30"/>
          <w:szCs w:val="30"/>
          <w:highlight w:val="none"/>
        </w:rPr>
      </w:pPr>
    </w:p>
    <w:p w14:paraId="538B953C">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r>
        <w:rPr>
          <w:rStyle w:val="34"/>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7CC396">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r>
        <w:rPr>
          <w:rStyle w:val="34"/>
          <w:rFonts w:hint="eastAsia" w:ascii="宋体" w:hAnsi="宋体" w:eastAsia="宋体" w:cs="宋体"/>
          <w:color w:val="auto"/>
          <w:spacing w:val="6"/>
          <w:sz w:val="24"/>
          <w:szCs w:val="24"/>
          <w:highlight w:val="none"/>
        </w:rPr>
        <w:t>本单位对上述声明的真实性负责。如有虚假，将依法承担相应责任。</w:t>
      </w:r>
    </w:p>
    <w:p w14:paraId="6F1C44AC">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p>
    <w:p w14:paraId="5F07FE49">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p>
    <w:p w14:paraId="1D3389BB">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r>
        <w:rPr>
          <w:rStyle w:val="34"/>
          <w:rFonts w:hint="eastAsia" w:ascii="宋体" w:hAnsi="宋体" w:eastAsia="宋体" w:cs="宋体"/>
          <w:color w:val="auto"/>
          <w:spacing w:val="6"/>
          <w:sz w:val="24"/>
          <w:szCs w:val="24"/>
          <w:highlight w:val="none"/>
        </w:rPr>
        <w:t xml:space="preserve">              </w:t>
      </w:r>
    </w:p>
    <w:p w14:paraId="1896D572">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p>
    <w:p w14:paraId="4CB6D932">
      <w:pPr>
        <w:snapToGrid w:val="0"/>
        <w:spacing w:line="360" w:lineRule="auto"/>
        <w:ind w:firstLine="504" w:firstLineChars="200"/>
        <w:textAlignment w:val="baseline"/>
        <w:rPr>
          <w:rStyle w:val="34"/>
          <w:rFonts w:hint="eastAsia" w:ascii="宋体" w:hAnsi="宋体" w:eastAsia="宋体" w:cs="宋体"/>
          <w:color w:val="auto"/>
          <w:spacing w:val="6"/>
          <w:sz w:val="24"/>
          <w:szCs w:val="24"/>
          <w:highlight w:val="none"/>
        </w:rPr>
      </w:pPr>
    </w:p>
    <w:p w14:paraId="78530E82">
      <w:pPr>
        <w:snapToGrid w:val="0"/>
        <w:spacing w:line="360" w:lineRule="auto"/>
        <w:ind w:firstLine="420"/>
        <w:textAlignment w:val="baseline"/>
        <w:rPr>
          <w:rStyle w:val="34"/>
          <w:rFonts w:hint="eastAsia" w:ascii="宋体" w:hAnsi="宋体" w:eastAsia="宋体" w:cs="宋体"/>
          <w:color w:val="auto"/>
          <w:sz w:val="24"/>
          <w:szCs w:val="24"/>
          <w:highlight w:val="none"/>
        </w:rPr>
      </w:pPr>
      <w:r>
        <w:rPr>
          <w:rStyle w:val="34"/>
          <w:rFonts w:hint="eastAsia" w:ascii="宋体" w:hAnsi="宋体" w:eastAsia="宋体" w:cs="宋体"/>
          <w:color w:val="auto"/>
          <w:sz w:val="24"/>
          <w:szCs w:val="24"/>
          <w:highlight w:val="none"/>
        </w:rPr>
        <w:t>特此声明！</w:t>
      </w:r>
    </w:p>
    <w:p w14:paraId="0CA78253">
      <w:pPr>
        <w:snapToGrid w:val="0"/>
        <w:spacing w:line="360" w:lineRule="auto"/>
        <w:ind w:firstLine="420"/>
        <w:textAlignment w:val="baseline"/>
        <w:rPr>
          <w:rStyle w:val="34"/>
          <w:rFonts w:hint="eastAsia" w:ascii="宋体" w:hAnsi="宋体" w:eastAsia="宋体" w:cs="宋体"/>
          <w:color w:val="auto"/>
          <w:sz w:val="24"/>
          <w:szCs w:val="24"/>
          <w:highlight w:val="none"/>
        </w:rPr>
      </w:pPr>
    </w:p>
    <w:p w14:paraId="69D92D12">
      <w:pPr>
        <w:snapToGrid w:val="0"/>
        <w:spacing w:line="360" w:lineRule="auto"/>
        <w:ind w:firstLine="420"/>
        <w:textAlignment w:val="baseline"/>
        <w:rPr>
          <w:rStyle w:val="34"/>
          <w:rFonts w:hint="eastAsia" w:ascii="宋体" w:hAnsi="宋体" w:eastAsia="宋体" w:cs="宋体"/>
          <w:color w:val="auto"/>
          <w:sz w:val="24"/>
          <w:szCs w:val="24"/>
          <w:highlight w:val="none"/>
        </w:rPr>
      </w:pPr>
    </w:p>
    <w:p w14:paraId="4E8A3129">
      <w:pPr>
        <w:snapToGrid w:val="0"/>
        <w:spacing w:line="360" w:lineRule="auto"/>
        <w:ind w:firstLine="420"/>
        <w:textAlignment w:val="baseline"/>
        <w:rPr>
          <w:rStyle w:val="34"/>
          <w:rFonts w:hint="eastAsia" w:ascii="宋体" w:hAnsi="宋体" w:eastAsia="宋体" w:cs="宋体"/>
          <w:color w:val="auto"/>
          <w:sz w:val="24"/>
          <w:szCs w:val="24"/>
          <w:highlight w:val="none"/>
        </w:rPr>
      </w:pPr>
      <w:r>
        <w:rPr>
          <w:rStyle w:val="34"/>
          <w:rFonts w:hint="eastAsia" w:ascii="宋体" w:hAnsi="宋体" w:eastAsia="宋体" w:cs="宋体"/>
          <w:color w:val="auto"/>
          <w:sz w:val="24"/>
          <w:szCs w:val="24"/>
          <w:highlight w:val="none"/>
        </w:rPr>
        <w:t>单位名称：　　　　　　　　　　　　　　公司（企业）法定代表人签字：</w:t>
      </w:r>
    </w:p>
    <w:p w14:paraId="78920D99">
      <w:pPr>
        <w:snapToGrid w:val="0"/>
        <w:spacing w:line="360" w:lineRule="auto"/>
        <w:ind w:firstLine="420"/>
        <w:textAlignment w:val="baseline"/>
        <w:rPr>
          <w:rStyle w:val="34"/>
          <w:rFonts w:hint="eastAsia" w:ascii="宋体" w:hAnsi="宋体" w:eastAsia="宋体" w:cs="宋体"/>
          <w:color w:val="auto"/>
          <w:sz w:val="24"/>
          <w:szCs w:val="24"/>
          <w:highlight w:val="none"/>
        </w:rPr>
      </w:pPr>
      <w:r>
        <w:rPr>
          <w:rStyle w:val="34"/>
          <w:rFonts w:hint="eastAsia" w:ascii="宋体" w:hAnsi="宋体" w:eastAsia="宋体" w:cs="宋体"/>
          <w:color w:val="auto"/>
          <w:sz w:val="24"/>
          <w:szCs w:val="24"/>
          <w:highlight w:val="none"/>
        </w:rPr>
        <w:t>单位地址：　　　　　　　　　　　　　　单位公章：</w:t>
      </w:r>
    </w:p>
    <w:p w14:paraId="0CA86F56">
      <w:pPr>
        <w:snapToGrid w:val="0"/>
        <w:spacing w:line="360" w:lineRule="auto"/>
        <w:ind w:firstLine="420"/>
        <w:textAlignment w:val="baseline"/>
        <w:rPr>
          <w:rStyle w:val="34"/>
          <w:rFonts w:hint="eastAsia" w:ascii="宋体" w:hAnsi="宋体" w:eastAsia="宋体" w:cs="宋体"/>
          <w:color w:val="auto"/>
          <w:sz w:val="24"/>
          <w:szCs w:val="24"/>
          <w:highlight w:val="none"/>
        </w:rPr>
      </w:pPr>
      <w:r>
        <w:rPr>
          <w:rStyle w:val="34"/>
          <w:rFonts w:hint="eastAsia" w:ascii="宋体" w:hAnsi="宋体" w:eastAsia="宋体" w:cs="宋体"/>
          <w:color w:val="auto"/>
          <w:sz w:val="24"/>
          <w:szCs w:val="24"/>
          <w:highlight w:val="none"/>
        </w:rPr>
        <w:t>邮政编码：　　　　　　　　　　　　　　日期：</w:t>
      </w:r>
    </w:p>
    <w:p w14:paraId="7CFD1CF0">
      <w:pPr>
        <w:snapToGrid w:val="0"/>
        <w:ind w:firstLine="420" w:firstLineChars="175"/>
        <w:textAlignment w:val="baseline"/>
        <w:rPr>
          <w:rStyle w:val="34"/>
          <w:rFonts w:hint="eastAsia" w:ascii="宋体" w:hAnsi="宋体" w:eastAsia="宋体" w:cs="宋体"/>
          <w:b/>
          <w:color w:val="auto"/>
          <w:sz w:val="32"/>
          <w:szCs w:val="32"/>
          <w:highlight w:val="none"/>
        </w:rPr>
      </w:pPr>
      <w:r>
        <w:rPr>
          <w:rStyle w:val="34"/>
          <w:rFonts w:hint="eastAsia" w:ascii="宋体" w:hAnsi="宋体" w:eastAsia="宋体" w:cs="宋体"/>
          <w:color w:val="auto"/>
          <w:sz w:val="24"/>
          <w:szCs w:val="24"/>
          <w:highlight w:val="none"/>
        </w:rPr>
        <w:t>联系电话：</w:t>
      </w:r>
    </w:p>
    <w:p w14:paraId="35E4E821">
      <w:pPr>
        <w:snapToGrid w:val="0"/>
        <w:textAlignment w:val="baseline"/>
        <w:rPr>
          <w:rStyle w:val="34"/>
          <w:rFonts w:hint="eastAsia" w:ascii="宋体" w:hAnsi="宋体" w:eastAsia="宋体" w:cs="宋体"/>
          <w:b/>
          <w:color w:val="auto"/>
          <w:sz w:val="32"/>
          <w:szCs w:val="32"/>
          <w:highlight w:val="none"/>
        </w:rPr>
      </w:pPr>
    </w:p>
    <w:p w14:paraId="64654365">
      <w:pPr>
        <w:snapToGrid w:val="0"/>
        <w:textAlignment w:val="baseline"/>
        <w:rPr>
          <w:rStyle w:val="34"/>
          <w:rFonts w:hint="eastAsia" w:ascii="宋体" w:hAnsi="宋体" w:eastAsia="宋体" w:cs="宋体"/>
          <w:b/>
          <w:color w:val="auto"/>
          <w:sz w:val="32"/>
          <w:szCs w:val="32"/>
          <w:highlight w:val="none"/>
        </w:rPr>
      </w:pPr>
    </w:p>
    <w:p w14:paraId="5E028717">
      <w:pPr>
        <w:snapToGrid w:val="0"/>
        <w:textAlignment w:val="baseline"/>
        <w:rPr>
          <w:rStyle w:val="34"/>
          <w:rFonts w:hint="eastAsia" w:ascii="宋体" w:hAnsi="宋体" w:eastAsia="宋体" w:cs="宋体"/>
          <w:b/>
          <w:color w:val="auto"/>
          <w:sz w:val="32"/>
          <w:szCs w:val="32"/>
          <w:highlight w:val="none"/>
        </w:rPr>
      </w:pPr>
    </w:p>
    <w:p w14:paraId="74DECD5B">
      <w:pPr>
        <w:snapToGrid w:val="0"/>
        <w:textAlignment w:val="baseline"/>
        <w:rPr>
          <w:rStyle w:val="34"/>
          <w:rFonts w:hint="eastAsia" w:ascii="宋体" w:hAnsi="宋体" w:eastAsia="宋体" w:cs="宋体"/>
          <w:b/>
          <w:color w:val="auto"/>
          <w:sz w:val="24"/>
          <w:szCs w:val="24"/>
          <w:highlight w:val="none"/>
          <w:lang w:val="zh-CN"/>
        </w:rPr>
      </w:pPr>
      <w:r>
        <w:rPr>
          <w:rStyle w:val="34"/>
          <w:rFonts w:hint="eastAsia" w:ascii="宋体" w:hAnsi="宋体" w:eastAsia="宋体" w:cs="宋体"/>
          <w:b/>
          <w:color w:val="auto"/>
          <w:sz w:val="24"/>
          <w:szCs w:val="24"/>
          <w:highlight w:val="none"/>
          <w:lang w:val="zh-CN"/>
        </w:rPr>
        <w:t>注：如非残疾人福利性单位，本声明函无需填写。</w:t>
      </w:r>
    </w:p>
    <w:p w14:paraId="7E278733">
      <w:pPr>
        <w:pStyle w:val="42"/>
        <w:widowControl/>
        <w:snapToGrid w:val="0"/>
        <w:rPr>
          <w:rStyle w:val="34"/>
          <w:rFonts w:hint="eastAsia" w:ascii="宋体" w:hAnsi="宋体" w:eastAsia="宋体" w:cs="宋体"/>
          <w:b/>
          <w:color w:val="auto"/>
          <w:sz w:val="24"/>
          <w:szCs w:val="24"/>
          <w:highlight w:val="none"/>
          <w:lang w:val="zh-CN"/>
        </w:rPr>
      </w:pPr>
    </w:p>
    <w:p w14:paraId="40125D96">
      <w:pPr>
        <w:pStyle w:val="11"/>
        <w:widowControl/>
        <w:snapToGrid w:val="0"/>
        <w:textAlignment w:val="baseline"/>
        <w:rPr>
          <w:rStyle w:val="34"/>
          <w:rFonts w:hint="eastAsia" w:ascii="宋体" w:hAnsi="宋体" w:eastAsia="宋体" w:cs="宋体"/>
          <w:b/>
          <w:color w:val="auto"/>
          <w:sz w:val="24"/>
          <w:szCs w:val="24"/>
          <w:highlight w:val="none"/>
          <w:lang w:val="zh-CN"/>
        </w:rPr>
      </w:pPr>
    </w:p>
    <w:p w14:paraId="58561624">
      <w:pPr>
        <w:snapToGrid w:val="0"/>
        <w:spacing w:line="360" w:lineRule="auto"/>
        <w:jc w:val="left"/>
        <w:textAlignment w:val="baseline"/>
        <w:rPr>
          <w:rStyle w:val="34"/>
          <w:rFonts w:hint="eastAsia" w:ascii="宋体" w:hAnsi="宋体" w:eastAsia="宋体" w:cs="宋体"/>
          <w:color w:val="auto"/>
          <w:sz w:val="24"/>
          <w:szCs w:val="24"/>
          <w:highlight w:val="none"/>
        </w:rPr>
      </w:pPr>
      <w:r>
        <w:rPr>
          <w:rStyle w:val="34"/>
          <w:rFonts w:hint="eastAsia" w:ascii="宋体" w:hAnsi="宋体" w:eastAsia="宋体" w:cs="宋体"/>
          <w:color w:val="auto"/>
          <w:sz w:val="24"/>
          <w:szCs w:val="24"/>
          <w:highlight w:val="none"/>
        </w:rPr>
        <w:t>附件三：</w:t>
      </w:r>
    </w:p>
    <w:p w14:paraId="2CC38170">
      <w:pPr>
        <w:snapToGrid w:val="0"/>
        <w:spacing w:line="360" w:lineRule="auto"/>
        <w:jc w:val="center"/>
        <w:textAlignment w:val="baseline"/>
        <w:rPr>
          <w:rStyle w:val="34"/>
          <w:rFonts w:hint="eastAsia" w:ascii="宋体" w:hAnsi="宋体" w:eastAsia="宋体" w:cs="宋体"/>
          <w:b/>
          <w:color w:val="auto"/>
          <w:sz w:val="32"/>
          <w:szCs w:val="32"/>
          <w:highlight w:val="none"/>
        </w:rPr>
      </w:pPr>
      <w:r>
        <w:rPr>
          <w:rStyle w:val="34"/>
          <w:rFonts w:hint="eastAsia" w:ascii="宋体" w:hAnsi="宋体" w:eastAsia="宋体" w:cs="宋体"/>
          <w:b/>
          <w:color w:val="auto"/>
          <w:sz w:val="32"/>
          <w:szCs w:val="32"/>
          <w:highlight w:val="none"/>
        </w:rPr>
        <w:t>监狱企业证明文件</w:t>
      </w:r>
    </w:p>
    <w:p w14:paraId="7882750D">
      <w:pPr>
        <w:snapToGrid w:val="0"/>
        <w:jc w:val="center"/>
        <w:textAlignment w:val="baseline"/>
        <w:rPr>
          <w:rStyle w:val="34"/>
          <w:rFonts w:hint="eastAsia" w:ascii="宋体" w:hAnsi="宋体" w:eastAsia="宋体" w:cs="宋体"/>
          <w:color w:val="auto"/>
          <w:sz w:val="32"/>
          <w:szCs w:val="32"/>
          <w:highlight w:val="none"/>
        </w:rPr>
      </w:pPr>
    </w:p>
    <w:p w14:paraId="524E5B4E">
      <w:pPr>
        <w:snapToGrid w:val="0"/>
        <w:spacing w:line="360" w:lineRule="auto"/>
        <w:jc w:val="center"/>
        <w:textAlignment w:val="baseline"/>
        <w:rPr>
          <w:rStyle w:val="34"/>
          <w:rFonts w:hint="eastAsia" w:ascii="宋体" w:hAnsi="宋体" w:eastAsia="宋体" w:cs="宋体"/>
          <w:color w:val="auto"/>
          <w:sz w:val="32"/>
          <w:szCs w:val="32"/>
          <w:highlight w:val="none"/>
        </w:rPr>
      </w:pPr>
      <w:r>
        <w:rPr>
          <w:rStyle w:val="34"/>
          <w:rFonts w:hint="eastAsia" w:ascii="宋体" w:hAnsi="宋体" w:eastAsia="宋体" w:cs="宋体"/>
          <w:bCs/>
          <w:color w:val="auto"/>
          <w:sz w:val="24"/>
          <w:szCs w:val="24"/>
          <w:highlight w:val="none"/>
        </w:rPr>
        <w:t xml:space="preserve">  </w:t>
      </w:r>
      <w:r>
        <w:rPr>
          <w:rStyle w:val="34"/>
          <w:rFonts w:hint="eastAsia" w:ascii="宋体" w:hAnsi="宋体" w:eastAsia="宋体" w:cs="宋体"/>
          <w:bCs/>
          <w:color w:val="auto"/>
          <w:sz w:val="24"/>
          <w:szCs w:val="24"/>
          <w:highlight w:val="none"/>
          <w:lang w:val="zh-CN"/>
        </w:rPr>
        <w:t>提供由省级以上监狱管理局、戒毒管理局（含新疆生产建设兵团）出具的属于监狱企业的证明文件。</w:t>
      </w:r>
    </w:p>
    <w:p w14:paraId="3348A546">
      <w:pPr>
        <w:snapToGrid w:val="0"/>
        <w:textAlignment w:val="baseline"/>
        <w:rPr>
          <w:rStyle w:val="34"/>
          <w:rFonts w:hint="eastAsia" w:ascii="宋体" w:hAnsi="宋体" w:eastAsia="宋体" w:cs="宋体"/>
          <w:b/>
          <w:color w:val="auto"/>
          <w:sz w:val="32"/>
          <w:szCs w:val="32"/>
          <w:highlight w:val="none"/>
        </w:rPr>
      </w:pPr>
    </w:p>
    <w:p w14:paraId="64FCEE67">
      <w:pPr>
        <w:pStyle w:val="11"/>
        <w:widowControl/>
        <w:snapToGrid w:val="0"/>
        <w:textAlignment w:val="baseline"/>
        <w:rPr>
          <w:rStyle w:val="34"/>
          <w:rFonts w:hint="eastAsia" w:ascii="宋体" w:hAnsi="宋体" w:eastAsia="宋体" w:cs="宋体"/>
          <w:b/>
          <w:color w:val="auto"/>
          <w:sz w:val="24"/>
          <w:szCs w:val="24"/>
          <w:highlight w:val="none"/>
        </w:rPr>
      </w:pPr>
      <w:r>
        <w:rPr>
          <w:rStyle w:val="34"/>
          <w:rFonts w:hint="eastAsia" w:ascii="宋体" w:hAnsi="宋体" w:eastAsia="宋体" w:cs="宋体"/>
          <w:b/>
          <w:color w:val="auto"/>
          <w:sz w:val="24"/>
          <w:szCs w:val="24"/>
          <w:highlight w:val="none"/>
        </w:rPr>
        <w:t>注：证明文件无固定格式要求，如非监狱企业，本证明文件无需提供。</w:t>
      </w:r>
    </w:p>
    <w:p w14:paraId="471355EE">
      <w:pPr>
        <w:snapToGrid w:val="0"/>
        <w:textAlignment w:val="baseline"/>
        <w:rPr>
          <w:rStyle w:val="34"/>
          <w:rFonts w:hint="eastAsia" w:ascii="宋体" w:hAnsi="宋体" w:eastAsia="宋体" w:cs="宋体"/>
          <w:b/>
          <w:color w:val="auto"/>
          <w:sz w:val="32"/>
          <w:szCs w:val="32"/>
          <w:highlight w:val="none"/>
        </w:rPr>
      </w:pPr>
    </w:p>
    <w:p w14:paraId="197F03EA">
      <w:pPr>
        <w:snapToGrid w:val="0"/>
        <w:textAlignment w:val="baseline"/>
        <w:rPr>
          <w:rStyle w:val="34"/>
          <w:rFonts w:hint="eastAsia" w:ascii="宋体" w:hAnsi="宋体" w:eastAsia="宋体" w:cs="宋体"/>
          <w:b/>
          <w:color w:val="auto"/>
          <w:sz w:val="32"/>
          <w:szCs w:val="32"/>
          <w:highlight w:val="none"/>
        </w:rPr>
      </w:pPr>
    </w:p>
    <w:p w14:paraId="4EAF65CA">
      <w:pPr>
        <w:snapToGrid w:val="0"/>
        <w:textAlignment w:val="baseline"/>
        <w:rPr>
          <w:rStyle w:val="34"/>
          <w:rFonts w:hint="eastAsia" w:ascii="宋体" w:hAnsi="宋体" w:eastAsia="宋体" w:cs="宋体"/>
          <w:b/>
          <w:color w:val="auto"/>
          <w:sz w:val="32"/>
          <w:szCs w:val="32"/>
          <w:highlight w:val="none"/>
        </w:rPr>
      </w:pPr>
    </w:p>
    <w:p w14:paraId="510B0E86">
      <w:pPr>
        <w:snapToGrid w:val="0"/>
        <w:textAlignment w:val="baseline"/>
        <w:rPr>
          <w:rStyle w:val="34"/>
          <w:rFonts w:hint="eastAsia" w:ascii="宋体" w:hAnsi="宋体" w:eastAsia="宋体" w:cs="宋体"/>
          <w:b/>
          <w:color w:val="auto"/>
          <w:sz w:val="32"/>
          <w:szCs w:val="32"/>
          <w:highlight w:val="none"/>
        </w:rPr>
      </w:pPr>
    </w:p>
    <w:p w14:paraId="6C93E1C1">
      <w:pPr>
        <w:snapToGrid w:val="0"/>
        <w:textAlignment w:val="baseline"/>
        <w:rPr>
          <w:rStyle w:val="34"/>
          <w:rFonts w:hint="eastAsia" w:ascii="宋体" w:hAnsi="宋体" w:eastAsia="宋体" w:cs="宋体"/>
          <w:b/>
          <w:color w:val="auto"/>
          <w:sz w:val="32"/>
          <w:szCs w:val="32"/>
          <w:highlight w:val="none"/>
        </w:rPr>
      </w:pPr>
    </w:p>
    <w:p w14:paraId="0466C911">
      <w:pPr>
        <w:snapToGrid w:val="0"/>
        <w:textAlignment w:val="baseline"/>
        <w:rPr>
          <w:rStyle w:val="34"/>
          <w:rFonts w:hint="eastAsia" w:ascii="宋体" w:hAnsi="宋体" w:eastAsia="宋体" w:cs="宋体"/>
          <w:b/>
          <w:color w:val="auto"/>
          <w:sz w:val="32"/>
          <w:szCs w:val="32"/>
          <w:highlight w:val="none"/>
        </w:rPr>
      </w:pPr>
    </w:p>
    <w:p w14:paraId="266429CF">
      <w:pPr>
        <w:snapToGrid w:val="0"/>
        <w:textAlignment w:val="baseline"/>
        <w:rPr>
          <w:rStyle w:val="34"/>
          <w:rFonts w:hint="eastAsia" w:ascii="宋体" w:hAnsi="宋体" w:eastAsia="宋体" w:cs="宋体"/>
          <w:b/>
          <w:color w:val="auto"/>
          <w:sz w:val="32"/>
          <w:szCs w:val="32"/>
          <w:highlight w:val="none"/>
        </w:rPr>
      </w:pPr>
    </w:p>
    <w:p w14:paraId="313A24F7">
      <w:pPr>
        <w:snapToGrid w:val="0"/>
        <w:textAlignment w:val="baseline"/>
        <w:rPr>
          <w:rStyle w:val="34"/>
          <w:rFonts w:hint="eastAsia" w:ascii="宋体" w:hAnsi="宋体" w:eastAsia="宋体" w:cs="宋体"/>
          <w:b/>
          <w:color w:val="auto"/>
          <w:sz w:val="32"/>
          <w:szCs w:val="32"/>
          <w:highlight w:val="none"/>
        </w:rPr>
      </w:pPr>
    </w:p>
    <w:p w14:paraId="192565D1">
      <w:pPr>
        <w:snapToGrid w:val="0"/>
        <w:textAlignment w:val="baseline"/>
        <w:rPr>
          <w:rStyle w:val="34"/>
          <w:rFonts w:hint="eastAsia" w:ascii="宋体" w:hAnsi="宋体" w:eastAsia="宋体" w:cs="宋体"/>
          <w:b/>
          <w:color w:val="auto"/>
          <w:sz w:val="32"/>
          <w:szCs w:val="32"/>
          <w:highlight w:val="none"/>
        </w:rPr>
      </w:pPr>
    </w:p>
    <w:p w14:paraId="023D7676">
      <w:pPr>
        <w:snapToGrid w:val="0"/>
        <w:textAlignment w:val="baseline"/>
        <w:rPr>
          <w:rStyle w:val="34"/>
          <w:rFonts w:hint="eastAsia" w:ascii="宋体" w:hAnsi="宋体" w:eastAsia="宋体" w:cs="宋体"/>
          <w:b/>
          <w:color w:val="auto"/>
          <w:sz w:val="32"/>
          <w:szCs w:val="32"/>
          <w:highlight w:val="none"/>
        </w:rPr>
      </w:pPr>
    </w:p>
    <w:p w14:paraId="3CCDDE17">
      <w:pPr>
        <w:snapToGrid w:val="0"/>
        <w:textAlignment w:val="baseline"/>
        <w:rPr>
          <w:rStyle w:val="34"/>
          <w:rFonts w:hint="eastAsia" w:ascii="宋体" w:hAnsi="宋体" w:eastAsia="宋体" w:cs="宋体"/>
          <w:b/>
          <w:color w:val="auto"/>
          <w:sz w:val="32"/>
          <w:szCs w:val="32"/>
          <w:highlight w:val="none"/>
        </w:rPr>
      </w:pPr>
    </w:p>
    <w:p w14:paraId="0AE16C35">
      <w:pPr>
        <w:snapToGrid w:val="0"/>
        <w:textAlignment w:val="baseline"/>
        <w:rPr>
          <w:rStyle w:val="34"/>
          <w:rFonts w:hint="eastAsia" w:ascii="宋体" w:hAnsi="宋体" w:eastAsia="宋体" w:cs="宋体"/>
          <w:b/>
          <w:color w:val="auto"/>
          <w:sz w:val="32"/>
          <w:szCs w:val="32"/>
          <w:highlight w:val="none"/>
        </w:rPr>
      </w:pPr>
    </w:p>
    <w:p w14:paraId="5CA09F62">
      <w:pPr>
        <w:snapToGrid w:val="0"/>
        <w:textAlignment w:val="baseline"/>
        <w:rPr>
          <w:rStyle w:val="34"/>
          <w:rFonts w:hint="eastAsia" w:ascii="宋体" w:hAnsi="宋体" w:eastAsia="宋体" w:cs="宋体"/>
          <w:b/>
          <w:color w:val="auto"/>
          <w:sz w:val="32"/>
          <w:szCs w:val="32"/>
          <w:highlight w:val="none"/>
        </w:rPr>
      </w:pPr>
    </w:p>
    <w:p w14:paraId="63419CC7">
      <w:pPr>
        <w:snapToGrid w:val="0"/>
        <w:textAlignment w:val="baseline"/>
        <w:rPr>
          <w:rStyle w:val="34"/>
          <w:rFonts w:hint="eastAsia" w:ascii="宋体" w:hAnsi="宋体" w:eastAsia="宋体" w:cs="宋体"/>
          <w:b/>
          <w:color w:val="auto"/>
          <w:sz w:val="32"/>
          <w:szCs w:val="32"/>
          <w:highlight w:val="none"/>
        </w:rPr>
      </w:pPr>
    </w:p>
    <w:p w14:paraId="7AB929D8">
      <w:pPr>
        <w:snapToGrid w:val="0"/>
        <w:textAlignment w:val="baseline"/>
        <w:rPr>
          <w:rStyle w:val="34"/>
          <w:rFonts w:hint="eastAsia" w:ascii="宋体" w:hAnsi="宋体" w:eastAsia="宋体" w:cs="宋体"/>
          <w:b/>
          <w:color w:val="auto"/>
          <w:sz w:val="32"/>
          <w:szCs w:val="32"/>
          <w:highlight w:val="none"/>
        </w:rPr>
      </w:pPr>
    </w:p>
    <w:p w14:paraId="2D515F55">
      <w:pPr>
        <w:pStyle w:val="43"/>
        <w:widowControl/>
        <w:snapToGrid w:val="0"/>
        <w:ind w:left="2" w:firstLine="321"/>
        <w:rPr>
          <w:rStyle w:val="34"/>
          <w:rFonts w:hint="eastAsia" w:ascii="宋体" w:hAnsi="宋体" w:eastAsia="宋体" w:cs="宋体"/>
          <w:color w:val="auto"/>
          <w:kern w:val="0"/>
          <w:sz w:val="32"/>
          <w:szCs w:val="32"/>
          <w:highlight w:val="none"/>
        </w:rPr>
      </w:pPr>
    </w:p>
    <w:p w14:paraId="32FD57AC">
      <w:pPr>
        <w:pStyle w:val="43"/>
        <w:widowControl/>
        <w:snapToGrid w:val="0"/>
        <w:ind w:left="2" w:firstLine="321"/>
        <w:rPr>
          <w:rStyle w:val="34"/>
          <w:rFonts w:hint="eastAsia" w:ascii="宋体" w:hAnsi="宋体" w:eastAsia="宋体" w:cs="宋体"/>
          <w:color w:val="auto"/>
          <w:kern w:val="0"/>
          <w:sz w:val="32"/>
          <w:szCs w:val="32"/>
          <w:highlight w:val="none"/>
        </w:rPr>
      </w:pPr>
    </w:p>
    <w:p w14:paraId="3E8A2170">
      <w:pPr>
        <w:pStyle w:val="43"/>
        <w:widowControl/>
        <w:snapToGrid w:val="0"/>
        <w:ind w:left="2" w:firstLine="321"/>
        <w:rPr>
          <w:rStyle w:val="34"/>
          <w:rFonts w:hint="eastAsia" w:ascii="宋体" w:hAnsi="宋体" w:eastAsia="宋体" w:cs="宋体"/>
          <w:color w:val="auto"/>
          <w:kern w:val="0"/>
          <w:sz w:val="32"/>
          <w:szCs w:val="32"/>
          <w:highlight w:val="none"/>
        </w:rPr>
      </w:pPr>
    </w:p>
    <w:p w14:paraId="04AA0EA7">
      <w:pPr>
        <w:pStyle w:val="43"/>
        <w:widowControl/>
        <w:snapToGrid w:val="0"/>
        <w:ind w:left="2" w:firstLine="321"/>
        <w:rPr>
          <w:rStyle w:val="34"/>
          <w:rFonts w:hint="eastAsia" w:ascii="宋体" w:hAnsi="宋体" w:eastAsia="宋体" w:cs="宋体"/>
          <w:color w:val="auto"/>
          <w:kern w:val="0"/>
          <w:sz w:val="32"/>
          <w:szCs w:val="32"/>
          <w:highlight w:val="none"/>
        </w:rPr>
      </w:pPr>
    </w:p>
    <w:p w14:paraId="6CF336BB">
      <w:pPr>
        <w:pStyle w:val="43"/>
        <w:widowControl/>
        <w:snapToGrid w:val="0"/>
        <w:ind w:left="2" w:firstLine="321"/>
        <w:rPr>
          <w:rStyle w:val="34"/>
          <w:rFonts w:hint="eastAsia" w:ascii="宋体" w:hAnsi="宋体" w:eastAsia="宋体" w:cs="宋体"/>
          <w:color w:val="auto"/>
          <w:kern w:val="0"/>
          <w:sz w:val="32"/>
          <w:szCs w:val="32"/>
          <w:highlight w:val="none"/>
        </w:rPr>
      </w:pPr>
    </w:p>
    <w:p w14:paraId="3FE7438F">
      <w:pPr>
        <w:pStyle w:val="43"/>
        <w:widowControl/>
        <w:snapToGrid w:val="0"/>
        <w:ind w:left="2" w:firstLine="321"/>
        <w:rPr>
          <w:rStyle w:val="34"/>
          <w:rFonts w:hint="eastAsia" w:ascii="宋体" w:hAnsi="宋体" w:eastAsia="宋体" w:cs="宋体"/>
          <w:color w:val="auto"/>
          <w:kern w:val="0"/>
          <w:sz w:val="32"/>
          <w:szCs w:val="32"/>
          <w:highlight w:val="none"/>
        </w:rPr>
      </w:pPr>
    </w:p>
    <w:p w14:paraId="67CAAC86">
      <w:pPr>
        <w:pStyle w:val="44"/>
        <w:snapToGrid w:val="0"/>
        <w:spacing w:line="340" w:lineRule="exact"/>
        <w:jc w:val="center"/>
        <w:rPr>
          <w:rStyle w:val="34"/>
          <w:rFonts w:hint="eastAsia" w:ascii="宋体" w:hAnsi="宋体" w:eastAsia="宋体" w:cs="宋体"/>
          <w:b/>
          <w:color w:val="auto"/>
          <w:kern w:val="0"/>
          <w:szCs w:val="21"/>
          <w:highlight w:val="none"/>
        </w:rPr>
      </w:pPr>
      <w:r>
        <w:rPr>
          <w:rStyle w:val="34"/>
          <w:rFonts w:hint="eastAsia" w:ascii="宋体" w:hAnsi="宋体" w:eastAsia="宋体" w:cs="宋体"/>
          <w:b/>
          <w:color w:val="auto"/>
          <w:kern w:val="0"/>
          <w:sz w:val="28"/>
          <w:szCs w:val="28"/>
          <w:highlight w:val="none"/>
        </w:rPr>
        <w:t>《统计上大中小微型企业划分办法（2017）》修订说明</w:t>
      </w:r>
    </w:p>
    <w:p w14:paraId="695079EC">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一、修订背景</w:t>
      </w:r>
    </w:p>
    <w:p w14:paraId="71EE15F8">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9B173B1">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17AE73B">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二、修订主要内容</w:t>
      </w:r>
    </w:p>
    <w:p w14:paraId="6A6FCEEC">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7EC1313">
      <w:pPr>
        <w:snapToGrid w:val="0"/>
        <w:spacing w:line="400" w:lineRule="exact"/>
        <w:ind w:firstLine="420" w:firstLineChars="200"/>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将交通运输业中包括的“装卸搬运和运输代理业”修改为“多式联运和运输代理业、装卸搬运”。</w:t>
      </w:r>
    </w:p>
    <w:p w14:paraId="52EEE620">
      <w:pPr>
        <w:snapToGrid w:val="0"/>
        <w:spacing w:line="400" w:lineRule="exact"/>
        <w:ind w:firstLine="452" w:firstLineChars="200"/>
        <w:jc w:val="left"/>
        <w:textAlignment w:val="baseline"/>
        <w:rPr>
          <w:rStyle w:val="34"/>
          <w:rFonts w:hint="eastAsia" w:ascii="宋体" w:hAnsi="宋体" w:eastAsia="宋体" w:cs="宋体"/>
          <w:color w:val="auto"/>
          <w:spacing w:val="8"/>
          <w:szCs w:val="21"/>
          <w:highlight w:val="none"/>
        </w:rPr>
      </w:pPr>
      <w:r>
        <w:rPr>
          <w:rStyle w:val="34"/>
          <w:rFonts w:hint="eastAsia" w:ascii="宋体" w:hAnsi="宋体" w:eastAsia="宋体" w:cs="宋体"/>
          <w:color w:val="auto"/>
          <w:spacing w:val="8"/>
          <w:szCs w:val="21"/>
          <w:highlight w:val="none"/>
        </w:rPr>
        <w:t>仓储业所包括的行业中类，根据《国民经济行业分类》</w:t>
      </w:r>
      <w:r>
        <w:rPr>
          <w:rStyle w:val="34"/>
          <w:rFonts w:hint="eastAsia" w:ascii="宋体" w:hAnsi="宋体" w:eastAsia="宋体" w:cs="宋体"/>
          <w:color w:val="auto"/>
          <w:szCs w:val="21"/>
          <w:highlight w:val="none"/>
        </w:rPr>
        <w:t>（GB/T 4754—2017）</w:t>
      </w:r>
      <w:r>
        <w:rPr>
          <w:rStyle w:val="34"/>
          <w:rFonts w:hint="eastAsia" w:ascii="宋体" w:hAnsi="宋体" w:eastAsia="宋体" w:cs="宋体"/>
          <w:color w:val="auto"/>
          <w:spacing w:val="8"/>
          <w:szCs w:val="21"/>
          <w:highlight w:val="none"/>
        </w:rPr>
        <w:t>调整为“通用仓储，低温仓储，危险品仓储，谷物、棉花等农产品仓储，中药材仓储和其他仓储业”。</w:t>
      </w:r>
    </w:p>
    <w:p w14:paraId="13CA1949">
      <w:pPr>
        <w:snapToGrid w:val="0"/>
        <w:spacing w:line="400" w:lineRule="exact"/>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附表</w:t>
      </w:r>
    </w:p>
    <w:p w14:paraId="45890FD8">
      <w:pPr>
        <w:snapToGrid w:val="0"/>
        <w:spacing w:line="400" w:lineRule="exact"/>
        <w:jc w:val="left"/>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Cs w:val="21"/>
          <w:highlight w:val="none"/>
        </w:rPr>
        <w:t>统计上大中小微型企业划分标准</w:t>
      </w:r>
    </w:p>
    <w:tbl>
      <w:tblPr>
        <w:tblStyle w:val="22"/>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51BC9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6E3C22D2">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bCs/>
                <w:color w:val="auto"/>
                <w:sz w:val="18"/>
                <w:szCs w:val="21"/>
                <w:highlight w:val="none"/>
              </w:rPr>
            </w:pPr>
            <w:r>
              <w:rPr>
                <w:rStyle w:val="34"/>
                <w:rFonts w:hint="eastAsia" w:ascii="宋体" w:hAnsi="宋体" w:eastAsia="宋体" w:cs="宋体"/>
                <w:bCs/>
                <w:color w:val="auto"/>
                <w:sz w:val="18"/>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vAlign w:val="center"/>
          </w:tcPr>
          <w:p w14:paraId="00F312A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vAlign w:val="center"/>
          </w:tcPr>
          <w:p w14:paraId="2259990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计量</w:t>
            </w:r>
            <w:r>
              <w:rPr>
                <w:rStyle w:val="34"/>
                <w:rFonts w:hint="eastAsia" w:ascii="宋体" w:hAnsi="宋体" w:eastAsia="宋体" w:cs="宋体"/>
                <w:bCs/>
                <w:color w:val="auto"/>
                <w:sz w:val="18"/>
                <w:szCs w:val="18"/>
                <w:highlight w:val="none"/>
              </w:rPr>
              <w:br w:type="textWrapping"/>
            </w:r>
            <w:r>
              <w:rPr>
                <w:rStyle w:val="34"/>
                <w:rFonts w:hint="eastAsia" w:ascii="宋体" w:hAnsi="宋体" w:eastAsia="宋体" w:cs="宋体"/>
                <w:bCs/>
                <w:color w:val="auto"/>
                <w:sz w:val="18"/>
                <w:szCs w:val="18"/>
                <w:highlight w:val="none"/>
              </w:rPr>
              <w:t>单位</w:t>
            </w:r>
          </w:p>
        </w:tc>
        <w:tc>
          <w:tcPr>
            <w:tcW w:w="1125" w:type="dxa"/>
            <w:tcBorders>
              <w:top w:val="single" w:color="000000" w:sz="4" w:space="0"/>
              <w:left w:val="single" w:color="000000" w:sz="4" w:space="0"/>
              <w:bottom w:val="single" w:color="000000" w:sz="4" w:space="0"/>
              <w:right w:val="single" w:color="000000" w:sz="4" w:space="0"/>
            </w:tcBorders>
            <w:vAlign w:val="center"/>
          </w:tcPr>
          <w:p w14:paraId="553BFDC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大型</w:t>
            </w:r>
          </w:p>
        </w:tc>
        <w:tc>
          <w:tcPr>
            <w:tcW w:w="1701" w:type="dxa"/>
            <w:tcBorders>
              <w:top w:val="single" w:color="000000" w:sz="4" w:space="0"/>
              <w:left w:val="single" w:color="000000" w:sz="4" w:space="0"/>
              <w:bottom w:val="single" w:color="000000" w:sz="4" w:space="0"/>
              <w:right w:val="single" w:color="000000" w:sz="4" w:space="0"/>
            </w:tcBorders>
            <w:vAlign w:val="center"/>
          </w:tcPr>
          <w:p w14:paraId="2701640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中型</w:t>
            </w:r>
          </w:p>
        </w:tc>
        <w:tc>
          <w:tcPr>
            <w:tcW w:w="1426" w:type="dxa"/>
            <w:tcBorders>
              <w:top w:val="single" w:color="000000" w:sz="4" w:space="0"/>
              <w:left w:val="single" w:color="000000" w:sz="4" w:space="0"/>
              <w:bottom w:val="single" w:color="000000" w:sz="4" w:space="0"/>
              <w:right w:val="single" w:color="000000" w:sz="4" w:space="0"/>
            </w:tcBorders>
            <w:vAlign w:val="center"/>
          </w:tcPr>
          <w:p w14:paraId="506A366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小型</w:t>
            </w:r>
          </w:p>
        </w:tc>
        <w:tc>
          <w:tcPr>
            <w:tcW w:w="992" w:type="dxa"/>
            <w:tcBorders>
              <w:top w:val="single" w:color="000000" w:sz="4" w:space="0"/>
              <w:left w:val="single" w:color="000000" w:sz="4" w:space="0"/>
              <w:bottom w:val="single" w:color="000000" w:sz="4" w:space="0"/>
              <w:right w:val="single" w:color="000000" w:sz="4" w:space="0"/>
            </w:tcBorders>
            <w:vAlign w:val="center"/>
          </w:tcPr>
          <w:p w14:paraId="480A904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bCs/>
                <w:color w:val="auto"/>
                <w:sz w:val="18"/>
                <w:szCs w:val="18"/>
                <w:highlight w:val="none"/>
              </w:rPr>
            </w:pPr>
            <w:r>
              <w:rPr>
                <w:rStyle w:val="34"/>
                <w:rFonts w:hint="eastAsia" w:ascii="宋体" w:hAnsi="宋体" w:eastAsia="宋体" w:cs="宋体"/>
                <w:bCs/>
                <w:color w:val="auto"/>
                <w:sz w:val="18"/>
                <w:szCs w:val="18"/>
                <w:highlight w:val="none"/>
              </w:rPr>
              <w:t>微型</w:t>
            </w:r>
          </w:p>
        </w:tc>
      </w:tr>
      <w:tr w14:paraId="7BFDC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7CF680DC">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6D93AA9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F325F4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937218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55DF60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D62627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41A6821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Y＜50</w:t>
            </w:r>
          </w:p>
        </w:tc>
      </w:tr>
      <w:tr w14:paraId="4FC6D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37377BE">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工业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36C9319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6E24D1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3459D6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1B4569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B8509D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14F75C2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w:t>
            </w:r>
          </w:p>
        </w:tc>
      </w:tr>
      <w:tr w14:paraId="406B0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CA7A29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0210988">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07D71D2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D92196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0656AF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5E5807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300≤Y＜2000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A09D42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Y＜300</w:t>
            </w:r>
          </w:p>
        </w:tc>
      </w:tr>
      <w:tr w14:paraId="11BDE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BC419F7">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建筑业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90F046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5D9264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99C662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753AB8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79452F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300≤Y＜6000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91F0F5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Y＜300</w:t>
            </w:r>
          </w:p>
        </w:tc>
      </w:tr>
      <w:tr w14:paraId="301FC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EA1988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F4A6D55">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70FD8BC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388078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11A010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46D151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300≤Z＜5000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CE1078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Z＜300</w:t>
            </w:r>
          </w:p>
        </w:tc>
      </w:tr>
      <w:tr w14:paraId="09797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7B5A5CB">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批发业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7148042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E96A73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DAEC07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FE491D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68F233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5≤X＜20</w:t>
            </w:r>
          </w:p>
        </w:tc>
        <w:tc>
          <w:tcPr>
            <w:tcW w:w="992" w:type="dxa"/>
            <w:tcBorders>
              <w:top w:val="single" w:color="000000" w:sz="4" w:space="0"/>
              <w:left w:val="single" w:color="000000" w:sz="4" w:space="0"/>
              <w:bottom w:val="single" w:color="000000" w:sz="4" w:space="0"/>
              <w:right w:val="single" w:color="000000" w:sz="4" w:space="0"/>
            </w:tcBorders>
            <w:vAlign w:val="center"/>
          </w:tcPr>
          <w:p w14:paraId="2529319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X＜5</w:t>
            </w:r>
          </w:p>
        </w:tc>
      </w:tr>
      <w:tr w14:paraId="2FBCA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BF1CE7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9D1A075">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5A21FD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480284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376721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8FDCFEB">
            <w:pPr>
              <w:keepNext w:val="0"/>
              <w:keepLines w:val="0"/>
              <w:pageBreakBefore w:val="0"/>
              <w:widowControl/>
              <w:kinsoku w:val="0"/>
              <w:wordWrap/>
              <w:overflowPunct/>
              <w:topLinePunct w:val="0"/>
              <w:autoSpaceDE w:val="0"/>
              <w:autoSpaceDN w:val="0"/>
              <w:bidi w:val="0"/>
              <w:adjustRightInd w:val="0"/>
              <w:snapToGrid w:val="0"/>
              <w:ind w:left="22" w:leftChars="10" w:hanging="1"/>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1F83E0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Y＜1000</w:t>
            </w:r>
          </w:p>
        </w:tc>
      </w:tr>
      <w:tr w14:paraId="7986F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C275E68">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零售业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42B1537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5A70FB8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32DB5E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116981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EF29FB0">
            <w:pPr>
              <w:keepNext w:val="0"/>
              <w:keepLines w:val="0"/>
              <w:pageBreakBefore w:val="0"/>
              <w:widowControl/>
              <w:kinsoku w:val="0"/>
              <w:wordWrap/>
              <w:overflowPunct/>
              <w:topLinePunct w:val="0"/>
              <w:autoSpaceDE w:val="0"/>
              <w:autoSpaceDN w:val="0"/>
              <w:bidi w:val="0"/>
              <w:adjustRightInd w:val="0"/>
              <w:snapToGrid w:val="0"/>
              <w:ind w:left="22" w:leftChars="10" w:hanging="1"/>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14:paraId="07AFA20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77DEA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943E25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A185D18">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7110DE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A9059C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9DE4FE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69B27F0">
            <w:pPr>
              <w:keepNext w:val="0"/>
              <w:keepLines w:val="0"/>
              <w:pageBreakBefore w:val="0"/>
              <w:widowControl/>
              <w:kinsoku w:val="0"/>
              <w:wordWrap/>
              <w:overflowPunct/>
              <w:topLinePunct w:val="0"/>
              <w:autoSpaceDE w:val="0"/>
              <w:autoSpaceDN w:val="0"/>
              <w:bidi w:val="0"/>
              <w:adjustRightInd w:val="0"/>
              <w:snapToGrid w:val="0"/>
              <w:ind w:left="22" w:leftChars="10" w:hanging="1"/>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100≤Y＜500 </w:t>
            </w:r>
          </w:p>
        </w:tc>
        <w:tc>
          <w:tcPr>
            <w:tcW w:w="992" w:type="dxa"/>
            <w:tcBorders>
              <w:top w:val="single" w:color="000000" w:sz="4" w:space="0"/>
              <w:left w:val="single" w:color="000000" w:sz="4" w:space="0"/>
              <w:bottom w:val="single" w:color="000000" w:sz="4" w:space="0"/>
              <w:right w:val="single" w:color="000000" w:sz="4" w:space="0"/>
            </w:tcBorders>
            <w:vAlign w:val="center"/>
          </w:tcPr>
          <w:p w14:paraId="0FE4685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07D3B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8D06FC8">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28D671F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31F7BF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0D5877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429F20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0AB58C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4613709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w:t>
            </w:r>
          </w:p>
        </w:tc>
      </w:tr>
      <w:tr w14:paraId="10116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521B12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5E2110B">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90F35E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BD0E24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3852DF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9160BA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200≤Y＜3000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AE3B57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Y＜200</w:t>
            </w:r>
          </w:p>
        </w:tc>
      </w:tr>
      <w:tr w14:paraId="12007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01DAC673">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仓储业*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DE54B1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43E087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21D459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5209049">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AC7ECE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20≤X＜100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5D6545A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w:t>
            </w:r>
          </w:p>
        </w:tc>
      </w:tr>
      <w:tr w14:paraId="53496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67E8F2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96AF8A3">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0DA14E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C30EB6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26DACA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3862B2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32CD63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59662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ADC8291">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邮政业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84549D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1DEFE56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46E81F1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506DA8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46F05E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12A85BD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w:t>
            </w:r>
          </w:p>
        </w:tc>
      </w:tr>
      <w:tr w14:paraId="313D5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824250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09D502C">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E4DF16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80F79C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0DFEF6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22F455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AB1BC4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759BF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CDFD853">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住宿业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77D08A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108376B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A8AC24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DE50810">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4558C2E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79D8332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2C747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660896F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360B5E1">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8265444">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46C801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776247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9D7FAB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F7C7C7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4DF1D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1BCBE0F">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餐饮业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971989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C273F1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0540AD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768EE98">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0DAA34D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2D8E9AD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58DF5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302C51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E3929A5">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3469F02">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DBE4B5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B51D96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25B955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164D4A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3CB73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0C10FA0">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信息传输业*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373A549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046A7D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74174B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463B37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5DEB34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1D7BC5E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517B1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44726E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5F244A3">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620983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0D1C73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61C7ED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453AF4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7288F3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450CF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42E15F1D">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pacing w:val="-12"/>
                <w:sz w:val="18"/>
                <w:szCs w:val="18"/>
                <w:highlight w:val="none"/>
              </w:rPr>
            </w:pPr>
            <w:r>
              <w:rPr>
                <w:rStyle w:val="34"/>
                <w:rFonts w:hint="eastAsia" w:ascii="宋体" w:hAnsi="宋体" w:eastAsia="宋体" w:cs="宋体"/>
                <w:color w:val="auto"/>
                <w:spacing w:val="-12"/>
                <w:sz w:val="18"/>
                <w:szCs w:val="18"/>
                <w:highlight w:val="none"/>
              </w:rPr>
              <w:t>软件和信息技术服</w:t>
            </w:r>
            <w:r>
              <w:rPr>
                <w:rStyle w:val="34"/>
                <w:rFonts w:hint="eastAsia" w:ascii="宋体" w:hAnsi="宋体" w:eastAsia="宋体" w:cs="宋体"/>
                <w:color w:val="auto"/>
                <w:sz w:val="18"/>
                <w:szCs w:val="18"/>
                <w:highlight w:val="none"/>
              </w:rPr>
              <w:t>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4755110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E4B8BD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7EA2B5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C352F7A">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3C13F91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0564627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3379E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3577C4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pacing w:val="-12"/>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ACDF2D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43403D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1564B0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BF3096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AD3295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D3D8BEB">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Y＜50</w:t>
            </w:r>
          </w:p>
        </w:tc>
      </w:tr>
      <w:tr w14:paraId="5EC81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2F03737">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vAlign w:val="center"/>
          </w:tcPr>
          <w:p w14:paraId="7D3B6AD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8EB5EF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A8233A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767B5E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974091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7EC9B9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Y＜100</w:t>
            </w:r>
          </w:p>
        </w:tc>
      </w:tr>
      <w:tr w14:paraId="2035F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1E32A1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0F139D2">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482BC1F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629E64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E9075AA">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47968D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2000≤Z＜5000   </w:t>
            </w:r>
          </w:p>
        </w:tc>
        <w:tc>
          <w:tcPr>
            <w:tcW w:w="992" w:type="dxa"/>
            <w:tcBorders>
              <w:top w:val="single" w:color="000000" w:sz="4" w:space="0"/>
              <w:left w:val="single" w:color="000000" w:sz="4" w:space="0"/>
              <w:bottom w:val="single" w:color="000000" w:sz="4" w:space="0"/>
              <w:right w:val="single" w:color="000000" w:sz="4" w:space="0"/>
            </w:tcBorders>
            <w:vAlign w:val="center"/>
          </w:tcPr>
          <w:p w14:paraId="42CEABC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Z＜2000</w:t>
            </w:r>
          </w:p>
        </w:tc>
      </w:tr>
      <w:tr w14:paraId="5AFDB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4A3E271">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vAlign w:val="center"/>
          </w:tcPr>
          <w:p w14:paraId="5C492FA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02C815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EC5C7B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46E140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F1E3269">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992" w:type="dxa"/>
            <w:tcBorders>
              <w:top w:val="single" w:color="000000" w:sz="4" w:space="0"/>
              <w:left w:val="single" w:color="000000" w:sz="4" w:space="0"/>
              <w:bottom w:val="single" w:color="000000" w:sz="4" w:space="0"/>
              <w:right w:val="single" w:color="000000" w:sz="4" w:space="0"/>
            </w:tcBorders>
            <w:vAlign w:val="center"/>
          </w:tcPr>
          <w:p w14:paraId="314D01F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X＜100</w:t>
            </w:r>
          </w:p>
        </w:tc>
      </w:tr>
      <w:tr w14:paraId="3864A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B89ED38">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9209D11">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1294FA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33E71D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8EC1E7F">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1000≤Y＜5000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74F1678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500≤Y＜1000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C410B9C">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Y＜500</w:t>
            </w:r>
          </w:p>
        </w:tc>
      </w:tr>
      <w:tr w14:paraId="06DCE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15D97B0">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74F6DB1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52B6BB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4E99BFF6">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BFE0792">
            <w:pPr>
              <w:keepNext w:val="0"/>
              <w:keepLines w:val="0"/>
              <w:pageBreakBefore w:val="0"/>
              <w:widowControl/>
              <w:kinsoku w:val="0"/>
              <w:wordWrap/>
              <w:overflowPunct/>
              <w:topLinePunct w:val="0"/>
              <w:autoSpaceDE w:val="0"/>
              <w:autoSpaceDN w:val="0"/>
              <w:bidi w:val="0"/>
              <w:adjustRightInd w:val="0"/>
              <w:snapToGrid w:val="0"/>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5BC3BCCF">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2DBB14B1">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r w14:paraId="0A6D9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6661F2E">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8642714">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3D1648AD">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7138A80">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EC13847">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116EFB5">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100≤Z＜8000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65C96A3">
            <w:pPr>
              <w:keepNext w:val="0"/>
              <w:keepLines w:val="0"/>
              <w:pageBreakBefore w:val="0"/>
              <w:widowControl/>
              <w:kinsoku w:val="0"/>
              <w:wordWrap/>
              <w:overflowPunct/>
              <w:topLinePunct w:val="0"/>
              <w:autoSpaceDE w:val="0"/>
              <w:autoSpaceDN w:val="0"/>
              <w:bidi w:val="0"/>
              <w:adjustRightInd w:val="0"/>
              <w:snapToGrid w:val="0"/>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Z＜100</w:t>
            </w:r>
          </w:p>
        </w:tc>
      </w:tr>
      <w:tr w14:paraId="62A3B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2E4B74C9">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Cs w:val="21"/>
                <w:highlight w:val="none"/>
              </w:rPr>
            </w:pPr>
            <w:r>
              <w:rPr>
                <w:rStyle w:val="34"/>
                <w:rFonts w:hint="eastAsia" w:ascii="宋体" w:hAnsi="宋体" w:eastAsia="宋体" w:cs="宋体"/>
                <w:color w:val="auto"/>
                <w:sz w:val="18"/>
                <w:szCs w:val="18"/>
                <w:highlight w:val="none"/>
              </w:rPr>
              <w:t>软件和信息技术服务业*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CF8DE43">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B76F827">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F571027">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3992D4F">
            <w:pPr>
              <w:keepNext w:val="0"/>
              <w:keepLines w:val="0"/>
              <w:pageBreakBefore w:val="0"/>
              <w:widowControl/>
              <w:kinsoku w:val="0"/>
              <w:wordWrap/>
              <w:overflowPunct/>
              <w:topLinePunct w:val="0"/>
              <w:autoSpaceDE w:val="0"/>
              <w:autoSpaceDN w:val="0"/>
              <w:bidi w:val="0"/>
              <w:adjustRightInd w:val="0"/>
              <w:snapToGrid w:val="0"/>
              <w:spacing w:line="240" w:lineRule="exact"/>
              <w:ind w:left="129" w:leftChars="10" w:hanging="108"/>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7E518865">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3F392294">
            <w:pPr>
              <w:keepNext w:val="0"/>
              <w:keepLines w:val="0"/>
              <w:pageBreakBefore w:val="0"/>
              <w:widowControl/>
              <w:kinsoku w:val="0"/>
              <w:wordWrap/>
              <w:overflowPunct/>
              <w:topLinePunct w:val="0"/>
              <w:autoSpaceDE w:val="0"/>
              <w:autoSpaceDN w:val="0"/>
              <w:bidi w:val="0"/>
              <w:adjustRightInd w:val="0"/>
              <w:snapToGrid w:val="0"/>
              <w:spacing w:line="240" w:lineRule="exact"/>
              <w:ind w:left="21" w:leftChars="10"/>
              <w:textAlignment w:val="baseline"/>
              <w:rPr>
                <w:rStyle w:val="34"/>
                <w:rFonts w:hint="eastAsia" w:ascii="宋体" w:hAnsi="宋体" w:eastAsia="宋体" w:cs="宋体"/>
                <w:color w:val="auto"/>
                <w:sz w:val="18"/>
                <w:szCs w:val="18"/>
                <w:highlight w:val="none"/>
              </w:rPr>
            </w:pPr>
            <w:r>
              <w:rPr>
                <w:rStyle w:val="34"/>
                <w:rFonts w:hint="eastAsia" w:ascii="宋体" w:hAnsi="宋体" w:eastAsia="宋体" w:cs="宋体"/>
                <w:color w:val="auto"/>
                <w:sz w:val="18"/>
                <w:szCs w:val="18"/>
                <w:highlight w:val="none"/>
              </w:rPr>
              <w:t>X＜10</w:t>
            </w:r>
          </w:p>
        </w:tc>
      </w:tr>
    </w:tbl>
    <w:p w14:paraId="08350F8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Style w:val="34"/>
          <w:rFonts w:hint="eastAsia" w:ascii="宋体" w:hAnsi="宋体" w:eastAsia="宋体" w:cs="宋体"/>
          <w:color w:val="auto"/>
          <w:spacing w:val="8"/>
          <w:szCs w:val="21"/>
          <w:highlight w:val="none"/>
        </w:rPr>
      </w:pPr>
      <w:r>
        <w:rPr>
          <w:rStyle w:val="34"/>
          <w:rFonts w:hint="eastAsia" w:ascii="宋体" w:hAnsi="宋体" w:eastAsia="宋体" w:cs="宋体"/>
          <w:color w:val="auto"/>
          <w:spacing w:val="8"/>
          <w:szCs w:val="21"/>
          <w:highlight w:val="none"/>
        </w:rPr>
        <w:t>说明：</w:t>
      </w:r>
    </w:p>
    <w:p w14:paraId="1715E51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Style w:val="34"/>
          <w:rFonts w:hint="eastAsia" w:ascii="宋体" w:hAnsi="宋体" w:eastAsia="宋体" w:cs="宋体"/>
          <w:color w:val="auto"/>
          <w:spacing w:val="8"/>
          <w:szCs w:val="21"/>
          <w:highlight w:val="none"/>
        </w:rPr>
      </w:pPr>
      <w:r>
        <w:rPr>
          <w:rStyle w:val="34"/>
          <w:rFonts w:hint="eastAsia" w:ascii="宋体" w:hAnsi="宋体" w:eastAsia="宋体" w:cs="宋体"/>
          <w:color w:val="auto"/>
          <w:spacing w:val="8"/>
          <w:szCs w:val="21"/>
          <w:highlight w:val="none"/>
        </w:rPr>
        <w:t>　　1.大型、中型和小型企业须同时满足所列指标的下限，否则下划一档；微型企业只须满足所列指标中的一项即可。</w:t>
      </w:r>
    </w:p>
    <w:p w14:paraId="1D38ABF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Style w:val="34"/>
          <w:rFonts w:hint="eastAsia" w:ascii="宋体" w:hAnsi="宋体" w:eastAsia="宋体" w:cs="宋体"/>
          <w:color w:val="auto"/>
          <w:spacing w:val="8"/>
          <w:szCs w:val="21"/>
          <w:highlight w:val="none"/>
        </w:rPr>
      </w:pPr>
      <w:r>
        <w:rPr>
          <w:rStyle w:val="34"/>
          <w:rFonts w:hint="eastAsia" w:ascii="宋体" w:hAnsi="宋体" w:eastAsia="宋体" w:cs="宋体"/>
          <w:color w:val="auto"/>
          <w:spacing w:val="8"/>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软件和信息技术服务业包括科学研究和技术服务业，水利、环境和公共设施管理业，居民服务、修理和其他服务业，社会工作，文化、体育和娱乐业，以及房地产中介服务，其他房地产业等，不包括自有房地产经营活动。</w:t>
      </w:r>
    </w:p>
    <w:p w14:paraId="4FE988A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Style w:val="34"/>
          <w:rFonts w:hint="eastAsia" w:ascii="宋体" w:hAnsi="宋体" w:eastAsia="宋体" w:cs="宋体"/>
          <w:color w:val="auto"/>
          <w:highlight w:val="none"/>
        </w:rPr>
      </w:pPr>
      <w:r>
        <w:rPr>
          <w:rStyle w:val="34"/>
          <w:rFonts w:hint="eastAsia" w:ascii="宋体" w:hAnsi="宋体" w:eastAsia="宋体" w:cs="宋体"/>
          <w:color w:val="auto"/>
          <w:spacing w:val="8"/>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pgSz w:w="11906" w:h="16839"/>
      <w:pgMar w:top="1431" w:right="1785" w:bottom="1361" w:left="1785" w:header="0" w:footer="96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Courier New"/>
    <w:panose1 w:val="00000000000000000000"/>
    <w:charset w:val="00"/>
    <w:family w:val="auto"/>
    <w:pitch w:val="default"/>
    <w:sig w:usb0="00000000" w:usb1="00000000" w:usb2="00000000"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295C8">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5D25A1">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1lhz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d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KfWWHNIBAACeAwAADgAAAAAAAAABACAAAAAfAQAA&#10;ZHJzL2Uyb0RvYy54bWxQSwUGAAAAAAYABgBZAQAAYwUAAAAA&#10;">
              <v:fill on="f" focussize="0,0"/>
              <v:stroke on="f"/>
              <v:imagedata o:title=""/>
              <o:lock v:ext="edit" aspectratio="f"/>
              <v:textbox inset="0mm,0mm,0mm,0mm" style="mso-fit-shape-to-text:t;">
                <w:txbxContent>
                  <w:p w14:paraId="785D25A1">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B8211">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F9AF07">
                          <w:pPr>
                            <w:pStyle w:val="13"/>
                          </w:pPr>
                          <w:r>
                            <w:fldChar w:fldCharType="begin"/>
                          </w:r>
                          <w:r>
                            <w:instrText xml:space="preserve"> PAGE  \* MERGEFORMAT </w:instrText>
                          </w:r>
                          <w:r>
                            <w:fldChar w:fldCharType="separate"/>
                          </w:r>
                          <w:r>
                            <w:t>36</w:t>
                          </w:r>
                          <w: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nvMmE0QEAAJ4DAAAOAAAAAAAAAAEAIAAAAB8BAABk&#10;cnMvZTJvRG9jLnhtbFBLBQYAAAAABgAGAFkBAABiBQAAAAA=&#10;">
              <v:fill on="f" focussize="0,0"/>
              <v:stroke on="f"/>
              <v:imagedata o:title=""/>
              <o:lock v:ext="edit" aspectratio="f"/>
              <v:textbox inset="0mm,0mm,0mm,0mm" style="mso-fit-shape-to-text:t;">
                <w:txbxContent>
                  <w:p w14:paraId="6FF9AF07">
                    <w:pPr>
                      <w:pStyle w:val="13"/>
                    </w:pPr>
                    <w:r>
                      <w:fldChar w:fldCharType="begin"/>
                    </w:r>
                    <w:r>
                      <w:instrText xml:space="preserve"> PAGE  \* MERGEFORMAT </w:instrText>
                    </w:r>
                    <w:r>
                      <w:fldChar w:fldCharType="separate"/>
                    </w:r>
                    <w:r>
                      <w:t>36</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1F4B">
    <w:pPr>
      <w:pStyle w:val="13"/>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BE9FEFF">
                          <w:pPr>
                            <w:pStyle w:val="13"/>
                          </w:pPr>
                          <w:r>
                            <w:fldChar w:fldCharType="begin"/>
                          </w:r>
                          <w:r>
                            <w:instrText xml:space="preserve"> PAGE  \* MERGEFORMAT </w:instrText>
                          </w:r>
                          <w:r>
                            <w:fldChar w:fldCharType="separate"/>
                          </w:r>
                          <w:r>
                            <w:t>35</w:t>
                          </w:r>
                          <w: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IsrRDNIBAACfAwAADgAAAAAAAAABACAAAAAfAQAA&#10;ZHJzL2Uyb0RvYy54bWxQSwUGAAAAAAYABgBZAQAAYwUAAAAA&#10;">
              <v:fill on="f" focussize="0,0"/>
              <v:stroke on="f"/>
              <v:imagedata o:title=""/>
              <o:lock v:ext="edit" aspectratio="f"/>
              <v:textbox inset="0mm,0mm,0mm,0mm" style="mso-fit-shape-to-text:t;">
                <w:txbxContent>
                  <w:p w14:paraId="6BE9FEFF">
                    <w:pPr>
                      <w:pStyle w:val="13"/>
                    </w:pPr>
                    <w:r>
                      <w:fldChar w:fldCharType="begin"/>
                    </w:r>
                    <w:r>
                      <w:instrText xml:space="preserve"> PAGE  \* MERGEFORMAT </w:instrText>
                    </w:r>
                    <w:r>
                      <w:fldChar w:fldCharType="separate"/>
                    </w:r>
                    <w:r>
                      <w:t>35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5EAE7">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bullet"/>
      <w:pStyle w:val="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
    <w:nsid w:val="00000001"/>
    <w:multiLevelType w:val="multilevel"/>
    <w:tmpl w:val="00000001"/>
    <w:lvl w:ilvl="0" w:tentative="0">
      <w:start w:val="1"/>
      <w:numFmt w:val="japaneseCounting"/>
      <w:lvlText w:val="%1、"/>
      <w:lvlJc w:val="left"/>
      <w:pPr>
        <w:tabs>
          <w:tab w:val="left" w:pos="390"/>
        </w:tabs>
        <w:ind w:left="390" w:hanging="39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3"/>
      <w:numFmt w:val="decimal"/>
      <w:suff w:val="nothing"/>
      <w:lvlText w:val="（%1）"/>
      <w:lvlJc w:val="left"/>
    </w:lvl>
  </w:abstractNum>
  <w:abstractNum w:abstractNumId="3">
    <w:nsid w:val="00000003"/>
    <w:multiLevelType w:val="singleLevel"/>
    <w:tmpl w:val="00000003"/>
    <w:lvl w:ilvl="0" w:tentative="0">
      <w:start w:val="7"/>
      <w:numFmt w:val="chineseCounting"/>
      <w:suff w:val="space"/>
      <w:lvlText w:val="第%1章"/>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OGU1ZmI3MTYzYmU1ODhlODU4NDYwNTYyMDA2Y2MifQ=="/>
  </w:docVars>
  <w:rsids>
    <w:rsidRoot w:val="00000000"/>
    <w:rsid w:val="000F0622"/>
    <w:rsid w:val="00377076"/>
    <w:rsid w:val="00BE5B1F"/>
    <w:rsid w:val="041409C0"/>
    <w:rsid w:val="06FB1ED7"/>
    <w:rsid w:val="07A44F07"/>
    <w:rsid w:val="07C425E3"/>
    <w:rsid w:val="0B0C7351"/>
    <w:rsid w:val="0B295ED4"/>
    <w:rsid w:val="0C0E00F1"/>
    <w:rsid w:val="0FA940B6"/>
    <w:rsid w:val="0FE63F69"/>
    <w:rsid w:val="0FEE451F"/>
    <w:rsid w:val="12914C06"/>
    <w:rsid w:val="146939BD"/>
    <w:rsid w:val="168157C2"/>
    <w:rsid w:val="16F760FE"/>
    <w:rsid w:val="175E7D00"/>
    <w:rsid w:val="17A748B9"/>
    <w:rsid w:val="1D1C3038"/>
    <w:rsid w:val="1E827C5E"/>
    <w:rsid w:val="1EE44415"/>
    <w:rsid w:val="1F242CD3"/>
    <w:rsid w:val="205B164B"/>
    <w:rsid w:val="21784610"/>
    <w:rsid w:val="21FC47A7"/>
    <w:rsid w:val="223E684F"/>
    <w:rsid w:val="23533577"/>
    <w:rsid w:val="24D31F83"/>
    <w:rsid w:val="25D554BA"/>
    <w:rsid w:val="27602AA7"/>
    <w:rsid w:val="27886B1D"/>
    <w:rsid w:val="28016E85"/>
    <w:rsid w:val="2B797211"/>
    <w:rsid w:val="2C173901"/>
    <w:rsid w:val="2D7833DE"/>
    <w:rsid w:val="2ED9728F"/>
    <w:rsid w:val="360F6C28"/>
    <w:rsid w:val="36996E8B"/>
    <w:rsid w:val="37646FF5"/>
    <w:rsid w:val="3D33397B"/>
    <w:rsid w:val="411E47B2"/>
    <w:rsid w:val="41FE4282"/>
    <w:rsid w:val="43550B61"/>
    <w:rsid w:val="444D5E07"/>
    <w:rsid w:val="45A9151C"/>
    <w:rsid w:val="47E52C01"/>
    <w:rsid w:val="47F03017"/>
    <w:rsid w:val="49BC5F35"/>
    <w:rsid w:val="49F60696"/>
    <w:rsid w:val="4A1B4FE6"/>
    <w:rsid w:val="4A4434B5"/>
    <w:rsid w:val="4A6C0C97"/>
    <w:rsid w:val="4DAC4E52"/>
    <w:rsid w:val="502630C9"/>
    <w:rsid w:val="50E35A2B"/>
    <w:rsid w:val="51256E6B"/>
    <w:rsid w:val="53476807"/>
    <w:rsid w:val="54C16083"/>
    <w:rsid w:val="54D8773F"/>
    <w:rsid w:val="576D02BE"/>
    <w:rsid w:val="580735D2"/>
    <w:rsid w:val="5D4D7062"/>
    <w:rsid w:val="5DFE3EA4"/>
    <w:rsid w:val="5FE03A40"/>
    <w:rsid w:val="601516A4"/>
    <w:rsid w:val="63FE69AC"/>
    <w:rsid w:val="656172C6"/>
    <w:rsid w:val="667D6EFF"/>
    <w:rsid w:val="66910AC3"/>
    <w:rsid w:val="681C38A5"/>
    <w:rsid w:val="6AE13E59"/>
    <w:rsid w:val="6B6178FB"/>
    <w:rsid w:val="6B785313"/>
    <w:rsid w:val="6C00528B"/>
    <w:rsid w:val="6D156B14"/>
    <w:rsid w:val="6D5C4743"/>
    <w:rsid w:val="6D6479C3"/>
    <w:rsid w:val="75502DDF"/>
    <w:rsid w:val="75AB5636"/>
    <w:rsid w:val="75C612F4"/>
    <w:rsid w:val="775124B6"/>
    <w:rsid w:val="7B4A4E78"/>
    <w:rsid w:val="7B5F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snapToGrid w:val="0"/>
      <w:color w:val="000000"/>
      <w:sz w:val="21"/>
      <w:szCs w:val="21"/>
      <w:lang w:val="en-US" w:eastAsia="en-US" w:bidi="ar-SA"/>
    </w:rPr>
  </w:style>
  <w:style w:type="paragraph" w:styleId="3">
    <w:name w:val="heading 1"/>
    <w:basedOn w:val="1"/>
    <w:next w:val="1"/>
    <w:autoRedefine/>
    <w:qFormat/>
    <w:uiPriority w:val="9"/>
    <w:pPr>
      <w:keepNext/>
      <w:keepLines/>
      <w:spacing w:before="340" w:beforeAutospacing="0" w:after="330" w:afterAutospacing="0" w:line="240" w:lineRule="auto"/>
      <w:jc w:val="center"/>
      <w:outlineLvl w:val="0"/>
    </w:pPr>
    <w:rPr>
      <w:rFonts w:eastAsia="宋体"/>
      <w:b/>
      <w:kern w:val="44"/>
      <w:sz w:val="44"/>
    </w:rPr>
  </w:style>
  <w:style w:type="paragraph" w:styleId="4">
    <w:name w:val="heading 2"/>
    <w:basedOn w:val="1"/>
    <w:next w:val="5"/>
    <w:autoRedefine/>
    <w:qFormat/>
    <w:uiPriority w:val="0"/>
    <w:pPr>
      <w:spacing w:before="240"/>
      <w:outlineLvl w:val="1"/>
    </w:pPr>
    <w:rPr>
      <w:sz w:val="24"/>
      <w:szCs w:val="24"/>
    </w:rPr>
  </w:style>
  <w:style w:type="paragraph" w:styleId="6">
    <w:name w:val="heading 3"/>
    <w:basedOn w:val="1"/>
    <w:next w:val="5"/>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24">
    <w:name w:val="Default Paragraph Font"/>
    <w:autoRedefine/>
    <w:qFormat/>
    <w:uiPriority w:val="1"/>
  </w:style>
  <w:style w:type="table" w:default="1" w:styleId="22">
    <w:name w:val="Normal Table"/>
    <w:autoRedefine/>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numPr>
        <w:ilvl w:val="0"/>
        <w:numId w:val="1"/>
      </w:numPr>
      <w:spacing w:line="360" w:lineRule="auto"/>
    </w:pPr>
    <w:rPr>
      <w:rFonts w:eastAsia="仿宋_GB2312"/>
    </w:rPr>
  </w:style>
  <w:style w:type="paragraph" w:styleId="5">
    <w:name w:val="Normal Indent"/>
    <w:basedOn w:val="1"/>
    <w:autoRedefine/>
    <w:qFormat/>
    <w:uiPriority w:val="0"/>
    <w:pPr>
      <w:ind w:firstLine="420"/>
    </w:pPr>
    <w:rPr>
      <w:rFonts w:ascii="Calibri" w:hAnsi="Calibri" w:eastAsia="宋体" w:cs="Times New Roman"/>
      <w:szCs w:val="22"/>
    </w:rPr>
  </w:style>
  <w:style w:type="paragraph" w:styleId="8">
    <w:name w:val="Body Text"/>
    <w:basedOn w:val="1"/>
    <w:autoRedefine/>
    <w:qFormat/>
    <w:uiPriority w:val="0"/>
    <w:rPr>
      <w:rFonts w:eastAsia="Arial"/>
    </w:rPr>
  </w:style>
  <w:style w:type="paragraph" w:styleId="9">
    <w:name w:val="Body Text Indent"/>
    <w:basedOn w:val="1"/>
    <w:next w:val="1"/>
    <w:autoRedefine/>
    <w:qFormat/>
    <w:uiPriority w:val="0"/>
    <w:pPr>
      <w:overflowPunct w:val="0"/>
      <w:autoSpaceDE w:val="0"/>
      <w:autoSpaceDN w:val="0"/>
      <w:adjustRightInd w:val="0"/>
      <w:spacing w:line="360" w:lineRule="auto"/>
      <w:ind w:firstLine="540"/>
      <w:jc w:val="both"/>
      <w:textAlignment w:val="baseline"/>
    </w:pPr>
    <w:rPr>
      <w:rFonts w:ascii="宋体" w:hAnsi="MS Sans Serif"/>
      <w:spacing w:val="12"/>
      <w:sz w:val="24"/>
    </w:rPr>
  </w:style>
  <w:style w:type="paragraph" w:styleId="10">
    <w:name w:val="toc 3"/>
    <w:basedOn w:val="1"/>
    <w:next w:val="1"/>
    <w:autoRedefine/>
    <w:qFormat/>
    <w:uiPriority w:val="39"/>
    <w:pPr>
      <w:ind w:left="840" w:leftChars="400"/>
    </w:pPr>
  </w:style>
  <w:style w:type="paragraph" w:styleId="11">
    <w:name w:val="Date"/>
    <w:basedOn w:val="1"/>
    <w:next w:val="1"/>
    <w:autoRedefine/>
    <w:qFormat/>
    <w:uiPriority w:val="0"/>
    <w:rPr>
      <w:rFonts w:eastAsia="长城楷体"/>
      <w:sz w:val="36"/>
    </w:rPr>
  </w:style>
  <w:style w:type="paragraph" w:styleId="12">
    <w:name w:val="Balloon Text"/>
    <w:basedOn w:val="1"/>
    <w:link w:val="32"/>
    <w:autoRedefine/>
    <w:qFormat/>
    <w:uiPriority w:val="99"/>
    <w:rPr>
      <w:sz w:val="18"/>
      <w:szCs w:val="18"/>
    </w:rPr>
  </w:style>
  <w:style w:type="paragraph" w:styleId="13">
    <w:name w:val="footer"/>
    <w:basedOn w:val="1"/>
    <w:link w:val="31"/>
    <w:autoRedefine/>
    <w:qFormat/>
    <w:uiPriority w:val="99"/>
    <w:pPr>
      <w:tabs>
        <w:tab w:val="center" w:pos="4153"/>
        <w:tab w:val="right" w:pos="8306"/>
      </w:tabs>
    </w:pPr>
    <w:rPr>
      <w:sz w:val="18"/>
      <w:szCs w:val="18"/>
    </w:rPr>
  </w:style>
  <w:style w:type="paragraph" w:styleId="14">
    <w:name w:val="envelope return"/>
    <w:basedOn w:val="1"/>
    <w:autoRedefine/>
    <w:qFormat/>
    <w:uiPriority w:val="0"/>
    <w:pPr>
      <w:snapToGrid w:val="0"/>
    </w:pPr>
    <w:rPr>
      <w:rFonts w:ascii="Arial" w:hAnsi="Arial"/>
    </w:rPr>
  </w:style>
  <w:style w:type="paragraph" w:styleId="15">
    <w:name w:val="header"/>
    <w:basedOn w:val="1"/>
    <w:link w:val="30"/>
    <w:autoRedefine/>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autoRedefine/>
    <w:qFormat/>
    <w:uiPriority w:val="39"/>
  </w:style>
  <w:style w:type="paragraph" w:styleId="17">
    <w:name w:val="toc 2"/>
    <w:basedOn w:val="1"/>
    <w:next w:val="1"/>
    <w:autoRedefine/>
    <w:qFormat/>
    <w:uiPriority w:val="39"/>
    <w:pPr>
      <w:ind w:left="420" w:leftChars="200"/>
    </w:pPr>
  </w:style>
  <w:style w:type="paragraph" w:styleId="18">
    <w:name w:val="Normal (Web)"/>
    <w:basedOn w:val="1"/>
    <w:autoRedefine/>
    <w:qFormat/>
    <w:uiPriority w:val="99"/>
    <w:pPr>
      <w:spacing w:before="0" w:beforeAutospacing="1" w:after="0" w:afterAutospacing="1"/>
      <w:ind w:left="0" w:right="0"/>
      <w:jc w:val="left"/>
    </w:pPr>
    <w:rPr>
      <w:kern w:val="0"/>
      <w:sz w:val="24"/>
      <w:lang w:val="en-US" w:eastAsia="zh-CN" w:bidi="ar"/>
    </w:rPr>
  </w:style>
  <w:style w:type="paragraph" w:styleId="19">
    <w:name w:val="Title"/>
    <w:basedOn w:val="1"/>
    <w:next w:val="1"/>
    <w:autoRedefine/>
    <w:qFormat/>
    <w:uiPriority w:val="10"/>
    <w:pPr>
      <w:spacing w:before="240" w:after="60"/>
      <w:jc w:val="center"/>
      <w:outlineLvl w:val="0"/>
    </w:pPr>
    <w:rPr>
      <w:rFonts w:ascii="Cambria" w:hAnsi="Cambria" w:cs="Times New Roman"/>
      <w:b/>
      <w:bCs/>
      <w:sz w:val="32"/>
      <w:szCs w:val="32"/>
    </w:rPr>
  </w:style>
  <w:style w:type="paragraph" w:styleId="20">
    <w:name w:val="Body Text First Indent"/>
    <w:basedOn w:val="8"/>
    <w:autoRedefine/>
    <w:qFormat/>
    <w:uiPriority w:val="0"/>
    <w:pPr>
      <w:adjustRightInd w:val="0"/>
      <w:spacing w:line="360" w:lineRule="auto"/>
      <w:ind w:left="289" w:leftChars="1" w:firstLine="420" w:firstLineChars="100"/>
      <w:textAlignment w:val="baseline"/>
    </w:pPr>
    <w:rPr>
      <w:rFonts w:ascii="宋体" w:hAnsi="宋体" w:cs="宋体"/>
      <w:b/>
      <w:bCs/>
      <w:kern w:val="0"/>
      <w:sz w:val="20"/>
    </w:rPr>
  </w:style>
  <w:style w:type="paragraph" w:styleId="21">
    <w:name w:val="Body Text First Indent 2"/>
    <w:basedOn w:val="9"/>
    <w:next w:val="1"/>
    <w:autoRedefine/>
    <w:qFormat/>
    <w:uiPriority w:val="0"/>
    <w:pPr>
      <w:tabs>
        <w:tab w:val="left" w:pos="0"/>
        <w:tab w:val="left" w:pos="993"/>
        <w:tab w:val="left" w:pos="1134"/>
      </w:tabs>
      <w:ind w:firstLine="420" w:firstLineChars="200"/>
    </w:pPr>
    <w:rPr>
      <w:rFonts w:hAnsi="Calibri"/>
      <w:sz w:val="34"/>
      <w:szCs w:val="22"/>
    </w:r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FollowedHyperlink"/>
    <w:basedOn w:val="24"/>
    <w:autoRedefine/>
    <w:qFormat/>
    <w:uiPriority w:val="99"/>
    <w:rPr>
      <w:color w:val="800080"/>
      <w:u w:val="none"/>
    </w:rPr>
  </w:style>
  <w:style w:type="character" w:styleId="27">
    <w:name w:val="Hyperlink"/>
    <w:basedOn w:val="24"/>
    <w:autoRedefine/>
    <w:qFormat/>
    <w:uiPriority w:val="99"/>
    <w:rPr>
      <w:color w:val="0000FF"/>
      <w:u w:val="none"/>
    </w:rPr>
  </w:style>
  <w:style w:type="table" w:customStyle="1" w:styleId="28">
    <w:name w:val="Table Normal"/>
    <w:autoRedefine/>
    <w:qFormat/>
    <w:uiPriority w:val="0"/>
    <w:tblPr>
      <w:tblCellMar>
        <w:top w:w="0" w:type="dxa"/>
        <w:left w:w="0" w:type="dxa"/>
        <w:bottom w:w="0" w:type="dxa"/>
        <w:right w:w="0" w:type="dxa"/>
      </w:tblCellMar>
    </w:tblPr>
  </w:style>
  <w:style w:type="paragraph" w:customStyle="1" w:styleId="29">
    <w:name w:val="Table Text"/>
    <w:basedOn w:val="1"/>
    <w:autoRedefine/>
    <w:qFormat/>
    <w:uiPriority w:val="0"/>
    <w:rPr>
      <w:rFonts w:ascii="宋体" w:hAnsi="宋体" w:eastAsia="宋体" w:cs="宋体"/>
      <w:sz w:val="20"/>
      <w:szCs w:val="20"/>
    </w:rPr>
  </w:style>
  <w:style w:type="character" w:customStyle="1" w:styleId="30">
    <w:name w:val="页眉 Char"/>
    <w:basedOn w:val="24"/>
    <w:link w:val="15"/>
    <w:autoRedefine/>
    <w:qFormat/>
    <w:uiPriority w:val="99"/>
    <w:rPr>
      <w:sz w:val="18"/>
      <w:szCs w:val="18"/>
    </w:rPr>
  </w:style>
  <w:style w:type="character" w:customStyle="1" w:styleId="31">
    <w:name w:val="页脚 Char"/>
    <w:basedOn w:val="24"/>
    <w:link w:val="13"/>
    <w:autoRedefine/>
    <w:qFormat/>
    <w:uiPriority w:val="99"/>
    <w:rPr>
      <w:sz w:val="18"/>
      <w:szCs w:val="18"/>
    </w:rPr>
  </w:style>
  <w:style w:type="character" w:customStyle="1" w:styleId="32">
    <w:name w:val="批注框文本 Char"/>
    <w:basedOn w:val="24"/>
    <w:link w:val="12"/>
    <w:autoRedefine/>
    <w:qFormat/>
    <w:uiPriority w:val="99"/>
    <w:rPr>
      <w:sz w:val="18"/>
      <w:szCs w:val="18"/>
    </w:rPr>
  </w:style>
  <w:style w:type="paragraph" w:customStyle="1" w:styleId="33">
    <w:name w:val="main-title"/>
    <w:basedOn w:val="1"/>
    <w:autoRedefine/>
    <w:qFormat/>
    <w:uiPriority w:val="0"/>
    <w:pPr>
      <w:pBdr>
        <w:top w:val="none" w:color="auto" w:sz="0" w:space="0"/>
        <w:left w:val="none" w:color="auto" w:sz="0" w:space="0"/>
        <w:bottom w:val="single" w:color="717171" w:sz="12" w:space="15"/>
        <w:right w:val="none" w:color="auto" w:sz="0" w:space="0"/>
      </w:pBdr>
      <w:spacing w:line="24" w:lineRule="atLeast"/>
      <w:jc w:val="center"/>
    </w:pPr>
    <w:rPr>
      <w:color w:val="000000"/>
      <w:kern w:val="0"/>
      <w:sz w:val="42"/>
      <w:szCs w:val="42"/>
      <w:lang w:val="en-US" w:eastAsia="zh-CN"/>
    </w:rPr>
  </w:style>
  <w:style w:type="character" w:customStyle="1" w:styleId="34">
    <w:name w:val="NormalCharacter"/>
    <w:autoRedefine/>
    <w:qFormat/>
    <w:uiPriority w:val="0"/>
    <w:rPr>
      <w:rFonts w:ascii="Times New Roman" w:hAnsi="Times New Roman"/>
      <w:kern w:val="2"/>
      <w:sz w:val="21"/>
      <w:lang w:val="en-US" w:eastAsia="zh-CN" w:bidi="ar-SA"/>
    </w:rPr>
  </w:style>
  <w:style w:type="paragraph" w:customStyle="1" w:styleId="35">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36">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37">
    <w:name w:val="Default"/>
    <w:next w:val="11"/>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8">
    <w:name w:val="List Paragraph_8306deb5-92ad-4d7c-9ec8-4e818e936cf1"/>
    <w:basedOn w:val="1"/>
    <w:autoRedefine/>
    <w:qFormat/>
    <w:uiPriority w:val="0"/>
    <w:pPr>
      <w:tabs>
        <w:tab w:val="left" w:pos="900"/>
      </w:tabs>
      <w:ind w:firstLine="200" w:firstLineChars="200"/>
    </w:pPr>
  </w:style>
  <w:style w:type="paragraph" w:customStyle="1" w:styleId="39">
    <w:name w:val="CM11"/>
    <w:basedOn w:val="37"/>
    <w:next w:val="37"/>
    <w:autoRedefine/>
    <w:qFormat/>
    <w:uiPriority w:val="0"/>
    <w:pPr>
      <w:spacing w:line="520" w:lineRule="atLeast"/>
    </w:pPr>
  </w:style>
  <w:style w:type="paragraph" w:customStyle="1" w:styleId="40">
    <w:name w:val="CM13"/>
    <w:basedOn w:val="37"/>
    <w:next w:val="37"/>
    <w:autoRedefine/>
    <w:qFormat/>
    <w:uiPriority w:val="0"/>
    <w:pPr>
      <w:spacing w:line="520" w:lineRule="atLeast"/>
    </w:pPr>
  </w:style>
  <w:style w:type="paragraph" w:customStyle="1" w:styleId="41">
    <w:name w:val="CM14"/>
    <w:basedOn w:val="37"/>
    <w:next w:val="37"/>
    <w:autoRedefine/>
    <w:qFormat/>
    <w:uiPriority w:val="0"/>
    <w:pPr>
      <w:spacing w:line="546" w:lineRule="atLeast"/>
    </w:pPr>
  </w:style>
  <w:style w:type="paragraph" w:customStyle="1" w:styleId="42">
    <w:name w:val="BodyText"/>
    <w:basedOn w:val="1"/>
    <w:next w:val="11"/>
    <w:autoRedefine/>
    <w:qFormat/>
    <w:uiPriority w:val="0"/>
    <w:pPr>
      <w:spacing w:after="120"/>
      <w:jc w:val="both"/>
      <w:textAlignment w:val="baseline"/>
    </w:pPr>
  </w:style>
  <w:style w:type="paragraph" w:customStyle="1" w:styleId="43">
    <w:name w:val="BodyText1I"/>
    <w:basedOn w:val="42"/>
    <w:autoRedefine/>
    <w:qFormat/>
    <w:uiPriority w:val="0"/>
    <w:pPr>
      <w:spacing w:after="120" w:line="360" w:lineRule="auto"/>
      <w:ind w:left="289" w:leftChars="1" w:firstLine="420" w:firstLineChars="100"/>
      <w:jc w:val="both"/>
      <w:textAlignment w:val="baseline"/>
    </w:pPr>
    <w:rPr>
      <w:rFonts w:ascii="宋体" w:hAnsi="宋体" w:cs="宋体"/>
      <w:b/>
      <w:bCs/>
      <w:kern w:val="0"/>
      <w:sz w:val="20"/>
    </w:rPr>
  </w:style>
  <w:style w:type="paragraph" w:customStyle="1" w:styleId="44">
    <w:name w:val="HtmlNormal"/>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45">
    <w:name w:val="font01"/>
    <w:basedOn w:val="24"/>
    <w:autoRedefine/>
    <w:qFormat/>
    <w:uiPriority w:val="0"/>
    <w:rPr>
      <w:rFonts w:hint="eastAsia" w:ascii="宋体" w:hAnsi="宋体" w:eastAsia="宋体" w:cs="宋体"/>
      <w:color w:val="000000"/>
      <w:sz w:val="22"/>
      <w:szCs w:val="22"/>
      <w:u w:val="none"/>
    </w:rPr>
  </w:style>
  <w:style w:type="paragraph" w:customStyle="1" w:styleId="46">
    <w:name w:val="_Style 17"/>
    <w:basedOn w:val="1"/>
    <w:next w:val="18"/>
    <w:qFormat/>
    <w:uiPriority w:val="0"/>
    <w:pPr>
      <w:spacing w:before="100" w:beforeAutospacing="1" w:after="100" w:afterAutospacing="1"/>
    </w:pPr>
    <w:rPr>
      <w:rFonts w:ascii="宋体" w:cs="黑体"/>
      <w:sz w:val="24"/>
      <w:szCs w:val="24"/>
      <w:lang w:bidi="ar-SA"/>
    </w:rPr>
  </w:style>
  <w:style w:type="paragraph" w:styleId="4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1913</Words>
  <Characters>2272</Characters>
  <Paragraphs>2115</Paragraphs>
  <TotalTime>18</TotalTime>
  <ScaleCrop>false</ScaleCrop>
  <LinksUpToDate>false</LinksUpToDate>
  <CharactersWithSpaces>2301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2023-04-12T09:48:00Z</dcterms:created>
  <dc:creator>1</dc:creator>
  <cp:lastModifiedBy>云 淡 风 轻</cp:lastModifiedBy>
  <dcterms:modified xsi:type="dcterms:W3CDTF">2025-06-24T01:35:47Z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2023-05-03T11:40:17Z</vt:filetime>
  </property>
  <property fmtid="{D5CDD505-2E9C-101B-9397-08002B2CF9AE}" pid="4" name="UsrData">
    <vt:lpwstr>6451d78612a1150015357d28</vt:lpwstr>
  </property>
  <property fmtid="{D5CDD505-2E9C-101B-9397-08002B2CF9AE}" pid="5" name="KSOProductBuildVer">
    <vt:lpwstr>2052-12.1.0.21541</vt:lpwstr>
  </property>
  <property fmtid="{D5CDD505-2E9C-101B-9397-08002B2CF9AE}" pid="6" name="ICV">
    <vt:lpwstr>F37D3099F48641DE9DFC33D9518F5082_13</vt:lpwstr>
  </property>
  <property fmtid="{D5CDD505-2E9C-101B-9397-08002B2CF9AE}" pid="7" name="KSOTemplateDocerSaveRecord">
    <vt:lpwstr>eyJoZGlkIjoiMjdlNzgwZjhhYzk3NjE4MTU4Y2U2MzNiMGNmNzczMTIiLCJ1c2VySWQiOiIyNzk2MjY1ODYifQ==</vt:lpwstr>
  </property>
</Properties>
</file>