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both"/>
        <w:rPr>
          <w:rFonts w:hint="eastAsia"/>
          <w:b/>
          <w:bCs/>
          <w:sz w:val="44"/>
          <w:szCs w:val="44"/>
          <w:highlight w:val="none"/>
          <w:lang w:eastAsia="zh-CN"/>
        </w:rPr>
      </w:pPr>
      <w:r>
        <w:rPr>
          <w:rFonts w:hint="eastAsia"/>
          <w:b/>
          <w:bCs/>
          <w:sz w:val="44"/>
          <w:szCs w:val="44"/>
          <w:highlight w:val="none"/>
          <w:lang w:eastAsia="zh-CN"/>
        </w:rPr>
        <w:drawing>
          <wp:anchor distT="0" distB="0" distL="114300" distR="114300" simplePos="0" relativeHeight="251659264" behindDoc="0" locked="0" layoutInCell="1" allowOverlap="1">
            <wp:simplePos x="0" y="0"/>
            <wp:positionH relativeFrom="column">
              <wp:posOffset>53340</wp:posOffset>
            </wp:positionH>
            <wp:positionV relativeFrom="paragraph">
              <wp:posOffset>45720</wp:posOffset>
            </wp:positionV>
            <wp:extent cx="1022985" cy="662940"/>
            <wp:effectExtent l="0" t="0" r="13335" b="7620"/>
            <wp:wrapNone/>
            <wp:docPr id="2" name="图片 2" descr="a4168ba83394af82746904e8bfa6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4168ba83394af82746904e8bfa620b"/>
                    <pic:cNvPicPr>
                      <a:picLocks noChangeAspect="1"/>
                    </pic:cNvPicPr>
                  </pic:nvPicPr>
                  <pic:blipFill>
                    <a:blip r:embed="rId12"/>
                    <a:stretch>
                      <a:fillRect/>
                    </a:stretch>
                  </pic:blipFill>
                  <pic:spPr>
                    <a:xfrm>
                      <a:off x="0" y="0"/>
                      <a:ext cx="1022985" cy="662940"/>
                    </a:xfrm>
                    <a:prstGeom prst="rect">
                      <a:avLst/>
                    </a:prstGeom>
                  </pic:spPr>
                </pic:pic>
              </a:graphicData>
            </a:graphic>
          </wp:anchor>
        </w:drawing>
      </w:r>
    </w:p>
    <w:p>
      <w:pPr>
        <w:spacing w:line="720" w:lineRule="exact"/>
        <w:jc w:val="center"/>
        <w:rPr>
          <w:rFonts w:hint="eastAsia"/>
          <w:b/>
          <w:bCs/>
          <w:sz w:val="48"/>
          <w:szCs w:val="48"/>
          <w:lang w:eastAsia="zh-CN"/>
        </w:rPr>
      </w:pPr>
    </w:p>
    <w:p>
      <w:pPr>
        <w:spacing w:line="720" w:lineRule="exact"/>
        <w:jc w:val="center"/>
        <w:rPr>
          <w:rFonts w:hint="eastAsia"/>
          <w:b/>
          <w:bCs/>
          <w:sz w:val="72"/>
          <w:szCs w:val="72"/>
          <w:lang w:eastAsia="zh-CN"/>
        </w:rPr>
      </w:pPr>
    </w:p>
    <w:p>
      <w:pPr>
        <w:spacing w:line="720" w:lineRule="exact"/>
        <w:jc w:val="center"/>
        <w:rPr>
          <w:rFonts w:ascii="宋体" w:hAnsi="宋体"/>
          <w:sz w:val="44"/>
          <w:szCs w:val="44"/>
          <w:highlight w:val="none"/>
        </w:rPr>
      </w:pPr>
      <w:r>
        <w:rPr>
          <w:rFonts w:hint="eastAsia"/>
          <w:b/>
          <w:bCs/>
          <w:sz w:val="56"/>
          <w:szCs w:val="56"/>
          <w:lang w:eastAsia="zh-CN"/>
        </w:rPr>
        <w:t>长春市双阳区第一实验小学厨房设备采购项目</w:t>
      </w:r>
      <w:r>
        <w:rPr>
          <w:rFonts w:hint="eastAsia"/>
          <w:b/>
          <w:bCs/>
          <w:sz w:val="48"/>
          <w:szCs w:val="48"/>
          <w:lang w:eastAsia="zh-CN"/>
        </w:rPr>
        <w:br w:type="textWrapping"/>
      </w:r>
    </w:p>
    <w:p>
      <w:pPr>
        <w:pStyle w:val="54"/>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48"/>
          <w:szCs w:val="48"/>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highlight w:val="cyan"/>
          <w:lang w:val="en-US" w:eastAsia="zh-CN"/>
        </w:rPr>
      </w:pPr>
      <w:r>
        <w:rPr>
          <w:rFonts w:hint="eastAsia" w:ascii="宋体" w:hAnsi="宋体"/>
          <w:b/>
          <w:sz w:val="84"/>
          <w:szCs w:val="84"/>
          <w:highlight w:val="none"/>
        </w:rPr>
        <w:t>竞争性谈判文件</w:t>
      </w:r>
      <w:r>
        <w:rPr>
          <w:rFonts w:hint="eastAsia" w:ascii="宋体" w:hAnsi="宋体"/>
          <w:b/>
          <w:sz w:val="84"/>
          <w:szCs w:val="84"/>
          <w:highlight w:val="none"/>
        </w:rPr>
        <w:cr/>
      </w:r>
      <w:r>
        <w:rPr>
          <w:rFonts w:hint="eastAsia" w:ascii="宋体" w:hAnsi="宋体" w:cs="宋体"/>
          <w:b/>
          <w:bCs/>
          <w:sz w:val="28"/>
          <w:szCs w:val="28"/>
          <w:highlight w:val="none"/>
          <w:lang w:eastAsia="zh-CN"/>
        </w:rPr>
        <w:t>采购</w:t>
      </w:r>
      <w:r>
        <w:rPr>
          <w:rFonts w:hint="eastAsia" w:ascii="宋体" w:hAnsi="宋体" w:cs="宋体"/>
          <w:b/>
          <w:bCs/>
          <w:sz w:val="28"/>
          <w:szCs w:val="28"/>
          <w:highlight w:val="none"/>
        </w:rPr>
        <w:t>编号：</w:t>
      </w:r>
      <w:r>
        <w:rPr>
          <w:rFonts w:hint="eastAsia" w:ascii="宋体" w:hAnsi="宋体" w:cs="宋体"/>
          <w:b/>
          <w:bCs/>
          <w:sz w:val="28"/>
          <w:szCs w:val="28"/>
          <w:highlight w:val="none"/>
          <w:lang w:val="en-US" w:eastAsia="zh-CN"/>
        </w:rPr>
        <w:t>采购计划-[2025]-00079号-JLHXZB2025009</w:t>
      </w:r>
    </w:p>
    <w:p>
      <w:pPr>
        <w:jc w:val="center"/>
        <w:rPr>
          <w:rFonts w:ascii="宋体" w:hAnsi="宋体" w:cs="宋体"/>
          <w:b/>
          <w:bCs/>
          <w:sz w:val="32"/>
          <w:szCs w:val="32"/>
          <w:highlight w:val="none"/>
        </w:rPr>
      </w:pPr>
    </w:p>
    <w:p>
      <w:pPr>
        <w:spacing w:line="1000" w:lineRule="exact"/>
        <w:jc w:val="center"/>
        <w:rPr>
          <w:rFonts w:hint="eastAsia" w:ascii="宋体" w:hAnsi="宋体"/>
          <w:b/>
          <w:sz w:val="84"/>
          <w:szCs w:val="84"/>
          <w:highlight w:val="none"/>
        </w:rPr>
      </w:pPr>
      <w:r>
        <w:rPr>
          <w:rFonts w:hint="eastAsia" w:ascii="宋体" w:hAnsi="宋体"/>
          <w:b/>
          <w:sz w:val="84"/>
          <w:szCs w:val="84"/>
          <w:highlight w:val="none"/>
        </w:rPr>
        <w:cr/>
      </w:r>
    </w:p>
    <w:p>
      <w:pPr>
        <w:snapToGrid w:val="0"/>
        <w:spacing w:line="720" w:lineRule="auto"/>
        <w:ind w:firstLine="904" w:firstLineChars="300"/>
        <w:jc w:val="left"/>
        <w:rPr>
          <w:rFonts w:hint="eastAsia" w:ascii="宋体" w:hAnsi="宋体" w:cs="宋体"/>
          <w:b/>
          <w:bCs/>
          <w:sz w:val="30"/>
          <w:szCs w:val="30"/>
          <w:highlight w:val="none"/>
          <w:u w:val="single"/>
        </w:rPr>
      </w:pPr>
      <w:r>
        <w:rPr>
          <w:rFonts w:hint="eastAsia" w:ascii="宋体" w:hAnsi="宋体" w:cs="宋体"/>
          <w:b/>
          <w:bCs/>
          <w:sz w:val="30"/>
          <w:szCs w:val="30"/>
          <w:highlight w:val="none"/>
          <w:lang w:eastAsia="zh-CN"/>
        </w:rPr>
        <w:t>采</w:t>
      </w:r>
      <w:r>
        <w:rPr>
          <w:rFonts w:hint="eastAsia" w:ascii="宋体" w:hAnsi="宋体" w:cs="宋体"/>
          <w:b/>
          <w:bCs/>
          <w:sz w:val="30"/>
          <w:szCs w:val="30"/>
          <w:highlight w:val="none"/>
          <w:lang w:val="en-US" w:eastAsia="zh-CN"/>
        </w:rPr>
        <w:t xml:space="preserve">   </w:t>
      </w:r>
      <w:r>
        <w:rPr>
          <w:rFonts w:hint="eastAsia" w:ascii="宋体" w:hAnsi="宋体" w:cs="宋体"/>
          <w:b/>
          <w:bCs/>
          <w:sz w:val="30"/>
          <w:szCs w:val="30"/>
          <w:highlight w:val="none"/>
          <w:lang w:eastAsia="zh-CN"/>
        </w:rPr>
        <w:t>购</w:t>
      </w:r>
      <w:r>
        <w:rPr>
          <w:rFonts w:hint="eastAsia" w:ascii="宋体" w:hAnsi="宋体" w:cs="宋体"/>
          <w:b/>
          <w:bCs/>
          <w:sz w:val="30"/>
          <w:szCs w:val="30"/>
          <w:highlight w:val="none"/>
        </w:rPr>
        <w:t xml:space="preserve">  </w:t>
      </w:r>
      <w:r>
        <w:rPr>
          <w:rFonts w:hint="eastAsia" w:ascii="宋体" w:hAnsi="宋体" w:cs="宋体"/>
          <w:b/>
          <w:bCs/>
          <w:sz w:val="30"/>
          <w:szCs w:val="30"/>
          <w:highlight w:val="none"/>
          <w:lang w:val="en-US" w:eastAsia="zh-CN"/>
        </w:rPr>
        <w:t xml:space="preserve"> </w:t>
      </w:r>
      <w:r>
        <w:rPr>
          <w:rFonts w:hint="eastAsia" w:ascii="宋体" w:hAnsi="宋体" w:cs="宋体"/>
          <w:b/>
          <w:bCs/>
          <w:sz w:val="30"/>
          <w:szCs w:val="30"/>
          <w:highlight w:val="none"/>
        </w:rPr>
        <w:t>人：</w:t>
      </w:r>
      <w:r>
        <w:rPr>
          <w:rFonts w:hint="eastAsia" w:ascii="宋体" w:hAnsi="宋体" w:cs="宋体"/>
          <w:b/>
          <w:bCs/>
          <w:sz w:val="30"/>
          <w:szCs w:val="30"/>
          <w:u w:val="single"/>
          <w:lang w:eastAsia="zh-CN"/>
        </w:rPr>
        <w:t>长春市双阳区第一实验小学</w:t>
      </w:r>
      <w:r>
        <w:rPr>
          <w:rFonts w:hint="eastAsia" w:ascii="宋体" w:hAnsi="宋体" w:cs="宋体"/>
          <w:b/>
          <w:bCs/>
          <w:sz w:val="30"/>
          <w:szCs w:val="30"/>
          <w:highlight w:val="none"/>
          <w:lang w:val="zh-CN"/>
        </w:rPr>
        <w:t>（盖章）</w:t>
      </w:r>
    </w:p>
    <w:p>
      <w:pPr>
        <w:snapToGrid w:val="0"/>
        <w:spacing w:line="720" w:lineRule="auto"/>
        <w:ind w:left="0" w:leftChars="0" w:firstLine="904" w:firstLineChars="300"/>
        <w:jc w:val="left"/>
        <w:rPr>
          <w:rFonts w:hint="eastAsia" w:ascii="宋体" w:hAnsi="宋体" w:cs="宋体"/>
          <w:b/>
          <w:bCs/>
          <w:sz w:val="30"/>
          <w:szCs w:val="30"/>
          <w:highlight w:val="none"/>
          <w:u w:val="single"/>
        </w:rPr>
      </w:pPr>
      <w:r>
        <w:rPr>
          <w:rFonts w:hint="eastAsia" w:ascii="宋体" w:hAnsi="宋体" w:cs="宋体"/>
          <w:b/>
          <w:bCs/>
          <w:sz w:val="30"/>
          <w:szCs w:val="30"/>
          <w:highlight w:val="none"/>
          <w:lang w:eastAsia="zh-CN"/>
        </w:rPr>
        <w:t>采购</w:t>
      </w:r>
      <w:r>
        <w:rPr>
          <w:rFonts w:hint="eastAsia" w:ascii="宋体" w:hAnsi="宋体" w:cs="宋体"/>
          <w:b/>
          <w:bCs/>
          <w:sz w:val="30"/>
          <w:szCs w:val="30"/>
          <w:highlight w:val="none"/>
        </w:rPr>
        <w:t>代理机构：</w:t>
      </w:r>
      <w:r>
        <w:rPr>
          <w:rFonts w:hint="eastAsia" w:ascii="宋体" w:hAnsi="宋体" w:cs="宋体"/>
          <w:b/>
          <w:bCs/>
          <w:sz w:val="30"/>
          <w:szCs w:val="30"/>
          <w:u w:val="single"/>
          <w:lang w:eastAsia="zh-CN"/>
        </w:rPr>
        <w:t>吉林省恒信工程管理有限公司</w:t>
      </w:r>
      <w:r>
        <w:rPr>
          <w:rFonts w:hint="eastAsia" w:ascii="宋体" w:hAnsi="宋体" w:cs="宋体"/>
          <w:b/>
          <w:bCs/>
          <w:sz w:val="30"/>
          <w:szCs w:val="30"/>
          <w:highlight w:val="none"/>
        </w:rPr>
        <w:t>（盖章）</w:t>
      </w:r>
    </w:p>
    <w:p>
      <w:pPr>
        <w:spacing w:line="720" w:lineRule="auto"/>
        <w:ind w:firstLine="904" w:firstLineChars="300"/>
        <w:jc w:val="left"/>
        <w:rPr>
          <w:rFonts w:hint="eastAsia" w:ascii="宋体" w:hAnsi="宋体" w:cs="宋体"/>
          <w:b/>
          <w:sz w:val="30"/>
          <w:szCs w:val="30"/>
          <w:highlight w:val="none"/>
        </w:rPr>
      </w:pPr>
      <w:r>
        <w:rPr>
          <w:rFonts w:hint="eastAsia" w:ascii="宋体" w:hAnsi="宋体" w:cs="宋体"/>
          <w:b/>
          <w:sz w:val="30"/>
          <w:szCs w:val="30"/>
          <w:highlight w:val="none"/>
        </w:rPr>
        <w:t>日        期： 二〇二</w:t>
      </w:r>
      <w:r>
        <w:rPr>
          <w:rFonts w:hint="eastAsia" w:ascii="宋体" w:hAnsi="宋体" w:cs="宋体"/>
          <w:b/>
          <w:sz w:val="30"/>
          <w:szCs w:val="30"/>
          <w:highlight w:val="none"/>
          <w:lang w:eastAsia="zh-CN"/>
        </w:rPr>
        <w:t>五</w:t>
      </w:r>
      <w:r>
        <w:rPr>
          <w:rFonts w:hint="eastAsia" w:ascii="宋体" w:hAnsi="宋体" w:cs="宋体"/>
          <w:b/>
          <w:sz w:val="30"/>
          <w:szCs w:val="30"/>
          <w:highlight w:val="none"/>
        </w:rPr>
        <w:t>年</w:t>
      </w:r>
      <w:r>
        <w:rPr>
          <w:rFonts w:hint="eastAsia" w:ascii="宋体" w:hAnsi="宋体" w:cs="宋体"/>
          <w:b/>
          <w:sz w:val="30"/>
          <w:szCs w:val="30"/>
          <w:highlight w:val="none"/>
          <w:lang w:val="en-US" w:eastAsia="zh-CN"/>
        </w:rPr>
        <w:t>七</w:t>
      </w:r>
      <w:r>
        <w:rPr>
          <w:rFonts w:hint="eastAsia" w:ascii="宋体" w:hAnsi="宋体" w:cs="宋体"/>
          <w:b/>
          <w:sz w:val="30"/>
          <w:szCs w:val="30"/>
          <w:highlight w:val="none"/>
        </w:rPr>
        <w:t>月</w:t>
      </w:r>
    </w:p>
    <w:p>
      <w:pPr>
        <w:pStyle w:val="12"/>
        <w:rPr>
          <w:rFonts w:hint="eastAsia" w:ascii="宋体" w:hAnsi="宋体" w:cs="宋体"/>
          <w:b/>
          <w:sz w:val="30"/>
          <w:szCs w:val="30"/>
          <w:highlight w:val="none"/>
        </w:rPr>
      </w:pPr>
    </w:p>
    <w:p>
      <w:pPr>
        <w:pStyle w:val="11"/>
        <w:rPr>
          <w:rFonts w:hint="eastAsia"/>
        </w:rPr>
      </w:pPr>
    </w:p>
    <w:p>
      <w:pPr>
        <w:jc w:val="center"/>
        <w:rPr>
          <w:rFonts w:hint="eastAsia"/>
          <w:b/>
          <w:bCs/>
          <w:sz w:val="36"/>
          <w:szCs w:val="36"/>
          <w:highlight w:val="none"/>
        </w:rPr>
        <w:sectPr>
          <w:headerReference r:id="rId3" w:type="default"/>
          <w:footerReference r:id="rId4"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pPr>
        <w:jc w:val="center"/>
        <w:rPr>
          <w:rFonts w:hint="eastAsia"/>
          <w:b/>
          <w:bCs/>
          <w:sz w:val="36"/>
          <w:szCs w:val="36"/>
          <w:highlight w:val="none"/>
        </w:rPr>
      </w:pPr>
      <w:r>
        <w:rPr>
          <w:rFonts w:hint="eastAsia"/>
          <w:b/>
          <w:bCs/>
          <w:sz w:val="36"/>
          <w:szCs w:val="36"/>
          <w:highlight w:val="none"/>
        </w:rPr>
        <w:t>目   录</w:t>
      </w:r>
    </w:p>
    <w:p>
      <w:pPr>
        <w:rPr>
          <w:rFonts w:hint="eastAsia"/>
          <w:sz w:val="36"/>
          <w:szCs w:val="36"/>
          <w:highlight w:val="none"/>
        </w:rPr>
      </w:pPr>
    </w:p>
    <w:p>
      <w:pPr>
        <w:pStyle w:val="25"/>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第一章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竞争性谈判公告</w:t>
      </w:r>
      <w:r>
        <w:rPr>
          <w:b w:val="0"/>
          <w:bCs w:val="0"/>
          <w:sz w:val="28"/>
          <w:szCs w:val="28"/>
          <w:highlight w:val="none"/>
          <w:lang w:val="en-US" w:eastAsia="zh-CN"/>
        </w:rPr>
        <w:tab/>
      </w:r>
      <w:r>
        <w:rPr>
          <w:b w:val="0"/>
          <w:bCs w:val="0"/>
          <w:sz w:val="28"/>
          <w:szCs w:val="28"/>
          <w:highlight w:val="none"/>
          <w:lang w:val="en-US" w:eastAsia="zh-CN"/>
        </w:rPr>
        <w:t>3</w:t>
      </w:r>
    </w:p>
    <w:p>
      <w:pPr>
        <w:pStyle w:val="25"/>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第二章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供应商须知</w:t>
      </w:r>
      <w:r>
        <w:rPr>
          <w:b w:val="0"/>
          <w:bCs w:val="0"/>
          <w:sz w:val="28"/>
          <w:szCs w:val="28"/>
          <w:highlight w:val="none"/>
          <w:lang w:val="en-US" w:eastAsia="zh-CN"/>
        </w:rPr>
        <w:tab/>
      </w:r>
      <w:r>
        <w:rPr>
          <w:rFonts w:hint="eastAsia"/>
          <w:b w:val="0"/>
          <w:bCs w:val="0"/>
          <w:sz w:val="28"/>
          <w:szCs w:val="28"/>
          <w:highlight w:val="none"/>
          <w:lang w:val="en-US" w:eastAsia="zh-CN"/>
        </w:rPr>
        <w:t>6</w:t>
      </w:r>
    </w:p>
    <w:p>
      <w:pPr>
        <w:pStyle w:val="25"/>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第三章</w:t>
      </w:r>
      <w:r>
        <w:rPr>
          <w:b w:val="0"/>
          <w:bCs w:val="0"/>
          <w:color w:val="auto"/>
          <w:sz w:val="28"/>
          <w:szCs w:val="28"/>
          <w:highlight w:val="none"/>
          <w:lang w:val="en-US" w:eastAsia="zh-CN"/>
        </w:rPr>
        <w:t xml:space="preserve">  </w:t>
      </w:r>
      <w:r>
        <w:rPr>
          <w:rFonts w:hint="eastAsia"/>
          <w:b w:val="0"/>
          <w:bCs w:val="0"/>
          <w:color w:val="auto"/>
          <w:sz w:val="28"/>
          <w:szCs w:val="28"/>
          <w:highlight w:val="none"/>
        </w:rPr>
        <w:t>项目</w:t>
      </w:r>
      <w:r>
        <w:rPr>
          <w:rFonts w:hint="eastAsia"/>
          <w:b w:val="0"/>
          <w:bCs w:val="0"/>
          <w:color w:val="auto"/>
          <w:sz w:val="28"/>
          <w:szCs w:val="28"/>
          <w:highlight w:val="none"/>
          <w:lang w:val="en-US" w:eastAsia="zh-CN"/>
        </w:rPr>
        <w:t>采购需求</w:t>
      </w:r>
      <w:r>
        <w:rPr>
          <w:b w:val="0"/>
          <w:bCs w:val="0"/>
          <w:sz w:val="28"/>
          <w:szCs w:val="28"/>
          <w:highlight w:val="none"/>
          <w:lang w:val="en-US" w:eastAsia="zh-CN"/>
        </w:rPr>
        <w:tab/>
      </w:r>
      <w:r>
        <w:rPr>
          <w:rFonts w:hint="eastAsia"/>
          <w:b w:val="0"/>
          <w:bCs w:val="0"/>
          <w:sz w:val="28"/>
          <w:szCs w:val="28"/>
          <w:highlight w:val="none"/>
          <w:lang w:val="en-US" w:eastAsia="zh-CN"/>
        </w:rPr>
        <w:t>19</w:t>
      </w:r>
    </w:p>
    <w:p>
      <w:pPr>
        <w:pStyle w:val="25"/>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第四章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评审方法</w:t>
      </w:r>
      <w:r>
        <w:rPr>
          <w:b w:val="0"/>
          <w:bCs w:val="0"/>
          <w:sz w:val="28"/>
          <w:szCs w:val="28"/>
          <w:highlight w:val="none"/>
          <w:lang w:val="en-US" w:eastAsia="zh-CN"/>
        </w:rPr>
        <w:tab/>
      </w:r>
      <w:r>
        <w:rPr>
          <w:rFonts w:hint="eastAsia"/>
          <w:b w:val="0"/>
          <w:bCs w:val="0"/>
          <w:sz w:val="28"/>
          <w:szCs w:val="28"/>
          <w:highlight w:val="none"/>
          <w:lang w:val="en-US" w:eastAsia="zh-CN"/>
        </w:rPr>
        <w:t>21</w:t>
      </w:r>
    </w:p>
    <w:p>
      <w:pPr>
        <w:pStyle w:val="25"/>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第五章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合同主要条款及格式</w:t>
      </w:r>
      <w:r>
        <w:rPr>
          <w:b w:val="0"/>
          <w:bCs w:val="0"/>
          <w:sz w:val="28"/>
          <w:szCs w:val="28"/>
          <w:highlight w:val="none"/>
          <w:lang w:val="en-US" w:eastAsia="zh-CN"/>
        </w:rPr>
        <w:tab/>
      </w:r>
      <w:r>
        <w:rPr>
          <w:rFonts w:hint="eastAsia"/>
          <w:b w:val="0"/>
          <w:bCs w:val="0"/>
          <w:sz w:val="28"/>
          <w:szCs w:val="28"/>
          <w:highlight w:val="none"/>
          <w:lang w:val="en-US" w:eastAsia="zh-CN"/>
        </w:rPr>
        <w:t>24</w:t>
      </w:r>
    </w:p>
    <w:p>
      <w:pPr>
        <w:pStyle w:val="25"/>
        <w:tabs>
          <w:tab w:val="right" w:leader="dot" w:pos="9770"/>
        </w:tabs>
        <w:spacing w:line="480" w:lineRule="auto"/>
        <w:rPr>
          <w:rFonts w:cs="Times New Roman"/>
          <w:b w:val="0"/>
          <w:bCs w:val="0"/>
          <w:caps w:val="0"/>
          <w:sz w:val="30"/>
          <w:szCs w:val="30"/>
          <w:highlight w:val="none"/>
          <w:lang w:val="en-US" w:eastAsia="zh-CN"/>
        </w:rPr>
      </w:pPr>
      <w:r>
        <w:rPr>
          <w:rFonts w:hint="eastAsia"/>
          <w:b w:val="0"/>
          <w:bCs w:val="0"/>
          <w:color w:val="auto"/>
          <w:sz w:val="28"/>
          <w:szCs w:val="28"/>
          <w:highlight w:val="none"/>
          <w:lang w:val="en-US" w:eastAsia="zh-CN"/>
        </w:rPr>
        <w:t>第六章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响应文件格式</w:t>
      </w:r>
      <w:r>
        <w:rPr>
          <w:b w:val="0"/>
          <w:bCs w:val="0"/>
          <w:sz w:val="28"/>
          <w:szCs w:val="28"/>
          <w:highlight w:val="none"/>
          <w:lang w:val="en-US" w:eastAsia="zh-CN"/>
        </w:rPr>
        <w:tab/>
      </w:r>
      <w:r>
        <w:rPr>
          <w:rFonts w:hint="eastAsia"/>
          <w:b w:val="0"/>
          <w:bCs w:val="0"/>
          <w:sz w:val="28"/>
          <w:szCs w:val="28"/>
          <w:highlight w:val="none"/>
          <w:lang w:val="en-US" w:eastAsia="zh-CN"/>
        </w:rPr>
        <w:t>31</w:t>
      </w:r>
    </w:p>
    <w:p>
      <w:pPr>
        <w:jc w:val="center"/>
        <w:rPr>
          <w:rFonts w:hint="eastAsia"/>
          <w:b/>
          <w:sz w:val="32"/>
          <w:szCs w:val="32"/>
          <w:highlight w:val="none"/>
        </w:rPr>
      </w:pPr>
      <w:bookmarkStart w:id="0" w:name="_Toc432277437"/>
      <w:bookmarkStart w:id="1" w:name="_Toc455565641"/>
      <w:bookmarkStart w:id="2" w:name="_Toc432264365"/>
    </w:p>
    <w:p>
      <w:pPr>
        <w:pStyle w:val="12"/>
        <w:rPr>
          <w:rFonts w:hint="eastAsia"/>
          <w:b/>
          <w:sz w:val="32"/>
          <w:szCs w:val="32"/>
          <w:highlight w:val="none"/>
        </w:rPr>
      </w:pPr>
    </w:p>
    <w:p>
      <w:pPr>
        <w:pStyle w:val="11"/>
        <w:rPr>
          <w:rFonts w:hint="eastAsia"/>
          <w:b/>
          <w:sz w:val="32"/>
          <w:szCs w:val="32"/>
          <w:highlight w:val="none"/>
        </w:rPr>
      </w:pPr>
    </w:p>
    <w:p>
      <w:pPr>
        <w:pStyle w:val="11"/>
        <w:rPr>
          <w:rFonts w:hint="eastAsia"/>
          <w:b/>
          <w:sz w:val="32"/>
          <w:szCs w:val="32"/>
          <w:highlight w:val="none"/>
        </w:rPr>
      </w:pPr>
    </w:p>
    <w:p>
      <w:pPr>
        <w:pStyle w:val="11"/>
        <w:rPr>
          <w:rFonts w:hint="eastAsia"/>
          <w:b/>
          <w:sz w:val="32"/>
          <w:szCs w:val="32"/>
          <w:highlight w:val="none"/>
        </w:rPr>
      </w:pPr>
    </w:p>
    <w:p>
      <w:pPr>
        <w:pStyle w:val="11"/>
        <w:rPr>
          <w:rFonts w:hint="eastAsia"/>
          <w:b/>
          <w:sz w:val="32"/>
          <w:szCs w:val="32"/>
          <w:highlight w:val="none"/>
        </w:rPr>
      </w:pPr>
    </w:p>
    <w:p>
      <w:pPr>
        <w:pStyle w:val="11"/>
        <w:rPr>
          <w:rFonts w:hint="eastAsia"/>
          <w:b/>
          <w:sz w:val="32"/>
          <w:szCs w:val="32"/>
          <w:highlight w:val="none"/>
        </w:rPr>
      </w:pPr>
    </w:p>
    <w:p>
      <w:pPr>
        <w:pStyle w:val="11"/>
        <w:rPr>
          <w:rFonts w:hint="eastAsia"/>
          <w:b/>
          <w:sz w:val="32"/>
          <w:szCs w:val="32"/>
          <w:highlight w:val="none"/>
        </w:rPr>
      </w:pPr>
    </w:p>
    <w:p>
      <w:pPr>
        <w:pStyle w:val="11"/>
        <w:rPr>
          <w:rFonts w:hint="eastAsia"/>
          <w:b/>
          <w:sz w:val="32"/>
          <w:szCs w:val="32"/>
          <w:highlight w:val="none"/>
        </w:rPr>
      </w:pPr>
    </w:p>
    <w:p>
      <w:pPr>
        <w:pStyle w:val="11"/>
        <w:rPr>
          <w:rFonts w:hint="eastAsia"/>
          <w:b/>
          <w:sz w:val="32"/>
          <w:szCs w:val="32"/>
          <w:highlight w:val="none"/>
        </w:rPr>
      </w:pPr>
    </w:p>
    <w:p>
      <w:pPr>
        <w:pStyle w:val="11"/>
        <w:rPr>
          <w:rFonts w:hint="eastAsia"/>
          <w:b/>
          <w:sz w:val="32"/>
          <w:szCs w:val="32"/>
          <w:highlight w:val="none"/>
        </w:rPr>
      </w:pPr>
    </w:p>
    <w:p>
      <w:pPr>
        <w:pStyle w:val="11"/>
        <w:rPr>
          <w:rFonts w:hint="eastAsia" w:eastAsia="宋体"/>
          <w:b/>
          <w:sz w:val="32"/>
          <w:szCs w:val="32"/>
          <w:highlight w:val="none"/>
          <w:lang w:val="en-US" w:eastAsia="zh-CN"/>
        </w:rPr>
      </w:pPr>
      <w:r>
        <w:rPr>
          <w:rFonts w:hint="eastAsia"/>
          <w:b/>
          <w:sz w:val="32"/>
          <w:szCs w:val="32"/>
          <w:highlight w:val="none"/>
          <w:lang w:val="en-US" w:eastAsia="zh-CN"/>
        </w:rPr>
        <w:t xml:space="preserve"> </w:t>
      </w:r>
    </w:p>
    <w:p>
      <w:pPr>
        <w:pStyle w:val="11"/>
        <w:rPr>
          <w:rFonts w:hint="eastAsia"/>
          <w:b/>
          <w:sz w:val="32"/>
          <w:szCs w:val="32"/>
          <w:highlight w:val="none"/>
        </w:rPr>
      </w:pPr>
    </w:p>
    <w:p>
      <w:pPr>
        <w:pStyle w:val="11"/>
        <w:rPr>
          <w:rFonts w:hint="eastAsia"/>
          <w:b/>
          <w:sz w:val="32"/>
          <w:szCs w:val="32"/>
          <w:highlight w:val="none"/>
        </w:rPr>
      </w:pPr>
    </w:p>
    <w:p>
      <w:pPr>
        <w:pStyle w:val="11"/>
        <w:rPr>
          <w:rFonts w:hint="eastAsia"/>
          <w:b/>
          <w:sz w:val="32"/>
          <w:szCs w:val="32"/>
          <w:highlight w:val="none"/>
        </w:rPr>
      </w:pPr>
    </w:p>
    <w:p>
      <w:pPr>
        <w:pStyle w:val="11"/>
        <w:rPr>
          <w:rFonts w:hint="eastAsia"/>
          <w:b/>
          <w:sz w:val="32"/>
          <w:szCs w:val="32"/>
          <w:highlight w:val="none"/>
        </w:rPr>
      </w:pPr>
    </w:p>
    <w:p>
      <w:pPr>
        <w:jc w:val="center"/>
        <w:rPr>
          <w:rFonts w:hint="eastAsia"/>
          <w:b/>
          <w:sz w:val="32"/>
          <w:szCs w:val="32"/>
          <w:highlight w:val="none"/>
        </w:rPr>
        <w:sectPr>
          <w:footerReference r:id="rId5"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pPr>
        <w:spacing w:line="360" w:lineRule="auto"/>
        <w:jc w:val="center"/>
        <w:rPr>
          <w:rFonts w:hint="eastAsia"/>
          <w:b/>
          <w:sz w:val="28"/>
          <w:szCs w:val="28"/>
          <w:highlight w:val="none"/>
        </w:rPr>
      </w:pPr>
      <w:r>
        <w:rPr>
          <w:rFonts w:hint="eastAsia"/>
          <w:b/>
          <w:sz w:val="32"/>
          <w:szCs w:val="32"/>
          <w:highlight w:val="none"/>
          <w:lang w:val="en-US" w:eastAsia="zh-CN"/>
        </w:rPr>
        <w:t xml:space="preserve"> </w:t>
      </w:r>
      <w:r>
        <w:rPr>
          <w:rFonts w:hint="eastAsia"/>
          <w:b/>
          <w:sz w:val="32"/>
          <w:szCs w:val="32"/>
          <w:highlight w:val="none"/>
        </w:rPr>
        <w:t>第一章  竞争性谈判</w:t>
      </w:r>
      <w:bookmarkEnd w:id="0"/>
      <w:bookmarkEnd w:id="1"/>
      <w:bookmarkEnd w:id="2"/>
      <w:r>
        <w:rPr>
          <w:rFonts w:hint="eastAsia"/>
          <w:b/>
          <w:sz w:val="32"/>
          <w:szCs w:val="32"/>
          <w:highlight w:val="none"/>
        </w:rPr>
        <w:t>公告</w:t>
      </w:r>
    </w:p>
    <w:p>
      <w:pPr>
        <w:pageBreakBefore w:val="0"/>
        <w:widowControl/>
        <w:kinsoku/>
        <w:wordWrap/>
        <w:overflowPunct/>
        <w:topLinePunct w:val="0"/>
        <w:autoSpaceDE/>
        <w:autoSpaceDN/>
        <w:bidi w:val="0"/>
        <w:snapToGrid/>
        <w:spacing w:line="360" w:lineRule="auto"/>
        <w:ind w:firstLine="465"/>
        <w:jc w:val="center"/>
        <w:textAlignment w:val="auto"/>
        <w:rPr>
          <w:rFonts w:hint="default" w:ascii="Times New Roman" w:hAnsi="Times New Roman" w:cs="Times New Roman"/>
          <w:b w:val="0"/>
          <w:bCs/>
          <w:snapToGrid w:val="0"/>
          <w:szCs w:val="21"/>
          <w:highlight w:val="none"/>
          <w:lang w:val="en-US" w:eastAsia="zh-CN"/>
        </w:rPr>
      </w:pPr>
      <w:r>
        <w:rPr>
          <w:rFonts w:hint="eastAsia" w:ascii="Times New Roman" w:hAnsi="Times New Roman" w:cs="Times New Roman"/>
          <w:b w:val="0"/>
          <w:bCs/>
          <w:snapToGrid w:val="0"/>
          <w:szCs w:val="21"/>
          <w:highlight w:val="none"/>
        </w:rPr>
        <w:t>项目编号：</w:t>
      </w:r>
      <w:r>
        <w:rPr>
          <w:rFonts w:hint="eastAsia" w:cs="Times New Roman"/>
          <w:b w:val="0"/>
          <w:bCs/>
          <w:snapToGrid w:val="0"/>
          <w:szCs w:val="21"/>
          <w:highlight w:val="none"/>
          <w:lang w:val="en-US" w:eastAsia="zh-CN"/>
        </w:rPr>
        <w:t>采购计划-[2025]-00079号-JLHXZB2025009</w:t>
      </w:r>
    </w:p>
    <w:p>
      <w:pPr>
        <w:pageBreakBefore w:val="0"/>
        <w:widowControl/>
        <w:kinsoku/>
        <w:wordWrap/>
        <w:overflowPunct/>
        <w:topLinePunct w:val="0"/>
        <w:autoSpaceDE/>
        <w:autoSpaceDN/>
        <w:bidi w:val="0"/>
        <w:snapToGrid/>
        <w:spacing w:line="360" w:lineRule="auto"/>
        <w:ind w:firstLine="465"/>
        <w:textAlignment w:val="auto"/>
        <w:rPr>
          <w:rFonts w:hint="eastAsia"/>
          <w:b/>
          <w:snapToGrid w:val="0"/>
          <w:szCs w:val="21"/>
          <w:highlight w:val="none"/>
        </w:rPr>
      </w:pPr>
      <w:r>
        <w:rPr>
          <w:rFonts w:hint="eastAsia"/>
          <w:b/>
          <w:snapToGrid w:val="0"/>
          <w:szCs w:val="21"/>
          <w:highlight w:val="none"/>
        </w:rPr>
        <w:t>项目概况</w:t>
      </w:r>
    </w:p>
    <w:p>
      <w:pPr>
        <w:pStyle w:val="3"/>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ascii="宋体" w:hAnsi="宋体" w:cs="黑体"/>
          <w:b w:val="0"/>
          <w:kern w:val="0"/>
          <w:sz w:val="21"/>
          <w:szCs w:val="21"/>
          <w:highlight w:val="none"/>
          <w:lang w:val="en-US" w:eastAsia="zh-CN"/>
        </w:rPr>
      </w:pPr>
      <w:r>
        <w:rPr>
          <w:rFonts w:hint="eastAsia" w:ascii="宋体" w:hAnsi="宋体" w:cs="黑体"/>
          <w:b w:val="0"/>
          <w:kern w:val="0"/>
          <w:sz w:val="21"/>
          <w:szCs w:val="21"/>
          <w:highlight w:val="none"/>
          <w:lang w:val="en-US" w:eastAsia="zh-CN"/>
        </w:rPr>
        <w:t>长春市双阳区第一实验小学厨房设备采购项目</w:t>
      </w:r>
      <w:r>
        <w:rPr>
          <w:rFonts w:ascii="宋体" w:hAnsi="宋体" w:cs="黑体"/>
          <w:b w:val="0"/>
          <w:kern w:val="0"/>
          <w:sz w:val="21"/>
          <w:szCs w:val="21"/>
          <w:highlight w:val="none"/>
          <w:lang w:val="en-US" w:eastAsia="zh-CN"/>
        </w:rPr>
        <w:t>的潜在供应商应在</w:t>
      </w:r>
      <w:r>
        <w:rPr>
          <w:rFonts w:hint="eastAsia" w:ascii="宋体" w:hAnsi="宋体" w:cs="黑体"/>
          <w:b w:val="0"/>
          <w:kern w:val="0"/>
          <w:sz w:val="21"/>
          <w:szCs w:val="21"/>
          <w:highlight w:val="none"/>
          <w:lang w:val="en-US" w:eastAsia="zh-CN"/>
        </w:rPr>
        <w:t>“政采云”平台（https://www.zcygov.cn/）获取（下载）竞争性谈判文件，并于</w:t>
      </w:r>
      <w:r>
        <w:rPr>
          <w:rFonts w:hint="eastAsia" w:ascii="宋体" w:hAnsi="宋体" w:cs="黑体"/>
          <w:b w:val="0"/>
          <w:color w:val="000000"/>
          <w:kern w:val="0"/>
          <w:sz w:val="21"/>
          <w:szCs w:val="21"/>
          <w:highlight w:val="none"/>
          <w:lang w:val="en-US" w:eastAsia="zh-CN"/>
        </w:rPr>
        <w:t>2025年07月25日17点30分</w:t>
      </w:r>
      <w:r>
        <w:rPr>
          <w:rFonts w:hint="eastAsia" w:ascii="宋体" w:hAnsi="宋体" w:cs="黑体"/>
          <w:b w:val="0"/>
          <w:kern w:val="0"/>
          <w:sz w:val="21"/>
          <w:szCs w:val="21"/>
          <w:highlight w:val="none"/>
          <w:lang w:val="en-US" w:eastAsia="zh-CN"/>
        </w:rPr>
        <w:t>（北京时间）前递交响应文件。</w:t>
      </w:r>
    </w:p>
    <w:p>
      <w:pPr>
        <w:pageBreakBefore w:val="0"/>
        <w:widowControl/>
        <w:kinsoku/>
        <w:wordWrap/>
        <w:overflowPunct/>
        <w:topLinePunct w:val="0"/>
        <w:autoSpaceDE/>
        <w:autoSpaceDN/>
        <w:bidi w:val="0"/>
        <w:snapToGrid/>
        <w:spacing w:line="360" w:lineRule="auto"/>
        <w:textAlignment w:val="auto"/>
        <w:rPr>
          <w:rFonts w:hint="eastAsia" w:ascii="宋体" w:hAnsi="宋体" w:cs="黑体"/>
          <w:b/>
          <w:kern w:val="0"/>
          <w:szCs w:val="21"/>
          <w:highlight w:val="none"/>
        </w:rPr>
      </w:pPr>
      <w:r>
        <w:rPr>
          <w:rFonts w:hint="eastAsia" w:ascii="宋体" w:hAnsi="宋体" w:cs="黑体"/>
          <w:b/>
          <w:kern w:val="0"/>
          <w:szCs w:val="21"/>
          <w:highlight w:val="none"/>
        </w:rPr>
        <w:t>一、项目基本情况</w:t>
      </w:r>
      <w:r>
        <w:rPr>
          <w:rFonts w:hint="eastAsia" w:cs="黑体"/>
          <w:b/>
          <w:kern w:val="0"/>
          <w:szCs w:val="21"/>
          <w:highlight w:val="none"/>
        </w:rPr>
        <w:t>：</w:t>
      </w:r>
    </w:p>
    <w:p>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cs="黑体"/>
          <w:b w:val="0"/>
          <w:kern w:val="0"/>
          <w:sz w:val="21"/>
          <w:szCs w:val="21"/>
          <w:highlight w:val="none"/>
          <w:lang w:val="en-US" w:eastAsia="zh-CN"/>
        </w:rPr>
      </w:pPr>
      <w:r>
        <w:rPr>
          <w:rFonts w:hint="eastAsia" w:ascii="宋体" w:hAnsi="宋体" w:cs="黑体"/>
          <w:b w:val="0"/>
          <w:kern w:val="0"/>
          <w:sz w:val="21"/>
          <w:szCs w:val="21"/>
          <w:highlight w:val="none"/>
          <w:lang w:val="en-US" w:eastAsia="zh-CN"/>
        </w:rPr>
        <w:t>招标编号：采购计划-[2025]-00079号-JLHXZB2025009</w:t>
      </w:r>
    </w:p>
    <w:p>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黑体"/>
          <w:bCs/>
          <w:kern w:val="0"/>
          <w:szCs w:val="21"/>
          <w:highlight w:val="none"/>
          <w:lang w:eastAsia="zh-CN"/>
        </w:rPr>
      </w:pPr>
      <w:r>
        <w:rPr>
          <w:rFonts w:ascii="宋体" w:hAnsi="宋体" w:cs="黑体"/>
          <w:bCs/>
          <w:kern w:val="0"/>
          <w:szCs w:val="21"/>
          <w:highlight w:val="none"/>
        </w:rPr>
        <w:t>项目名称：</w:t>
      </w:r>
      <w:r>
        <w:rPr>
          <w:rFonts w:hint="eastAsia" w:ascii="宋体" w:hAnsi="宋体" w:cs="黑体"/>
          <w:bCs/>
          <w:kern w:val="0"/>
          <w:szCs w:val="21"/>
          <w:highlight w:val="none"/>
          <w:lang w:eastAsia="zh-CN"/>
        </w:rPr>
        <w:t>长春市双阳区第一实验小学厨房设备采购项目</w:t>
      </w:r>
    </w:p>
    <w:p>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kern w:val="0"/>
          <w:szCs w:val="21"/>
          <w:highlight w:val="none"/>
        </w:rPr>
      </w:pPr>
      <w:r>
        <w:rPr>
          <w:rFonts w:ascii="宋体" w:hAnsi="宋体" w:cs="黑体"/>
          <w:bCs/>
          <w:kern w:val="0"/>
          <w:szCs w:val="21"/>
          <w:highlight w:val="none"/>
        </w:rPr>
        <w:t>采购方式：竞争性谈判</w:t>
      </w:r>
    </w:p>
    <w:p>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黑体"/>
          <w:bCs/>
          <w:kern w:val="0"/>
          <w:szCs w:val="21"/>
          <w:highlight w:val="none"/>
          <w:lang w:eastAsia="zh-CN"/>
        </w:rPr>
      </w:pPr>
      <w:r>
        <w:rPr>
          <w:rFonts w:ascii="宋体" w:hAnsi="宋体" w:cs="黑体"/>
          <w:bCs/>
          <w:kern w:val="0"/>
          <w:szCs w:val="21"/>
          <w:highlight w:val="none"/>
        </w:rPr>
        <w:t>预算金额：</w:t>
      </w:r>
      <w:r>
        <w:rPr>
          <w:rFonts w:hint="eastAsia" w:ascii="宋体" w:hAnsi="宋体" w:cs="黑体"/>
          <w:bCs/>
          <w:kern w:val="0"/>
          <w:szCs w:val="21"/>
          <w:highlight w:val="none"/>
          <w:lang w:val="en-US" w:eastAsia="zh-CN"/>
        </w:rPr>
        <w:t>82.97833</w:t>
      </w:r>
      <w:r>
        <w:rPr>
          <w:rFonts w:hint="eastAsia" w:ascii="宋体" w:hAnsi="宋体" w:cs="黑体"/>
          <w:bCs/>
          <w:kern w:val="0"/>
          <w:szCs w:val="21"/>
          <w:highlight w:val="none"/>
        </w:rPr>
        <w:t>万元</w:t>
      </w:r>
    </w:p>
    <w:p>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kern w:val="0"/>
          <w:szCs w:val="21"/>
          <w:highlight w:val="none"/>
        </w:rPr>
      </w:pPr>
      <w:r>
        <w:rPr>
          <w:rFonts w:hint="eastAsia" w:ascii="宋体" w:hAnsi="宋体" w:cs="黑体"/>
          <w:bCs/>
          <w:kern w:val="0"/>
          <w:szCs w:val="21"/>
          <w:highlight w:val="none"/>
          <w:lang w:eastAsia="zh-CN"/>
        </w:rPr>
        <w:t>采购</w:t>
      </w:r>
      <w:r>
        <w:rPr>
          <w:rFonts w:hint="eastAsia" w:ascii="宋体" w:hAnsi="宋体" w:cs="黑体"/>
          <w:bCs/>
          <w:kern w:val="0"/>
          <w:szCs w:val="21"/>
          <w:highlight w:val="none"/>
        </w:rPr>
        <w:t>需求：</w:t>
      </w:r>
      <w:r>
        <w:rPr>
          <w:rFonts w:hint="eastAsia" w:ascii="宋体" w:hAnsi="宋体" w:cs="黑体"/>
          <w:bCs/>
          <w:kern w:val="0"/>
          <w:szCs w:val="21"/>
          <w:highlight w:val="none"/>
          <w:lang w:eastAsia="zh-CN"/>
        </w:rPr>
        <w:t>厨房设备采购</w:t>
      </w:r>
      <w:r>
        <w:rPr>
          <w:rFonts w:hint="eastAsia" w:ascii="宋体" w:hAnsi="宋体" w:cs="黑体"/>
          <w:bCs/>
          <w:kern w:val="0"/>
          <w:szCs w:val="21"/>
          <w:highlight w:val="none"/>
          <w:lang w:val="en-US" w:eastAsia="zh-CN"/>
        </w:rPr>
        <w:t>(</w:t>
      </w:r>
      <w:r>
        <w:rPr>
          <w:rFonts w:hint="eastAsia" w:ascii="宋体" w:hAnsi="宋体" w:cs="黑体"/>
          <w:bCs/>
          <w:kern w:val="0"/>
          <w:szCs w:val="21"/>
          <w:highlight w:val="none"/>
        </w:rPr>
        <w:t>详见第三章</w:t>
      </w:r>
      <w:r>
        <w:rPr>
          <w:rFonts w:hint="eastAsia" w:ascii="宋体" w:hAnsi="宋体" w:cs="黑体"/>
          <w:bCs/>
          <w:kern w:val="0"/>
          <w:szCs w:val="21"/>
          <w:highlight w:val="none"/>
          <w:lang w:eastAsia="zh-CN"/>
        </w:rPr>
        <w:t>货物</w:t>
      </w:r>
      <w:r>
        <w:rPr>
          <w:rFonts w:hint="eastAsia" w:ascii="宋体" w:hAnsi="宋体" w:cs="黑体"/>
          <w:bCs/>
          <w:kern w:val="0"/>
          <w:szCs w:val="21"/>
          <w:highlight w:val="none"/>
          <w:lang w:val="en-US" w:eastAsia="zh-CN"/>
        </w:rPr>
        <w:t>采购</w:t>
      </w:r>
      <w:r>
        <w:rPr>
          <w:rFonts w:hint="eastAsia" w:ascii="宋体" w:hAnsi="宋体" w:cs="黑体"/>
          <w:bCs/>
          <w:kern w:val="0"/>
          <w:szCs w:val="21"/>
          <w:highlight w:val="none"/>
        </w:rPr>
        <w:t>需求表）</w:t>
      </w:r>
    </w:p>
    <w:p>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黑体"/>
          <w:bCs/>
          <w:kern w:val="0"/>
          <w:szCs w:val="21"/>
          <w:highlight w:val="none"/>
          <w:lang w:eastAsia="zh-CN"/>
        </w:rPr>
      </w:pPr>
      <w:r>
        <w:rPr>
          <w:rFonts w:hint="eastAsia" w:ascii="宋体" w:hAnsi="宋体" w:cs="黑体"/>
          <w:bCs/>
          <w:kern w:val="0"/>
          <w:szCs w:val="21"/>
          <w:highlight w:val="none"/>
          <w:lang w:eastAsia="zh-CN"/>
        </w:rPr>
        <w:t>供</w:t>
      </w:r>
      <w:r>
        <w:rPr>
          <w:rFonts w:hint="eastAsia" w:ascii="宋体" w:hAnsi="宋体" w:cs="黑体"/>
          <w:bCs/>
          <w:kern w:val="0"/>
          <w:szCs w:val="21"/>
          <w:highlight w:val="none"/>
          <w:lang w:val="en-US" w:eastAsia="zh-CN"/>
        </w:rPr>
        <w:t xml:space="preserve"> </w:t>
      </w:r>
      <w:r>
        <w:rPr>
          <w:rFonts w:hint="eastAsia" w:ascii="宋体" w:hAnsi="宋体" w:cs="黑体"/>
          <w:bCs/>
          <w:kern w:val="0"/>
          <w:szCs w:val="21"/>
          <w:highlight w:val="none"/>
          <w:lang w:eastAsia="zh-CN"/>
        </w:rPr>
        <w:t>货</w:t>
      </w:r>
      <w:r>
        <w:rPr>
          <w:rFonts w:hint="eastAsia" w:ascii="宋体" w:hAnsi="宋体" w:cs="黑体"/>
          <w:bCs/>
          <w:kern w:val="0"/>
          <w:szCs w:val="21"/>
          <w:highlight w:val="none"/>
          <w:lang w:val="en-US" w:eastAsia="zh-CN"/>
        </w:rPr>
        <w:t xml:space="preserve"> </w:t>
      </w:r>
      <w:r>
        <w:rPr>
          <w:rFonts w:hint="eastAsia" w:ascii="宋体" w:hAnsi="宋体" w:cs="黑体"/>
          <w:bCs/>
          <w:kern w:val="0"/>
          <w:szCs w:val="21"/>
          <w:highlight w:val="none"/>
          <w:lang w:eastAsia="zh-CN"/>
        </w:rPr>
        <w:t>期</w:t>
      </w:r>
      <w:r>
        <w:rPr>
          <w:rFonts w:hint="eastAsia" w:ascii="宋体" w:hAnsi="宋体" w:cs="黑体"/>
          <w:bCs/>
          <w:kern w:val="0"/>
          <w:szCs w:val="21"/>
          <w:highlight w:val="none"/>
        </w:rPr>
        <w:t>：</w:t>
      </w:r>
      <w:r>
        <w:rPr>
          <w:rFonts w:hint="eastAsia" w:ascii="宋体" w:hAnsi="宋体" w:cs="黑体"/>
          <w:bCs/>
          <w:kern w:val="0"/>
          <w:szCs w:val="21"/>
          <w:highlight w:val="none"/>
          <w:lang w:eastAsia="zh-CN"/>
        </w:rPr>
        <w:t>合同签订后</w:t>
      </w:r>
      <w:r>
        <w:rPr>
          <w:rFonts w:hint="eastAsia" w:ascii="宋体" w:hAnsi="宋体" w:cs="黑体"/>
          <w:bCs/>
          <w:kern w:val="0"/>
          <w:szCs w:val="21"/>
          <w:highlight w:val="none"/>
          <w:lang w:val="en-US" w:eastAsia="zh-CN"/>
        </w:rPr>
        <w:t>20</w:t>
      </w:r>
      <w:r>
        <w:rPr>
          <w:rFonts w:hint="eastAsia" w:ascii="宋体" w:hAnsi="宋体" w:cs="黑体"/>
          <w:bCs/>
          <w:kern w:val="0"/>
          <w:szCs w:val="21"/>
          <w:highlight w:val="none"/>
        </w:rPr>
        <w:t>日历</w:t>
      </w:r>
      <w:r>
        <w:rPr>
          <w:rFonts w:hint="eastAsia" w:ascii="宋体" w:hAnsi="宋体" w:cs="黑体"/>
          <w:bCs/>
          <w:kern w:val="0"/>
          <w:szCs w:val="21"/>
          <w:highlight w:val="none"/>
          <w:lang w:eastAsia="zh-CN"/>
        </w:rPr>
        <w:t>天</w:t>
      </w:r>
      <w:r>
        <w:rPr>
          <w:rFonts w:hint="eastAsia" w:ascii="宋体" w:hAnsi="宋体" w:cs="黑体"/>
          <w:bCs/>
          <w:kern w:val="0"/>
          <w:szCs w:val="21"/>
          <w:highlight w:val="none"/>
        </w:rPr>
        <w:t>内</w:t>
      </w:r>
      <w:r>
        <w:rPr>
          <w:rFonts w:hint="eastAsia" w:ascii="宋体" w:hAnsi="宋体" w:cs="黑体"/>
          <w:bCs/>
          <w:kern w:val="0"/>
          <w:szCs w:val="21"/>
          <w:highlight w:val="none"/>
          <w:lang w:eastAsia="zh-CN"/>
        </w:rPr>
        <w:t>完成</w:t>
      </w:r>
      <w:r>
        <w:rPr>
          <w:rFonts w:hint="eastAsia" w:ascii="宋体" w:hAnsi="宋体" w:cs="黑体"/>
          <w:bCs/>
          <w:kern w:val="0"/>
          <w:szCs w:val="21"/>
          <w:highlight w:val="none"/>
          <w:lang w:val="en-US" w:eastAsia="zh-CN"/>
        </w:rPr>
        <w:t>甲方指定地点全部供货</w:t>
      </w:r>
    </w:p>
    <w:p>
      <w:pPr>
        <w:pStyle w:val="3"/>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ascii="宋体" w:hAnsi="宋体" w:cs="黑体"/>
          <w:b w:val="0"/>
          <w:kern w:val="0"/>
          <w:sz w:val="21"/>
          <w:szCs w:val="21"/>
          <w:highlight w:val="none"/>
          <w:lang w:val="en-US" w:eastAsia="zh-CN"/>
        </w:rPr>
      </w:pPr>
      <w:r>
        <w:rPr>
          <w:rFonts w:ascii="宋体" w:hAnsi="宋体" w:cs="黑体"/>
          <w:b w:val="0"/>
          <w:kern w:val="0"/>
          <w:sz w:val="21"/>
          <w:szCs w:val="21"/>
          <w:highlight w:val="none"/>
          <w:lang w:val="en-US" w:eastAsia="zh-CN"/>
        </w:rPr>
        <w:t>本项目</w:t>
      </w:r>
      <w:r>
        <w:rPr>
          <w:rFonts w:hint="eastAsia" w:ascii="宋体" w:hAnsi="宋体" w:cs="黑体"/>
          <w:b w:val="0"/>
          <w:kern w:val="0"/>
          <w:sz w:val="21"/>
          <w:szCs w:val="21"/>
          <w:highlight w:val="none"/>
          <w:lang w:val="en-US" w:eastAsia="zh-CN"/>
        </w:rPr>
        <w:t>不</w:t>
      </w:r>
      <w:r>
        <w:rPr>
          <w:rFonts w:ascii="宋体" w:hAnsi="宋体" w:cs="黑体"/>
          <w:b w:val="0"/>
          <w:kern w:val="0"/>
          <w:sz w:val="21"/>
          <w:szCs w:val="21"/>
          <w:highlight w:val="none"/>
          <w:lang w:val="en-US" w:eastAsia="zh-CN"/>
        </w:rPr>
        <w:t>接受联合体投标</w:t>
      </w:r>
    </w:p>
    <w:p>
      <w:pPr>
        <w:pageBreakBefore w:val="0"/>
        <w:kinsoku/>
        <w:wordWrap/>
        <w:overflowPunct/>
        <w:topLinePunct w:val="0"/>
        <w:autoSpaceDE/>
        <w:autoSpaceDN/>
        <w:bidi w:val="0"/>
        <w:snapToGrid/>
        <w:spacing w:line="360" w:lineRule="auto"/>
        <w:textAlignment w:val="auto"/>
        <w:rPr>
          <w:b/>
          <w:highlight w:val="none"/>
        </w:rPr>
      </w:pPr>
      <w:r>
        <w:rPr>
          <w:rFonts w:hint="eastAsia" w:cs="黑体"/>
          <w:b/>
          <w:kern w:val="0"/>
          <w:szCs w:val="21"/>
          <w:highlight w:val="none"/>
        </w:rPr>
        <w:t>二、申请人的资格要求：</w:t>
      </w:r>
    </w:p>
    <w:p>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szCs w:val="21"/>
          <w:highlight w:val="none"/>
        </w:rPr>
      </w:pPr>
      <w:bookmarkStart w:id="3" w:name="_bookmark3"/>
      <w:bookmarkEnd w:id="3"/>
      <w:r>
        <w:rPr>
          <w:rFonts w:hint="eastAsia" w:ascii="宋体" w:hAnsi="宋体" w:eastAsia="宋体" w:cs="宋体"/>
          <w:bCs/>
          <w:snapToGrid w:val="0"/>
          <w:szCs w:val="21"/>
          <w:highlight w:val="none"/>
        </w:rPr>
        <w:t>1.满足《中华人民共和国政府采购法》第二十二条规定；</w:t>
      </w:r>
      <w:r>
        <w:rPr>
          <w:rFonts w:hint="eastAsia" w:ascii="宋体" w:hAnsi="宋体" w:cs="宋体"/>
          <w:bCs/>
          <w:snapToGrid w:val="0"/>
          <w:szCs w:val="21"/>
          <w:highlight w:val="none"/>
          <w:lang w:val="en-US" w:eastAsia="zh-CN"/>
        </w:rPr>
        <w:t>本项目专门面向中小企业采购；</w:t>
      </w:r>
    </w:p>
    <w:p>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szCs w:val="21"/>
          <w:highlight w:val="none"/>
          <w:lang w:eastAsia="zh-CN"/>
        </w:rPr>
      </w:pPr>
      <w:r>
        <w:rPr>
          <w:rFonts w:hint="eastAsia" w:ascii="宋体" w:hAnsi="宋体" w:eastAsia="宋体" w:cs="宋体"/>
          <w:bCs/>
          <w:snapToGrid w:val="0"/>
          <w:szCs w:val="21"/>
          <w:highlight w:val="none"/>
        </w:rPr>
        <w:t>2.需要落实的政府采购政策：《中华人民共和国中小企业促进法》、《关于促进中小企业健康发展的指导意见》、《政府采购促进中小企业发展管理办法》（财库[2020]46号）、《关于进一步加大政府采购支持中小企业力度的通知》（财库〔2022〕19号）、《财政部、司法部关于政府采购支持监狱企业发展有关问题的通知》（财库[2014]68号）、《关于促进残疾人就业政府采购政策的通知》（财库〔2017〕141号）、《吉林省促进中小企业发展条例》和《长春市财政局关于做好我市政府采购促进中小企业发展有关工作的通知》、《关于政府采购支持监狱企业发展有关问题的通知》(财库〔2014〕68 号)等</w:t>
      </w:r>
      <w:r>
        <w:rPr>
          <w:rFonts w:hint="eastAsia" w:ascii="宋体" w:hAnsi="宋体" w:eastAsia="宋体" w:cs="宋体"/>
          <w:bCs/>
          <w:snapToGrid w:val="0"/>
          <w:szCs w:val="21"/>
          <w:highlight w:val="none"/>
          <w:lang w:eastAsia="zh-CN"/>
        </w:rPr>
        <w:t>。本项目中小企业划分标准所属行业为:</w:t>
      </w:r>
      <w:r>
        <w:rPr>
          <w:rFonts w:hint="eastAsia" w:ascii="宋体" w:hAnsi="宋体" w:cs="宋体"/>
          <w:bCs/>
          <w:snapToGrid w:val="0"/>
          <w:szCs w:val="21"/>
          <w:highlight w:val="none"/>
          <w:lang w:eastAsia="zh-CN"/>
        </w:rPr>
        <w:t>工业</w:t>
      </w:r>
      <w:r>
        <w:rPr>
          <w:rFonts w:hint="eastAsia" w:ascii="宋体" w:hAnsi="宋体" w:eastAsia="宋体" w:cs="宋体"/>
          <w:bCs/>
          <w:snapToGrid w:val="0"/>
          <w:szCs w:val="21"/>
          <w:highlight w:val="none"/>
          <w:lang w:eastAsia="zh-CN"/>
        </w:rPr>
        <w:t>。</w:t>
      </w:r>
    </w:p>
    <w:p>
      <w:pPr>
        <w:pageBreakBefore w:val="0"/>
        <w:widowControl/>
        <w:kinsoku/>
        <w:wordWrap/>
        <w:overflowPunct/>
        <w:topLinePunct w:val="0"/>
        <w:autoSpaceDE/>
        <w:autoSpaceDN/>
        <w:bidi w:val="0"/>
        <w:snapToGrid/>
        <w:spacing w:line="360" w:lineRule="auto"/>
        <w:ind w:firstLine="465"/>
        <w:textAlignment w:val="auto"/>
        <w:rPr>
          <w:rFonts w:hint="eastAsia" w:ascii="宋体" w:hAnsi="宋体" w:cs="宋体"/>
          <w:bCs/>
          <w:snapToGrid w:val="0"/>
          <w:szCs w:val="21"/>
          <w:highlight w:val="none"/>
        </w:rPr>
      </w:pPr>
      <w:r>
        <w:rPr>
          <w:rFonts w:hint="eastAsia" w:ascii="宋体" w:hAnsi="宋体" w:cs="宋体"/>
          <w:bCs/>
          <w:snapToGrid w:val="0"/>
          <w:szCs w:val="21"/>
          <w:highlight w:val="none"/>
        </w:rPr>
        <w:t>3.本项目的特定资格要求：</w:t>
      </w:r>
    </w:p>
    <w:p>
      <w:pPr>
        <w:tabs>
          <w:tab w:val="left" w:pos="1313"/>
        </w:tabs>
        <w:spacing w:line="360" w:lineRule="auto"/>
        <w:ind w:firstLine="518" w:firstLineChars="247"/>
        <w:jc w:val="left"/>
        <w:rPr>
          <w:rFonts w:hint="eastAsia"/>
          <w:bCs/>
          <w:snapToGrid w:val="0"/>
          <w:szCs w:val="21"/>
          <w:highlight w:val="none"/>
        </w:rPr>
      </w:pPr>
      <w:r>
        <w:rPr>
          <w:rFonts w:hint="eastAsia"/>
          <w:bCs/>
          <w:snapToGrid w:val="0"/>
          <w:szCs w:val="21"/>
          <w:highlight w:val="none"/>
        </w:rPr>
        <w:t>（1）</w:t>
      </w:r>
      <w:r>
        <w:rPr>
          <w:rFonts w:hint="default" w:ascii="宋体" w:hAnsi="宋体" w:eastAsia="宋体" w:cs="宋体"/>
          <w:bCs/>
          <w:snapToGrid w:val="0"/>
          <w:sz w:val="21"/>
          <w:szCs w:val="21"/>
          <w:highlight w:val="none"/>
        </w:rPr>
        <w:t>①</w:t>
      </w:r>
      <w:r>
        <w:rPr>
          <w:rFonts w:hint="eastAsia" w:ascii="宋体" w:hAnsi="宋体" w:cs="宋体"/>
          <w:bCs/>
          <w:snapToGrid w:val="0"/>
          <w:szCs w:val="21"/>
          <w:highlight w:val="none"/>
          <w:lang w:val="en-US" w:eastAsia="zh-CN"/>
        </w:rPr>
        <w:t>供应商</w:t>
      </w:r>
      <w:r>
        <w:rPr>
          <w:rFonts w:hint="eastAsia" w:ascii="宋体" w:hAnsi="宋体" w:cs="宋体"/>
          <w:bCs/>
          <w:snapToGrid w:val="0"/>
          <w:szCs w:val="21"/>
          <w:highlight w:val="none"/>
        </w:rPr>
        <w:t>须是在中华人民共和国境内注册，能够独立承担民事责任的法人或其他组织形式，具备承揽本次招标范围相应的有效的营业执照；②供应商参加采购活动应当提供反映其财务状况、依法缴纳税收和社会保障金的资格条件承诺函；③具有履行合同所必需的设备和专业技术能力；④参加政府采购活动前三年内，在经营活动中没有重大违法记</w:t>
      </w:r>
      <w:r>
        <w:rPr>
          <w:rFonts w:hint="eastAsia" w:ascii="Times New Roman" w:hAnsi="Times New Roman" w:eastAsia="宋体" w:cs="Times New Roman"/>
          <w:bCs/>
          <w:snapToGrid w:val="0"/>
          <w:szCs w:val="21"/>
          <w:highlight w:val="none"/>
        </w:rPr>
        <w:t>录。⑤法律、行政法规规定的其他条件。</w:t>
      </w:r>
    </w:p>
    <w:p>
      <w:pPr>
        <w:tabs>
          <w:tab w:val="left" w:pos="1313"/>
        </w:tabs>
        <w:spacing w:line="360" w:lineRule="auto"/>
        <w:ind w:firstLine="518" w:firstLineChars="247"/>
        <w:jc w:val="left"/>
        <w:rPr>
          <w:rFonts w:hint="eastAsia" w:ascii="宋体" w:hAnsi="宋体" w:cs="宋体"/>
          <w:bCs/>
          <w:snapToGrid w:val="0"/>
          <w:szCs w:val="21"/>
        </w:rPr>
      </w:pPr>
      <w:r>
        <w:rPr>
          <w:rFonts w:hint="eastAsia" w:ascii="宋体" w:hAnsi="宋体" w:eastAsia="宋体" w:cs="宋体"/>
          <w:bCs/>
          <w:snapToGrid w:val="0"/>
          <w:kern w:val="2"/>
          <w:sz w:val="21"/>
          <w:szCs w:val="21"/>
          <w:highlight w:val="none"/>
          <w:lang w:val="en-US" w:eastAsia="zh-CN" w:bidi="ar-SA"/>
        </w:rPr>
        <w:t>（2）</w:t>
      </w:r>
      <w:r>
        <w:rPr>
          <w:rFonts w:hint="eastAsia" w:ascii="宋体" w:hAnsi="宋体" w:cs="宋体"/>
          <w:bCs/>
          <w:snapToGrid w:val="0"/>
          <w:szCs w:val="21"/>
          <w:lang w:val="zh-CN"/>
        </w:rPr>
        <w:t>拒绝列入政府不良行为记录期间的企业或个人投标</w:t>
      </w:r>
      <w:r>
        <w:rPr>
          <w:rFonts w:hint="eastAsia" w:cs="宋体"/>
          <w:bCs/>
          <w:snapToGrid w:val="0"/>
          <w:szCs w:val="21"/>
          <w:lang w:val="zh-CN"/>
        </w:rPr>
        <w:t>。</w:t>
      </w:r>
      <w:r>
        <w:rPr>
          <w:rFonts w:hint="eastAsia" w:ascii="宋体" w:hAnsi="宋体" w:cs="宋体"/>
          <w:bCs/>
          <w:snapToGrid w:val="0"/>
          <w:szCs w:val="21"/>
          <w:lang w:val="zh-CN"/>
        </w:rPr>
        <w:t>供应商未被列入失信被执行人、重大税收违法案件当事人名单、政府采购严重违法失信行为记录名单等，在“信用中国”网站（www.creditchina.gov.cn）、全国企业信用信息公示系统、中国政府采购网（www.ccgp.gov.cn）上进行查询失信记录；供应商不得存在行贿犯罪记录，在中国裁判文书网（http://wenshu.court.gov.cn/）进行查询供应商行贿犯罪记录</w:t>
      </w:r>
      <w:r>
        <w:rPr>
          <w:rFonts w:hint="eastAsia" w:ascii="宋体" w:hAnsi="宋体" w:cs="宋体"/>
          <w:bCs/>
          <w:snapToGrid w:val="0"/>
          <w:szCs w:val="21"/>
        </w:rPr>
        <w:t>(</w:t>
      </w:r>
      <w:r>
        <w:rPr>
          <w:rFonts w:hint="eastAsia" w:ascii="宋体" w:hAnsi="宋体" w:cs="宋体"/>
          <w:bCs/>
          <w:snapToGrid w:val="0"/>
          <w:szCs w:val="21"/>
          <w:lang w:val="zh-CN"/>
        </w:rPr>
        <w:t>信用信息截止时点为投标截止时间前</w:t>
      </w:r>
      <w:r>
        <w:rPr>
          <w:rFonts w:hint="eastAsia" w:ascii="宋体" w:hAnsi="宋体" w:cs="宋体"/>
          <w:bCs/>
          <w:snapToGrid w:val="0"/>
          <w:szCs w:val="21"/>
        </w:rPr>
        <w:t>)。</w:t>
      </w:r>
      <w:bookmarkStart w:id="4" w:name="_bookmark5"/>
      <w:bookmarkEnd w:id="4"/>
      <w:bookmarkStart w:id="5" w:name="_bookmark6"/>
      <w:bookmarkEnd w:id="5"/>
    </w:p>
    <w:p>
      <w:pPr>
        <w:tabs>
          <w:tab w:val="left" w:pos="1313"/>
        </w:tabs>
        <w:spacing w:line="360" w:lineRule="auto"/>
        <w:ind w:firstLine="420" w:firstLineChars="200"/>
        <w:jc w:val="left"/>
        <w:rPr>
          <w:rFonts w:hint="eastAsia"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3）企业名称不同但法定代表人为同一个自然人的两个或者两个以上的供应商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p>
    <w:p>
      <w:pPr>
        <w:pageBreakBefore w:val="0"/>
        <w:widowControl/>
        <w:kinsoku/>
        <w:wordWrap/>
        <w:overflowPunct/>
        <w:topLinePunct w:val="0"/>
        <w:autoSpaceDE/>
        <w:autoSpaceDN/>
        <w:bidi w:val="0"/>
        <w:snapToGrid/>
        <w:spacing w:line="360" w:lineRule="auto"/>
        <w:ind w:firstLine="465"/>
        <w:textAlignment w:val="auto"/>
        <w:rPr>
          <w:rFonts w:hint="eastAsia"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（4）招投标过程中，供应商所提供的所有证件均需在有效期内且注册单位名称与供应商的名称一致，如企业名称发生变更，需提供主管部门出具的变更证明材料，否则不接受其供应商参与本次招标项目的投标。</w:t>
      </w:r>
    </w:p>
    <w:p>
      <w:pPr>
        <w:pageBreakBefore w:val="0"/>
        <w:tabs>
          <w:tab w:val="left" w:pos="0"/>
        </w:tabs>
        <w:kinsoku/>
        <w:wordWrap/>
        <w:overflowPunct/>
        <w:topLinePunct w:val="0"/>
        <w:autoSpaceDE/>
        <w:autoSpaceDN/>
        <w:bidi w:val="0"/>
        <w:adjustRightInd/>
        <w:snapToGrid/>
        <w:spacing w:line="340" w:lineRule="exact"/>
        <w:ind w:firstLine="421"/>
        <w:textAlignment w:val="auto"/>
        <w:rPr>
          <w:rFonts w:hint="eastAsia"/>
          <w:lang w:val="en-US" w:eastAsia="zh-CN"/>
        </w:rPr>
      </w:pPr>
      <w:r>
        <w:rPr>
          <w:rFonts w:hint="eastAsia" w:ascii="宋体" w:hAnsi="宋体" w:eastAsia="宋体" w:cs="宋体"/>
          <w:bCs/>
          <w:snapToGrid w:val="0"/>
          <w:kern w:val="2"/>
          <w:sz w:val="21"/>
          <w:szCs w:val="21"/>
          <w:highlight w:val="none"/>
          <w:lang w:val="en-US" w:eastAsia="zh-CN" w:bidi="ar-SA"/>
        </w:rPr>
        <w:t>（5）供应商</w:t>
      </w:r>
      <w:r>
        <w:rPr>
          <w:rFonts w:hint="eastAsia" w:ascii="宋体" w:hAnsi="宋体" w:eastAsia="宋体" w:cs="宋体"/>
          <w:bCs/>
          <w:snapToGrid w:val="0"/>
          <w:szCs w:val="21"/>
          <w:lang w:val="en-US" w:eastAsia="zh-CN"/>
        </w:rPr>
        <w:t>参加投标活动应当提交反映其财务状况、依法缴纳税收和社保保障资金情况的资格条件承诺函（《长春市财政局关于加强政府采购信用体系建设简化供应商资格条件有关事项的通知》（长财采购〔2022〕2066号））。</w:t>
      </w:r>
    </w:p>
    <w:p>
      <w:pPr>
        <w:pageBreakBefore w:val="0"/>
        <w:widowControl/>
        <w:kinsoku/>
        <w:wordWrap/>
        <w:overflowPunct/>
        <w:topLinePunct w:val="0"/>
        <w:autoSpaceDE/>
        <w:autoSpaceDN/>
        <w:bidi w:val="0"/>
        <w:snapToGrid/>
        <w:spacing w:line="360" w:lineRule="auto"/>
        <w:textAlignment w:val="auto"/>
        <w:rPr>
          <w:rFonts w:hint="eastAsia" w:ascii="宋体" w:hAnsi="宋体" w:eastAsia="宋体" w:cs="宋体"/>
          <w:bCs/>
          <w:szCs w:val="21"/>
          <w:highlight w:val="none"/>
          <w:lang w:val="en-US" w:eastAsia="zh-CN"/>
        </w:rPr>
      </w:pPr>
      <w:r>
        <w:rPr>
          <w:rFonts w:hint="eastAsia" w:cs="宋体"/>
          <w:b/>
          <w:bCs w:val="0"/>
          <w:szCs w:val="21"/>
          <w:highlight w:val="none"/>
        </w:rPr>
        <w:t>三、获取</w:t>
      </w:r>
      <w:r>
        <w:rPr>
          <w:rFonts w:hint="eastAsia" w:cs="宋体"/>
          <w:b/>
          <w:bCs w:val="0"/>
          <w:szCs w:val="21"/>
          <w:highlight w:val="none"/>
          <w:lang w:val="en-US" w:eastAsia="zh-CN"/>
        </w:rPr>
        <w:t>谈判</w:t>
      </w:r>
      <w:r>
        <w:rPr>
          <w:rFonts w:hint="eastAsia" w:cs="宋体"/>
          <w:b/>
          <w:bCs w:val="0"/>
          <w:szCs w:val="21"/>
          <w:highlight w:val="none"/>
        </w:rPr>
        <w:t>文件</w:t>
      </w:r>
      <w:r>
        <w:rPr>
          <w:rFonts w:hint="eastAsia" w:cs="宋体"/>
          <w:b/>
          <w:bCs w:val="0"/>
          <w:szCs w:val="21"/>
          <w:highlight w:val="none"/>
          <w:lang w:val="en-US" w:eastAsia="zh-CN"/>
        </w:rPr>
        <w:t>:</w:t>
      </w:r>
    </w:p>
    <w:p>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zh-CN"/>
        </w:rPr>
      </w:pPr>
      <w:r>
        <w:rPr>
          <w:rFonts w:hint="eastAsia" w:ascii="宋体" w:hAnsi="宋体" w:cs="宋体"/>
          <w:bCs/>
          <w:snapToGrid w:val="0"/>
          <w:szCs w:val="21"/>
          <w:highlight w:val="none"/>
          <w:lang w:val="en-US" w:eastAsia="zh-CN"/>
        </w:rPr>
        <w:t>1.</w:t>
      </w:r>
      <w:r>
        <w:rPr>
          <w:rFonts w:hint="eastAsia" w:ascii="宋体" w:hAnsi="宋体" w:cs="宋体"/>
          <w:bCs/>
          <w:snapToGrid w:val="0"/>
          <w:szCs w:val="21"/>
          <w:highlight w:val="none"/>
          <w:lang w:val="zh-CN"/>
        </w:rPr>
        <w:t>时间：202</w:t>
      </w:r>
      <w:r>
        <w:rPr>
          <w:rFonts w:hint="eastAsia" w:ascii="宋体" w:hAnsi="宋体" w:cs="宋体"/>
          <w:bCs/>
          <w:snapToGrid w:val="0"/>
          <w:szCs w:val="21"/>
          <w:highlight w:val="none"/>
          <w:lang w:val="en-US" w:eastAsia="zh-CN"/>
        </w:rPr>
        <w:t>5</w:t>
      </w:r>
      <w:r>
        <w:rPr>
          <w:rFonts w:hint="eastAsia" w:ascii="宋体" w:hAnsi="宋体" w:cs="宋体"/>
          <w:bCs/>
          <w:snapToGrid w:val="0"/>
          <w:szCs w:val="21"/>
          <w:highlight w:val="none"/>
          <w:lang w:val="zh-CN"/>
        </w:rPr>
        <w:t>年</w:t>
      </w:r>
      <w:r>
        <w:rPr>
          <w:rFonts w:hint="eastAsia" w:ascii="宋体" w:hAnsi="宋体" w:cs="宋体"/>
          <w:bCs/>
          <w:snapToGrid w:val="0"/>
          <w:szCs w:val="21"/>
          <w:highlight w:val="none"/>
          <w:lang w:val="en-US" w:eastAsia="zh-CN"/>
        </w:rPr>
        <w:t>07</w:t>
      </w:r>
      <w:r>
        <w:rPr>
          <w:rFonts w:hint="eastAsia" w:ascii="宋体" w:hAnsi="宋体" w:cs="宋体"/>
          <w:bCs/>
          <w:snapToGrid w:val="0"/>
          <w:szCs w:val="21"/>
          <w:highlight w:val="none"/>
          <w:lang w:val="zh-CN"/>
        </w:rPr>
        <w:t>月</w:t>
      </w:r>
      <w:r>
        <w:rPr>
          <w:rFonts w:hint="eastAsia" w:ascii="宋体" w:hAnsi="宋体" w:cs="宋体"/>
          <w:bCs/>
          <w:snapToGrid w:val="0"/>
          <w:szCs w:val="21"/>
          <w:highlight w:val="none"/>
          <w:lang w:val="en-US" w:eastAsia="zh-CN"/>
        </w:rPr>
        <w:t>22</w:t>
      </w:r>
      <w:r>
        <w:rPr>
          <w:rFonts w:hint="eastAsia" w:ascii="宋体" w:hAnsi="宋体" w:cs="宋体"/>
          <w:bCs/>
          <w:snapToGrid w:val="0"/>
          <w:szCs w:val="21"/>
          <w:highlight w:val="none"/>
          <w:lang w:val="zh-CN"/>
        </w:rPr>
        <w:t>日至202</w:t>
      </w:r>
      <w:r>
        <w:rPr>
          <w:rFonts w:hint="eastAsia" w:ascii="宋体" w:hAnsi="宋体" w:cs="宋体"/>
          <w:bCs/>
          <w:snapToGrid w:val="0"/>
          <w:szCs w:val="21"/>
          <w:highlight w:val="none"/>
          <w:lang w:val="en-US" w:eastAsia="zh-CN"/>
        </w:rPr>
        <w:t>5</w:t>
      </w:r>
      <w:r>
        <w:rPr>
          <w:rFonts w:hint="eastAsia" w:ascii="宋体" w:hAnsi="宋体" w:cs="宋体"/>
          <w:bCs/>
          <w:snapToGrid w:val="0"/>
          <w:szCs w:val="21"/>
          <w:highlight w:val="none"/>
          <w:lang w:val="zh-CN"/>
        </w:rPr>
        <w:t>年</w:t>
      </w:r>
      <w:r>
        <w:rPr>
          <w:rFonts w:hint="eastAsia" w:ascii="宋体" w:hAnsi="宋体" w:cs="宋体"/>
          <w:bCs/>
          <w:snapToGrid w:val="0"/>
          <w:szCs w:val="21"/>
          <w:highlight w:val="none"/>
          <w:lang w:val="en-US" w:eastAsia="zh-CN"/>
        </w:rPr>
        <w:t>07</w:t>
      </w:r>
      <w:r>
        <w:rPr>
          <w:rFonts w:hint="eastAsia" w:ascii="宋体" w:hAnsi="宋体" w:cs="宋体"/>
          <w:bCs/>
          <w:snapToGrid w:val="0"/>
          <w:szCs w:val="21"/>
          <w:highlight w:val="none"/>
          <w:lang w:val="zh-CN"/>
        </w:rPr>
        <w:t>月</w:t>
      </w:r>
      <w:r>
        <w:rPr>
          <w:rFonts w:hint="eastAsia" w:ascii="宋体" w:hAnsi="宋体" w:cs="宋体"/>
          <w:bCs/>
          <w:snapToGrid w:val="0"/>
          <w:szCs w:val="21"/>
          <w:highlight w:val="none"/>
          <w:lang w:val="en-US" w:eastAsia="zh-CN"/>
        </w:rPr>
        <w:t>24</w:t>
      </w:r>
      <w:r>
        <w:rPr>
          <w:rFonts w:hint="eastAsia" w:ascii="宋体" w:hAnsi="宋体" w:cs="宋体"/>
          <w:bCs/>
          <w:snapToGrid w:val="0"/>
          <w:szCs w:val="21"/>
          <w:highlight w:val="none"/>
          <w:lang w:val="zh-CN"/>
        </w:rPr>
        <w:t>日，每天上午8:00时至下午16:00时。</w:t>
      </w:r>
    </w:p>
    <w:p>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zh-CN"/>
        </w:rPr>
      </w:pPr>
      <w:r>
        <w:rPr>
          <w:rFonts w:hint="eastAsia" w:ascii="宋体" w:hAnsi="宋体" w:cs="宋体"/>
          <w:bCs/>
          <w:snapToGrid w:val="0"/>
          <w:szCs w:val="21"/>
          <w:highlight w:val="none"/>
          <w:lang w:val="en-US" w:eastAsia="zh-CN"/>
        </w:rPr>
        <w:t>2.获取</w:t>
      </w:r>
      <w:r>
        <w:rPr>
          <w:rFonts w:hint="eastAsia" w:ascii="宋体" w:hAnsi="宋体" w:cs="宋体"/>
          <w:bCs/>
          <w:snapToGrid w:val="0"/>
          <w:szCs w:val="21"/>
          <w:highlight w:val="none"/>
          <w:lang w:val="zh-CN"/>
        </w:rPr>
        <w:t>方式：本项目不发放纸质版采购文件。供应商可自行在“政采云”平台（http：//www.zcygov.cn）下载采购文件（操作路径：登录“政采云”平台-项目采购-获取采购文件-找到本项目-点击“申请获取采购文件”），电子投标文件制作需要基于“政采云”平台获取的采购文件编制。具体注册及下载文件方法请访问“政采云”平台查询相关信息。</w:t>
      </w:r>
    </w:p>
    <w:p>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en-US" w:eastAsia="zh-CN"/>
        </w:rPr>
      </w:pPr>
      <w:r>
        <w:rPr>
          <w:rFonts w:hint="eastAsia" w:ascii="宋体" w:hAnsi="宋体" w:cs="宋体"/>
          <w:bCs/>
          <w:snapToGrid w:val="0"/>
          <w:szCs w:val="21"/>
          <w:highlight w:val="none"/>
          <w:lang w:val="en-US" w:eastAsia="zh-CN"/>
        </w:rPr>
        <w:t>3.未进行网上注册的供应商将无法参与本次采购活动。</w:t>
      </w:r>
    </w:p>
    <w:p>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Times New Roman"/>
          <w:kern w:val="2"/>
          <w:sz w:val="21"/>
          <w:szCs w:val="21"/>
          <w:highlight w:val="none"/>
          <w:lang w:val="en-US" w:eastAsia="zh-CN" w:bidi="ar-SA"/>
        </w:rPr>
      </w:pPr>
      <w:r>
        <w:rPr>
          <w:rFonts w:hint="eastAsia" w:ascii="宋体" w:hAnsi="宋体" w:cs="宋体"/>
          <w:bCs/>
          <w:snapToGrid w:val="0"/>
          <w:szCs w:val="21"/>
          <w:highlight w:val="none"/>
          <w:lang w:val="en-US" w:eastAsia="zh-CN"/>
        </w:rPr>
        <w:t>4.有效供应商不足三家时，采购人另行组织采购。</w:t>
      </w:r>
      <w:r>
        <w:rPr>
          <w:rFonts w:hint="eastAsia" w:ascii="宋体" w:hAnsi="宋体" w:cs="宋体"/>
          <w:bCs/>
          <w:snapToGrid w:val="0"/>
          <w:szCs w:val="21"/>
          <w:highlight w:val="none"/>
          <w:lang w:val="en-US" w:eastAsia="zh-CN"/>
        </w:rPr>
        <w:tab/>
      </w:r>
    </w:p>
    <w:p>
      <w:pPr>
        <w:pageBreakBefore w:val="0"/>
        <w:widowControl/>
        <w:numPr>
          <w:ilvl w:val="0"/>
          <w:numId w:val="0"/>
        </w:numPr>
        <w:kinsoku/>
        <w:wordWrap/>
        <w:overflowPunct/>
        <w:topLinePunct w:val="0"/>
        <w:autoSpaceDE/>
        <w:autoSpaceDN/>
        <w:bidi w:val="0"/>
        <w:snapToGrid/>
        <w:spacing w:line="360" w:lineRule="auto"/>
        <w:textAlignment w:val="auto"/>
        <w:rPr>
          <w:rFonts w:hint="eastAsia" w:cs="宋体"/>
          <w:b/>
          <w:bCs/>
          <w:szCs w:val="21"/>
          <w:highlight w:val="none"/>
        </w:rPr>
      </w:pPr>
      <w:r>
        <w:rPr>
          <w:rFonts w:hint="eastAsia" w:cs="宋体"/>
          <w:b/>
          <w:bCs/>
          <w:szCs w:val="21"/>
          <w:highlight w:val="none"/>
          <w:lang w:val="en-US" w:eastAsia="zh-CN"/>
        </w:rPr>
        <w:t>四、</w:t>
      </w:r>
      <w:r>
        <w:rPr>
          <w:rFonts w:hint="eastAsia" w:cs="宋体"/>
          <w:b/>
          <w:bCs/>
          <w:szCs w:val="21"/>
          <w:highlight w:val="none"/>
        </w:rPr>
        <w:t>提交响应文件截止时间、开标时间和地点</w:t>
      </w:r>
      <w:r>
        <w:rPr>
          <w:rFonts w:hint="eastAsia" w:cs="宋体"/>
          <w:b/>
          <w:bCs/>
          <w:szCs w:val="21"/>
          <w:highlight w:val="none"/>
          <w:lang w:val="en-US" w:eastAsia="zh-CN"/>
        </w:rPr>
        <w:t>:</w:t>
      </w:r>
    </w:p>
    <w:p>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lang w:val="en-US" w:eastAsia="zh-CN"/>
        </w:rPr>
        <w:t>1.</w:t>
      </w:r>
      <w:r>
        <w:rPr>
          <w:rFonts w:hint="eastAsia" w:ascii="宋体" w:hAnsi="宋体" w:cs="宋体"/>
          <w:bCs/>
          <w:snapToGrid w:val="0"/>
          <w:szCs w:val="21"/>
          <w:highlight w:val="none"/>
        </w:rPr>
        <w:t>投标截止时间及开标时间：</w:t>
      </w:r>
      <w:r>
        <w:rPr>
          <w:rFonts w:hint="eastAsia" w:ascii="宋体" w:hAnsi="宋体" w:cs="宋体"/>
          <w:bCs/>
          <w:snapToGrid w:val="0"/>
          <w:szCs w:val="21"/>
          <w:highlight w:val="none"/>
          <w:lang w:eastAsia="zh-CN"/>
        </w:rPr>
        <w:t>2025年07月25日17点30分</w:t>
      </w:r>
      <w:r>
        <w:rPr>
          <w:rFonts w:hint="eastAsia" w:ascii="宋体" w:hAnsi="宋体" w:cs="宋体"/>
          <w:bCs/>
          <w:snapToGrid w:val="0"/>
          <w:szCs w:val="21"/>
          <w:highlight w:val="none"/>
        </w:rPr>
        <w:t>（北京时间）</w:t>
      </w:r>
      <w:r>
        <w:rPr>
          <w:rFonts w:hint="eastAsia" w:ascii="宋体" w:hAnsi="宋体" w:cs="宋体"/>
          <w:bCs/>
          <w:snapToGrid w:val="0"/>
          <w:szCs w:val="21"/>
          <w:highlight w:val="none"/>
          <w:lang w:eastAsia="zh-CN"/>
        </w:rPr>
        <w:t>。</w:t>
      </w:r>
    </w:p>
    <w:p>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lang w:val="en-US" w:eastAsia="zh-CN"/>
        </w:rPr>
        <w:t>2.</w:t>
      </w:r>
      <w:r>
        <w:rPr>
          <w:rFonts w:hint="eastAsia" w:ascii="宋体" w:hAnsi="宋体" w:cs="宋体"/>
          <w:bCs/>
          <w:snapToGrid w:val="0"/>
          <w:szCs w:val="21"/>
          <w:highlight w:val="none"/>
        </w:rPr>
        <w:t>开标地点：长春市二道区洋浦大街6999号凯利中心AB栋101开标</w:t>
      </w:r>
      <w:r>
        <w:rPr>
          <w:rFonts w:hint="eastAsia" w:ascii="宋体" w:hAnsi="宋体" w:cs="宋体"/>
          <w:bCs/>
          <w:snapToGrid w:val="0"/>
          <w:szCs w:val="21"/>
          <w:highlight w:val="none"/>
          <w:lang w:val="en-US" w:eastAsia="zh-CN"/>
        </w:rPr>
        <w:t>4</w:t>
      </w:r>
      <w:r>
        <w:rPr>
          <w:rFonts w:hint="eastAsia" w:ascii="宋体" w:hAnsi="宋体" w:cs="宋体"/>
          <w:bCs/>
          <w:snapToGrid w:val="0"/>
          <w:szCs w:val="21"/>
          <w:highlight w:val="none"/>
        </w:rPr>
        <w:t>室</w:t>
      </w:r>
      <w:r>
        <w:rPr>
          <w:rFonts w:hint="eastAsia" w:ascii="宋体" w:hAnsi="宋体" w:cs="宋体"/>
          <w:bCs/>
          <w:snapToGrid w:val="0"/>
          <w:szCs w:val="21"/>
          <w:highlight w:val="none"/>
          <w:lang w:val="en-US" w:eastAsia="zh-CN"/>
        </w:rPr>
        <w:t>,评标3室</w:t>
      </w:r>
      <w:bookmarkStart w:id="59" w:name="_GoBack"/>
      <w:bookmarkEnd w:id="59"/>
      <w:r>
        <w:rPr>
          <w:rFonts w:hint="eastAsia" w:ascii="宋体" w:hAnsi="宋体" w:cs="宋体"/>
          <w:bCs/>
          <w:snapToGrid w:val="0"/>
          <w:szCs w:val="21"/>
          <w:highlight w:val="none"/>
          <w:lang w:eastAsia="zh-CN"/>
        </w:rPr>
        <w:t>。</w:t>
      </w:r>
    </w:p>
    <w:p>
      <w:pPr>
        <w:pStyle w:val="52"/>
        <w:ind w:left="0" w:leftChars="0" w:firstLine="420" w:firstLineChars="200"/>
        <w:rPr>
          <w:rFonts w:hint="eastAsia"/>
          <w:lang w:eastAsia="zh-CN"/>
        </w:rPr>
      </w:pPr>
      <w:r>
        <w:rPr>
          <w:rFonts w:hint="eastAsia"/>
          <w:highlight w:val="none"/>
          <w:lang w:val="en-US" w:eastAsia="zh-CN"/>
        </w:rPr>
        <w:t>3.</w:t>
      </w:r>
      <w:r>
        <w:rPr>
          <w:rFonts w:hint="eastAsia"/>
          <w:highlight w:val="none"/>
          <w:lang w:eastAsia="zh-CN"/>
        </w:rPr>
        <w:t>逾期送达的或者未送达指定地点的响应文件，采购人不予受</w:t>
      </w:r>
      <w:r>
        <w:rPr>
          <w:rFonts w:hint="eastAsia"/>
          <w:lang w:eastAsia="zh-CN"/>
        </w:rPr>
        <w:t>理。</w:t>
      </w:r>
    </w:p>
    <w:p>
      <w:pPr>
        <w:pStyle w:val="52"/>
        <w:ind w:left="0" w:leftChars="0" w:firstLine="420" w:firstLineChars="200"/>
        <w:rPr>
          <w:rFonts w:hint="eastAsia"/>
          <w:lang w:eastAsia="zh-CN"/>
        </w:rPr>
      </w:pPr>
      <w:r>
        <w:rPr>
          <w:rFonts w:hint="eastAsia"/>
          <w:lang w:val="en-US" w:eastAsia="zh-CN"/>
        </w:rPr>
        <w:t>4.</w:t>
      </w:r>
      <w:r>
        <w:rPr>
          <w:rFonts w:hint="eastAsia"/>
          <w:lang w:eastAsia="zh-CN"/>
        </w:rPr>
        <w:t>本项目采用全流程电子化采购，需通过政府采购云平台（https://www.zcygov.cn/）递交电子响应文件。操作流程：供应商在政府采购云平台注册入库成为正式供应商后，在平台按《政府采购项目电子交易管理操作指南-供应商》进行操作。由于供应商自身原因在递交响应文件截止时间前无法完成办理的，后果自负。</w:t>
      </w:r>
    </w:p>
    <w:p>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szCs w:val="21"/>
          <w:highlight w:val="none"/>
          <w:lang w:val="en-US" w:eastAsia="zh-CN"/>
        </w:rPr>
      </w:pPr>
      <w:r>
        <w:rPr>
          <w:rFonts w:hint="eastAsia" w:ascii="宋体" w:hAnsi="宋体" w:cs="宋体"/>
          <w:b/>
          <w:snapToGrid w:val="0"/>
          <w:szCs w:val="21"/>
          <w:highlight w:val="none"/>
        </w:rPr>
        <w:t>五、公告期限</w:t>
      </w:r>
      <w:r>
        <w:rPr>
          <w:rFonts w:hint="eastAsia" w:ascii="宋体" w:hAnsi="宋体" w:cs="宋体"/>
          <w:b/>
          <w:snapToGrid w:val="0"/>
          <w:szCs w:val="21"/>
          <w:highlight w:val="none"/>
          <w:lang w:val="en-US" w:eastAsia="zh-CN"/>
        </w:rPr>
        <w:t>:</w:t>
      </w:r>
    </w:p>
    <w:p>
      <w:pPr>
        <w:pageBreakBefore w:val="0"/>
        <w:tabs>
          <w:tab w:val="left" w:pos="0"/>
        </w:tabs>
        <w:kinsoku/>
        <w:wordWrap/>
        <w:overflowPunct/>
        <w:topLinePunct w:val="0"/>
        <w:autoSpaceDE/>
        <w:autoSpaceDN/>
        <w:bidi w:val="0"/>
        <w:snapToGrid/>
        <w:spacing w:line="360" w:lineRule="auto"/>
        <w:ind w:firstLine="421"/>
        <w:textAlignment w:val="auto"/>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rPr>
        <w:t>自本公告发布之日起3个工作日</w:t>
      </w:r>
      <w:r>
        <w:rPr>
          <w:rFonts w:hint="eastAsia" w:ascii="宋体" w:hAnsi="宋体" w:cs="宋体"/>
          <w:bCs/>
          <w:snapToGrid w:val="0"/>
          <w:szCs w:val="21"/>
          <w:highlight w:val="none"/>
          <w:lang w:eastAsia="zh-CN"/>
        </w:rPr>
        <w:t>。</w:t>
      </w:r>
    </w:p>
    <w:p>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szCs w:val="21"/>
          <w:highlight w:val="none"/>
          <w:lang w:val="en-US" w:eastAsia="zh-CN"/>
        </w:rPr>
      </w:pPr>
      <w:r>
        <w:rPr>
          <w:rFonts w:hint="eastAsia" w:cs="宋体"/>
          <w:b/>
          <w:snapToGrid w:val="0"/>
          <w:szCs w:val="21"/>
          <w:highlight w:val="none"/>
        </w:rPr>
        <w:t>六、</w:t>
      </w:r>
      <w:r>
        <w:rPr>
          <w:rFonts w:hint="eastAsia" w:ascii="宋体" w:hAnsi="宋体" w:cs="宋体"/>
          <w:b/>
          <w:snapToGrid w:val="0"/>
          <w:szCs w:val="21"/>
          <w:highlight w:val="none"/>
        </w:rPr>
        <w:t>其他补充事宜</w:t>
      </w:r>
      <w:r>
        <w:rPr>
          <w:rFonts w:hint="eastAsia" w:ascii="宋体" w:hAnsi="宋体" w:cs="宋体"/>
          <w:b/>
          <w:snapToGrid w:val="0"/>
          <w:szCs w:val="21"/>
          <w:highlight w:val="none"/>
          <w:lang w:val="en-US" w:eastAsia="zh-CN"/>
        </w:rPr>
        <w:t>:</w:t>
      </w:r>
    </w:p>
    <w:p>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w:t>
      </w:r>
      <w:r>
        <w:rPr>
          <w:rFonts w:hint="eastAsia" w:ascii="宋体" w:hAnsi="宋体" w:cs="宋体"/>
          <w:szCs w:val="21"/>
          <w:highlight w:val="none"/>
        </w:rPr>
        <w:t>公告发布媒体：“政采云”平台（http:// www.zcygov.cn），同步推送到吉林省政府采购网（http://www.ccgp-jilin.gov.cn/），并同时在长春市公共资源交易网、中国政府采购网上发布。</w:t>
      </w:r>
    </w:p>
    <w:p>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w:t>
      </w:r>
      <w:r>
        <w:rPr>
          <w:rFonts w:hint="eastAsia" w:ascii="宋体" w:hAnsi="宋体" w:cs="宋体"/>
          <w:szCs w:val="21"/>
          <w:highlight w:val="none"/>
        </w:rPr>
        <w:t xml:space="preserve">若对项目采购电子交易系统操作有疑问，可登录“政采云”平台（https://www.zcygov.cn/）点击右侧咨询小采，获取采小蜜智能服务管家帮助，或拨打政采云服务热线95763获取热线服务帮助。 </w:t>
      </w:r>
    </w:p>
    <w:p>
      <w:pPr>
        <w:pageBreakBefore w:val="0"/>
        <w:numPr>
          <w:ilvl w:val="0"/>
          <w:numId w:val="0"/>
        </w:numPr>
        <w:kinsoku/>
        <w:wordWrap/>
        <w:overflowPunct/>
        <w:topLinePunct w:val="0"/>
        <w:autoSpaceDE/>
        <w:autoSpaceDN/>
        <w:bidi w:val="0"/>
        <w:snapToGrid/>
        <w:spacing w:line="360" w:lineRule="auto"/>
        <w:textAlignment w:val="auto"/>
        <w:rPr>
          <w:rFonts w:hint="eastAsia" w:ascii="宋体" w:hAnsi="宋体" w:cs="宋体"/>
          <w:b/>
          <w:szCs w:val="21"/>
          <w:highlight w:val="none"/>
        </w:rPr>
      </w:pPr>
      <w:r>
        <w:rPr>
          <w:rFonts w:hint="eastAsia" w:ascii="宋体" w:hAnsi="宋体" w:cs="宋体"/>
          <w:b/>
          <w:szCs w:val="21"/>
          <w:highlight w:val="none"/>
          <w:lang w:val="en-US" w:eastAsia="zh-CN"/>
        </w:rPr>
        <w:t>七、</w:t>
      </w:r>
      <w:r>
        <w:rPr>
          <w:rFonts w:hint="eastAsia" w:ascii="宋体" w:hAnsi="宋体" w:cs="宋体"/>
          <w:b/>
          <w:szCs w:val="21"/>
          <w:highlight w:val="none"/>
        </w:rPr>
        <w:t>对本次招标提出询问，请按以下方式联系：</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1.采购人信息</w:t>
      </w:r>
    </w:p>
    <w:p>
      <w:pPr>
        <w:pageBreakBefore w:val="0"/>
        <w:kinsoku/>
        <w:wordWrap/>
        <w:overflowPunct/>
        <w:topLinePunct w:val="0"/>
        <w:autoSpaceDE/>
        <w:autoSpaceDN/>
        <w:bidi w:val="0"/>
        <w:snapToGrid/>
        <w:spacing w:line="360" w:lineRule="auto"/>
        <w:ind w:firstLine="437"/>
        <w:textAlignment w:val="auto"/>
        <w:rPr>
          <w:rFonts w:hint="eastAsia" w:ascii="宋体" w:hAnsi="宋体" w:cs="宋体"/>
          <w:szCs w:val="21"/>
          <w:highlight w:val="none"/>
        </w:rPr>
      </w:pPr>
      <w:r>
        <w:rPr>
          <w:rFonts w:hint="eastAsia" w:ascii="宋体" w:hAnsi="宋体" w:cs="宋体"/>
          <w:szCs w:val="21"/>
          <w:highlight w:val="none"/>
        </w:rPr>
        <w:t>采购人：</w:t>
      </w:r>
      <w:r>
        <w:rPr>
          <w:rFonts w:hint="eastAsia" w:ascii="宋体" w:hAnsi="宋体" w:cs="宋体"/>
          <w:szCs w:val="21"/>
          <w:highlight w:val="none"/>
          <w:lang w:eastAsia="zh-CN"/>
        </w:rPr>
        <w:t>长春市双阳区第一实验小学</w:t>
      </w:r>
      <w:r>
        <w:rPr>
          <w:rFonts w:hint="eastAsia" w:ascii="宋体" w:hAnsi="宋体" w:cs="宋体"/>
          <w:szCs w:val="21"/>
          <w:highlight w:val="none"/>
          <w:lang w:val="en-US" w:eastAsia="zh-CN"/>
        </w:rPr>
        <w:t xml:space="preserve">  </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地址：长春市双阳区</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line="360" w:lineRule="auto"/>
        <w:ind w:firstLine="420" w:firstLineChars="200"/>
        <w:textAlignment w:val="auto"/>
        <w:rPr>
          <w:rFonts w:hint="eastAsia" w:ascii="宋体" w:hAnsi="宋体" w:cs="宋体"/>
          <w:highlight w:val="none"/>
        </w:rPr>
      </w:pPr>
      <w:r>
        <w:rPr>
          <w:rFonts w:hint="eastAsia" w:ascii="宋体" w:hAnsi="宋体" w:cs="宋体"/>
          <w:highlight w:val="none"/>
        </w:rPr>
        <w:t>联系人：</w:t>
      </w:r>
      <w:r>
        <w:rPr>
          <w:rFonts w:hint="eastAsia" w:ascii="宋体" w:hAnsi="宋体" w:cs="宋体"/>
          <w:highlight w:val="none"/>
          <w:lang w:val="en-US" w:eastAsia="zh-CN"/>
        </w:rPr>
        <w:t>刘洋</w:t>
      </w:r>
      <w:r>
        <w:rPr>
          <w:rFonts w:hint="eastAsia" w:ascii="宋体" w:hAnsi="宋体" w:cs="宋体"/>
          <w:highlight w:val="none"/>
        </w:rPr>
        <w:t xml:space="preserve"> </w:t>
      </w:r>
      <w:r>
        <w:rPr>
          <w:rFonts w:hint="eastAsia" w:ascii="宋体" w:hAnsi="宋体" w:cs="宋体"/>
          <w:highlight w:val="none"/>
          <w:lang w:val="en-US" w:eastAsia="zh-CN"/>
        </w:rPr>
        <w:t xml:space="preserve">15981078885 </w:t>
      </w:r>
      <w:r>
        <w:rPr>
          <w:rFonts w:hint="eastAsia" w:ascii="宋体" w:hAnsi="宋体" w:cs="宋体"/>
          <w:highlight w:val="none"/>
        </w:rPr>
        <w:t xml:space="preserve">    </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2.代理机构联系方式</w:t>
      </w:r>
    </w:p>
    <w:p>
      <w:pPr>
        <w:keepNext w:val="0"/>
        <w:keepLines w:val="0"/>
        <w:pageBreakBefore w:val="0"/>
        <w:kinsoku/>
        <w:wordWrap/>
        <w:overflowPunct/>
        <w:topLinePunct w:val="0"/>
        <w:autoSpaceDE/>
        <w:autoSpaceDN/>
        <w:bidi w:val="0"/>
        <w:adjustRightInd/>
        <w:snapToGrid/>
        <w:spacing w:line="360" w:lineRule="auto"/>
        <w:ind w:firstLine="437"/>
        <w:textAlignment w:val="auto"/>
        <w:rPr>
          <w:rFonts w:hint="eastAsia" w:ascii="宋体" w:hAnsi="宋体" w:eastAsia="宋体" w:cs="宋体"/>
          <w:szCs w:val="21"/>
          <w:highlight w:val="none"/>
          <w:lang w:eastAsia="zh-CN"/>
        </w:rPr>
      </w:pPr>
      <w:r>
        <w:rPr>
          <w:rFonts w:hint="eastAsia" w:ascii="宋体" w:hAnsi="宋体" w:cs="宋体"/>
          <w:szCs w:val="21"/>
          <w:highlight w:val="none"/>
          <w:lang w:val="en-US" w:eastAsia="zh-CN"/>
        </w:rPr>
        <w:t>采购</w:t>
      </w:r>
      <w:r>
        <w:rPr>
          <w:rFonts w:hint="eastAsia" w:ascii="宋体" w:hAnsi="宋体" w:cs="宋体"/>
          <w:szCs w:val="21"/>
          <w:highlight w:val="none"/>
        </w:rPr>
        <w:t>代理机构：</w:t>
      </w:r>
      <w:r>
        <w:rPr>
          <w:rFonts w:hint="eastAsia" w:ascii="宋体" w:hAnsi="宋体" w:cs="宋体"/>
          <w:szCs w:val="21"/>
          <w:highlight w:val="none"/>
          <w:lang w:eastAsia="zh-CN"/>
        </w:rPr>
        <w:t>吉林省恒信工程管理有限公司</w:t>
      </w:r>
    </w:p>
    <w:p>
      <w:pPr>
        <w:pStyle w:val="12"/>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地址：长春市双阳区通阳路以北上和城36-1号楼104号 </w:t>
      </w:r>
    </w:p>
    <w:p>
      <w:pPr>
        <w:pStyle w:val="12"/>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联系</w:t>
      </w:r>
      <w:r>
        <w:rPr>
          <w:rFonts w:hint="eastAsia" w:ascii="宋体" w:hAnsi="宋体" w:eastAsia="宋体" w:cs="宋体"/>
          <w:sz w:val="21"/>
          <w:szCs w:val="21"/>
          <w:highlight w:val="none"/>
          <w:lang w:val="en-US" w:eastAsia="zh-CN"/>
        </w:rPr>
        <w:t>方式</w:t>
      </w:r>
      <w:r>
        <w:rPr>
          <w:rFonts w:hint="eastAsia" w:ascii="宋体" w:hAnsi="宋体" w:eastAsia="宋体" w:cs="宋体"/>
          <w:sz w:val="21"/>
          <w:szCs w:val="21"/>
          <w:highlight w:val="none"/>
        </w:rPr>
        <w:t>：</w:t>
      </w:r>
      <w:r>
        <w:rPr>
          <w:rFonts w:hint="eastAsia" w:ascii="宋体" w:hAnsi="宋体" w:cs="宋体"/>
          <w:sz w:val="21"/>
          <w:szCs w:val="21"/>
          <w:highlight w:val="none"/>
          <w:lang w:eastAsia="zh-CN"/>
        </w:rPr>
        <w:t>单一歌</w:t>
      </w:r>
      <w:r>
        <w:rPr>
          <w:rFonts w:hint="eastAsia" w:ascii="宋体" w:hAnsi="宋体" w:cs="宋体"/>
          <w:sz w:val="21"/>
          <w:szCs w:val="21"/>
          <w:highlight w:val="none"/>
          <w:lang w:val="en-US" w:eastAsia="zh-CN"/>
        </w:rPr>
        <w:t xml:space="preserve"> 16664300157</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3.项目联系方式</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eastAsia="zh-CN"/>
        </w:rPr>
        <w:t>单一歌</w:t>
      </w:r>
      <w:r>
        <w:rPr>
          <w:rFonts w:hint="eastAsia" w:ascii="宋体" w:hAnsi="宋体" w:cs="宋体"/>
          <w:sz w:val="21"/>
          <w:szCs w:val="21"/>
          <w:highlight w:val="none"/>
          <w:lang w:val="en-US" w:eastAsia="zh-CN"/>
        </w:rPr>
        <w:t xml:space="preserve"> </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联系方式：</w:t>
      </w:r>
      <w:r>
        <w:rPr>
          <w:rFonts w:hint="eastAsia" w:ascii="宋体" w:hAnsi="宋体" w:cs="宋体"/>
          <w:szCs w:val="21"/>
          <w:highlight w:val="none"/>
          <w:lang w:val="en-US" w:eastAsia="zh-CN"/>
        </w:rPr>
        <w:t>16664300157</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4.监督部门：长春市双阳区政府采购管理</w:t>
      </w:r>
      <w:r>
        <w:rPr>
          <w:rFonts w:hint="eastAsia" w:ascii="宋体" w:hAnsi="宋体" w:cs="宋体"/>
          <w:szCs w:val="21"/>
          <w:highlight w:val="none"/>
          <w:lang w:eastAsia="zh-CN"/>
        </w:rPr>
        <w:t>工作</w:t>
      </w:r>
      <w:r>
        <w:rPr>
          <w:rFonts w:hint="eastAsia" w:ascii="宋体" w:hAnsi="宋体" w:cs="宋体"/>
          <w:szCs w:val="21"/>
          <w:highlight w:val="none"/>
        </w:rPr>
        <w:t>办公室</w:t>
      </w:r>
    </w:p>
    <w:p>
      <w:pPr>
        <w:spacing w:line="360" w:lineRule="auto"/>
        <w:ind w:firstLine="444" w:firstLineChars="200"/>
        <w:jc w:val="center"/>
        <w:rPr>
          <w:rFonts w:hint="eastAsia" w:ascii="宋体" w:hAnsi="宋体" w:cs="宋体"/>
          <w:spacing w:val="6"/>
          <w:szCs w:val="21"/>
          <w:highlight w:val="none"/>
        </w:rPr>
      </w:pPr>
      <w:r>
        <w:rPr>
          <w:rFonts w:hint="eastAsia" w:ascii="宋体" w:hAnsi="宋体" w:cs="宋体"/>
          <w:spacing w:val="6"/>
          <w:szCs w:val="21"/>
          <w:highlight w:val="none"/>
        </w:rPr>
        <w:t xml:space="preserve">                                                   202</w:t>
      </w:r>
      <w:r>
        <w:rPr>
          <w:rFonts w:hint="eastAsia" w:ascii="宋体" w:hAnsi="宋体" w:cs="宋体"/>
          <w:spacing w:val="6"/>
          <w:szCs w:val="21"/>
          <w:highlight w:val="none"/>
          <w:lang w:val="en-US" w:eastAsia="zh-CN"/>
        </w:rPr>
        <w:t>5</w:t>
      </w:r>
      <w:r>
        <w:rPr>
          <w:rFonts w:hint="eastAsia" w:ascii="宋体" w:hAnsi="宋体" w:cs="宋体"/>
          <w:spacing w:val="6"/>
          <w:szCs w:val="21"/>
          <w:highlight w:val="none"/>
        </w:rPr>
        <w:t>年</w:t>
      </w:r>
      <w:r>
        <w:rPr>
          <w:rFonts w:hint="eastAsia" w:ascii="宋体" w:hAnsi="宋体" w:cs="宋体"/>
          <w:spacing w:val="6"/>
          <w:szCs w:val="21"/>
          <w:highlight w:val="none"/>
          <w:lang w:val="en-US" w:eastAsia="zh-CN"/>
        </w:rPr>
        <w:t>07</w:t>
      </w:r>
      <w:r>
        <w:rPr>
          <w:rFonts w:hint="eastAsia" w:ascii="宋体" w:hAnsi="宋体" w:cs="宋体"/>
          <w:spacing w:val="6"/>
          <w:szCs w:val="21"/>
          <w:highlight w:val="none"/>
        </w:rPr>
        <w:t>月</w:t>
      </w:r>
      <w:r>
        <w:rPr>
          <w:rFonts w:hint="eastAsia" w:ascii="宋体" w:hAnsi="宋体" w:cs="宋体"/>
          <w:spacing w:val="6"/>
          <w:szCs w:val="21"/>
          <w:highlight w:val="none"/>
          <w:lang w:val="en-US" w:eastAsia="zh-CN"/>
        </w:rPr>
        <w:t>21</w:t>
      </w:r>
      <w:r>
        <w:rPr>
          <w:rFonts w:hint="eastAsia" w:ascii="宋体" w:hAnsi="宋体" w:cs="宋体"/>
          <w:spacing w:val="6"/>
          <w:szCs w:val="21"/>
          <w:highlight w:val="none"/>
        </w:rPr>
        <w:t>日</w:t>
      </w:r>
    </w:p>
    <w:p>
      <w:pPr>
        <w:pStyle w:val="79"/>
        <w:rPr>
          <w:rFonts w:hint="eastAsia"/>
          <w:highlight w:val="none"/>
        </w:rPr>
      </w:pPr>
      <w:bookmarkStart w:id="6" w:name="_Toc432277438"/>
      <w:bookmarkStart w:id="7" w:name="_Toc455565642"/>
      <w:bookmarkStart w:id="8" w:name="_Toc432264366"/>
      <w:r>
        <w:rPr>
          <w:rFonts w:hint="eastAsia"/>
          <w:highlight w:val="none"/>
        </w:rPr>
        <w:t xml:space="preserve">                              </w:t>
      </w:r>
    </w:p>
    <w:p>
      <w:pPr>
        <w:pStyle w:val="2"/>
        <w:spacing w:before="0" w:after="0" w:line="360" w:lineRule="auto"/>
        <w:jc w:val="center"/>
        <w:rPr>
          <w:rFonts w:hint="eastAsia"/>
          <w:sz w:val="28"/>
          <w:szCs w:val="28"/>
          <w:highlight w:val="none"/>
        </w:rPr>
      </w:pPr>
      <w:r>
        <w:rPr>
          <w:rFonts w:hint="eastAsia"/>
          <w:sz w:val="28"/>
          <w:szCs w:val="28"/>
          <w:highlight w:val="none"/>
        </w:rPr>
        <w:br w:type="page"/>
      </w:r>
      <w:bookmarkEnd w:id="6"/>
      <w:bookmarkEnd w:id="7"/>
      <w:bookmarkEnd w:id="8"/>
      <w:r>
        <w:rPr>
          <w:rFonts w:hint="eastAsia"/>
          <w:sz w:val="28"/>
          <w:szCs w:val="28"/>
          <w:highlight w:val="none"/>
        </w:rPr>
        <w:t xml:space="preserve">第二章  </w:t>
      </w:r>
      <w:r>
        <w:rPr>
          <w:rFonts w:hint="eastAsia"/>
          <w:sz w:val="28"/>
          <w:szCs w:val="28"/>
          <w:highlight w:val="none"/>
          <w:lang w:eastAsia="zh-CN"/>
        </w:rPr>
        <w:t>供应商</w:t>
      </w:r>
      <w:r>
        <w:rPr>
          <w:rFonts w:hint="eastAsia"/>
          <w:sz w:val="28"/>
          <w:szCs w:val="28"/>
          <w:highlight w:val="none"/>
        </w:rPr>
        <w:t>须知</w:t>
      </w:r>
    </w:p>
    <w:p>
      <w:pPr>
        <w:tabs>
          <w:tab w:val="left" w:pos="1065"/>
          <w:tab w:val="center" w:pos="4411"/>
        </w:tabs>
        <w:spacing w:line="360" w:lineRule="auto"/>
        <w:jc w:val="center"/>
        <w:rPr>
          <w:b/>
          <w:sz w:val="24"/>
          <w:highlight w:val="none"/>
        </w:rPr>
      </w:pPr>
      <w:r>
        <w:rPr>
          <w:rFonts w:hint="eastAsia"/>
          <w:b/>
          <w:sz w:val="24"/>
          <w:highlight w:val="none"/>
        </w:rPr>
        <w:t>供 应 商  须 知 前 附 表</w:t>
      </w:r>
    </w:p>
    <w:tbl>
      <w:tblPr>
        <w:tblStyle w:val="49"/>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2"/>
        <w:gridCol w:w="1901"/>
        <w:gridCol w:w="6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序号</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条款号</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条款名称</w:t>
            </w:r>
          </w:p>
        </w:tc>
        <w:tc>
          <w:tcPr>
            <w:tcW w:w="6462" w:type="dxa"/>
            <w:vAlign w:val="center"/>
          </w:tcPr>
          <w:p>
            <w:pPr>
              <w:spacing w:line="360" w:lineRule="exact"/>
              <w:jc w:val="center"/>
              <w:rPr>
                <w:rFonts w:ascii="宋体" w:hAnsi="宋体"/>
                <w:szCs w:val="21"/>
                <w:highlight w:val="none"/>
              </w:rPr>
            </w:pPr>
            <w:r>
              <w:rPr>
                <w:rFonts w:hint="eastAsia" w:ascii="宋体" w:hAnsi="宋体"/>
                <w:szCs w:val="21"/>
                <w:highlight w:val="none"/>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1</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1.1</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项目名称及项目编号</w:t>
            </w:r>
          </w:p>
        </w:tc>
        <w:tc>
          <w:tcPr>
            <w:tcW w:w="6462" w:type="dxa"/>
            <w:vAlign w:val="center"/>
          </w:tcPr>
          <w:p>
            <w:pPr>
              <w:spacing w:line="360" w:lineRule="exact"/>
              <w:rPr>
                <w:rFonts w:hint="eastAsia" w:ascii="宋体" w:hAnsi="宋体" w:eastAsia="宋体"/>
                <w:spacing w:val="-20"/>
                <w:sz w:val="21"/>
                <w:szCs w:val="21"/>
                <w:highlight w:val="none"/>
                <w:lang w:eastAsia="zh-CN"/>
              </w:rPr>
            </w:pPr>
            <w:r>
              <w:rPr>
                <w:rFonts w:hint="eastAsia" w:ascii="宋体" w:hAnsi="宋体"/>
                <w:szCs w:val="21"/>
                <w:highlight w:val="none"/>
              </w:rPr>
              <w:t>项目名称：</w:t>
            </w:r>
            <w:r>
              <w:rPr>
                <w:rFonts w:hint="eastAsia" w:ascii="宋体" w:hAnsi="宋体" w:cs="黑体"/>
                <w:bCs/>
                <w:kern w:val="0"/>
                <w:szCs w:val="21"/>
                <w:highlight w:val="none"/>
                <w:lang w:eastAsia="zh-CN"/>
              </w:rPr>
              <w:t>长春市双阳区第一实验小学厨房设备采购项目</w:t>
            </w:r>
          </w:p>
          <w:p>
            <w:pPr>
              <w:spacing w:line="360" w:lineRule="exact"/>
              <w:rPr>
                <w:rFonts w:hint="default" w:ascii="宋体" w:hAnsi="宋体" w:eastAsia="宋体"/>
                <w:szCs w:val="21"/>
                <w:highlight w:val="none"/>
                <w:lang w:val="en-US" w:eastAsia="zh-CN"/>
              </w:rPr>
            </w:pPr>
            <w:r>
              <w:rPr>
                <w:rFonts w:hint="eastAsia" w:ascii="宋体" w:hAnsi="宋体"/>
                <w:szCs w:val="21"/>
                <w:highlight w:val="none"/>
              </w:rPr>
              <w:t>项目编号：</w:t>
            </w:r>
            <w:r>
              <w:rPr>
                <w:rFonts w:hint="eastAsia" w:ascii="宋体" w:hAnsi="宋体"/>
                <w:szCs w:val="21"/>
                <w:highlight w:val="none"/>
                <w:lang w:val="en-US" w:eastAsia="zh-CN"/>
              </w:rPr>
              <w:t>采购计划-[2025]-00079号-JLHXZB2025009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7"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2</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3</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供应商资格</w:t>
            </w:r>
          </w:p>
        </w:tc>
        <w:tc>
          <w:tcPr>
            <w:tcW w:w="6462" w:type="dxa"/>
            <w:vAlign w:val="center"/>
          </w:tcPr>
          <w:p>
            <w:pPr>
              <w:tabs>
                <w:tab w:val="left" w:pos="5100"/>
              </w:tabs>
              <w:snapToGrid w:val="0"/>
              <w:spacing w:line="360" w:lineRule="exact"/>
              <w:rPr>
                <w:rFonts w:hint="eastAsia"/>
                <w:highlight w:val="none"/>
              </w:rPr>
            </w:pPr>
            <w:r>
              <w:rPr>
                <w:rFonts w:hint="eastAsia"/>
                <w:highlight w:val="none"/>
              </w:rPr>
              <w:t>1.满足《中华人民共和国政府采购法》第二十二条规定；</w:t>
            </w:r>
          </w:p>
          <w:p>
            <w:pPr>
              <w:tabs>
                <w:tab w:val="left" w:pos="5100"/>
              </w:tabs>
              <w:snapToGrid w:val="0"/>
              <w:spacing w:line="360" w:lineRule="exact"/>
              <w:rPr>
                <w:rFonts w:hint="default"/>
                <w:highlight w:val="none"/>
                <w:lang w:val="en-US"/>
              </w:rPr>
            </w:pPr>
            <w:r>
              <w:rPr>
                <w:rFonts w:hint="eastAsia"/>
                <w:highlight w:val="none"/>
              </w:rPr>
              <w:t>2.落实政府采购政策需满足的资格要求：</w:t>
            </w:r>
            <w:r>
              <w:rPr>
                <w:rFonts w:hint="eastAsia" w:ascii="宋体" w:hAnsi="宋体" w:eastAsia="宋体" w:cs="宋体"/>
                <w:sz w:val="21"/>
                <w:szCs w:val="21"/>
                <w:highlight w:val="none"/>
              </w:rPr>
              <w:t>本项目专门面向中小企业采购</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 xml:space="preserve"> </w:t>
            </w:r>
          </w:p>
          <w:p>
            <w:pPr>
              <w:tabs>
                <w:tab w:val="left" w:pos="5100"/>
              </w:tabs>
              <w:snapToGrid w:val="0"/>
              <w:spacing w:line="360" w:lineRule="exact"/>
              <w:rPr>
                <w:rFonts w:hint="eastAsia"/>
                <w:highlight w:val="none"/>
              </w:rPr>
            </w:pPr>
            <w:r>
              <w:rPr>
                <w:rFonts w:hint="eastAsia"/>
                <w:highlight w:val="none"/>
              </w:rPr>
              <w:t>需要落实的政府采购政策：《中华人民共和国中小企业促进法》、《关于促进中小企业健康发展的指导意见》、《政府采购促进中小企业发展管理办法》（财库[2020]46号）、《关于进一步加大政府采购支持中小企业力度的通知》（财库〔2022〕19号）、《财政部、司法部关于政府采购支持监狱企业发展有关问题的通知》（财库[2014]68号）、《关于促进残疾人就业政府采购政策的通知》（财库〔2017〕141号）、《吉林省促进中小企业发展条例》和《长春市财政局关于做好我市政府采购促进中小企业发展有关工作的通知》、《关于政府采购支持监狱企业发展有关问题的通知》(财库〔2014〕68 号)等</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3</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4</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谈判费用</w:t>
            </w:r>
          </w:p>
        </w:tc>
        <w:tc>
          <w:tcPr>
            <w:tcW w:w="6462" w:type="dxa"/>
            <w:vAlign w:val="center"/>
          </w:tcPr>
          <w:p>
            <w:pPr>
              <w:spacing w:line="360" w:lineRule="exact"/>
              <w:rPr>
                <w:rFonts w:ascii="宋体" w:hAnsi="宋体"/>
                <w:szCs w:val="21"/>
                <w:highlight w:val="none"/>
              </w:rPr>
            </w:pPr>
            <w:r>
              <w:rPr>
                <w:rFonts w:hint="eastAsia" w:ascii="宋体" w:hAnsi="宋体"/>
                <w:szCs w:val="21"/>
                <w:highlight w:val="none"/>
              </w:rPr>
              <w:t>不论</w:t>
            </w:r>
            <w:r>
              <w:rPr>
                <w:rFonts w:hint="eastAsia" w:ascii="宋体" w:hAnsi="宋体" w:cs="宋体"/>
                <w:szCs w:val="21"/>
                <w:highlight w:val="none"/>
              </w:rPr>
              <w:t>谈判</w:t>
            </w:r>
            <w:r>
              <w:rPr>
                <w:rFonts w:hint="eastAsia" w:ascii="宋体" w:hAnsi="宋体"/>
                <w:szCs w:val="21"/>
                <w:highlight w:val="none"/>
              </w:rPr>
              <w:t>结果如何，供应商均应自行承担所有与</w:t>
            </w:r>
            <w:r>
              <w:rPr>
                <w:rFonts w:hint="eastAsia" w:ascii="宋体" w:hAnsi="宋体" w:cs="宋体"/>
                <w:szCs w:val="21"/>
                <w:highlight w:val="none"/>
              </w:rPr>
              <w:t>谈判</w:t>
            </w:r>
            <w:r>
              <w:rPr>
                <w:rFonts w:hint="eastAsia" w:ascii="宋体" w:hAnsi="宋体"/>
                <w:szCs w:val="21"/>
                <w:highlight w:val="none"/>
              </w:rPr>
              <w:t>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534" w:type="dxa"/>
            <w:vAlign w:val="center"/>
          </w:tcPr>
          <w:p>
            <w:pPr>
              <w:spacing w:line="360" w:lineRule="exact"/>
              <w:jc w:val="center"/>
              <w:rPr>
                <w:rFonts w:hint="eastAsia" w:ascii="宋体" w:hAnsi="宋体"/>
                <w:szCs w:val="21"/>
                <w:highlight w:val="none"/>
              </w:rPr>
            </w:pPr>
            <w:r>
              <w:rPr>
                <w:rFonts w:hint="eastAsia" w:ascii="宋体" w:hAnsi="宋体"/>
                <w:szCs w:val="21"/>
                <w:highlight w:val="none"/>
              </w:rPr>
              <w:t>4</w:t>
            </w:r>
          </w:p>
        </w:tc>
        <w:tc>
          <w:tcPr>
            <w:tcW w:w="992" w:type="dxa"/>
            <w:vAlign w:val="center"/>
          </w:tcPr>
          <w:p>
            <w:pPr>
              <w:spacing w:line="360" w:lineRule="exact"/>
              <w:jc w:val="center"/>
              <w:rPr>
                <w:rFonts w:hint="eastAsia" w:ascii="宋体" w:hAnsi="宋体"/>
                <w:szCs w:val="21"/>
                <w:highlight w:val="none"/>
              </w:rPr>
            </w:pPr>
            <w:r>
              <w:rPr>
                <w:rFonts w:hint="eastAsia" w:ascii="宋体" w:hAnsi="宋体"/>
                <w:szCs w:val="21"/>
                <w:highlight w:val="none"/>
              </w:rPr>
              <w:t>11.4</w:t>
            </w:r>
          </w:p>
        </w:tc>
        <w:tc>
          <w:tcPr>
            <w:tcW w:w="1901" w:type="dxa"/>
            <w:vAlign w:val="center"/>
          </w:tcPr>
          <w:p>
            <w:pPr>
              <w:spacing w:line="320" w:lineRule="exact"/>
              <w:jc w:val="center"/>
              <w:rPr>
                <w:rFonts w:ascii="宋体" w:hAnsi="宋体"/>
                <w:szCs w:val="21"/>
                <w:highlight w:val="none"/>
              </w:rPr>
            </w:pPr>
            <w:r>
              <w:rPr>
                <w:rFonts w:hint="eastAsia" w:ascii="宋体" w:hAnsi="宋体"/>
                <w:szCs w:val="21"/>
                <w:highlight w:val="none"/>
              </w:rPr>
              <w:t>响应文件电子版</w:t>
            </w:r>
          </w:p>
        </w:tc>
        <w:tc>
          <w:tcPr>
            <w:tcW w:w="6462" w:type="dxa"/>
            <w:vAlign w:val="center"/>
          </w:tcPr>
          <w:p>
            <w:pPr>
              <w:snapToGrid w:val="0"/>
              <w:spacing w:line="360" w:lineRule="exact"/>
              <w:jc w:val="left"/>
              <w:rPr>
                <w:rFonts w:hint="eastAsia" w:ascii="宋体" w:hAnsi="宋体" w:eastAsia="宋体" w:cs="Courier New"/>
                <w:szCs w:val="21"/>
                <w:highlight w:val="none"/>
                <w:lang w:eastAsia="zh-CN"/>
              </w:rPr>
            </w:pPr>
            <w:r>
              <w:rPr>
                <w:rFonts w:hint="eastAsia" w:ascii="宋体" w:hAnsi="宋体" w:cs="Courier New"/>
                <w:szCs w:val="21"/>
                <w:highlight w:val="none"/>
              </w:rPr>
              <w:t>供应商在递交响应文件时，同时递交响应文件电子版一份</w:t>
            </w:r>
            <w:r>
              <w:rPr>
                <w:rFonts w:hint="eastAsia" w:ascii="宋体" w:hAnsi="宋体" w:cs="Courier New"/>
                <w:szCs w:val="21"/>
                <w:highlight w:val="none"/>
                <w:lang w:eastAsia="zh-CN"/>
              </w:rPr>
              <w:t>。</w:t>
            </w:r>
          </w:p>
          <w:p>
            <w:pPr>
              <w:numPr>
                <w:ilvl w:val="0"/>
                <w:numId w:val="2"/>
              </w:numPr>
              <w:snapToGrid w:val="0"/>
              <w:spacing w:line="360" w:lineRule="exact"/>
              <w:jc w:val="left"/>
              <w:rPr>
                <w:rFonts w:hint="eastAsia"/>
                <w:highlight w:val="none"/>
              </w:rPr>
            </w:pPr>
            <w:r>
              <w:rPr>
                <w:rFonts w:hint="eastAsia" w:ascii="宋体" w:hAnsi="宋体" w:cs="Courier New"/>
                <w:szCs w:val="21"/>
                <w:highlight w:val="none"/>
              </w:rPr>
              <w:t>响应文件电子版内容：与纸质响应文件一致。</w:t>
            </w:r>
          </w:p>
          <w:p>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（2）响应文件电子版份数：</w:t>
            </w:r>
            <w:r>
              <w:rPr>
                <w:rFonts w:hint="eastAsia" w:ascii="宋体" w:hAnsi="宋体" w:cs="Courier New"/>
                <w:szCs w:val="21"/>
                <w:highlight w:val="none"/>
                <w:lang w:val="en-US" w:eastAsia="zh-CN"/>
              </w:rPr>
              <w:t>1</w:t>
            </w:r>
            <w:r>
              <w:rPr>
                <w:rFonts w:hint="eastAsia" w:ascii="宋体" w:hAnsi="宋体" w:cs="Courier New"/>
                <w:szCs w:val="21"/>
                <w:highlight w:val="none"/>
              </w:rPr>
              <w:t>份。</w:t>
            </w:r>
          </w:p>
          <w:p>
            <w:pPr>
              <w:snapToGrid w:val="0"/>
              <w:spacing w:line="360" w:lineRule="exact"/>
              <w:jc w:val="left"/>
              <w:rPr>
                <w:rFonts w:hAnsi="宋体"/>
                <w:szCs w:val="21"/>
                <w:highlight w:val="none"/>
              </w:rPr>
            </w:pPr>
            <w:r>
              <w:rPr>
                <w:rFonts w:hint="eastAsia" w:ascii="宋体" w:hAnsi="宋体" w:cs="Courier New"/>
                <w:szCs w:val="21"/>
                <w:highlight w:val="none"/>
              </w:rPr>
              <w:t>（3）响应文件电子版形式：可编辑的word文档</w:t>
            </w:r>
            <w:r>
              <w:rPr>
                <w:rFonts w:hint="eastAsia" w:ascii="宋体" w:hAnsi="宋体" w:cs="Courier New"/>
                <w:szCs w:val="21"/>
                <w:highlight w:val="none"/>
                <w:lang w:val="en-US" w:eastAsia="zh-CN"/>
              </w:rPr>
              <w:t>和PDF版</w:t>
            </w:r>
            <w:r>
              <w:rPr>
                <w:rFonts w:hint="eastAsia" w:ascii="宋体" w:hAnsi="宋体" w:cs="Courier New"/>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5</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13</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谈判报价及</w:t>
            </w:r>
            <w:r>
              <w:rPr>
                <w:rFonts w:hint="eastAsia" w:ascii="宋体" w:hAnsi="宋体"/>
                <w:position w:val="-2"/>
                <w:szCs w:val="21"/>
                <w:highlight w:val="none"/>
              </w:rPr>
              <w:t>采购预算总金额</w:t>
            </w:r>
          </w:p>
        </w:tc>
        <w:tc>
          <w:tcPr>
            <w:tcW w:w="6462" w:type="dxa"/>
            <w:vAlign w:val="center"/>
          </w:tcPr>
          <w:p>
            <w:pPr>
              <w:spacing w:line="360" w:lineRule="exact"/>
              <w:rPr>
                <w:rFonts w:ascii="宋体" w:hAnsi="宋体"/>
                <w:szCs w:val="21"/>
                <w:highlight w:val="none"/>
              </w:rPr>
            </w:pPr>
            <w:r>
              <w:rPr>
                <w:rFonts w:hint="eastAsia" w:ascii="宋体" w:hAnsi="宋体"/>
                <w:szCs w:val="21"/>
                <w:highlight w:val="none"/>
              </w:rPr>
              <w:t>13.2 供应商必须就“</w:t>
            </w:r>
            <w:r>
              <w:rPr>
                <w:rFonts w:hint="eastAsia" w:ascii="宋体" w:hAnsi="宋体"/>
                <w:szCs w:val="21"/>
                <w:highlight w:val="none"/>
                <w:lang w:eastAsia="zh-CN"/>
              </w:rPr>
              <w:t>货物</w:t>
            </w:r>
            <w:r>
              <w:rPr>
                <w:rFonts w:hint="eastAsia" w:ascii="宋体" w:hAnsi="宋体"/>
                <w:szCs w:val="21"/>
                <w:highlight w:val="none"/>
              </w:rPr>
              <w:t>采购需求”中公布的采购内容作完整唯一报价，否则，其响应文件无效。响应文件只允许有一个报价，有选择的或有条件的报价将不予接受。</w:t>
            </w:r>
          </w:p>
          <w:p>
            <w:pPr>
              <w:spacing w:line="360" w:lineRule="exact"/>
              <w:rPr>
                <w:rFonts w:ascii="宋体" w:hAnsi="宋体"/>
                <w:kern w:val="0"/>
                <w:szCs w:val="21"/>
                <w:highlight w:val="none"/>
              </w:rPr>
            </w:pPr>
            <w:r>
              <w:rPr>
                <w:rFonts w:hint="eastAsia" w:ascii="宋体" w:hAnsi="宋体"/>
                <w:szCs w:val="21"/>
                <w:highlight w:val="none"/>
              </w:rPr>
              <w:t>13.5</w:t>
            </w:r>
            <w:r>
              <w:rPr>
                <w:rFonts w:hint="eastAsia" w:ascii="宋体" w:hAnsi="宋体"/>
                <w:kern w:val="0"/>
                <w:szCs w:val="21"/>
                <w:highlight w:val="none"/>
              </w:rPr>
              <w:t>未退出谈判的</w:t>
            </w:r>
            <w:r>
              <w:rPr>
                <w:rFonts w:ascii="宋体" w:hAnsi="宋体"/>
                <w:kern w:val="0"/>
                <w:szCs w:val="21"/>
                <w:highlight w:val="none"/>
              </w:rPr>
              <w:t>供应商在规定时间内</w:t>
            </w:r>
            <w:r>
              <w:rPr>
                <w:rFonts w:hint="eastAsia" w:ascii="宋体" w:hAnsi="宋体"/>
                <w:kern w:val="0"/>
                <w:szCs w:val="21"/>
                <w:highlight w:val="none"/>
                <w:lang w:val="en-US" w:eastAsia="zh-CN"/>
              </w:rPr>
              <w:t>单独线上进行</w:t>
            </w:r>
            <w:r>
              <w:rPr>
                <w:rFonts w:hint="eastAsia" w:ascii="宋体" w:hAnsi="宋体"/>
                <w:kern w:val="0"/>
                <w:szCs w:val="21"/>
                <w:highlight w:val="none"/>
              </w:rPr>
              <w:t>二次</w:t>
            </w:r>
            <w:r>
              <w:rPr>
                <w:rFonts w:ascii="宋体" w:hAnsi="宋体"/>
                <w:kern w:val="0"/>
                <w:szCs w:val="21"/>
                <w:highlight w:val="none"/>
              </w:rPr>
              <w:t>报价</w:t>
            </w:r>
            <w:r>
              <w:rPr>
                <w:rFonts w:hint="eastAsia" w:ascii="宋体" w:hAnsi="宋体"/>
                <w:kern w:val="0"/>
                <w:szCs w:val="21"/>
                <w:highlight w:val="none"/>
              </w:rPr>
              <w:t>，其二次报价超出采购预算导致已通过评审的响应文件无效的，按供应商在提交响应文件截止时间后撤回响应文件处理。</w:t>
            </w:r>
          </w:p>
          <w:p>
            <w:pPr>
              <w:spacing w:line="360" w:lineRule="exact"/>
              <w:rPr>
                <w:rFonts w:ascii="宋体" w:hAnsi="宋体"/>
                <w:szCs w:val="21"/>
                <w:highlight w:val="none"/>
              </w:rPr>
            </w:pPr>
            <w:r>
              <w:rPr>
                <w:rFonts w:hint="eastAsia" w:ascii="宋体" w:hAnsi="宋体"/>
                <w:szCs w:val="21"/>
                <w:highlight w:val="none"/>
              </w:rPr>
              <w:t>13.6本项目政府采购预算金额（人民币）：</w:t>
            </w:r>
            <w:r>
              <w:rPr>
                <w:rFonts w:hint="eastAsia" w:ascii="宋体" w:hAnsi="宋体" w:cs="黑体"/>
                <w:bCs/>
                <w:kern w:val="0"/>
                <w:szCs w:val="21"/>
                <w:highlight w:val="none"/>
                <w:lang w:val="en-US" w:eastAsia="zh-CN"/>
              </w:rPr>
              <w:t>82.97833万元，</w:t>
            </w:r>
            <w:r>
              <w:rPr>
                <w:rFonts w:hint="eastAsia" w:ascii="宋体" w:hAnsi="宋体"/>
                <w:szCs w:val="21"/>
                <w:highlight w:val="none"/>
              </w:rPr>
              <w:t>超出采购预算金额</w:t>
            </w:r>
            <w:r>
              <w:rPr>
                <w:rFonts w:hint="eastAsia" w:ascii="宋体" w:hAnsi="宋体"/>
                <w:szCs w:val="21"/>
                <w:highlight w:val="none"/>
                <w:lang w:eastAsia="zh-CN"/>
              </w:rPr>
              <w:t>总价的</w:t>
            </w:r>
            <w:r>
              <w:rPr>
                <w:rFonts w:hint="eastAsia" w:ascii="宋体" w:hAnsi="宋体"/>
                <w:szCs w:val="21"/>
                <w:highlight w:val="none"/>
              </w:rPr>
              <w:t>响应文件作无效处理。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6</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14.1</w:t>
            </w:r>
          </w:p>
        </w:tc>
        <w:tc>
          <w:tcPr>
            <w:tcW w:w="1901" w:type="dxa"/>
            <w:vAlign w:val="center"/>
          </w:tcPr>
          <w:p>
            <w:pPr>
              <w:spacing w:line="360" w:lineRule="exact"/>
              <w:jc w:val="center"/>
              <w:rPr>
                <w:rFonts w:ascii="宋体" w:hAnsi="宋体"/>
                <w:position w:val="-2"/>
                <w:szCs w:val="21"/>
                <w:highlight w:val="none"/>
              </w:rPr>
            </w:pPr>
            <w:r>
              <w:rPr>
                <w:rFonts w:hint="eastAsia" w:ascii="宋体" w:hAnsi="宋体"/>
                <w:position w:val="-2"/>
                <w:szCs w:val="21"/>
                <w:highlight w:val="none"/>
              </w:rPr>
              <w:t>响应文件有效期</w:t>
            </w:r>
          </w:p>
        </w:tc>
        <w:tc>
          <w:tcPr>
            <w:tcW w:w="6462" w:type="dxa"/>
            <w:vAlign w:val="center"/>
          </w:tcPr>
          <w:p>
            <w:pPr>
              <w:spacing w:line="360" w:lineRule="exact"/>
              <w:rPr>
                <w:rFonts w:ascii="宋体" w:hAnsi="宋体"/>
                <w:szCs w:val="21"/>
                <w:highlight w:val="none"/>
              </w:rPr>
            </w:pPr>
            <w:r>
              <w:rPr>
                <w:rFonts w:hint="eastAsia" w:ascii="宋体" w:hAnsi="宋体"/>
                <w:szCs w:val="21"/>
                <w:highlight w:val="none"/>
              </w:rPr>
              <w:t>响应文件递交截止时间之日起90天，有效期不足的响应文件将被拒绝。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5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7</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15</w:t>
            </w:r>
          </w:p>
        </w:tc>
        <w:tc>
          <w:tcPr>
            <w:tcW w:w="190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谈判保证金</w:t>
            </w:r>
          </w:p>
        </w:tc>
        <w:tc>
          <w:tcPr>
            <w:tcW w:w="646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为进一步深化“放管服”改革，切实减轻企业负担，加快推动企业诚信体系建设，优化营商环境，推动我市经济高质量发展，对政府采购货物和服务招标投标活动及非招标采购方式采购货物、工程和服务不向诚信记录良好的投标人收取投标保证金，根据《中华人民共和国政府采购法》第二十二条有关规定，经“信用中国”网站查询，诚信记录良好的投标人不收取投标保证金，存在行政处罚信息的投标人，采购代理机构按规定收取以下数额投标保证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保证金的金额:人民币</w:t>
            </w:r>
            <w:r>
              <w:rPr>
                <w:rFonts w:hint="eastAsia" w:ascii="宋体" w:hAnsi="宋体"/>
                <w:szCs w:val="21"/>
                <w:highlight w:val="none"/>
                <w:lang w:eastAsia="zh-CN"/>
              </w:rPr>
              <w:t>捌仟贰佰</w:t>
            </w:r>
            <w:r>
              <w:rPr>
                <w:rFonts w:hint="eastAsia" w:ascii="宋体" w:hAnsi="宋体"/>
                <w:szCs w:val="21"/>
                <w:highlight w:val="none"/>
              </w:rPr>
              <w:t>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投标保证金形式:投标保证金应当采用支票、汇票、本票或者金融机构、担保机构出具的保函等非现金形式交纳、提交或转账、电汇(转账、电汇须从投标人的基本账户转出)。(转账、电汇须从投标人的基本账户转出)。</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lang w:eastAsia="zh-CN"/>
              </w:rPr>
              <w:t>采购</w:t>
            </w:r>
            <w:r>
              <w:rPr>
                <w:rFonts w:hint="eastAsia" w:ascii="宋体" w:hAnsi="宋体"/>
                <w:szCs w:val="21"/>
                <w:highlight w:val="none"/>
              </w:rPr>
              <w:t>代理机构的开户银行及账号如下:</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eastAsia="zh-CN"/>
              </w:rPr>
              <w:t>户名：吉林省</w:t>
            </w:r>
            <w:r>
              <w:rPr>
                <w:rFonts w:hint="eastAsia" w:ascii="宋体" w:hAnsi="宋体" w:eastAsia="宋体" w:cs="Times New Roman"/>
                <w:szCs w:val="21"/>
                <w:highlight w:val="none"/>
                <w:lang w:val="en-US" w:eastAsia="zh-CN"/>
              </w:rPr>
              <w:t>恒信工程管理有限公司</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开户银行：中国工商银行股份有限公司长春双阳支行</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帐号：4200211009200323624</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注:谈判保证金是</w:t>
            </w:r>
            <w:r>
              <w:rPr>
                <w:rFonts w:hint="eastAsia" w:ascii="宋体" w:hAnsi="宋体"/>
                <w:szCs w:val="21"/>
                <w:highlight w:val="none"/>
                <w:lang w:eastAsia="zh-CN"/>
              </w:rPr>
              <w:t>响应</w:t>
            </w:r>
            <w:r>
              <w:rPr>
                <w:rFonts w:hint="eastAsia" w:ascii="宋体" w:hAnsi="宋体"/>
                <w:szCs w:val="21"/>
                <w:highlight w:val="none"/>
              </w:rPr>
              <w:t>文件的组成部分，未按要求提交的，视为放弃投标，采购人将不接受其投标文件。</w:t>
            </w:r>
            <w:r>
              <w:rPr>
                <w:rFonts w:hint="eastAsia" w:ascii="宋体" w:hAnsi="宋体"/>
                <w:szCs w:val="21"/>
                <w:highlight w:val="none"/>
                <w:lang w:eastAsia="zh-CN"/>
              </w:rPr>
              <w:t>供应商</w:t>
            </w:r>
            <w:r>
              <w:rPr>
                <w:rFonts w:hint="eastAsia" w:ascii="宋体" w:hAnsi="宋体"/>
                <w:szCs w:val="21"/>
                <w:highlight w:val="none"/>
              </w:rPr>
              <w:t>应在银行进账单或电汇凭证上简明用途、项目名称、联系人及电话，以便核对查实。以保函形式提交的投标保证金应当于开标前将原件递交至</w:t>
            </w:r>
            <w:r>
              <w:rPr>
                <w:rFonts w:hint="eastAsia" w:ascii="宋体" w:hAnsi="宋体"/>
                <w:szCs w:val="21"/>
                <w:highlight w:val="none"/>
                <w:lang w:eastAsia="zh-CN"/>
              </w:rPr>
              <w:t>采购</w:t>
            </w:r>
            <w:r>
              <w:rPr>
                <w:rFonts w:hint="eastAsia" w:ascii="宋体" w:hAnsi="宋体"/>
                <w:szCs w:val="21"/>
                <w:highlight w:val="none"/>
              </w:rPr>
              <w:t>代理机构，信誉良好的供应商</w:t>
            </w:r>
            <w:r>
              <w:rPr>
                <w:rFonts w:hint="eastAsia" w:ascii="宋体" w:hAnsi="宋体"/>
                <w:szCs w:val="21"/>
                <w:highlight w:val="none"/>
                <w:lang w:eastAsia="zh-CN"/>
              </w:rPr>
              <w:t>在</w:t>
            </w:r>
            <w:r>
              <w:rPr>
                <w:rFonts w:hint="eastAsia" w:ascii="宋体" w:hAnsi="宋体" w:cs="宋体"/>
                <w:b w:val="0"/>
                <w:bCs w:val="0"/>
                <w:sz w:val="21"/>
                <w:szCs w:val="21"/>
                <w:lang w:eastAsia="zh-CN"/>
              </w:rPr>
              <w:t>文件内附信用中国网站及国家企业信用信息公示系统查询无</w:t>
            </w:r>
            <w:r>
              <w:rPr>
                <w:rFonts w:hint="eastAsia" w:ascii="宋体" w:hAnsi="宋体" w:eastAsia="宋体" w:cs="宋体"/>
                <w:b w:val="0"/>
                <w:bCs w:val="0"/>
                <w:szCs w:val="21"/>
              </w:rPr>
              <w:t>行政处罚信息</w:t>
            </w:r>
            <w:r>
              <w:rPr>
                <w:rFonts w:hint="eastAsia" w:ascii="宋体" w:hAnsi="宋体" w:cs="宋体"/>
                <w:b w:val="0"/>
                <w:bCs w:val="0"/>
                <w:szCs w:val="21"/>
                <w:lang w:eastAsia="zh-CN"/>
              </w:rPr>
              <w:t>截图并加盖公章。</w:t>
            </w:r>
            <w:r>
              <w:rPr>
                <w:rFonts w:hint="eastAsia" w:ascii="宋体" w:hAnsi="宋体"/>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8</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16</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响应文件份数</w:t>
            </w:r>
          </w:p>
        </w:tc>
        <w:tc>
          <w:tcPr>
            <w:tcW w:w="6462" w:type="dxa"/>
            <w:vAlign w:val="center"/>
          </w:tcPr>
          <w:p>
            <w:pPr>
              <w:spacing w:line="360" w:lineRule="exact"/>
              <w:rPr>
                <w:rFonts w:hint="eastAsia" w:ascii="宋体" w:hAnsi="宋体" w:eastAsia="宋体"/>
                <w:szCs w:val="21"/>
                <w:highlight w:val="none"/>
                <w:lang w:val="en-US" w:eastAsia="zh-CN"/>
              </w:rPr>
            </w:pPr>
            <w:r>
              <w:rPr>
                <w:rFonts w:hint="eastAsia" w:ascii="宋体" w:hAnsi="宋体"/>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9</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16.2</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响应文件装订要求</w:t>
            </w:r>
          </w:p>
        </w:tc>
        <w:tc>
          <w:tcPr>
            <w:tcW w:w="6462" w:type="dxa"/>
          </w:tcPr>
          <w:p>
            <w:pPr>
              <w:spacing w:line="360" w:lineRule="exact"/>
              <w:rPr>
                <w:rFonts w:ascii="宋体" w:hAnsi="宋体"/>
                <w:szCs w:val="21"/>
                <w:highlight w:val="none"/>
              </w:rPr>
            </w:pPr>
            <w:r>
              <w:rPr>
                <w:rFonts w:hint="eastAsia" w:ascii="宋体" w:hAnsi="宋体"/>
                <w:szCs w:val="21"/>
                <w:highlight w:val="none"/>
              </w:rPr>
              <w:t>供应商应按供应商须知第11.1条“响应文件组成”规定的顺序自编目录及页码，响应文件的“正本”、“副本”应当单独装订成册并标注页码，装订应牢固，不易拆散和换页。封面应注明“正本”、“副本”字样，封面上写明项目名称、项目编号、采购代理机构、供应商单位名称</w:t>
            </w:r>
            <w:r>
              <w:rPr>
                <w:rFonts w:hint="eastAsia" w:ascii="宋体" w:hAnsi="宋体"/>
                <w:szCs w:val="21"/>
                <w:highlight w:val="none"/>
                <w:lang w:eastAsia="zh-CN"/>
              </w:rPr>
              <w:t>、地址、法定代表人签字盖章日期等内容组成。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10</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16.6</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响应文件包装标记</w:t>
            </w:r>
          </w:p>
        </w:tc>
        <w:tc>
          <w:tcPr>
            <w:tcW w:w="6462" w:type="dxa"/>
            <w:vAlign w:val="center"/>
          </w:tcPr>
          <w:p>
            <w:pPr>
              <w:spacing w:line="360" w:lineRule="exact"/>
              <w:rPr>
                <w:rFonts w:hint="default" w:ascii="宋体" w:hAnsi="宋体" w:eastAsia="宋体"/>
                <w:spacing w:val="-4"/>
                <w:szCs w:val="21"/>
                <w:highlight w:val="none"/>
                <w:lang w:val="en-US" w:eastAsia="zh-CN"/>
              </w:rPr>
            </w:pPr>
            <w:r>
              <w:rPr>
                <w:rFonts w:hint="eastAsia" w:ascii="宋体" w:hAnsi="宋体"/>
                <w:spacing w:val="-4"/>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11</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16.7</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供应商公章</w:t>
            </w:r>
          </w:p>
        </w:tc>
        <w:tc>
          <w:tcPr>
            <w:tcW w:w="6462" w:type="dxa"/>
            <w:vAlign w:val="center"/>
          </w:tcPr>
          <w:p>
            <w:pPr>
              <w:spacing w:line="360" w:lineRule="exact"/>
              <w:rPr>
                <w:rFonts w:ascii="宋体" w:hAnsi="宋体"/>
                <w:szCs w:val="21"/>
                <w:highlight w:val="none"/>
              </w:rPr>
            </w:pPr>
            <w:r>
              <w:rPr>
                <w:rFonts w:ascii="宋体" w:hAnsi="宋体" w:cs="宋体"/>
                <w:szCs w:val="21"/>
                <w:highlight w:val="none"/>
              </w:rPr>
              <w:t>本</w:t>
            </w:r>
            <w:r>
              <w:rPr>
                <w:rFonts w:hint="eastAsia" w:ascii="宋体" w:hAnsi="宋体" w:cs="宋体"/>
                <w:szCs w:val="21"/>
                <w:highlight w:val="none"/>
              </w:rPr>
              <w:t>竞争性谈判文件</w:t>
            </w:r>
            <w:r>
              <w:rPr>
                <w:rFonts w:ascii="宋体" w:hAnsi="宋体" w:cs="宋体"/>
                <w:szCs w:val="21"/>
                <w:highlight w:val="none"/>
              </w:rPr>
              <w:t>中描述</w:t>
            </w:r>
            <w:r>
              <w:rPr>
                <w:rFonts w:hint="eastAsia" w:ascii="宋体" w:hAnsi="宋体" w:cs="宋体"/>
                <w:szCs w:val="21"/>
                <w:highlight w:val="none"/>
              </w:rPr>
              <w:t>供应商</w:t>
            </w:r>
            <w:r>
              <w:rPr>
                <w:rFonts w:ascii="宋体" w:hAnsi="宋体" w:cs="宋体"/>
                <w:szCs w:val="21"/>
                <w:highlight w:val="none"/>
              </w:rPr>
              <w:t>的“公章”是指根据我国对公章的管理规定，用</w:t>
            </w:r>
            <w:r>
              <w:rPr>
                <w:rFonts w:hint="eastAsia" w:ascii="宋体" w:hAnsi="宋体" w:cs="宋体"/>
                <w:szCs w:val="21"/>
                <w:highlight w:val="none"/>
              </w:rPr>
              <w:t>供应商</w:t>
            </w:r>
            <w:r>
              <w:rPr>
                <w:rFonts w:ascii="宋体" w:hAnsi="宋体" w:cs="宋体"/>
                <w:szCs w:val="21"/>
                <w:highlight w:val="none"/>
              </w:rPr>
              <w:t>法定主体行为名称制作的印章，除本文件有特殊规定外，</w:t>
            </w:r>
            <w:r>
              <w:rPr>
                <w:rFonts w:hint="eastAsia" w:ascii="宋体" w:hAnsi="宋体" w:cs="宋体"/>
                <w:szCs w:val="21"/>
                <w:highlight w:val="none"/>
              </w:rPr>
              <w:t>供应商</w:t>
            </w:r>
            <w:r>
              <w:rPr>
                <w:rFonts w:ascii="宋体" w:hAnsi="宋体" w:cs="宋体"/>
                <w:szCs w:val="21"/>
                <w:highlight w:val="none"/>
              </w:rPr>
              <w:t>的财务章、部门章、分公司章、工会章、合同章、</w:t>
            </w:r>
            <w:r>
              <w:rPr>
                <w:rFonts w:hint="eastAsia" w:ascii="宋体" w:hAnsi="宋体" w:cs="宋体"/>
                <w:szCs w:val="21"/>
                <w:highlight w:val="none"/>
              </w:rPr>
              <w:t>谈判</w:t>
            </w:r>
            <w:r>
              <w:rPr>
                <w:rFonts w:ascii="宋体" w:hAnsi="宋体" w:cs="宋体"/>
                <w:szCs w:val="21"/>
                <w:highlight w:val="none"/>
              </w:rPr>
              <w:t>专用章、业务专用章及银行的转账章、现金收讫章、现金付讫章</w:t>
            </w:r>
            <w:r>
              <w:rPr>
                <w:rFonts w:hint="eastAsia" w:ascii="宋体" w:hAnsi="宋体" w:cs="宋体"/>
                <w:szCs w:val="21"/>
                <w:highlight w:val="none"/>
                <w:lang w:eastAsia="zh-CN"/>
              </w:rPr>
              <w:t>、</w:t>
            </w:r>
            <w:r>
              <w:rPr>
                <w:rFonts w:hint="eastAsia" w:ascii="宋体" w:hAnsi="宋体" w:cs="宋体"/>
                <w:szCs w:val="21"/>
                <w:highlight w:val="none"/>
                <w:lang w:val="en-US" w:eastAsia="zh-CN"/>
              </w:rPr>
              <w:t>其他形式非正规公章</w:t>
            </w:r>
            <w:r>
              <w:rPr>
                <w:rFonts w:ascii="宋体" w:hAnsi="宋体" w:cs="宋体"/>
                <w:szCs w:val="21"/>
                <w:highlight w:val="none"/>
              </w:rPr>
              <w:t>等其它形式印章均不能代替公章</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12</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18.1</w:t>
            </w:r>
          </w:p>
        </w:tc>
        <w:tc>
          <w:tcPr>
            <w:tcW w:w="1901" w:type="dxa"/>
            <w:vAlign w:val="center"/>
          </w:tcPr>
          <w:p>
            <w:pPr>
              <w:spacing w:line="360" w:lineRule="exact"/>
              <w:jc w:val="center"/>
              <w:rPr>
                <w:rFonts w:hint="eastAsia" w:ascii="宋体" w:hAnsi="宋体" w:eastAsia="宋体"/>
                <w:szCs w:val="21"/>
                <w:highlight w:val="none"/>
                <w:lang w:eastAsia="zh-CN"/>
              </w:rPr>
            </w:pPr>
            <w:r>
              <w:rPr>
                <w:rFonts w:hint="eastAsia" w:ascii="宋体" w:hAnsi="宋体"/>
                <w:szCs w:val="21"/>
                <w:highlight w:val="none"/>
              </w:rPr>
              <w:t>响应文件递交截止时间</w:t>
            </w:r>
            <w:r>
              <w:rPr>
                <w:rFonts w:hint="eastAsia" w:ascii="宋体" w:hAnsi="宋体"/>
                <w:szCs w:val="21"/>
                <w:highlight w:val="none"/>
                <w:lang w:eastAsia="zh-CN"/>
              </w:rPr>
              <w:t>及</w:t>
            </w:r>
            <w:r>
              <w:rPr>
                <w:rFonts w:hint="eastAsia" w:ascii="宋体" w:hAnsi="宋体"/>
                <w:szCs w:val="21"/>
                <w:highlight w:val="none"/>
              </w:rPr>
              <w:t>地点</w:t>
            </w:r>
          </w:p>
        </w:tc>
        <w:tc>
          <w:tcPr>
            <w:tcW w:w="6462" w:type="dxa"/>
            <w:vAlign w:val="center"/>
          </w:tcPr>
          <w:p>
            <w:pPr>
              <w:spacing w:line="360" w:lineRule="exact"/>
              <w:rPr>
                <w:rFonts w:hint="eastAsia" w:ascii="宋体" w:hAnsi="宋体" w:cs="黑体"/>
                <w:b w:val="0"/>
                <w:color w:val="000000"/>
                <w:kern w:val="0"/>
                <w:sz w:val="21"/>
                <w:szCs w:val="21"/>
                <w:highlight w:val="yellow"/>
                <w:lang w:val="en-US" w:eastAsia="zh-CN"/>
              </w:rPr>
            </w:pPr>
            <w:r>
              <w:rPr>
                <w:rFonts w:hint="eastAsia" w:ascii="宋体" w:hAnsi="宋体"/>
                <w:i w:val="0"/>
                <w:iCs w:val="0"/>
                <w:szCs w:val="21"/>
                <w:highlight w:val="none"/>
              </w:rPr>
              <w:t>响应文件递交截止时间：</w:t>
            </w:r>
            <w:r>
              <w:rPr>
                <w:rFonts w:hint="eastAsia" w:ascii="宋体" w:hAnsi="宋体" w:cs="黑体"/>
                <w:b w:val="0"/>
                <w:color w:val="000000"/>
                <w:kern w:val="0"/>
                <w:sz w:val="21"/>
                <w:szCs w:val="21"/>
                <w:highlight w:val="none"/>
                <w:lang w:val="en-US" w:eastAsia="zh-CN"/>
              </w:rPr>
              <w:t>2025年07月25日17点30分</w:t>
            </w:r>
          </w:p>
          <w:p>
            <w:pPr>
              <w:spacing w:line="360" w:lineRule="exact"/>
              <w:rPr>
                <w:rFonts w:hint="eastAsia" w:ascii="宋体" w:hAnsi="宋体" w:eastAsia="宋体" w:cs="黑体"/>
                <w:b w:val="0"/>
                <w:color w:val="000000"/>
                <w:kern w:val="0"/>
                <w:sz w:val="21"/>
                <w:szCs w:val="21"/>
                <w:highlight w:val="yellow"/>
                <w:lang w:val="en-US" w:eastAsia="zh-CN"/>
              </w:rPr>
            </w:pPr>
            <w:r>
              <w:rPr>
                <w:rFonts w:hint="eastAsia" w:ascii="宋体" w:hAnsi="宋体"/>
                <w:i w:val="0"/>
                <w:iCs w:val="0"/>
                <w:szCs w:val="21"/>
                <w:highlight w:val="none"/>
              </w:rPr>
              <w:t>响应文件递交</w:t>
            </w:r>
            <w:r>
              <w:rPr>
                <w:rFonts w:hint="eastAsia" w:ascii="宋体" w:hAnsi="宋体"/>
                <w:i w:val="0"/>
                <w:iCs w:val="0"/>
                <w:szCs w:val="21"/>
                <w:highlight w:val="none"/>
                <w:lang w:eastAsia="zh-CN"/>
              </w:rPr>
              <w:t>地点</w:t>
            </w:r>
            <w:r>
              <w:rPr>
                <w:rFonts w:hint="eastAsia" w:ascii="宋体" w:hAnsi="宋体"/>
                <w:i w:val="0"/>
                <w:iCs w:val="0"/>
                <w:szCs w:val="21"/>
                <w:highlight w:val="none"/>
              </w:rPr>
              <w:t>：</w:t>
            </w:r>
            <w:r>
              <w:rPr>
                <w:rFonts w:hint="eastAsia" w:ascii="宋体" w:hAnsi="宋体"/>
                <w:i w:val="0"/>
                <w:iCs w:val="0"/>
                <w:szCs w:val="21"/>
                <w:highlight w:val="none"/>
                <w:lang w:eastAsia="zh-CN"/>
              </w:rPr>
              <w:t>政采云线上提交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534" w:type="dxa"/>
            <w:vAlign w:val="center"/>
          </w:tcPr>
          <w:p>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13</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19.1</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谈判小组组成</w:t>
            </w:r>
          </w:p>
        </w:tc>
        <w:tc>
          <w:tcPr>
            <w:tcW w:w="6462" w:type="dxa"/>
            <w:vAlign w:val="center"/>
          </w:tcPr>
          <w:p>
            <w:pPr>
              <w:spacing w:line="360" w:lineRule="exact"/>
              <w:rPr>
                <w:rFonts w:hint="eastAsia" w:ascii="宋体" w:hAnsi="宋体"/>
                <w:i w:val="0"/>
                <w:iCs w:val="0"/>
                <w:szCs w:val="21"/>
                <w:highlight w:val="none"/>
              </w:rPr>
            </w:pPr>
            <w:r>
              <w:rPr>
                <w:rFonts w:hint="eastAsia" w:ascii="宋体" w:hAnsi="宋体"/>
                <w:i w:val="0"/>
                <w:iCs w:val="0"/>
                <w:szCs w:val="21"/>
                <w:highlight w:val="none"/>
              </w:rPr>
              <w:t>谈判及评审工作由采购代理机构负责组织，具体谈判、评审工作由依法组建的谈判小组负责，谈判小组由采购人代表和有关方面的专家组成。</w:t>
            </w:r>
          </w:p>
          <w:p>
            <w:pPr>
              <w:spacing w:line="360" w:lineRule="exact"/>
              <w:rPr>
                <w:rFonts w:ascii="宋体" w:hAnsi="宋体"/>
                <w:i w:val="0"/>
                <w:iCs w:val="0"/>
                <w:szCs w:val="21"/>
                <w:highlight w:val="none"/>
              </w:rPr>
            </w:pPr>
            <w:r>
              <w:rPr>
                <w:rFonts w:hint="eastAsia" w:ascii="宋体" w:hAnsi="宋体"/>
                <w:i w:val="0"/>
                <w:iCs w:val="0"/>
                <w:szCs w:val="21"/>
                <w:highlight w:val="none"/>
              </w:rPr>
              <w:t>谈判小组的构成：</w:t>
            </w:r>
            <w:r>
              <w:rPr>
                <w:rFonts w:hint="eastAsia" w:ascii="宋体" w:hAnsi="宋体"/>
                <w:i w:val="0"/>
                <w:iCs w:val="0"/>
                <w:szCs w:val="21"/>
                <w:highlight w:val="none"/>
                <w:u w:val="single"/>
              </w:rPr>
              <w:t>3</w:t>
            </w:r>
            <w:r>
              <w:rPr>
                <w:rFonts w:hint="eastAsia" w:ascii="宋体" w:hAnsi="宋体"/>
                <w:i w:val="0"/>
                <w:iCs w:val="0"/>
                <w:szCs w:val="21"/>
                <w:highlight w:val="none"/>
              </w:rPr>
              <w:t>人，其中采购人代表</w:t>
            </w:r>
            <w:r>
              <w:rPr>
                <w:rFonts w:hint="eastAsia" w:ascii="宋体" w:hAnsi="宋体"/>
                <w:i w:val="0"/>
                <w:iCs w:val="0"/>
                <w:szCs w:val="21"/>
                <w:highlight w:val="none"/>
                <w:u w:val="single"/>
              </w:rPr>
              <w:t xml:space="preserve"> 0</w:t>
            </w:r>
            <w:r>
              <w:rPr>
                <w:rFonts w:hint="eastAsia" w:ascii="宋体" w:hAnsi="宋体"/>
                <w:i w:val="0"/>
                <w:iCs w:val="0"/>
                <w:szCs w:val="21"/>
                <w:highlight w:val="none"/>
              </w:rPr>
              <w:t>人，专家</w:t>
            </w:r>
            <w:r>
              <w:rPr>
                <w:rFonts w:hint="eastAsia" w:ascii="宋体" w:hAnsi="宋体"/>
                <w:i w:val="0"/>
                <w:iCs w:val="0"/>
                <w:szCs w:val="21"/>
                <w:highlight w:val="none"/>
                <w:u w:val="single"/>
              </w:rPr>
              <w:t>3</w:t>
            </w:r>
            <w:r>
              <w:rPr>
                <w:rFonts w:hint="eastAsia" w:ascii="宋体" w:hAnsi="宋体"/>
                <w:i w:val="0"/>
                <w:iCs w:val="0"/>
                <w:szCs w:val="21"/>
                <w:highlight w:val="none"/>
              </w:rPr>
              <w:t>人。专家确定方式</w:t>
            </w:r>
            <w:r>
              <w:rPr>
                <w:rFonts w:hint="eastAsia" w:ascii="宋体" w:hAnsi="宋体"/>
                <w:i w:val="0"/>
                <w:iCs w:val="0"/>
                <w:szCs w:val="21"/>
                <w:highlight w:val="none"/>
                <w:u w:val="single"/>
              </w:rPr>
              <w:t>：</w:t>
            </w:r>
            <w:r>
              <w:rPr>
                <w:rFonts w:hint="eastAsia" w:ascii="宋体" w:hAnsi="宋体"/>
                <w:i w:val="0"/>
                <w:iCs w:val="0"/>
                <w:szCs w:val="21"/>
                <w:highlight w:val="none"/>
                <w:u w:val="single"/>
                <w:lang w:val="zh-CN"/>
              </w:rPr>
              <w:t>从</w:t>
            </w:r>
            <w:r>
              <w:rPr>
                <w:rFonts w:hint="eastAsia" w:ascii="宋体" w:hAnsi="宋体"/>
                <w:i w:val="0"/>
                <w:iCs w:val="0"/>
                <w:szCs w:val="21"/>
                <w:highlight w:val="none"/>
                <w:u w:val="single"/>
                <w:lang w:val="zh-CN" w:eastAsia="zh-CN"/>
              </w:rPr>
              <w:t>吉林省</w:t>
            </w:r>
            <w:r>
              <w:rPr>
                <w:rFonts w:hint="eastAsia" w:ascii="宋体" w:hAnsi="宋体"/>
                <w:i w:val="0"/>
                <w:iCs w:val="0"/>
                <w:szCs w:val="21"/>
                <w:highlight w:val="none"/>
                <w:u w:val="single"/>
                <w:lang w:val="en-US" w:eastAsia="zh-CN"/>
              </w:rPr>
              <w:t>政府采购云平台</w:t>
            </w:r>
            <w:r>
              <w:rPr>
                <w:rFonts w:hint="eastAsia" w:ascii="宋体" w:hAnsi="宋体"/>
                <w:i w:val="0"/>
                <w:iCs w:val="0"/>
                <w:szCs w:val="21"/>
                <w:highlight w:val="none"/>
                <w:u w:val="single"/>
                <w:lang w:val="zh-CN"/>
              </w:rPr>
              <w:t>专家库中随机抽取</w:t>
            </w:r>
            <w:r>
              <w:rPr>
                <w:rFonts w:hint="eastAsia" w:ascii="宋体" w:hAnsi="宋体"/>
                <w:i w:val="0"/>
                <w:iCs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534" w:type="dxa"/>
            <w:vAlign w:val="center"/>
          </w:tcPr>
          <w:p>
            <w:pPr>
              <w:spacing w:line="360" w:lineRule="exact"/>
              <w:jc w:val="center"/>
              <w:rPr>
                <w:rFonts w:hint="eastAsia" w:ascii="宋体" w:hAnsi="宋体" w:eastAsia="宋体"/>
                <w:szCs w:val="21"/>
                <w:highlight w:val="none"/>
                <w:lang w:eastAsia="zh-CN"/>
              </w:rPr>
            </w:pPr>
            <w:r>
              <w:rPr>
                <w:rFonts w:hint="eastAsia" w:ascii="宋体" w:hAnsi="宋体"/>
                <w:szCs w:val="21"/>
                <w:highlight w:val="none"/>
              </w:rPr>
              <w:t>1</w:t>
            </w:r>
            <w:r>
              <w:rPr>
                <w:rFonts w:hint="eastAsia" w:ascii="宋体" w:hAnsi="宋体"/>
                <w:szCs w:val="21"/>
                <w:highlight w:val="none"/>
                <w:lang w:val="en-US" w:eastAsia="zh-CN"/>
              </w:rPr>
              <w:t>4</w:t>
            </w:r>
          </w:p>
        </w:tc>
        <w:tc>
          <w:tcPr>
            <w:tcW w:w="992" w:type="dxa"/>
            <w:vAlign w:val="center"/>
          </w:tcPr>
          <w:p>
            <w:pPr>
              <w:spacing w:line="360" w:lineRule="exact"/>
              <w:jc w:val="center"/>
              <w:rPr>
                <w:rFonts w:ascii="宋体" w:hAnsi="宋体"/>
                <w:spacing w:val="-6"/>
                <w:szCs w:val="21"/>
                <w:highlight w:val="none"/>
              </w:rPr>
            </w:pPr>
            <w:r>
              <w:rPr>
                <w:rFonts w:hint="eastAsia" w:ascii="宋体" w:hAnsi="宋体"/>
                <w:spacing w:val="-6"/>
                <w:szCs w:val="21"/>
                <w:highlight w:val="none"/>
              </w:rPr>
              <w:t>19.2</w:t>
            </w:r>
          </w:p>
        </w:tc>
        <w:tc>
          <w:tcPr>
            <w:tcW w:w="1901" w:type="dxa"/>
            <w:vAlign w:val="center"/>
          </w:tcPr>
          <w:p>
            <w:pPr>
              <w:spacing w:line="360" w:lineRule="exact"/>
              <w:jc w:val="center"/>
              <w:rPr>
                <w:rFonts w:ascii="宋体" w:hAnsi="宋体"/>
                <w:spacing w:val="-6"/>
                <w:szCs w:val="21"/>
                <w:highlight w:val="none"/>
              </w:rPr>
            </w:pPr>
            <w:r>
              <w:rPr>
                <w:rFonts w:hint="eastAsia" w:ascii="宋体" w:hAnsi="宋体"/>
                <w:szCs w:val="21"/>
                <w:highlight w:val="none"/>
              </w:rPr>
              <w:t>谈判时间、地点、人员</w:t>
            </w:r>
          </w:p>
        </w:tc>
        <w:tc>
          <w:tcPr>
            <w:tcW w:w="6462" w:type="dxa"/>
            <w:vAlign w:val="center"/>
          </w:tcPr>
          <w:p>
            <w:pPr>
              <w:spacing w:line="360" w:lineRule="exact"/>
              <w:rPr>
                <w:rFonts w:ascii="宋体" w:hAnsi="宋体"/>
                <w:i w:val="0"/>
                <w:iCs w:val="0"/>
                <w:szCs w:val="21"/>
                <w:highlight w:val="none"/>
              </w:rPr>
            </w:pPr>
            <w:r>
              <w:rPr>
                <w:rFonts w:hint="eastAsia" w:ascii="宋体" w:hAnsi="宋体"/>
                <w:i w:val="0"/>
                <w:iCs w:val="0"/>
                <w:szCs w:val="21"/>
                <w:highlight w:val="none"/>
              </w:rPr>
              <w:t>19.2.1谈判时间：响应文件递交截止时间后。</w:t>
            </w:r>
          </w:p>
          <w:p>
            <w:pPr>
              <w:spacing w:line="360" w:lineRule="exact"/>
              <w:rPr>
                <w:rFonts w:hint="eastAsia" w:ascii="宋体" w:hAnsi="宋体" w:eastAsia="宋体" w:cs="宋体"/>
                <w:bCs/>
                <w:i w:val="0"/>
                <w:iCs w:val="0"/>
                <w:snapToGrid w:val="0"/>
                <w:szCs w:val="21"/>
                <w:highlight w:val="none"/>
                <w:lang w:val="en-US" w:eastAsia="zh-CN"/>
              </w:rPr>
            </w:pPr>
            <w:r>
              <w:rPr>
                <w:rFonts w:hint="eastAsia" w:ascii="宋体" w:hAnsi="宋体"/>
                <w:i w:val="0"/>
                <w:iCs w:val="0"/>
                <w:szCs w:val="21"/>
                <w:highlight w:val="none"/>
              </w:rPr>
              <w:t>19.2.2谈判地点：</w:t>
            </w:r>
            <w:r>
              <w:rPr>
                <w:rFonts w:hint="eastAsia" w:ascii="宋体" w:hAnsi="宋体" w:cs="宋体"/>
                <w:bCs/>
                <w:i w:val="0"/>
                <w:iCs w:val="0"/>
                <w:snapToGrid w:val="0"/>
                <w:szCs w:val="21"/>
                <w:highlight w:val="none"/>
              </w:rPr>
              <w:t>长春市二道区洋浦大街6999号凯利中心AB栋101开标</w:t>
            </w:r>
            <w:r>
              <w:rPr>
                <w:rFonts w:hint="eastAsia" w:ascii="宋体" w:hAnsi="宋体" w:cs="宋体"/>
                <w:bCs/>
                <w:i w:val="0"/>
                <w:iCs w:val="0"/>
                <w:snapToGrid w:val="0"/>
                <w:szCs w:val="21"/>
                <w:highlight w:val="none"/>
                <w:lang w:val="en-US" w:eastAsia="zh-CN"/>
              </w:rPr>
              <w:t>4</w:t>
            </w:r>
            <w:r>
              <w:rPr>
                <w:rFonts w:hint="eastAsia" w:ascii="宋体" w:hAnsi="宋体" w:cs="宋体"/>
                <w:bCs/>
                <w:i w:val="0"/>
                <w:iCs w:val="0"/>
                <w:snapToGrid w:val="0"/>
                <w:szCs w:val="21"/>
                <w:highlight w:val="none"/>
              </w:rPr>
              <w:t>室</w:t>
            </w:r>
            <w:r>
              <w:rPr>
                <w:rFonts w:hint="eastAsia" w:ascii="宋体" w:hAnsi="宋体" w:cs="宋体"/>
                <w:bCs/>
                <w:i w:val="0"/>
                <w:iCs w:val="0"/>
                <w:snapToGrid w:val="0"/>
                <w:szCs w:val="21"/>
                <w:highlight w:val="none"/>
                <w:lang w:val="en-US" w:eastAsia="zh-CN"/>
              </w:rPr>
              <w:t>。</w:t>
            </w:r>
          </w:p>
          <w:p>
            <w:pPr>
              <w:spacing w:line="360" w:lineRule="exact"/>
              <w:rPr>
                <w:rFonts w:ascii="宋体" w:hAnsi="宋体"/>
                <w:i w:val="0"/>
                <w:iCs w:val="0"/>
                <w:szCs w:val="21"/>
                <w:highlight w:val="none"/>
              </w:rPr>
            </w:pPr>
            <w:r>
              <w:rPr>
                <w:rFonts w:hint="eastAsia" w:ascii="宋体" w:hAnsi="宋体"/>
                <w:i w:val="0"/>
                <w:iCs w:val="0"/>
                <w:szCs w:val="21"/>
                <w:highlight w:val="none"/>
              </w:rPr>
              <w:t>19.2.</w:t>
            </w:r>
            <w:r>
              <w:rPr>
                <w:rFonts w:hint="eastAsia" w:ascii="宋体" w:hAnsi="宋体"/>
                <w:i w:val="0"/>
                <w:iCs w:val="0"/>
                <w:szCs w:val="21"/>
                <w:highlight w:val="none"/>
                <w:lang w:val="en-US" w:eastAsia="zh-CN"/>
              </w:rPr>
              <w:t>3</w:t>
            </w:r>
            <w:r>
              <w:rPr>
                <w:rFonts w:hint="eastAsia" w:ascii="宋体" w:hAnsi="宋体"/>
                <w:i w:val="0"/>
                <w:iCs w:val="0"/>
                <w:szCs w:val="21"/>
                <w:highlight w:val="none"/>
              </w:rPr>
              <w:t>响应文件递交截止时间后，由谈判小组在评标室内开启响应文件。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534" w:type="dxa"/>
            <w:vAlign w:val="center"/>
          </w:tcPr>
          <w:p>
            <w:pPr>
              <w:spacing w:line="360" w:lineRule="exact"/>
              <w:jc w:val="center"/>
              <w:rPr>
                <w:rFonts w:hint="eastAsia" w:ascii="宋体" w:hAnsi="宋体" w:eastAsia="宋体"/>
                <w:szCs w:val="21"/>
                <w:highlight w:val="none"/>
                <w:lang w:eastAsia="zh-CN"/>
              </w:rPr>
            </w:pPr>
            <w:r>
              <w:rPr>
                <w:rFonts w:hint="eastAsia" w:ascii="宋体" w:hAnsi="宋体"/>
                <w:szCs w:val="21"/>
                <w:highlight w:val="none"/>
              </w:rPr>
              <w:t>1</w:t>
            </w:r>
            <w:r>
              <w:rPr>
                <w:rFonts w:hint="eastAsia" w:ascii="宋体" w:hAnsi="宋体"/>
                <w:szCs w:val="21"/>
                <w:highlight w:val="none"/>
                <w:lang w:val="en-US" w:eastAsia="zh-CN"/>
              </w:rPr>
              <w:t>5</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20.2</w:t>
            </w:r>
          </w:p>
        </w:tc>
        <w:tc>
          <w:tcPr>
            <w:tcW w:w="1901" w:type="dxa"/>
            <w:vAlign w:val="center"/>
          </w:tcPr>
          <w:p>
            <w:pPr>
              <w:spacing w:line="360" w:lineRule="exact"/>
              <w:jc w:val="center"/>
              <w:rPr>
                <w:rFonts w:ascii="宋体" w:hAnsi="宋体"/>
                <w:szCs w:val="21"/>
                <w:highlight w:val="none"/>
              </w:rPr>
            </w:pPr>
            <w:r>
              <w:rPr>
                <w:rFonts w:hint="eastAsia" w:ascii="宋体" w:hAnsi="宋体" w:cs="Arial"/>
                <w:kern w:val="0"/>
                <w:szCs w:val="21"/>
                <w:highlight w:val="none"/>
              </w:rPr>
              <w:t>评审办法</w:t>
            </w:r>
          </w:p>
        </w:tc>
        <w:tc>
          <w:tcPr>
            <w:tcW w:w="6462" w:type="dxa"/>
            <w:vAlign w:val="center"/>
          </w:tcPr>
          <w:p>
            <w:pPr>
              <w:spacing w:line="360" w:lineRule="exact"/>
              <w:rPr>
                <w:rFonts w:ascii="宋体" w:hAnsi="宋体"/>
                <w:szCs w:val="21"/>
                <w:highlight w:val="none"/>
              </w:rPr>
            </w:pPr>
            <w:r>
              <w:rPr>
                <w:rFonts w:hint="eastAsia" w:ascii="宋体" w:hAnsi="宋体"/>
                <w:szCs w:val="21"/>
                <w:highlight w:val="none"/>
              </w:rPr>
              <w:t>具体详见第四章评审办法。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534" w:type="dxa"/>
            <w:vAlign w:val="center"/>
          </w:tcPr>
          <w:p>
            <w:pPr>
              <w:spacing w:line="360" w:lineRule="exact"/>
              <w:jc w:val="center"/>
              <w:rPr>
                <w:rFonts w:hint="eastAsia" w:ascii="宋体" w:hAnsi="宋体" w:eastAsia="宋体"/>
                <w:szCs w:val="21"/>
                <w:highlight w:val="none"/>
                <w:lang w:eastAsia="zh-CN"/>
              </w:rPr>
            </w:pPr>
            <w:r>
              <w:rPr>
                <w:rFonts w:hint="eastAsia" w:ascii="宋体" w:hAnsi="宋体"/>
                <w:szCs w:val="21"/>
                <w:highlight w:val="none"/>
              </w:rPr>
              <w:t>1</w:t>
            </w:r>
            <w:r>
              <w:rPr>
                <w:rFonts w:hint="eastAsia" w:ascii="宋体" w:hAnsi="宋体"/>
                <w:szCs w:val="21"/>
                <w:highlight w:val="none"/>
                <w:lang w:val="en-US" w:eastAsia="zh-CN"/>
              </w:rPr>
              <w:t>6</w:t>
            </w:r>
          </w:p>
        </w:tc>
        <w:tc>
          <w:tcPr>
            <w:tcW w:w="992" w:type="dxa"/>
            <w:vAlign w:val="center"/>
          </w:tcPr>
          <w:p>
            <w:pPr>
              <w:spacing w:line="360" w:lineRule="exact"/>
              <w:jc w:val="center"/>
              <w:rPr>
                <w:rFonts w:hint="eastAsia" w:ascii="宋体" w:hAnsi="宋体"/>
                <w:szCs w:val="21"/>
                <w:highlight w:val="none"/>
              </w:rPr>
            </w:pPr>
            <w:r>
              <w:rPr>
                <w:rFonts w:hint="eastAsia" w:ascii="宋体" w:hAnsi="宋体"/>
                <w:szCs w:val="21"/>
                <w:highlight w:val="none"/>
              </w:rPr>
              <w:t>22.4</w:t>
            </w:r>
          </w:p>
        </w:tc>
        <w:tc>
          <w:tcPr>
            <w:tcW w:w="1901" w:type="dxa"/>
            <w:vAlign w:val="center"/>
          </w:tcPr>
          <w:p>
            <w:pPr>
              <w:autoSpaceDE w:val="0"/>
              <w:autoSpaceDN w:val="0"/>
              <w:snapToGrid w:val="0"/>
              <w:spacing w:line="360" w:lineRule="exact"/>
              <w:jc w:val="center"/>
              <w:textAlignment w:val="bottom"/>
              <w:rPr>
                <w:rFonts w:hint="eastAsia" w:ascii="宋体" w:hAnsi="宋体"/>
                <w:highlight w:val="none"/>
              </w:rPr>
            </w:pPr>
            <w:r>
              <w:rPr>
                <w:rFonts w:hint="eastAsia" w:ascii="宋体" w:hAnsi="宋体"/>
                <w:highlight w:val="none"/>
              </w:rPr>
              <w:t>成交人信用信息查询</w:t>
            </w:r>
          </w:p>
          <w:p>
            <w:pPr>
              <w:spacing w:line="360" w:lineRule="exact"/>
              <w:jc w:val="center"/>
              <w:rPr>
                <w:rFonts w:hint="eastAsia" w:ascii="宋体" w:hAnsi="宋体" w:cs="Arial"/>
                <w:kern w:val="0"/>
                <w:szCs w:val="21"/>
                <w:highlight w:val="none"/>
              </w:rPr>
            </w:pPr>
          </w:p>
        </w:tc>
        <w:tc>
          <w:tcPr>
            <w:tcW w:w="6462" w:type="dxa"/>
            <w:vAlign w:val="center"/>
          </w:tcPr>
          <w:p>
            <w:pPr>
              <w:autoSpaceDE w:val="0"/>
              <w:autoSpaceDN w:val="0"/>
              <w:snapToGrid w:val="0"/>
              <w:spacing w:line="360" w:lineRule="exact"/>
              <w:textAlignment w:val="bottom"/>
              <w:rPr>
                <w:rFonts w:hint="eastAsia" w:ascii="宋体" w:hAnsi="宋体"/>
                <w:highlight w:val="none"/>
              </w:rPr>
            </w:pPr>
            <w:r>
              <w:rPr>
                <w:rFonts w:hint="eastAsia" w:ascii="宋体" w:hAnsi="宋体"/>
                <w:highlight w:val="none"/>
              </w:rPr>
              <w:t>根据《关于做好政府采购有关信用主体标识码登记及在政府采购活动中查询使用信用记录有关问题的通知》财</w:t>
            </w:r>
            <w:r>
              <w:rPr>
                <w:rFonts w:hint="eastAsia" w:ascii="宋体" w:hAnsi="宋体"/>
                <w:highlight w:val="none"/>
                <w:lang w:eastAsia="zh-CN"/>
              </w:rPr>
              <w:t>库</w:t>
            </w:r>
            <w:r>
              <w:rPr>
                <w:rFonts w:hint="eastAsia" w:ascii="宋体" w:hAnsi="宋体"/>
                <w:highlight w:val="none"/>
              </w:rPr>
              <w:t>〔2016〕</w:t>
            </w:r>
            <w:r>
              <w:rPr>
                <w:rFonts w:hint="eastAsia" w:ascii="宋体" w:hAnsi="宋体"/>
                <w:highlight w:val="none"/>
                <w:lang w:val="en-US" w:eastAsia="zh-CN"/>
              </w:rPr>
              <w:t>125</w:t>
            </w:r>
            <w:r>
              <w:rPr>
                <w:rFonts w:hint="eastAsia" w:ascii="宋体" w:hAnsi="宋体"/>
                <w:highlight w:val="none"/>
              </w:rPr>
              <w:t>号的通知，采购代理机构在对成交人的成交资格进行信用查询：</w:t>
            </w:r>
          </w:p>
          <w:p>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（1）查询渠道：“信用中国”网站(www.creditchina.gov.cn)、中国政府采购网(www.ccgp.gov.cn)等；</w:t>
            </w:r>
          </w:p>
          <w:p>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（2）查询截止时点：成交通知书发出前；</w:t>
            </w:r>
          </w:p>
          <w:p>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（3）信用信息查询记录和证据留存方式：在查询网站中直接打印查询记录，打印材料作为采购活动资料保存。</w:t>
            </w:r>
          </w:p>
          <w:p>
            <w:pPr>
              <w:pStyle w:val="87"/>
              <w:spacing w:line="360" w:lineRule="exact"/>
              <w:jc w:val="left"/>
              <w:rPr>
                <w:rFonts w:hint="eastAsia" w:hAnsi="宋体"/>
                <w:highlight w:val="none"/>
              </w:rPr>
            </w:pPr>
            <w:r>
              <w:rPr>
                <w:rFonts w:hint="eastAsia" w:hAnsi="宋体"/>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pPr>
              <w:pStyle w:val="87"/>
              <w:spacing w:line="360" w:lineRule="exact"/>
              <w:rPr>
                <w:rFonts w:hint="eastAsia"/>
                <w:highlight w:val="none"/>
              </w:rPr>
            </w:pPr>
            <w:r>
              <w:rPr>
                <w:rFonts w:hint="eastAsia" w:hAnsi="宋体"/>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534" w:type="dxa"/>
            <w:vAlign w:val="center"/>
          </w:tcPr>
          <w:p>
            <w:pPr>
              <w:spacing w:line="360" w:lineRule="exact"/>
              <w:jc w:val="center"/>
              <w:rPr>
                <w:rFonts w:hint="eastAsia" w:ascii="宋体" w:hAnsi="宋体" w:eastAsia="宋体"/>
                <w:szCs w:val="21"/>
                <w:highlight w:val="none"/>
                <w:lang w:eastAsia="zh-CN"/>
              </w:rPr>
            </w:pPr>
            <w:r>
              <w:rPr>
                <w:rFonts w:hint="eastAsia" w:ascii="宋体" w:hAnsi="宋体"/>
                <w:szCs w:val="21"/>
                <w:highlight w:val="none"/>
              </w:rPr>
              <w:t>1</w:t>
            </w:r>
            <w:r>
              <w:rPr>
                <w:rFonts w:hint="eastAsia" w:ascii="宋体" w:hAnsi="宋体"/>
                <w:szCs w:val="21"/>
                <w:highlight w:val="none"/>
                <w:lang w:val="en-US" w:eastAsia="zh-CN"/>
              </w:rPr>
              <w:t>7</w:t>
            </w:r>
          </w:p>
        </w:tc>
        <w:tc>
          <w:tcPr>
            <w:tcW w:w="992" w:type="dxa"/>
            <w:vAlign w:val="center"/>
          </w:tcPr>
          <w:p>
            <w:pPr>
              <w:spacing w:line="360" w:lineRule="exact"/>
              <w:jc w:val="center"/>
              <w:rPr>
                <w:rFonts w:ascii="宋体" w:hAnsi="宋体"/>
                <w:position w:val="-2"/>
                <w:szCs w:val="21"/>
                <w:highlight w:val="none"/>
              </w:rPr>
            </w:pPr>
            <w:r>
              <w:rPr>
                <w:rFonts w:hint="eastAsia" w:ascii="宋体" w:hAnsi="宋体"/>
                <w:position w:val="-2"/>
                <w:szCs w:val="21"/>
                <w:highlight w:val="none"/>
              </w:rPr>
              <w:t>27</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成交结果公告</w:t>
            </w:r>
          </w:p>
          <w:p>
            <w:pPr>
              <w:spacing w:line="360" w:lineRule="exact"/>
              <w:jc w:val="center"/>
              <w:rPr>
                <w:rFonts w:ascii="宋体" w:hAnsi="宋体"/>
                <w:position w:val="-2"/>
                <w:szCs w:val="21"/>
                <w:highlight w:val="none"/>
              </w:rPr>
            </w:pPr>
            <w:r>
              <w:rPr>
                <w:rFonts w:hint="eastAsia" w:ascii="宋体" w:hAnsi="宋体"/>
                <w:szCs w:val="21"/>
                <w:highlight w:val="none"/>
              </w:rPr>
              <w:t>及成交通知书</w:t>
            </w:r>
          </w:p>
        </w:tc>
        <w:tc>
          <w:tcPr>
            <w:tcW w:w="6462" w:type="dxa"/>
            <w:vAlign w:val="center"/>
          </w:tcPr>
          <w:p>
            <w:pPr>
              <w:spacing w:line="360" w:lineRule="exact"/>
              <w:rPr>
                <w:rFonts w:ascii="宋体" w:hAnsi="宋体"/>
                <w:szCs w:val="21"/>
                <w:highlight w:val="none"/>
              </w:rPr>
            </w:pPr>
            <w:r>
              <w:rPr>
                <w:rFonts w:hint="eastAsia" w:ascii="宋体" w:hAnsi="宋体"/>
                <w:szCs w:val="21"/>
                <w:highlight w:val="none"/>
              </w:rPr>
              <w:t>1、采购代理机构于评审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结果信息。</w:t>
            </w:r>
          </w:p>
          <w:p>
            <w:pPr>
              <w:spacing w:line="360" w:lineRule="exact"/>
              <w:jc w:val="left"/>
              <w:rPr>
                <w:rFonts w:ascii="宋体" w:hAnsi="宋体"/>
                <w:szCs w:val="21"/>
                <w:highlight w:val="none"/>
              </w:rPr>
            </w:pPr>
            <w:r>
              <w:rPr>
                <w:rFonts w:hint="eastAsia" w:ascii="宋体" w:hAnsi="宋体"/>
                <w:szCs w:val="21"/>
                <w:highlight w:val="none"/>
              </w:rPr>
              <w:t>2、在发布成交结果公告的同时，采购代理机构向成交供应商发出成交通知书。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34" w:type="dxa"/>
            <w:vAlign w:val="center"/>
          </w:tcPr>
          <w:p>
            <w:pPr>
              <w:spacing w:line="360" w:lineRule="exact"/>
              <w:jc w:val="center"/>
              <w:rPr>
                <w:rFonts w:hint="eastAsia" w:ascii="宋体" w:hAnsi="宋体" w:eastAsia="宋体"/>
                <w:szCs w:val="21"/>
                <w:highlight w:val="none"/>
                <w:lang w:eastAsia="zh-CN"/>
              </w:rPr>
            </w:pPr>
            <w:r>
              <w:rPr>
                <w:rFonts w:hint="eastAsia" w:ascii="宋体" w:hAnsi="宋体"/>
                <w:szCs w:val="21"/>
                <w:highlight w:val="none"/>
              </w:rPr>
              <w:t>1</w:t>
            </w:r>
            <w:r>
              <w:rPr>
                <w:rFonts w:hint="eastAsia" w:ascii="宋体" w:hAnsi="宋体"/>
                <w:szCs w:val="21"/>
                <w:highlight w:val="none"/>
                <w:lang w:val="en-US" w:eastAsia="zh-CN"/>
              </w:rPr>
              <w:t>8</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28.1</w:t>
            </w:r>
          </w:p>
        </w:tc>
        <w:tc>
          <w:tcPr>
            <w:tcW w:w="1901" w:type="dxa"/>
            <w:vAlign w:val="top"/>
          </w:tcPr>
          <w:p>
            <w:pPr>
              <w:spacing w:line="340" w:lineRule="exact"/>
              <w:ind w:firstLine="420" w:firstLineChars="200"/>
              <w:rPr>
                <w:rFonts w:ascii="宋体" w:hAnsi="宋体"/>
                <w:szCs w:val="21"/>
                <w:highlight w:val="none"/>
              </w:rPr>
            </w:pPr>
            <w:r>
              <w:rPr>
                <w:rFonts w:hint="eastAsia" w:ascii="宋体" w:hAnsi="宋体" w:cs="Times New Roman"/>
                <w:szCs w:val="21"/>
                <w:highlight w:val="none"/>
                <w:lang w:eastAsia="zh-CN"/>
              </w:rPr>
              <w:t>履约保证</w:t>
            </w:r>
            <w:r>
              <w:rPr>
                <w:rFonts w:hint="eastAsia" w:ascii="宋体" w:hAnsi="宋体" w:cs="Times New Roman"/>
                <w:szCs w:val="21"/>
                <w:highlight w:val="none"/>
              </w:rPr>
              <w:t>金</w:t>
            </w:r>
          </w:p>
        </w:tc>
        <w:tc>
          <w:tcPr>
            <w:tcW w:w="6462" w:type="dxa"/>
            <w:vAlign w:val="top"/>
          </w:tcPr>
          <w:p>
            <w:pPr>
              <w:spacing w:line="340" w:lineRule="exact"/>
              <w:rPr>
                <w:rFonts w:hint="default" w:ascii="宋体" w:hAnsi="宋体" w:eastAsia="宋体"/>
                <w:szCs w:val="21"/>
                <w:highlight w:val="none"/>
                <w:lang w:val="en-US" w:eastAsia="zh-CN"/>
              </w:rPr>
            </w:pPr>
            <w:r>
              <w:rPr>
                <w:rFonts w:hint="eastAsia" w:ascii="宋体" w:hAnsi="宋体" w:cs="Times New Roman"/>
                <w:szCs w:val="21"/>
                <w:highlight w:val="none"/>
                <w:lang w:val="en-US" w:eastAsia="zh-CN"/>
              </w:rPr>
              <w:t>中标成交金额的2%（在签订供货合同之前足额缴纳至甲方指定账户）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34" w:type="dxa"/>
            <w:vAlign w:val="center"/>
          </w:tcPr>
          <w:p>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19</w:t>
            </w:r>
          </w:p>
        </w:tc>
        <w:tc>
          <w:tcPr>
            <w:tcW w:w="992" w:type="dxa"/>
            <w:vAlign w:val="center"/>
          </w:tcPr>
          <w:p>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28.2</w:t>
            </w:r>
          </w:p>
        </w:tc>
        <w:tc>
          <w:tcPr>
            <w:tcW w:w="1901" w:type="dxa"/>
            <w:vAlign w:val="center"/>
          </w:tcPr>
          <w:p>
            <w:pPr>
              <w:spacing w:line="360" w:lineRule="exact"/>
              <w:jc w:val="center"/>
              <w:rPr>
                <w:rFonts w:hint="eastAsia" w:ascii="宋体" w:hAnsi="宋体" w:eastAsia="宋体"/>
                <w:szCs w:val="21"/>
                <w:highlight w:val="none"/>
                <w:lang w:eastAsia="zh-CN"/>
              </w:rPr>
            </w:pPr>
            <w:r>
              <w:rPr>
                <w:rFonts w:hint="eastAsia" w:ascii="宋体" w:hAnsi="宋体"/>
                <w:szCs w:val="21"/>
                <w:highlight w:val="none"/>
                <w:lang w:eastAsia="zh-CN"/>
              </w:rPr>
              <w:t>近年发生诉讼及仲裁情况</w:t>
            </w:r>
          </w:p>
        </w:tc>
        <w:tc>
          <w:tcPr>
            <w:tcW w:w="6462" w:type="dxa"/>
          </w:tcPr>
          <w:p>
            <w:pPr>
              <w:spacing w:line="360" w:lineRule="exact"/>
              <w:rPr>
                <w:rFonts w:hint="default" w:ascii="宋体" w:hAnsi="宋体"/>
                <w:szCs w:val="21"/>
                <w:highlight w:val="none"/>
                <w:lang w:val="en-US" w:eastAsia="zh-CN"/>
              </w:rPr>
            </w:pPr>
            <w:r>
              <w:rPr>
                <w:rFonts w:hint="eastAsia" w:ascii="宋体" w:hAnsi="宋体"/>
                <w:szCs w:val="21"/>
                <w:highlight w:val="none"/>
                <w:lang w:val="en-US" w:eastAsia="zh-CN"/>
              </w:rPr>
              <w:t>指2022年01月01日至今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534" w:type="dxa"/>
            <w:vAlign w:val="center"/>
          </w:tcPr>
          <w:p>
            <w:pPr>
              <w:spacing w:line="360" w:lineRule="exact"/>
              <w:jc w:val="center"/>
              <w:rPr>
                <w:rFonts w:hint="eastAsia" w:ascii="宋体" w:hAnsi="宋体" w:eastAsia="宋体"/>
                <w:szCs w:val="21"/>
                <w:highlight w:val="none"/>
                <w:lang w:eastAsia="zh-CN"/>
              </w:rPr>
            </w:pPr>
            <w:r>
              <w:rPr>
                <w:rFonts w:hint="eastAsia" w:ascii="宋体" w:hAnsi="宋体"/>
                <w:szCs w:val="21"/>
                <w:highlight w:val="none"/>
              </w:rPr>
              <w:t>2</w:t>
            </w:r>
            <w:r>
              <w:rPr>
                <w:rFonts w:hint="eastAsia" w:ascii="宋体" w:hAnsi="宋体"/>
                <w:szCs w:val="21"/>
                <w:highlight w:val="none"/>
                <w:lang w:val="en-US" w:eastAsia="zh-CN"/>
              </w:rPr>
              <w:t>0</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29.1</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签订合同时间</w:t>
            </w:r>
          </w:p>
        </w:tc>
        <w:tc>
          <w:tcPr>
            <w:tcW w:w="6462" w:type="dxa"/>
            <w:vAlign w:val="center"/>
          </w:tcPr>
          <w:p>
            <w:pPr>
              <w:spacing w:line="360" w:lineRule="exact"/>
              <w:rPr>
                <w:rFonts w:ascii="宋体" w:hAnsi="宋体"/>
                <w:szCs w:val="21"/>
                <w:highlight w:val="none"/>
              </w:rPr>
            </w:pPr>
            <w:r>
              <w:rPr>
                <w:rFonts w:hint="eastAsia" w:ascii="宋体" w:hAnsi="宋体"/>
                <w:szCs w:val="21"/>
                <w:highlight w:val="none"/>
              </w:rPr>
              <w:t>成交通知书发出之日起三十日内。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trPr>
        <w:tc>
          <w:tcPr>
            <w:tcW w:w="534" w:type="dxa"/>
            <w:vAlign w:val="center"/>
          </w:tcPr>
          <w:p>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21</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29.3</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合同备案存档</w:t>
            </w:r>
          </w:p>
        </w:tc>
        <w:tc>
          <w:tcPr>
            <w:tcW w:w="6462" w:type="dxa"/>
            <w:vAlign w:val="center"/>
          </w:tcPr>
          <w:p>
            <w:pPr>
              <w:spacing w:line="360" w:lineRule="exact"/>
              <w:rPr>
                <w:rFonts w:ascii="宋体" w:hAnsi="宋体"/>
                <w:szCs w:val="21"/>
                <w:highlight w:val="none"/>
              </w:rPr>
            </w:pPr>
            <w:r>
              <w:rPr>
                <w:rFonts w:hint="eastAsia" w:ascii="宋体" w:hAnsi="宋体"/>
                <w:szCs w:val="21"/>
                <w:highlight w:val="none"/>
              </w:rPr>
              <w:t>政府采购合同双方自签订之日起1个工作日内将合同原件一份交采购代理机构。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534" w:type="dxa"/>
            <w:vAlign w:val="center"/>
          </w:tcPr>
          <w:p>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22</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30</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采购代理服务费</w:t>
            </w:r>
          </w:p>
        </w:tc>
        <w:tc>
          <w:tcPr>
            <w:tcW w:w="6462" w:type="dxa"/>
            <w:vAlign w:val="center"/>
          </w:tcPr>
          <w:p>
            <w:pPr>
              <w:pStyle w:val="18"/>
              <w:spacing w:line="400" w:lineRule="exact"/>
              <w:rPr>
                <w:rFonts w:hint="default" w:hAnsi="宋体" w:eastAsia="宋体"/>
                <w:szCs w:val="21"/>
                <w:highlight w:val="none"/>
                <w:lang w:val="en-US" w:eastAsia="zh-CN"/>
              </w:rPr>
            </w:pPr>
            <w:r>
              <w:rPr>
                <w:rFonts w:hint="eastAsia" w:ascii="宋体" w:hAnsi="宋体" w:eastAsia="宋体" w:cs="宋体"/>
                <w:szCs w:val="21"/>
                <w:lang w:val="zh-CN"/>
              </w:rPr>
              <w:t>执行《国家发展改革委关于进一步放开建设项目专业服务价格的通知》（发改价格〔2015〕299号）号文件的标准进行计算。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534" w:type="dxa"/>
            <w:vAlign w:val="center"/>
          </w:tcPr>
          <w:p>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23</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31</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解释权</w:t>
            </w:r>
          </w:p>
        </w:tc>
        <w:tc>
          <w:tcPr>
            <w:tcW w:w="6462" w:type="dxa"/>
            <w:vAlign w:val="center"/>
          </w:tcPr>
          <w:p>
            <w:pPr>
              <w:spacing w:line="360" w:lineRule="exact"/>
              <w:rPr>
                <w:rFonts w:ascii="宋体" w:hAnsi="宋体"/>
                <w:szCs w:val="21"/>
                <w:highlight w:val="none"/>
              </w:rPr>
            </w:pPr>
            <w:r>
              <w:rPr>
                <w:rFonts w:hint="eastAsia" w:ascii="宋体" w:hAnsi="宋体"/>
                <w:szCs w:val="21"/>
                <w:highlight w:val="none"/>
              </w:rPr>
              <w:t>本竞争性谈判文件是根据《中华人民共和国政府采购法》、《中华人民共和国政府采购法实施条例》、《政府采购非招标采购方式管理办法》和政府采购管理有关规定编制，本竞争性谈判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trPr>
        <w:tc>
          <w:tcPr>
            <w:tcW w:w="534" w:type="dxa"/>
            <w:vAlign w:val="center"/>
          </w:tcPr>
          <w:p>
            <w:pPr>
              <w:spacing w:line="360" w:lineRule="exact"/>
              <w:jc w:val="center"/>
              <w:rPr>
                <w:rFonts w:hint="eastAsia" w:ascii="宋体" w:hAnsi="宋体" w:eastAsia="宋体"/>
                <w:szCs w:val="21"/>
                <w:highlight w:val="none"/>
                <w:lang w:eastAsia="zh-CN"/>
              </w:rPr>
            </w:pPr>
            <w:r>
              <w:rPr>
                <w:rFonts w:hint="eastAsia" w:ascii="宋体" w:hAnsi="宋体"/>
                <w:szCs w:val="21"/>
                <w:highlight w:val="none"/>
              </w:rPr>
              <w:t>2</w:t>
            </w:r>
            <w:r>
              <w:rPr>
                <w:rFonts w:hint="eastAsia" w:ascii="宋体" w:hAnsi="宋体"/>
                <w:szCs w:val="21"/>
                <w:highlight w:val="none"/>
                <w:lang w:val="en-US" w:eastAsia="zh-CN"/>
              </w:rPr>
              <w:t>4</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33</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采购代理机构</w:t>
            </w:r>
          </w:p>
        </w:tc>
        <w:tc>
          <w:tcPr>
            <w:tcW w:w="6462" w:type="dxa"/>
            <w:vAlign w:val="center"/>
          </w:tcPr>
          <w:p>
            <w:pPr>
              <w:spacing w:line="340" w:lineRule="exact"/>
              <w:rPr>
                <w:rFonts w:hint="eastAsia" w:ascii="宋体" w:hAnsi="宋体" w:eastAsia="宋体"/>
                <w:szCs w:val="21"/>
                <w:highlight w:val="none"/>
                <w:lang w:eastAsia="zh-CN"/>
              </w:rPr>
            </w:pPr>
            <w:r>
              <w:rPr>
                <w:rFonts w:hint="eastAsia" w:ascii="宋体" w:hAnsi="宋体"/>
                <w:szCs w:val="21"/>
                <w:highlight w:val="none"/>
              </w:rPr>
              <w:t>采购代理机构：</w:t>
            </w:r>
            <w:r>
              <w:rPr>
                <w:rFonts w:hint="eastAsia" w:ascii="宋体" w:hAnsi="宋体"/>
                <w:szCs w:val="21"/>
                <w:highlight w:val="none"/>
                <w:lang w:eastAsia="zh-CN"/>
              </w:rPr>
              <w:t>吉林省恒信工程管理有限公司</w:t>
            </w:r>
          </w:p>
          <w:p>
            <w:pPr>
              <w:spacing w:line="340" w:lineRule="exact"/>
              <w:rPr>
                <w:rFonts w:ascii="宋体" w:hAnsi="宋体"/>
                <w:szCs w:val="21"/>
                <w:highlight w:val="none"/>
              </w:rPr>
            </w:pPr>
            <w:r>
              <w:rPr>
                <w:rFonts w:hint="eastAsia" w:ascii="宋体" w:hAnsi="宋体"/>
                <w:szCs w:val="21"/>
                <w:highlight w:val="none"/>
              </w:rPr>
              <w:t>地  址</w:t>
            </w:r>
            <w:r>
              <w:rPr>
                <w:rFonts w:ascii="宋体" w:hAnsi="宋体"/>
                <w:szCs w:val="21"/>
                <w:highlight w:val="none"/>
              </w:rPr>
              <w:t>:</w:t>
            </w:r>
            <w:r>
              <w:rPr>
                <w:rFonts w:hint="eastAsia" w:ascii="宋体" w:hAnsi="宋体"/>
                <w:szCs w:val="21"/>
                <w:highlight w:val="none"/>
              </w:rPr>
              <w:t>长春市双阳区通阳路以北上和城36-1号楼104号</w:t>
            </w:r>
          </w:p>
          <w:p>
            <w:pPr>
              <w:spacing w:line="340" w:lineRule="exact"/>
              <w:rPr>
                <w:rFonts w:ascii="宋体" w:hAnsi="宋体"/>
                <w:szCs w:val="21"/>
                <w:highlight w:val="none"/>
              </w:rPr>
            </w:pPr>
            <w:r>
              <w:rPr>
                <w:rFonts w:hint="eastAsia" w:ascii="宋体" w:hAnsi="宋体"/>
                <w:szCs w:val="21"/>
                <w:highlight w:val="none"/>
              </w:rPr>
              <w:t>项目联系人：</w:t>
            </w:r>
            <w:r>
              <w:rPr>
                <w:rFonts w:hint="eastAsia" w:ascii="宋体" w:hAnsi="宋体"/>
                <w:szCs w:val="21"/>
                <w:highlight w:val="none"/>
                <w:lang w:val="en-US" w:eastAsia="zh-CN"/>
              </w:rPr>
              <w:t>单一歌</w:t>
            </w:r>
            <w:r>
              <w:rPr>
                <w:rFonts w:ascii="宋体" w:hAnsi="宋体"/>
                <w:szCs w:val="21"/>
                <w:highlight w:val="none"/>
              </w:rPr>
              <w:t xml:space="preserve">   </w:t>
            </w:r>
            <w:r>
              <w:rPr>
                <w:rFonts w:hint="eastAsia" w:ascii="宋体" w:hAnsi="宋体"/>
                <w:szCs w:val="21"/>
                <w:highlight w:val="none"/>
              </w:rPr>
              <w:t xml:space="preserve">   联系电话：</w:t>
            </w:r>
            <w:r>
              <w:rPr>
                <w:rFonts w:hint="eastAsia" w:ascii="宋体" w:hAnsi="宋体"/>
                <w:szCs w:val="21"/>
                <w:highlight w:val="none"/>
                <w:lang w:val="en-US" w:eastAsia="zh-CN"/>
              </w:rPr>
              <w:t>16664300157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534" w:type="dxa"/>
            <w:vAlign w:val="center"/>
          </w:tcPr>
          <w:p>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25</w:t>
            </w:r>
          </w:p>
        </w:tc>
        <w:tc>
          <w:tcPr>
            <w:tcW w:w="992" w:type="dxa"/>
            <w:vAlign w:val="center"/>
          </w:tcPr>
          <w:p>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34</w:t>
            </w:r>
          </w:p>
        </w:tc>
        <w:tc>
          <w:tcPr>
            <w:tcW w:w="1901" w:type="dxa"/>
            <w:vAlign w:val="top"/>
          </w:tcPr>
          <w:p>
            <w:pPr>
              <w:spacing w:line="340" w:lineRule="exact"/>
              <w:rPr>
                <w:rFonts w:hint="eastAsia" w:ascii="宋体" w:hAnsi="宋体" w:cs="Times New Roman"/>
                <w:szCs w:val="21"/>
                <w:highlight w:val="none"/>
              </w:rPr>
            </w:pPr>
            <w:r>
              <w:rPr>
                <w:rFonts w:hint="eastAsia" w:ascii="宋体" w:hAnsi="宋体" w:cs="Times New Roman"/>
                <w:szCs w:val="21"/>
                <w:highlight w:val="none"/>
                <w:lang w:eastAsia="zh-CN"/>
              </w:rPr>
              <w:t>供货合同签订要求</w:t>
            </w:r>
          </w:p>
        </w:tc>
        <w:tc>
          <w:tcPr>
            <w:tcW w:w="6462" w:type="dxa"/>
            <w:vAlign w:val="top"/>
          </w:tcPr>
          <w:p>
            <w:pPr>
              <w:spacing w:line="340" w:lineRule="exact"/>
              <w:rPr>
                <w:rFonts w:hint="default" w:ascii="宋体" w:hAnsi="宋体" w:cs="Times New Roman"/>
                <w:szCs w:val="21"/>
                <w:highlight w:val="none"/>
                <w:lang w:val="en-US"/>
              </w:rPr>
            </w:pPr>
            <w:r>
              <w:rPr>
                <w:rFonts w:hint="eastAsia" w:ascii="宋体" w:hAnsi="宋体" w:cs="Times New Roman"/>
                <w:szCs w:val="21"/>
                <w:highlight w:val="none"/>
                <w:lang w:val="en-US" w:eastAsia="zh-CN"/>
              </w:rPr>
              <w:t>自中标（成交）结果公告发布之日起7日内中标单位携带履约保证金缴纳证明与采购人签订供货合同。</w:t>
            </w:r>
          </w:p>
        </w:tc>
      </w:tr>
    </w:tbl>
    <w:p>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ascii="宋体" w:hAnsi="宋体"/>
          <w:highlight w:val="none"/>
        </w:rPr>
      </w:pPr>
      <w:r>
        <w:rPr>
          <w:rFonts w:hint="eastAsia" w:ascii="宋体" w:hAnsi="宋体"/>
          <w:b/>
          <w:szCs w:val="21"/>
          <w:highlight w:val="none"/>
        </w:rPr>
        <w:t>1、适应范围</w:t>
      </w:r>
    </w:p>
    <w:p>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1.1 项目名称及项目编号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highlight w:val="none"/>
        </w:rPr>
      </w:pPr>
      <w:r>
        <w:rPr>
          <w:rFonts w:hint="eastAsia" w:ascii="宋体" w:hAnsi="宋体"/>
          <w:szCs w:val="21"/>
          <w:highlight w:val="none"/>
        </w:rPr>
        <w:t>项目名称：</w:t>
      </w:r>
      <w:r>
        <w:rPr>
          <w:rFonts w:hint="eastAsia" w:ascii="宋体" w:hAnsi="宋体"/>
          <w:szCs w:val="21"/>
          <w:highlight w:val="none"/>
          <w:lang w:eastAsia="zh-CN"/>
        </w:rPr>
        <w:t>长春市双阳区第一实验小学厨房设备采购项目</w:t>
      </w:r>
      <w:r>
        <w:rPr>
          <w:rFonts w:hint="eastAsia" w:ascii="宋体" w:hAnsi="宋体"/>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szCs w:val="21"/>
          <w:highlight w:val="none"/>
          <w:lang w:val="en-US" w:eastAsia="zh-CN"/>
        </w:rPr>
      </w:pPr>
      <w:r>
        <w:rPr>
          <w:rFonts w:hint="eastAsia" w:ascii="宋体" w:hAnsi="宋体"/>
          <w:szCs w:val="21"/>
          <w:highlight w:val="none"/>
        </w:rPr>
        <w:t>项目编号：</w:t>
      </w:r>
      <w:r>
        <w:rPr>
          <w:rFonts w:hint="eastAsia" w:ascii="宋体" w:hAnsi="宋体"/>
          <w:szCs w:val="21"/>
          <w:highlight w:val="none"/>
          <w:lang w:val="en-US" w:eastAsia="zh-CN"/>
        </w:rPr>
        <w:t>采购计划-[2025]-00079号-JLHXZB2025009</w:t>
      </w:r>
    </w:p>
    <w:p>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1.2本竞争性谈判文件（以下简称谈判文件）适用于本谈判项目的谈判、评标、合同履约、验收、付款等行为（法律、法规另有规定的，从其规定）。</w:t>
      </w:r>
    </w:p>
    <w:p>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b/>
          <w:szCs w:val="21"/>
          <w:highlight w:val="none"/>
          <w:lang w:val="en-US" w:eastAsia="zh-CN"/>
        </w:rPr>
      </w:pPr>
      <w:r>
        <w:rPr>
          <w:rFonts w:hint="eastAsia" w:ascii="宋体" w:hAnsi="宋体"/>
          <w:b/>
          <w:szCs w:val="21"/>
          <w:highlight w:val="none"/>
        </w:rPr>
        <w:t>2、定义</w:t>
      </w:r>
      <w:r>
        <w:rPr>
          <w:rFonts w:hint="eastAsia" w:ascii="宋体" w:hAnsi="宋体"/>
          <w:b/>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2.1、“供应商”是指符合本次采购项目的供应商资格并提交响应文件、参加谈判的供应商。如果该供应商在本次谈判中成交，即成为“成交供应商”。</w:t>
      </w:r>
    </w:p>
    <w:p>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2.2、“货物”系指按谈判文件规定，供应商须向采购人提供的一切设备、保险、税金、备品备件、工具、手册及其它有关技术资料和材料。</w:t>
      </w:r>
    </w:p>
    <w:p>
      <w:pPr>
        <w:spacing w:line="400" w:lineRule="exact"/>
        <w:ind w:firstLine="435"/>
        <w:rPr>
          <w:rFonts w:ascii="宋体" w:hAnsi="宋体"/>
          <w:szCs w:val="21"/>
          <w:highlight w:val="none"/>
        </w:rPr>
      </w:pPr>
      <w:r>
        <w:rPr>
          <w:rFonts w:hint="eastAsia" w:ascii="宋体" w:hAnsi="宋体"/>
          <w:szCs w:val="21"/>
          <w:highlight w:val="none"/>
        </w:rPr>
        <w:t>2.3、“服务”系指按谈判文件规定，供应商须承担的安装、调试、技术协助、校准、培训、技术指导以及其他类似的义务。</w:t>
      </w:r>
    </w:p>
    <w:p>
      <w:pPr>
        <w:spacing w:line="400" w:lineRule="exact"/>
        <w:ind w:firstLine="435"/>
        <w:rPr>
          <w:rFonts w:ascii="宋体" w:hAnsi="宋体"/>
          <w:szCs w:val="21"/>
          <w:highlight w:val="none"/>
        </w:rPr>
      </w:pPr>
      <w:r>
        <w:rPr>
          <w:rFonts w:hint="eastAsia" w:ascii="宋体" w:hAnsi="宋体"/>
          <w:szCs w:val="21"/>
          <w:highlight w:val="none"/>
        </w:rPr>
        <w:t>2.4、“项目”系指供应商按谈判文件规定向采购人提供的货物和服务。</w:t>
      </w:r>
    </w:p>
    <w:p>
      <w:pPr>
        <w:spacing w:line="400" w:lineRule="exact"/>
        <w:ind w:firstLine="435"/>
        <w:rPr>
          <w:rFonts w:hint="eastAsia" w:ascii="宋体" w:hAnsi="宋体"/>
          <w:szCs w:val="21"/>
          <w:highlight w:val="none"/>
        </w:rPr>
      </w:pPr>
      <w:r>
        <w:rPr>
          <w:rFonts w:hint="eastAsia" w:ascii="宋体" w:hAnsi="宋体"/>
          <w:szCs w:val="21"/>
          <w:highlight w:val="none"/>
        </w:rPr>
        <w:t>2.5、“书面形式”包括信函、传真、电报等。</w:t>
      </w:r>
    </w:p>
    <w:p>
      <w:pPr>
        <w:spacing w:line="400" w:lineRule="exact"/>
        <w:ind w:firstLine="435"/>
        <w:rPr>
          <w:rFonts w:ascii="宋体" w:hAnsi="宋体"/>
          <w:bCs/>
          <w:szCs w:val="21"/>
          <w:highlight w:val="none"/>
        </w:rPr>
      </w:pPr>
      <w:r>
        <w:rPr>
          <w:rFonts w:hint="eastAsia" w:ascii="宋体" w:hAnsi="宋体"/>
          <w:bCs/>
          <w:szCs w:val="21"/>
          <w:highlight w:val="none"/>
        </w:rPr>
        <w:t>2.6、 货物采购需求表中所有条款均为实质性条款。</w:t>
      </w:r>
    </w:p>
    <w:p>
      <w:pPr>
        <w:spacing w:line="400" w:lineRule="exact"/>
        <w:ind w:firstLine="435"/>
        <w:rPr>
          <w:rFonts w:ascii="宋体" w:hAnsi="宋体"/>
          <w:b/>
          <w:szCs w:val="21"/>
          <w:highlight w:val="none"/>
        </w:rPr>
      </w:pPr>
      <w:r>
        <w:rPr>
          <w:rFonts w:hint="eastAsia" w:ascii="宋体" w:hAnsi="宋体"/>
          <w:b/>
          <w:szCs w:val="21"/>
          <w:highlight w:val="none"/>
        </w:rPr>
        <w:t>3、供应商资格</w:t>
      </w:r>
    </w:p>
    <w:p>
      <w:pPr>
        <w:spacing w:line="400" w:lineRule="exact"/>
        <w:ind w:firstLine="435"/>
        <w:rPr>
          <w:rFonts w:ascii="宋体" w:hAnsi="宋体"/>
          <w:szCs w:val="21"/>
          <w:highlight w:val="none"/>
        </w:rPr>
      </w:pPr>
      <w:r>
        <w:rPr>
          <w:rFonts w:hint="eastAsia" w:ascii="宋体" w:hAnsi="宋体"/>
          <w:szCs w:val="21"/>
          <w:highlight w:val="none"/>
        </w:rPr>
        <w:t>见供应商须知前附表。</w:t>
      </w:r>
    </w:p>
    <w:p>
      <w:pPr>
        <w:spacing w:line="400" w:lineRule="exact"/>
        <w:ind w:firstLine="435"/>
        <w:rPr>
          <w:rFonts w:ascii="宋体" w:hAnsi="宋体"/>
          <w:b/>
          <w:szCs w:val="21"/>
          <w:highlight w:val="none"/>
        </w:rPr>
      </w:pPr>
      <w:r>
        <w:rPr>
          <w:rFonts w:hint="eastAsia" w:ascii="宋体" w:hAnsi="宋体"/>
          <w:b/>
          <w:szCs w:val="21"/>
          <w:highlight w:val="none"/>
        </w:rPr>
        <w:t>4、谈判费用</w:t>
      </w:r>
    </w:p>
    <w:p>
      <w:pPr>
        <w:spacing w:line="400" w:lineRule="exact"/>
        <w:ind w:firstLine="435"/>
        <w:rPr>
          <w:rFonts w:ascii="宋体" w:hAnsi="宋体"/>
          <w:szCs w:val="21"/>
          <w:highlight w:val="none"/>
        </w:rPr>
      </w:pPr>
      <w:r>
        <w:rPr>
          <w:rFonts w:hint="eastAsia" w:ascii="宋体" w:hAnsi="宋体"/>
          <w:szCs w:val="21"/>
          <w:highlight w:val="none"/>
        </w:rPr>
        <w:t>见供应商须知前附表。</w:t>
      </w:r>
    </w:p>
    <w:p>
      <w:pPr>
        <w:tabs>
          <w:tab w:val="left" w:pos="1635"/>
        </w:tabs>
        <w:spacing w:line="400" w:lineRule="exact"/>
        <w:ind w:firstLine="435"/>
        <w:rPr>
          <w:rFonts w:hint="eastAsia" w:ascii="宋体" w:hAnsi="宋体"/>
          <w:b/>
          <w:szCs w:val="21"/>
          <w:highlight w:val="none"/>
        </w:rPr>
      </w:pPr>
      <w:r>
        <w:rPr>
          <w:rFonts w:hint="eastAsia" w:ascii="宋体" w:hAnsi="宋体"/>
          <w:b/>
          <w:szCs w:val="21"/>
          <w:highlight w:val="none"/>
        </w:rPr>
        <w:t>5、联合体谈判要求</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本项目不接受联合体参与谈判。</w:t>
      </w:r>
    </w:p>
    <w:p>
      <w:pPr>
        <w:tabs>
          <w:tab w:val="left" w:pos="2190"/>
        </w:tabs>
        <w:spacing w:line="400" w:lineRule="exact"/>
        <w:ind w:firstLine="413" w:firstLineChars="196"/>
        <w:rPr>
          <w:rFonts w:ascii="宋体" w:hAnsi="宋体"/>
          <w:b/>
          <w:szCs w:val="21"/>
          <w:highlight w:val="none"/>
        </w:rPr>
      </w:pPr>
      <w:r>
        <w:rPr>
          <w:rFonts w:hint="eastAsia" w:ascii="宋体" w:hAnsi="宋体"/>
          <w:b/>
          <w:szCs w:val="21"/>
          <w:highlight w:val="none"/>
        </w:rPr>
        <w:t>6、质疑和投诉</w:t>
      </w:r>
      <w:r>
        <w:rPr>
          <w:rFonts w:ascii="宋体" w:hAnsi="宋体"/>
          <w:b/>
          <w:szCs w:val="21"/>
          <w:highlight w:val="none"/>
        </w:rPr>
        <w:tab/>
      </w:r>
    </w:p>
    <w:p>
      <w:pPr>
        <w:tabs>
          <w:tab w:val="left" w:pos="2190"/>
        </w:tabs>
        <w:spacing w:line="400" w:lineRule="exact"/>
        <w:ind w:firstLine="435"/>
        <w:rPr>
          <w:rFonts w:hint="eastAsia" w:ascii="宋体" w:hAnsi="宋体"/>
          <w:szCs w:val="21"/>
          <w:highlight w:val="none"/>
        </w:rPr>
      </w:pPr>
      <w:r>
        <w:rPr>
          <w:rFonts w:hint="eastAsia" w:ascii="宋体" w:hAnsi="宋体"/>
          <w:szCs w:val="21"/>
          <w:highlight w:val="none"/>
        </w:rPr>
        <w:t>6.1、</w:t>
      </w:r>
      <w:r>
        <w:rPr>
          <w:rFonts w:hint="eastAsia"/>
          <w:highlight w:val="none"/>
        </w:rPr>
        <w:t>供应对政府采购活动事项有疑问的，可以向采购人、采购代理机构提出询问。</w:t>
      </w:r>
    </w:p>
    <w:p>
      <w:pPr>
        <w:tabs>
          <w:tab w:val="left" w:pos="2190"/>
        </w:tabs>
        <w:spacing w:line="400" w:lineRule="exact"/>
        <w:ind w:firstLine="435"/>
        <w:rPr>
          <w:szCs w:val="21"/>
          <w:highlight w:val="none"/>
        </w:rPr>
      </w:pPr>
      <w:r>
        <w:rPr>
          <w:rFonts w:hint="eastAsia" w:ascii="宋体" w:hAnsi="宋体"/>
          <w:szCs w:val="21"/>
          <w:highlight w:val="none"/>
        </w:rPr>
        <w:t>6.2、供应商认为谈判文件使自己的合法权益受到损害的，应当在为购买谈判文件之日起七个工作日内，以书面形式</w:t>
      </w:r>
      <w:r>
        <w:rPr>
          <w:rFonts w:hint="eastAsia"/>
          <w:szCs w:val="21"/>
          <w:highlight w:val="none"/>
        </w:rPr>
        <w:t>向采购代理机构提出质疑。采购代理机构应认真做好质疑处理工作。</w:t>
      </w:r>
    </w:p>
    <w:p>
      <w:pPr>
        <w:tabs>
          <w:tab w:val="left" w:pos="2190"/>
        </w:tabs>
        <w:spacing w:line="400" w:lineRule="exact"/>
        <w:ind w:firstLine="435"/>
        <w:rPr>
          <w:szCs w:val="21"/>
          <w:highlight w:val="none"/>
        </w:rPr>
      </w:pPr>
      <w:r>
        <w:rPr>
          <w:rFonts w:hint="eastAsia" w:ascii="宋体" w:hAnsi="宋体"/>
          <w:szCs w:val="21"/>
          <w:highlight w:val="none"/>
        </w:rPr>
        <w:t>6.3、供应商认为采购过程使自己的合法权益受到损害的，应当在为各采购程序环节结束之日起七个工作日内，</w:t>
      </w:r>
      <w:r>
        <w:rPr>
          <w:rFonts w:hint="eastAsia"/>
          <w:szCs w:val="21"/>
          <w:highlight w:val="none"/>
        </w:rPr>
        <w:t>以书面形式向采购代理机构提出质疑。采购代理机构应认真做好质疑处理工作。</w:t>
      </w:r>
    </w:p>
    <w:p>
      <w:pPr>
        <w:tabs>
          <w:tab w:val="left" w:pos="2190"/>
        </w:tabs>
        <w:spacing w:line="400" w:lineRule="exact"/>
        <w:ind w:firstLine="420" w:firstLineChars="200"/>
        <w:rPr>
          <w:szCs w:val="21"/>
          <w:highlight w:val="none"/>
        </w:rPr>
      </w:pPr>
      <w:r>
        <w:rPr>
          <w:rFonts w:hint="eastAsia" w:ascii="宋体" w:hAnsi="宋体"/>
          <w:szCs w:val="21"/>
          <w:highlight w:val="none"/>
        </w:rPr>
        <w:t>6.4、供应商</w:t>
      </w:r>
      <w:r>
        <w:rPr>
          <w:rFonts w:hint="eastAsia"/>
          <w:szCs w:val="21"/>
          <w:highlight w:val="none"/>
        </w:rPr>
        <w:t>认为成交结果使自己的合法权益受到损害的，应当在成交公告期限届满之日起七个工作日内，以书面形式向采购代理机构提出质疑。采购代理机构应认真做好质疑处理工作。</w:t>
      </w:r>
    </w:p>
    <w:p>
      <w:pPr>
        <w:tabs>
          <w:tab w:val="left" w:pos="2190"/>
        </w:tabs>
        <w:spacing w:line="400" w:lineRule="exact"/>
        <w:ind w:firstLine="435"/>
        <w:rPr>
          <w:rFonts w:ascii="宋体" w:hAnsi="宋体"/>
          <w:szCs w:val="21"/>
          <w:highlight w:val="none"/>
        </w:rPr>
      </w:pPr>
      <w:r>
        <w:rPr>
          <w:rFonts w:hint="eastAsia" w:ascii="宋体" w:hAnsi="宋体"/>
          <w:szCs w:val="21"/>
          <w:highlight w:val="none"/>
        </w:rPr>
        <w:t>6.5、供应商对采购代理机构的质疑答复不满意或者采购代理机构未在规定的时间内作出答复的，可以在答复期满后十五个工作日内向</w:t>
      </w:r>
      <w:r>
        <w:rPr>
          <w:rFonts w:hint="eastAsia" w:ascii="宋体" w:hAnsi="宋体" w:cs="宋体"/>
          <w:szCs w:val="21"/>
          <w:highlight w:val="none"/>
          <w:lang w:eastAsia="zh-CN"/>
        </w:rPr>
        <w:t>长春市双阳区</w:t>
      </w:r>
      <w:r>
        <w:rPr>
          <w:rFonts w:hint="eastAsia" w:ascii="宋体" w:hAnsi="宋体" w:cs="宋体"/>
          <w:szCs w:val="21"/>
          <w:highlight w:val="none"/>
        </w:rPr>
        <w:t>政府采购管理</w:t>
      </w:r>
      <w:r>
        <w:rPr>
          <w:rFonts w:hint="eastAsia" w:ascii="宋体" w:hAnsi="宋体" w:cs="宋体"/>
          <w:szCs w:val="21"/>
          <w:highlight w:val="none"/>
          <w:lang w:eastAsia="zh-CN"/>
        </w:rPr>
        <w:t>工作</w:t>
      </w:r>
      <w:r>
        <w:rPr>
          <w:rFonts w:hint="eastAsia" w:ascii="宋体" w:hAnsi="宋体" w:cs="宋体"/>
          <w:szCs w:val="21"/>
          <w:highlight w:val="none"/>
        </w:rPr>
        <w:t>办公室</w:t>
      </w:r>
      <w:r>
        <w:rPr>
          <w:rFonts w:hint="eastAsia" w:ascii="宋体" w:hAnsi="宋体"/>
          <w:szCs w:val="21"/>
          <w:highlight w:val="none"/>
        </w:rPr>
        <w:t>投诉。</w:t>
      </w:r>
    </w:p>
    <w:p>
      <w:pPr>
        <w:tabs>
          <w:tab w:val="left" w:pos="2190"/>
        </w:tabs>
        <w:spacing w:line="380" w:lineRule="exact"/>
        <w:ind w:firstLine="435"/>
        <w:rPr>
          <w:rFonts w:hint="eastAsia" w:ascii="宋体" w:hAnsi="宋体"/>
          <w:szCs w:val="21"/>
          <w:highlight w:val="none"/>
        </w:rPr>
      </w:pPr>
      <w:r>
        <w:rPr>
          <w:rFonts w:hint="eastAsia" w:ascii="宋体" w:hAnsi="宋体"/>
          <w:szCs w:val="21"/>
          <w:highlight w:val="none"/>
        </w:rPr>
        <w:t>6.6、质疑、投诉应当采用书面形式，质疑书、投诉书实行实名制，均应明确阐述谈判文件、采购过程或成交结果中使自己合法权益受到损害的实质性内容，提供相关事实、明确的请求，并提供必要的证明材料。质疑函格式详见附件。</w:t>
      </w:r>
    </w:p>
    <w:p>
      <w:pPr>
        <w:tabs>
          <w:tab w:val="left" w:pos="2190"/>
        </w:tabs>
        <w:spacing w:line="400" w:lineRule="exact"/>
        <w:rPr>
          <w:rFonts w:ascii="宋体" w:hAnsi="宋体"/>
          <w:szCs w:val="21"/>
          <w:highlight w:val="none"/>
        </w:rPr>
      </w:pPr>
      <w:r>
        <w:rPr>
          <w:rFonts w:hint="eastAsia" w:ascii="宋体" w:hAnsi="宋体"/>
          <w:szCs w:val="21"/>
          <w:highlight w:val="none"/>
        </w:rPr>
        <w:t xml:space="preserve">   7、转包与分包</w:t>
      </w:r>
    </w:p>
    <w:p>
      <w:pPr>
        <w:tabs>
          <w:tab w:val="left" w:pos="2190"/>
        </w:tabs>
        <w:spacing w:line="400" w:lineRule="exact"/>
        <w:ind w:firstLine="435"/>
        <w:rPr>
          <w:rFonts w:ascii="宋体" w:hAnsi="宋体"/>
          <w:szCs w:val="21"/>
          <w:highlight w:val="none"/>
        </w:rPr>
      </w:pPr>
      <w:r>
        <w:rPr>
          <w:rFonts w:hint="eastAsia" w:ascii="宋体" w:hAnsi="宋体"/>
          <w:szCs w:val="21"/>
          <w:highlight w:val="none"/>
        </w:rPr>
        <w:t>7.1、本项目不允许转包。</w:t>
      </w:r>
    </w:p>
    <w:p>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7.2、本项目不可以分包。</w:t>
      </w:r>
    </w:p>
    <w:p>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8、特别说明</w:t>
      </w:r>
    </w:p>
    <w:p>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8.1单位负责人为同一人或者存在直接控股、管理关系的，不得参加同一合同项下</w:t>
      </w:r>
      <w:r>
        <w:rPr>
          <w:rFonts w:hint="eastAsia"/>
          <w:szCs w:val="21"/>
          <w:highlight w:val="none"/>
        </w:rPr>
        <w:t>分标</w:t>
      </w:r>
      <w:r>
        <w:rPr>
          <w:rFonts w:hint="eastAsia" w:ascii="宋体" w:hAnsi="宋体"/>
          <w:szCs w:val="21"/>
          <w:highlight w:val="none"/>
        </w:rPr>
        <w:t>谈判或未划分分标的同一</w:t>
      </w:r>
      <w:r>
        <w:rPr>
          <w:rFonts w:hint="eastAsia"/>
          <w:szCs w:val="21"/>
          <w:highlight w:val="none"/>
        </w:rPr>
        <w:t>合同项下</w:t>
      </w:r>
      <w:r>
        <w:rPr>
          <w:rFonts w:hint="eastAsia" w:ascii="宋体" w:hAnsi="宋体"/>
          <w:szCs w:val="21"/>
          <w:highlight w:val="none"/>
        </w:rPr>
        <w:t>的谈判，否则，响应文件无效。</w:t>
      </w:r>
    </w:p>
    <w:p>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除单一来源采购项目外，为采购项目提供整体设计、规范编制或者项目管理、监理、检测等服务的供应商，不得再参加该采购项目的其他采购活动，否则响应文件无效。</w:t>
      </w:r>
    </w:p>
    <w:p>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highlight w:val="none"/>
        </w:rPr>
      </w:pPr>
      <w:r>
        <w:rPr>
          <w:rFonts w:hint="eastAsia" w:ascii="宋体" w:hAnsi="宋体"/>
          <w:highlight w:val="none"/>
        </w:rPr>
        <w:t>8.2供应商竞标所使用的资格、信誉、荣誉、业绩与企业认证必须为本法人（负责人、自然人）所拥有。供应商竞标所使用的采购项目实施人员必须为本法人（负责人）员工（或必须为本法人或控股公司正式员工）。</w:t>
      </w:r>
    </w:p>
    <w:p>
      <w:pPr>
        <w:pStyle w:val="15"/>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highlight w:val="none"/>
        </w:rPr>
      </w:pPr>
      <w:r>
        <w:rPr>
          <w:rFonts w:hint="eastAsia" w:ascii="宋体" w:hAnsi="宋体"/>
          <w:highlight w:val="none"/>
        </w:rPr>
        <w:t>8.</w:t>
      </w:r>
      <w:r>
        <w:rPr>
          <w:rFonts w:hint="eastAsia" w:ascii="宋体" w:hAnsi="宋体"/>
          <w:highlight w:val="none"/>
          <w:lang w:val="en-US" w:eastAsia="zh-CN"/>
        </w:rPr>
        <w:t>3</w:t>
      </w:r>
      <w:r>
        <w:rPr>
          <w:rFonts w:hint="eastAsia" w:ascii="宋体" w:hAnsi="宋体"/>
          <w:highlight w:val="none"/>
        </w:rPr>
        <w:t>供应商应仔细阅读竞争性谈判文件的所有内容，按照竞争性谈判文件的要求提交响应文件，并对所提供的全部资料的真实性承担法律责任。</w:t>
      </w:r>
    </w:p>
    <w:p>
      <w:pPr>
        <w:pStyle w:val="15"/>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highlight w:val="none"/>
        </w:rPr>
      </w:pPr>
      <w:r>
        <w:rPr>
          <w:rFonts w:hint="eastAsia" w:ascii="宋体" w:hAnsi="宋体"/>
          <w:highlight w:val="none"/>
        </w:rPr>
        <w:t>8.</w:t>
      </w:r>
      <w:r>
        <w:rPr>
          <w:rFonts w:hint="eastAsia" w:ascii="宋体" w:hAnsi="宋体"/>
          <w:highlight w:val="none"/>
          <w:lang w:val="en-US" w:eastAsia="zh-CN"/>
        </w:rPr>
        <w:t>4</w:t>
      </w:r>
      <w:r>
        <w:rPr>
          <w:rFonts w:hint="eastAsia" w:ascii="宋体" w:hAnsi="宋体"/>
          <w:highlight w:val="none"/>
          <w:lang w:eastAsia="zh-CN"/>
        </w:rPr>
        <w:t xml:space="preserve"> </w:t>
      </w:r>
      <w:r>
        <w:rPr>
          <w:rFonts w:hint="eastAsia" w:ascii="宋体" w:hAnsi="宋体"/>
          <w:highlight w:val="none"/>
        </w:rPr>
        <w:t>供应商在谈判活动中提供任何虚假材料，其响应文件无效，并报监管部门查处；成交后发现的，成交人须依照《中华人民共和国消费者权益保护法》第49条之规定双倍赔偿采购人，且民事赔偿并不免除违法供应商的行政与刑事责任。</w:t>
      </w:r>
    </w:p>
    <w:p>
      <w:pPr>
        <w:pStyle w:val="15"/>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default" w:ascii="宋体" w:hAnsi="宋体" w:eastAsia="宋体"/>
          <w:highlight w:val="none"/>
          <w:lang w:val="en-US" w:eastAsia="zh-CN"/>
        </w:rPr>
      </w:pPr>
      <w:r>
        <w:rPr>
          <w:rFonts w:hint="eastAsia" w:ascii="宋体" w:hAnsi="宋体"/>
          <w:highlight w:val="none"/>
          <w:lang w:val="en-US" w:eastAsia="zh-CN"/>
        </w:rPr>
        <w:t>8.5根据</w:t>
      </w:r>
      <w:r>
        <w:rPr>
          <w:rFonts w:hint="eastAsia" w:ascii="宋体" w:hAnsi="宋体"/>
          <w:highlight w:val="none"/>
        </w:rPr>
        <w:t>《</w:t>
      </w:r>
      <w:r>
        <w:rPr>
          <w:rFonts w:hint="eastAsia" w:ascii="宋体" w:hAnsi="宋体"/>
          <w:highlight w:val="none"/>
          <w:lang w:eastAsia="zh-CN"/>
        </w:rPr>
        <w:t>政府采购促进中小企业发展管理办法</w:t>
      </w:r>
      <w:r>
        <w:rPr>
          <w:rFonts w:hint="eastAsia" w:ascii="宋体" w:hAnsi="宋体"/>
          <w:highlight w:val="none"/>
        </w:rPr>
        <w:t>》</w:t>
      </w:r>
      <w:r>
        <w:rPr>
          <w:rFonts w:hint="eastAsia" w:ascii="宋体" w:hAnsi="宋体"/>
          <w:highlight w:val="none"/>
          <w:lang w:eastAsia="zh-CN"/>
        </w:rPr>
        <w:t>（财库</w:t>
      </w:r>
      <w:r>
        <w:rPr>
          <w:rFonts w:hint="eastAsia" w:ascii="宋体" w:hAnsi="宋体"/>
          <w:highlight w:val="none"/>
          <w:lang w:val="en-US" w:eastAsia="zh-CN"/>
        </w:rPr>
        <w:t>[2020]46号规定</w:t>
      </w:r>
      <w:r>
        <w:rPr>
          <w:rFonts w:hint="eastAsia" w:ascii="宋体" w:hAnsi="宋体"/>
          <w:highlight w:val="none"/>
          <w:lang w:eastAsia="zh-CN"/>
        </w:rPr>
        <w:t>），</w:t>
      </w:r>
      <w:r>
        <w:rPr>
          <w:rFonts w:hint="eastAsia" w:ascii="宋体" w:hAnsi="宋体"/>
          <w:highlight w:val="none"/>
        </w:rPr>
        <w:t>《</w:t>
      </w:r>
      <w:r>
        <w:rPr>
          <w:rFonts w:hint="eastAsia" w:ascii="宋体" w:hAnsi="宋体"/>
          <w:highlight w:val="none"/>
          <w:lang w:eastAsia="zh-CN"/>
        </w:rPr>
        <w:t>吉林省政府采购促进中小企业发展实施方案</w:t>
      </w:r>
      <w:r>
        <w:rPr>
          <w:rFonts w:hint="eastAsia" w:ascii="宋体" w:hAnsi="宋体"/>
          <w:highlight w:val="none"/>
        </w:rPr>
        <w:t>》</w:t>
      </w:r>
      <w:r>
        <w:rPr>
          <w:rFonts w:hint="eastAsia" w:ascii="宋体" w:hAnsi="宋体"/>
          <w:highlight w:val="none"/>
          <w:lang w:eastAsia="zh-CN"/>
        </w:rPr>
        <w:t>的通知【</w:t>
      </w:r>
      <w:r>
        <w:rPr>
          <w:rFonts w:hint="eastAsia" w:ascii="宋体" w:hAnsi="宋体"/>
          <w:highlight w:val="none"/>
          <w:lang w:val="en-US" w:eastAsia="zh-CN"/>
        </w:rPr>
        <w:t>2021</w:t>
      </w:r>
      <w:r>
        <w:rPr>
          <w:rFonts w:hint="eastAsia" w:ascii="宋体" w:hAnsi="宋体"/>
          <w:highlight w:val="none"/>
          <w:lang w:eastAsia="zh-CN"/>
        </w:rPr>
        <w:t>】</w:t>
      </w:r>
      <w:r>
        <w:rPr>
          <w:rFonts w:hint="eastAsia" w:ascii="宋体" w:hAnsi="宋体"/>
          <w:highlight w:val="none"/>
          <w:lang w:val="en-US" w:eastAsia="zh-CN"/>
        </w:rPr>
        <w:t>50号文件。</w:t>
      </w:r>
    </w:p>
    <w:p>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szCs w:val="21"/>
          <w:highlight w:val="none"/>
        </w:rPr>
      </w:pPr>
      <w:r>
        <w:rPr>
          <w:rFonts w:hint="eastAsia" w:ascii="宋体" w:hAnsi="宋体"/>
          <w:bCs/>
          <w:szCs w:val="21"/>
          <w:highlight w:val="none"/>
        </w:rPr>
        <w:t>8.5</w:t>
      </w:r>
      <w:r>
        <w:rPr>
          <w:rFonts w:hint="eastAsia" w:ascii="宋体" w:hAnsi="宋体"/>
          <w:bCs/>
          <w:szCs w:val="21"/>
          <w:highlight w:val="none"/>
          <w:lang w:val="en-US" w:eastAsia="zh-CN"/>
        </w:rPr>
        <w:t>.1</w:t>
      </w:r>
      <w:r>
        <w:rPr>
          <w:rFonts w:hint="eastAsia" w:ascii="宋体" w:hAnsi="宋体"/>
          <w:bCs/>
          <w:szCs w:val="21"/>
          <w:highlight w:val="none"/>
        </w:rPr>
        <w:t>大中型企业和其他自然人、法人或者其他组织与小型、微型企业组成联合体投标，联合体协议中约定小型、微型企业的协议合同金额占到联合体协议合同总金额30%以上的，联合体投标价给予</w:t>
      </w:r>
      <w:r>
        <w:rPr>
          <w:rFonts w:hint="eastAsia" w:ascii="宋体" w:hAnsi="宋体"/>
          <w:bCs/>
          <w:szCs w:val="21"/>
          <w:highlight w:val="none"/>
          <w:lang w:val="en-US" w:eastAsia="zh-CN"/>
        </w:rPr>
        <w:t>4</w:t>
      </w:r>
      <w:r>
        <w:rPr>
          <w:rFonts w:hint="eastAsia" w:ascii="宋体" w:hAnsi="宋体"/>
          <w:bCs/>
          <w:szCs w:val="21"/>
          <w:highlight w:val="none"/>
        </w:rPr>
        <w:t>%的扣除，扣除后的价格为评标价；联合体各方均为小型、微型企业的，联合体视同为小型、微型企业享受本办法第四条、第五条规定的扶持政策（计算方式见“评标办法”）。组成联合体的大中型企业和其他自然人、法人或者其他组织，与小型、微型企业之间不得存在投资关系。（是否接受联合体具体见第一章“竞争性谈判公告”）</w:t>
      </w:r>
    </w:p>
    <w:p>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szCs w:val="21"/>
          <w:highlight w:val="none"/>
        </w:rPr>
      </w:pPr>
      <w:r>
        <w:rPr>
          <w:rFonts w:hint="eastAsia" w:ascii="宋体" w:hAnsi="宋体"/>
          <w:bCs/>
          <w:szCs w:val="21"/>
          <w:highlight w:val="none"/>
        </w:rPr>
        <w:t>8.5.</w:t>
      </w:r>
      <w:r>
        <w:rPr>
          <w:rFonts w:hint="eastAsia" w:ascii="宋体" w:hAnsi="宋体"/>
          <w:bCs/>
          <w:szCs w:val="21"/>
          <w:highlight w:val="none"/>
          <w:lang w:val="en-US" w:eastAsia="zh-CN"/>
        </w:rPr>
        <w:t>2</w:t>
      </w:r>
      <w:r>
        <w:rPr>
          <w:rFonts w:hint="eastAsia" w:ascii="宋体" w:hAnsi="宋体"/>
          <w:bCs/>
          <w:szCs w:val="21"/>
          <w:highlight w:val="none"/>
        </w:rPr>
        <w:t>成交产品为小型和微型企业产品的，成交结果将同时公告产品企业《中小企业声明函》，接受社会监督。</w:t>
      </w:r>
    </w:p>
    <w:p>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cs="宋体"/>
          <w:bCs/>
          <w:szCs w:val="18"/>
          <w:lang w:val="zh-CN"/>
        </w:rPr>
      </w:pPr>
      <w:r>
        <w:rPr>
          <w:rFonts w:hint="eastAsia" w:ascii="宋体" w:hAnsi="宋体" w:cs="宋体"/>
          <w:bCs/>
          <w:szCs w:val="18"/>
          <w:lang w:val="en-US" w:eastAsia="zh-CN"/>
        </w:rPr>
        <w:t>8.5.3</w:t>
      </w:r>
      <w:r>
        <w:rPr>
          <w:rFonts w:hint="eastAsia" w:ascii="宋体" w:hAnsi="宋体" w:cs="宋体"/>
          <w:bCs/>
          <w:szCs w:val="18"/>
          <w:lang w:val="zh-CN"/>
        </w:rPr>
        <w:t>投标人不得存在下列情形之一：</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bCs/>
          <w:szCs w:val="18"/>
          <w:lang w:val="zh-CN"/>
        </w:rPr>
        <w:t xml:space="preserve">     </w:t>
      </w:r>
      <w:r>
        <w:rPr>
          <w:rFonts w:hint="eastAsia" w:ascii="宋体" w:hAnsi="宋体" w:cs="宋体"/>
          <w:szCs w:val="21"/>
        </w:rPr>
        <w:t>（1）为招标人不具有独立法人资格的附属机构（单位）；</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（2）与招标人存在利害关系且可能影响招标公正性；</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（3）与本招标项目的其他投标人为同一个单位负责人；</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（4）与本招标项目的其他投标人存在控股、管理关系；</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（5）为本招标项目的代建人；</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（6）为本招标项目的招标代理机构；</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（7）与本招标项目的代建人或招标代理机构同为一个法定代表人；</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（8）与本招标项目的代建人或招标代理机构存在控股或参股关系；</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（9）与本招标项目的施工承包人以及建筑材料、建筑构配件和设备</w:t>
      </w:r>
      <w:r>
        <w:rPr>
          <w:rFonts w:hint="eastAsia" w:ascii="宋体" w:hAnsi="宋体" w:cs="宋体"/>
          <w:szCs w:val="21"/>
          <w:lang w:eastAsia="zh-CN"/>
        </w:rPr>
        <w:t>投标人</w:t>
      </w:r>
      <w:r>
        <w:rPr>
          <w:rFonts w:hint="eastAsia" w:ascii="宋体" w:hAnsi="宋体" w:cs="宋体"/>
          <w:szCs w:val="21"/>
        </w:rPr>
        <w:t>有隶属关系或者其他利害关系；</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（10）被依法暂停或者取消投标资格；</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（11）被责令停产停业、暂扣或者吊销许可证、暂扣或者吊销执照；</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（12）进入清算程序，或被宣告破产，或其他丧失履约能力的情形；</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（13）在最近三年内发生重大施工质量问题（以相关行业主管部门的行政处罚决定或司法机关出具的有关法律文书为准）；</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（14）被工商行政管理机关在全国企业信用信息公示系统中列入严重违法失信企业名单；</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（15）被最高人民法院在“信用中国”网站（www.creditchina.gov.cn）列入失信被执行人名单及</w:t>
      </w:r>
      <w:r>
        <w:rPr>
          <w:rFonts w:hint="eastAsia" w:ascii="宋体" w:hAnsi="宋体" w:cs="宋体"/>
          <w:kern w:val="0"/>
          <w:szCs w:val="21"/>
        </w:rPr>
        <w:t>重大税收违法案件当事人名单</w:t>
      </w:r>
      <w:r>
        <w:rPr>
          <w:rFonts w:hint="eastAsia" w:ascii="宋体" w:hAnsi="宋体" w:cs="宋体"/>
          <w:szCs w:val="21"/>
        </w:rPr>
        <w:t>；</w:t>
      </w:r>
    </w:p>
    <w:p>
      <w:pPr>
        <w:keepNext w:val="0"/>
        <w:keepLines w:val="0"/>
        <w:pageBreakBefore w:val="0"/>
        <w:kinsoku/>
        <w:wordWrap/>
        <w:overflowPunct/>
        <w:topLinePunct w:val="0"/>
        <w:bidi w:val="0"/>
        <w:snapToGrid/>
        <w:spacing w:line="380" w:lineRule="exact"/>
        <w:textAlignment w:val="auto"/>
        <w:rPr>
          <w:rFonts w:hint="eastAsia"/>
        </w:rPr>
      </w:pPr>
      <w:r>
        <w:rPr>
          <w:rFonts w:hint="eastAsia" w:ascii="宋体" w:hAnsi="宋体" w:cs="宋体"/>
          <w:szCs w:val="21"/>
        </w:rPr>
        <w:t xml:space="preserve">     （1</w:t>
      </w:r>
      <w:r>
        <w:rPr>
          <w:rFonts w:hint="eastAsia" w:ascii="宋体" w:hAnsi="宋体" w:cs="宋体"/>
          <w:szCs w:val="21"/>
          <w:lang w:val="en-US" w:eastAsia="zh-CN"/>
        </w:rPr>
        <w:t>6</w:t>
      </w:r>
      <w:r>
        <w:rPr>
          <w:rFonts w:hint="eastAsia" w:ascii="宋体" w:hAnsi="宋体" w:cs="宋体"/>
          <w:szCs w:val="21"/>
        </w:rPr>
        <w:t>）法律法规或投标人须知前附表规定的其他情形。</w:t>
      </w:r>
    </w:p>
    <w:p>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szCs w:val="21"/>
          <w:highlight w:val="none"/>
        </w:rPr>
      </w:pPr>
      <w:r>
        <w:rPr>
          <w:rFonts w:hint="eastAsia" w:ascii="宋体" w:hAnsi="宋体"/>
          <w:bCs/>
          <w:szCs w:val="21"/>
          <w:highlight w:val="none"/>
        </w:rPr>
        <w:t>8.6根据财库〔2017〕141号《三部门联合发布关于促进残疾人就业政府采购政策的通知》第三条规定，在政府采购活动中，残疾人福利性单位视同小型、微型企业，享受预留份额、评审中</w:t>
      </w:r>
      <w:r>
        <w:rPr>
          <w:rFonts w:hint="eastAsia" w:ascii="宋体" w:hAnsi="宋体"/>
          <w:szCs w:val="21"/>
          <w:highlight w:val="none"/>
        </w:rPr>
        <w:t>价格扣除等促进中小企业发展的政府采购政策。向残疾人福利性单位采购的金额，计入面向中小企业采购的统计数据。残疾人福利性单位属于小型、微型企业的，不重复享受政策。</w:t>
      </w:r>
    </w:p>
    <w:p>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szCs w:val="21"/>
          <w:highlight w:val="none"/>
        </w:rPr>
      </w:pPr>
      <w:r>
        <w:rPr>
          <w:rFonts w:hint="eastAsia" w:ascii="宋体" w:hAnsi="宋体"/>
          <w:szCs w:val="21"/>
          <w:highlight w:val="none"/>
        </w:rPr>
        <w:t>8.6.1符合条件的残疾人福利性单位在参加政府采购活动时，应当提供本通知规定的《残疾人福利性单位声明函》（见本竞争性谈判文件第六章附件），并对声明的真实性负责。</w:t>
      </w:r>
    </w:p>
    <w:p>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中标、成交供应商为残疾人福利性单位的，采购人或者其委托的采购代理机构应当随中标、成交结果同时公告其《残疾人福利性单位声明函》，接受社会监督。</w:t>
      </w:r>
    </w:p>
    <w:p>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8.6.2供应商提供的《残疾人福利性单位声明函》与事实不符的，依照《政府采购法》第七十七条第一款的规定追究法律责任。</w:t>
      </w:r>
    </w:p>
    <w:p>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8.6.3享受政府采购支持政策的残疾人福利性单位应当同时满足以下条件：</w:t>
      </w:r>
    </w:p>
    <w:p>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（1）安置的残疾人占本单位在职职工人数的比例不低于25%（含25%），并且安置的残疾人人数不少于10人（含10人）；</w:t>
      </w:r>
    </w:p>
    <w:p>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（2）依法与安置的每位残疾人签订了一年以上（含一年）的劳动合同或服务协议；</w:t>
      </w:r>
    </w:p>
    <w:p>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（3）为安置的每位残疾人按月足额缴纳了基本养老保险、基本医疗保险、失业保险、工伤保险和生育保险等社会保险费；</w:t>
      </w:r>
    </w:p>
    <w:p>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（4）通过银行等金融机构向安置的每位残疾人，按月支付了不低于单位所在区县适用的经省级人民政府批准的月最低工资标准的工资；</w:t>
      </w:r>
    </w:p>
    <w:p>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（5）提供本单位制造的货物、承担的工程或者服务（以下简称产品），或者提供其他残疾人福利性单位制造的货物（不包括使用非残疾人福利性单位注册商标的货物）。</w:t>
      </w:r>
    </w:p>
    <w:p>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本文件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630" w:firstLineChars="300"/>
        <w:jc w:val="left"/>
        <w:rPr>
          <w:rFonts w:ascii="宋体" w:hAnsi="宋体"/>
          <w:szCs w:val="21"/>
          <w:highlight w:val="none"/>
          <w:lang w:val="zh-CN"/>
        </w:rPr>
      </w:pPr>
      <w:r>
        <w:rPr>
          <w:rFonts w:hint="eastAsia" w:ascii="宋体" w:hAnsi="宋体"/>
          <w:szCs w:val="21"/>
          <w:highlight w:val="none"/>
          <w:lang w:val="en-US" w:eastAsia="zh-CN"/>
        </w:rPr>
        <w:t>8.7</w:t>
      </w:r>
      <w:r>
        <w:rPr>
          <w:rFonts w:hint="eastAsia" w:ascii="宋体" w:hAnsi="宋体"/>
          <w:szCs w:val="21"/>
          <w:highlight w:val="none"/>
          <w:lang w:val="zh-CN"/>
        </w:rPr>
        <w:t>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注：本次采购优先采购《环境标志产品政府采购清单》最新一期内容中的产品，查询网站为：</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中华人民共和国财政部网站（http：//www.mof.gov.cn ）；</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中国政府采购网（http：//www.ccgp.gov.cn）；</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中华人民共和国环境保护部网站（http：//www.zhb.gov.cn ）；</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中国绿色采购网（http：//www.cgpn.org）。</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2）对于列入财政部、国家发改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注：采购货物中含《节能产品政府采购清单》最新一期附件规定的强制性采购产品的，必须采购清单指定产品，否则投标无效。其它货物优先采购《节能产品政府采购清单》最新一期内容中的产品。查询网站为：</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中华人民共和国财政部网站（http：//www.mof.gov.cn ）；</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中国政府采购网（http：//www.ccgp.gov.cn ）；</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国家发展改革委网站（http：//www.ndrc.gov.cn ）；</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中国质量认证中心网站（http：//www.cqc.com.cn ）。</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宋体" w:hAnsi="宋体"/>
          <w:szCs w:val="21"/>
          <w:highlight w:val="none"/>
          <w:lang w:val="zh-CN"/>
        </w:rPr>
      </w:pPr>
      <w:r>
        <w:rPr>
          <w:rFonts w:hint="eastAsia" w:ascii="宋体" w:hAnsi="宋体"/>
          <w:szCs w:val="21"/>
          <w:highlight w:val="none"/>
          <w:lang w:val="zh-CN"/>
        </w:rPr>
        <w:t>（3）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pPr>
        <w:tabs>
          <w:tab w:val="left" w:pos="2190"/>
        </w:tabs>
        <w:spacing w:line="380" w:lineRule="exact"/>
        <w:ind w:firstLine="435"/>
        <w:jc w:val="center"/>
        <w:rPr>
          <w:rFonts w:ascii="宋体" w:hAnsi="宋体"/>
          <w:b/>
          <w:sz w:val="28"/>
          <w:szCs w:val="28"/>
          <w:highlight w:val="none"/>
        </w:rPr>
      </w:pPr>
      <w:r>
        <w:rPr>
          <w:rFonts w:hint="eastAsia" w:ascii="宋体" w:hAnsi="宋体"/>
          <w:b/>
          <w:sz w:val="28"/>
          <w:szCs w:val="28"/>
          <w:highlight w:val="none"/>
        </w:rPr>
        <w:t>二、谈判文件</w:t>
      </w:r>
    </w:p>
    <w:p>
      <w:pPr>
        <w:tabs>
          <w:tab w:val="left" w:pos="2190"/>
        </w:tabs>
        <w:spacing w:line="400" w:lineRule="exact"/>
        <w:ind w:firstLine="437"/>
        <w:rPr>
          <w:rFonts w:ascii="宋体" w:hAnsi="宋体"/>
          <w:b/>
          <w:szCs w:val="21"/>
          <w:highlight w:val="none"/>
        </w:rPr>
      </w:pPr>
      <w:r>
        <w:rPr>
          <w:rFonts w:hint="eastAsia" w:ascii="宋体" w:hAnsi="宋体"/>
          <w:b/>
          <w:szCs w:val="21"/>
          <w:highlight w:val="none"/>
        </w:rPr>
        <w:t>9、谈判文件的构成</w:t>
      </w:r>
    </w:p>
    <w:p>
      <w:pPr>
        <w:tabs>
          <w:tab w:val="left" w:pos="2190"/>
        </w:tabs>
        <w:spacing w:line="400" w:lineRule="exact"/>
        <w:ind w:firstLine="437"/>
        <w:rPr>
          <w:rFonts w:ascii="宋体" w:hAnsi="宋体"/>
          <w:szCs w:val="21"/>
          <w:highlight w:val="none"/>
        </w:rPr>
      </w:pPr>
      <w:r>
        <w:rPr>
          <w:rFonts w:hint="eastAsia" w:ascii="宋体" w:hAnsi="宋体"/>
          <w:szCs w:val="21"/>
          <w:highlight w:val="none"/>
        </w:rPr>
        <w:t>（1）竞争性谈判公告；</w:t>
      </w:r>
    </w:p>
    <w:p>
      <w:pPr>
        <w:tabs>
          <w:tab w:val="left" w:pos="2190"/>
        </w:tabs>
        <w:spacing w:line="400" w:lineRule="exact"/>
        <w:ind w:firstLine="437"/>
        <w:rPr>
          <w:rFonts w:ascii="宋体" w:hAnsi="宋体"/>
          <w:szCs w:val="21"/>
          <w:highlight w:val="none"/>
        </w:rPr>
      </w:pPr>
      <w:r>
        <w:rPr>
          <w:rFonts w:hint="eastAsia" w:ascii="宋体" w:hAnsi="宋体"/>
          <w:szCs w:val="21"/>
          <w:highlight w:val="none"/>
        </w:rPr>
        <w:t>（2）供应商须知；</w:t>
      </w:r>
    </w:p>
    <w:p>
      <w:pPr>
        <w:tabs>
          <w:tab w:val="left" w:pos="2190"/>
        </w:tabs>
        <w:spacing w:line="400" w:lineRule="exact"/>
        <w:ind w:firstLine="437"/>
        <w:rPr>
          <w:rFonts w:ascii="宋体" w:hAnsi="宋体"/>
          <w:szCs w:val="21"/>
          <w:highlight w:val="none"/>
        </w:rPr>
      </w:pPr>
      <w:r>
        <w:rPr>
          <w:rFonts w:hint="eastAsia" w:ascii="宋体" w:hAnsi="宋体"/>
          <w:szCs w:val="21"/>
          <w:highlight w:val="none"/>
        </w:rPr>
        <w:t>（3）</w:t>
      </w:r>
      <w:r>
        <w:rPr>
          <w:rFonts w:hint="eastAsia" w:ascii="宋体" w:hAnsi="宋体"/>
          <w:color w:val="000000" w:themeColor="text1"/>
          <w:szCs w:val="21"/>
          <w:highlight w:val="none"/>
          <w:lang w:eastAsia="zh-CN"/>
          <w14:textFill>
            <w14:solidFill>
              <w14:schemeClr w14:val="tx1"/>
            </w14:solidFill>
          </w14:textFill>
        </w:rPr>
        <w:t>货物</w:t>
      </w:r>
      <w:r>
        <w:rPr>
          <w:rFonts w:hint="eastAsia" w:ascii="宋体" w:hAnsi="宋体"/>
          <w:color w:val="000000" w:themeColor="text1"/>
          <w:szCs w:val="21"/>
          <w:highlight w:val="none"/>
          <w14:textFill>
            <w14:solidFill>
              <w14:schemeClr w14:val="tx1"/>
            </w14:solidFill>
          </w14:textFill>
        </w:rPr>
        <w:t>采购需求</w:t>
      </w:r>
      <w:r>
        <w:rPr>
          <w:rFonts w:hint="eastAsia" w:ascii="宋体" w:hAnsi="宋体"/>
          <w:b/>
          <w:color w:val="000000" w:themeColor="text1"/>
          <w:szCs w:val="21"/>
          <w:highlight w:val="none"/>
          <w14:textFill>
            <w14:solidFill>
              <w14:schemeClr w14:val="tx1"/>
            </w14:solidFill>
          </w14:textFill>
        </w:rPr>
        <w:t>（“货物采</w:t>
      </w:r>
      <w:r>
        <w:rPr>
          <w:rFonts w:hint="eastAsia" w:ascii="宋体" w:hAnsi="宋体"/>
          <w:b/>
          <w:szCs w:val="21"/>
          <w:highlight w:val="none"/>
        </w:rPr>
        <w:t>购需求”中的所有条款要求均为实质性要求）；</w:t>
      </w:r>
    </w:p>
    <w:p>
      <w:pPr>
        <w:tabs>
          <w:tab w:val="left" w:pos="2190"/>
        </w:tabs>
        <w:spacing w:line="400" w:lineRule="exact"/>
        <w:ind w:firstLine="437"/>
        <w:rPr>
          <w:rFonts w:ascii="宋体" w:hAnsi="宋体"/>
          <w:szCs w:val="21"/>
          <w:highlight w:val="none"/>
        </w:rPr>
      </w:pPr>
      <w:r>
        <w:rPr>
          <w:rFonts w:hint="eastAsia" w:ascii="宋体" w:hAnsi="宋体"/>
          <w:szCs w:val="21"/>
          <w:highlight w:val="none"/>
        </w:rPr>
        <w:t>（4）评审方法；</w:t>
      </w:r>
    </w:p>
    <w:p>
      <w:pPr>
        <w:tabs>
          <w:tab w:val="left" w:pos="2190"/>
        </w:tabs>
        <w:spacing w:line="400" w:lineRule="exact"/>
        <w:ind w:firstLine="437"/>
        <w:rPr>
          <w:rFonts w:ascii="宋体" w:hAnsi="宋体"/>
          <w:szCs w:val="21"/>
          <w:highlight w:val="none"/>
        </w:rPr>
      </w:pPr>
      <w:r>
        <w:rPr>
          <w:rFonts w:hint="eastAsia" w:ascii="宋体" w:hAnsi="宋体"/>
          <w:szCs w:val="21"/>
          <w:highlight w:val="none"/>
        </w:rPr>
        <w:t>（5）采购合同（合同主要条款及格式）；</w:t>
      </w:r>
    </w:p>
    <w:p>
      <w:pPr>
        <w:tabs>
          <w:tab w:val="left" w:pos="2190"/>
        </w:tabs>
        <w:spacing w:line="400" w:lineRule="exact"/>
        <w:ind w:firstLine="437"/>
        <w:rPr>
          <w:rFonts w:ascii="宋体" w:hAnsi="宋体"/>
          <w:szCs w:val="21"/>
          <w:highlight w:val="none"/>
        </w:rPr>
      </w:pPr>
      <w:r>
        <w:rPr>
          <w:rFonts w:hint="eastAsia" w:ascii="宋体" w:hAnsi="宋体"/>
          <w:szCs w:val="21"/>
          <w:highlight w:val="none"/>
        </w:rPr>
        <w:t>（6）响应文件格式。</w:t>
      </w:r>
    </w:p>
    <w:p>
      <w:pPr>
        <w:tabs>
          <w:tab w:val="left" w:pos="2190"/>
        </w:tabs>
        <w:spacing w:line="400" w:lineRule="exact"/>
        <w:ind w:firstLine="437"/>
        <w:rPr>
          <w:rFonts w:ascii="宋体" w:hAnsi="宋体"/>
          <w:b/>
          <w:szCs w:val="21"/>
          <w:highlight w:val="none"/>
        </w:rPr>
      </w:pPr>
      <w:r>
        <w:rPr>
          <w:rFonts w:hint="eastAsia" w:ascii="宋体" w:hAnsi="宋体"/>
          <w:b/>
          <w:szCs w:val="21"/>
          <w:highlight w:val="none"/>
        </w:rPr>
        <w:t>10、谈判文件的澄清与修改</w:t>
      </w:r>
    </w:p>
    <w:p>
      <w:pPr>
        <w:tabs>
          <w:tab w:val="left" w:pos="2190"/>
        </w:tabs>
        <w:spacing w:line="400" w:lineRule="exact"/>
        <w:ind w:firstLine="437"/>
        <w:rPr>
          <w:rFonts w:ascii="宋体" w:hAnsi="宋体"/>
          <w:szCs w:val="21"/>
          <w:highlight w:val="none"/>
        </w:rPr>
      </w:pPr>
      <w:r>
        <w:rPr>
          <w:rFonts w:hint="eastAsia" w:ascii="宋体" w:hAnsi="宋体"/>
          <w:szCs w:val="21"/>
          <w:highlight w:val="none"/>
        </w:rPr>
        <w:t>10.1、供应商应认真阅读谈判文件，发现其中有误或有不合理要求的，应在谈判截止日期二日前以书面形式要求采购代理机构澄清。</w:t>
      </w:r>
    </w:p>
    <w:p>
      <w:pPr>
        <w:tabs>
          <w:tab w:val="left" w:pos="2190"/>
        </w:tabs>
        <w:spacing w:line="400" w:lineRule="exact"/>
        <w:ind w:firstLine="437"/>
        <w:rPr>
          <w:rFonts w:hint="eastAsia" w:ascii="宋体" w:hAnsi="宋体"/>
          <w:szCs w:val="21"/>
          <w:highlight w:val="none"/>
        </w:rPr>
      </w:pPr>
      <w:r>
        <w:rPr>
          <w:rFonts w:hint="eastAsia" w:ascii="宋体" w:hAnsi="宋体"/>
          <w:szCs w:val="21"/>
          <w:highlight w:val="none"/>
        </w:rPr>
        <w:t>10.2、提交首次响应文件截止之日前，采购代理机构可以对已发出的谈判文件进行必要澄清或者修改，澄清或者修改的内容可能影响响应文件编制的，采购代理机构应当在提交首次响应文件递交截止时间三个工作日前在本项目竞争性谈判公告发布的同一媒体上发布更正公告，不足三个工作日的，应当顺延首次响应文件递交截止时间。</w:t>
      </w:r>
    </w:p>
    <w:p>
      <w:pPr>
        <w:tabs>
          <w:tab w:val="left" w:pos="2190"/>
        </w:tabs>
        <w:spacing w:line="400" w:lineRule="exact"/>
        <w:ind w:firstLine="437"/>
        <w:rPr>
          <w:rFonts w:ascii="宋体" w:hAnsi="宋体"/>
          <w:szCs w:val="21"/>
          <w:highlight w:val="none"/>
        </w:rPr>
      </w:pPr>
      <w:r>
        <w:rPr>
          <w:rFonts w:hint="eastAsia" w:ascii="宋体" w:hAnsi="宋体"/>
          <w:szCs w:val="21"/>
          <w:highlight w:val="none"/>
        </w:rPr>
        <w:t>10.3采购代理机构在竞争性谈判公告发布的相关网站发布更正公告的同时，视同供应商已知晓竞争性谈判文件的澄清或者修改，供应商应将澄清或者修改的内容考虑在响应文件中，供应商在响应文件递交截止前未登录竞争性谈判公告发布的相关网站查看澄清或者修改的，造成供应商的响应文件不符合竞争性谈判文件要求或废标的，由供应商自行承担责任。</w:t>
      </w:r>
    </w:p>
    <w:p>
      <w:pPr>
        <w:tabs>
          <w:tab w:val="left" w:pos="2190"/>
        </w:tabs>
        <w:spacing w:line="400" w:lineRule="exact"/>
        <w:ind w:firstLine="437"/>
        <w:rPr>
          <w:rFonts w:ascii="宋体" w:hAnsi="宋体"/>
          <w:szCs w:val="21"/>
          <w:highlight w:val="none"/>
        </w:rPr>
      </w:pPr>
      <w:r>
        <w:rPr>
          <w:rFonts w:hint="eastAsia" w:ascii="宋体" w:hAnsi="宋体"/>
          <w:szCs w:val="21"/>
          <w:highlight w:val="none"/>
        </w:rPr>
        <w:t>10.3、澄清、答复、修改、补充的内容为谈判文件的组成部分。当澄清、答复、修改、补充通知就同一内容的表述不一致时，以最后发出的文件为准。</w:t>
      </w:r>
    </w:p>
    <w:p>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7"/>
        <w:textAlignment w:val="auto"/>
        <w:rPr>
          <w:rFonts w:ascii="宋体" w:hAnsi="宋体"/>
          <w:szCs w:val="21"/>
          <w:highlight w:val="none"/>
        </w:rPr>
      </w:pPr>
      <w:r>
        <w:rPr>
          <w:rFonts w:hint="eastAsia" w:ascii="宋体" w:hAnsi="宋体"/>
          <w:szCs w:val="21"/>
          <w:highlight w:val="none"/>
        </w:rPr>
        <w:t>10.4、谈判文件的澄清、答复、修改或补充都应该通过本项目采购代理机构以法定形式发布，采购人非通过本机构，不得擅自澄清、答复、修改或补充谈判文件。</w:t>
      </w:r>
    </w:p>
    <w:p>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jc w:val="center"/>
        <w:textAlignment w:val="auto"/>
        <w:rPr>
          <w:rFonts w:ascii="宋体" w:hAnsi="宋体"/>
          <w:b/>
          <w:sz w:val="28"/>
          <w:szCs w:val="28"/>
          <w:highlight w:val="none"/>
        </w:rPr>
      </w:pPr>
      <w:r>
        <w:rPr>
          <w:rFonts w:hint="eastAsia" w:ascii="宋体" w:hAnsi="宋体"/>
          <w:b/>
          <w:sz w:val="28"/>
          <w:szCs w:val="28"/>
          <w:highlight w:val="none"/>
        </w:rPr>
        <w:t>三、竞争性谈判响应文件的编制</w:t>
      </w:r>
    </w:p>
    <w:p>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textAlignment w:val="auto"/>
        <w:rPr>
          <w:rFonts w:ascii="宋体" w:hAnsi="宋体"/>
          <w:bCs/>
          <w:szCs w:val="21"/>
          <w:highlight w:val="none"/>
        </w:rPr>
      </w:pPr>
      <w:r>
        <w:rPr>
          <w:rFonts w:hint="eastAsia" w:ascii="宋体" w:hAnsi="宋体"/>
          <w:bCs/>
          <w:szCs w:val="21"/>
          <w:highlight w:val="none"/>
        </w:rPr>
        <w:t>11、竞争性谈判响应文件（以下简称响应文件）的组成及要求</w:t>
      </w:r>
    </w:p>
    <w:p>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11.1、响应文件组成（格式见第六章响应文件格式）</w:t>
      </w:r>
    </w:p>
    <w:p>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（1）响应函（格式见附件）（必须提供）；</w:t>
      </w:r>
    </w:p>
    <w:p>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（2）供应商的法定代表人或负责人或自然人身份证正反两面复印件（必须提供）；</w:t>
      </w:r>
    </w:p>
    <w:p>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（3）供应商的授权委托书原件、委托代理人身份证正反面复印件（委托代理时必须提供）；</w:t>
      </w:r>
    </w:p>
    <w:p>
      <w:pPr>
        <w:tabs>
          <w:tab w:val="left" w:pos="1305"/>
        </w:tabs>
        <w:spacing w:line="400" w:lineRule="exact"/>
        <w:ind w:firstLine="420" w:firstLineChars="200"/>
        <w:rPr>
          <w:rFonts w:hint="eastAsia" w:ascii="宋体" w:hAnsi="宋体"/>
          <w:bCs/>
          <w:szCs w:val="21"/>
          <w:highlight w:val="none"/>
        </w:rPr>
      </w:pPr>
      <w:r>
        <w:rPr>
          <w:rFonts w:hint="eastAsia" w:ascii="宋体" w:hAnsi="宋体"/>
          <w:bCs/>
          <w:szCs w:val="21"/>
          <w:highlight w:val="none"/>
        </w:rPr>
        <w:t>（4）供应商参加政府采购活动前3年内在经营活动中没有重大违法记录的书面声明（格式见附件，必须提供）；</w:t>
      </w:r>
    </w:p>
    <w:p>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（5）关于政府采购活动中信用信息记录的书面声明（格式见附件，必须提供查询网站中直接打印查询记录</w:t>
      </w:r>
      <w:r>
        <w:rPr>
          <w:rFonts w:hint="eastAsia" w:ascii="宋体" w:hAnsi="宋体"/>
          <w:bCs/>
          <w:szCs w:val="21"/>
          <w:highlight w:val="none"/>
          <w:lang w:val="en-US" w:eastAsia="zh-CN"/>
        </w:rPr>
        <w:t>结果的附件</w:t>
      </w:r>
      <w:r>
        <w:rPr>
          <w:rFonts w:hint="eastAsia" w:ascii="宋体" w:hAnsi="宋体"/>
          <w:bCs/>
          <w:szCs w:val="21"/>
          <w:highlight w:val="none"/>
        </w:rPr>
        <w:t>）；</w:t>
      </w:r>
    </w:p>
    <w:p>
      <w:pPr>
        <w:tabs>
          <w:tab w:val="left" w:pos="1305"/>
        </w:tabs>
        <w:spacing w:line="380" w:lineRule="exact"/>
        <w:ind w:firstLine="420" w:firstLineChars="200"/>
        <w:rPr>
          <w:rFonts w:ascii="宋体" w:hAnsi="宋体"/>
          <w:bCs/>
          <w:highlight w:val="none"/>
        </w:rPr>
      </w:pPr>
      <w:r>
        <w:rPr>
          <w:rFonts w:hint="eastAsia" w:ascii="宋体" w:hAnsi="宋体"/>
          <w:bCs/>
          <w:highlight w:val="none"/>
        </w:rPr>
        <w:t>（6）供应商前期服务情况声明函（</w:t>
      </w:r>
      <w:r>
        <w:rPr>
          <w:rFonts w:hint="eastAsia" w:ascii="宋体" w:hAnsi="宋体" w:cs="宋体"/>
          <w:bCs/>
          <w:highlight w:val="none"/>
        </w:rPr>
        <w:t>格式见附件，</w:t>
      </w:r>
      <w:r>
        <w:rPr>
          <w:rFonts w:hint="eastAsia" w:ascii="宋体" w:hAnsi="宋体"/>
          <w:bCs/>
          <w:highlight w:val="none"/>
        </w:rPr>
        <w:t>必须提供）；</w:t>
      </w:r>
    </w:p>
    <w:p>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（7）供应商的法人或者其他组织营业执照等证明文件复印件（必须提供，自然人除外）；</w:t>
      </w:r>
    </w:p>
    <w:p>
      <w:pPr>
        <w:tabs>
          <w:tab w:val="left" w:pos="1305"/>
        </w:tabs>
        <w:spacing w:line="400" w:lineRule="exact"/>
        <w:ind w:firstLine="420" w:firstLineChars="200"/>
        <w:rPr>
          <w:rFonts w:hint="eastAsia" w:ascii="宋体" w:hAnsi="宋体"/>
          <w:bCs/>
          <w:szCs w:val="21"/>
          <w:highlight w:val="none"/>
        </w:rPr>
      </w:pPr>
      <w:r>
        <w:rPr>
          <w:rFonts w:hint="eastAsia" w:ascii="宋体" w:hAnsi="宋体"/>
          <w:bCs/>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s>
        <w:spacing w:line="400" w:lineRule="exact"/>
        <w:ind w:firstLine="420" w:firstLineChars="200"/>
        <w:rPr>
          <w:rFonts w:hint="eastAsia" w:ascii="宋体" w:hAnsi="宋体"/>
          <w:szCs w:val="21"/>
          <w:highlight w:val="none"/>
        </w:rPr>
      </w:pPr>
      <w:r>
        <w:rPr>
          <w:rFonts w:hint="eastAsia" w:ascii="宋体" w:hAnsi="宋体"/>
          <w:szCs w:val="21"/>
          <w:highlight w:val="none"/>
        </w:rPr>
        <w:t>（8）谈判报价表</w:t>
      </w:r>
      <w:r>
        <w:rPr>
          <w:rFonts w:hint="eastAsia" w:ascii="宋体" w:hAnsi="宋体"/>
          <w:szCs w:val="21"/>
          <w:highlight w:val="none"/>
          <w:lang w:eastAsia="zh-CN"/>
        </w:rPr>
        <w:t>及附件</w:t>
      </w:r>
      <w:r>
        <w:rPr>
          <w:rFonts w:hint="eastAsia" w:ascii="宋体" w:hAnsi="宋体"/>
          <w:szCs w:val="21"/>
          <w:highlight w:val="none"/>
        </w:rPr>
        <w:t>（格式见附件）（必须提供）；</w:t>
      </w:r>
    </w:p>
    <w:p>
      <w:pPr>
        <w:tabs>
          <w:tab w:val="left" w:pos="1305"/>
        </w:tabs>
        <w:spacing w:line="400" w:lineRule="exact"/>
        <w:ind w:firstLine="420" w:firstLineChars="200"/>
        <w:rPr>
          <w:rFonts w:hint="eastAsia" w:ascii="宋体" w:hAnsi="宋体" w:eastAsia="宋体"/>
          <w:szCs w:val="21"/>
          <w:highlight w:val="none"/>
          <w:lang w:eastAsia="zh-CN"/>
        </w:rPr>
      </w:pPr>
      <w:r>
        <w:rPr>
          <w:rFonts w:hint="eastAsia" w:ascii="宋体" w:hAnsi="宋体"/>
          <w:szCs w:val="21"/>
          <w:highlight w:val="none"/>
        </w:rPr>
        <w:t>（9）</w:t>
      </w:r>
      <w:r>
        <w:rPr>
          <w:rFonts w:hint="eastAsia" w:ascii="宋体" w:hAnsi="宋体"/>
          <w:szCs w:val="21"/>
        </w:rPr>
        <w:t>供应商的财务状况</w:t>
      </w:r>
      <w:r>
        <w:rPr>
          <w:rFonts w:hint="eastAsia" w:ascii="宋体" w:hAnsi="宋体"/>
          <w:szCs w:val="21"/>
          <w:lang w:eastAsia="zh-CN"/>
        </w:rPr>
        <w:t>、</w:t>
      </w:r>
      <w:r>
        <w:rPr>
          <w:rFonts w:hint="eastAsia" w:ascii="宋体" w:hAnsi="宋体" w:cs="宋体"/>
          <w:bCs/>
          <w:snapToGrid w:val="0"/>
          <w:szCs w:val="21"/>
          <w:highlight w:val="none"/>
        </w:rPr>
        <w:t>依法缴纳税收和社会保障金的资格条件承诺函</w:t>
      </w:r>
      <w:r>
        <w:rPr>
          <w:rFonts w:hint="eastAsia" w:ascii="宋体" w:hAnsi="宋体"/>
          <w:szCs w:val="21"/>
          <w:highlight w:val="none"/>
        </w:rPr>
        <w:t>（必须提供）</w:t>
      </w:r>
      <w:r>
        <w:rPr>
          <w:rFonts w:hint="eastAsia" w:ascii="宋体" w:hAnsi="宋体"/>
          <w:szCs w:val="21"/>
          <w:highlight w:val="none"/>
          <w:lang w:eastAsia="zh-CN"/>
        </w:rPr>
        <w:t>；</w:t>
      </w:r>
    </w:p>
    <w:p>
      <w:pPr>
        <w:tabs>
          <w:tab w:val="left" w:pos="1305"/>
        </w:tabs>
        <w:spacing w:line="400" w:lineRule="exact"/>
        <w:ind w:firstLine="420" w:firstLineChars="200"/>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10</w:t>
      </w:r>
      <w:r>
        <w:rPr>
          <w:rFonts w:hint="eastAsia" w:ascii="宋体" w:hAnsi="宋体"/>
          <w:szCs w:val="21"/>
          <w:highlight w:val="none"/>
        </w:rPr>
        <w:t>）供应商的售后服务承诺书（必须提供）；</w:t>
      </w:r>
    </w:p>
    <w:p>
      <w:pPr>
        <w:tabs>
          <w:tab w:val="left" w:pos="1305"/>
        </w:tabs>
        <w:spacing w:line="400" w:lineRule="exact"/>
        <w:ind w:firstLine="420" w:firstLineChars="200"/>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1</w:t>
      </w:r>
      <w:r>
        <w:rPr>
          <w:rFonts w:hint="eastAsia" w:ascii="宋体" w:hAnsi="宋体"/>
          <w:szCs w:val="21"/>
          <w:highlight w:val="none"/>
        </w:rPr>
        <w:t>）项目实施人员一览表</w:t>
      </w:r>
      <w:r>
        <w:rPr>
          <w:rFonts w:hint="eastAsia" w:ascii="宋体" w:hAnsi="宋体"/>
          <w:b w:val="0"/>
          <w:bCs w:val="0"/>
          <w:szCs w:val="21"/>
          <w:highlight w:val="none"/>
        </w:rPr>
        <w:t>【</w:t>
      </w:r>
      <w:r>
        <w:rPr>
          <w:rFonts w:hint="eastAsia" w:ascii="宋体" w:hAnsi="宋体"/>
          <w:szCs w:val="21"/>
          <w:highlight w:val="none"/>
        </w:rPr>
        <w:t>必须提供】；</w:t>
      </w:r>
    </w:p>
    <w:p>
      <w:pPr>
        <w:tabs>
          <w:tab w:val="left" w:pos="1305"/>
        </w:tabs>
        <w:spacing w:line="400" w:lineRule="exact"/>
        <w:ind w:firstLine="420" w:firstLineChars="200"/>
        <w:rPr>
          <w:rFonts w:hint="eastAsia" w:ascii="宋体" w:hAnsi="宋体"/>
          <w:bCs/>
          <w:highlight w:val="none"/>
        </w:rPr>
      </w:pPr>
      <w:r>
        <w:rPr>
          <w:rFonts w:hint="eastAsia" w:ascii="宋体" w:hAnsi="宋体"/>
          <w:szCs w:val="21"/>
          <w:highlight w:val="none"/>
        </w:rPr>
        <w:t>（1</w:t>
      </w:r>
      <w:r>
        <w:rPr>
          <w:rFonts w:hint="eastAsia" w:ascii="宋体" w:hAnsi="宋体"/>
          <w:szCs w:val="21"/>
          <w:highlight w:val="none"/>
          <w:lang w:val="en-US" w:eastAsia="zh-CN"/>
        </w:rPr>
        <w:t>2</w:t>
      </w:r>
      <w:r>
        <w:rPr>
          <w:rFonts w:hint="eastAsia" w:ascii="宋体" w:hAnsi="宋体"/>
          <w:szCs w:val="21"/>
          <w:highlight w:val="none"/>
        </w:rPr>
        <w:t>）</w:t>
      </w:r>
      <w:r>
        <w:rPr>
          <w:rFonts w:hint="eastAsia" w:ascii="宋体" w:hAnsi="宋体"/>
          <w:spacing w:val="0"/>
          <w:sz w:val="21"/>
          <w:highlight w:val="none"/>
        </w:rPr>
        <w:t>供应商</w:t>
      </w:r>
      <w:r>
        <w:rPr>
          <w:rFonts w:hint="eastAsia" w:ascii="宋体" w:hAnsi="宋体"/>
          <w:spacing w:val="0"/>
          <w:sz w:val="21"/>
          <w:highlight w:val="none"/>
          <w:u w:val="none"/>
        </w:rPr>
        <w:t>20</w:t>
      </w:r>
      <w:r>
        <w:rPr>
          <w:rFonts w:hint="eastAsia" w:ascii="宋体" w:hAnsi="宋体"/>
          <w:spacing w:val="0"/>
          <w:sz w:val="21"/>
          <w:highlight w:val="none"/>
          <w:u w:val="none"/>
          <w:lang w:val="en-US" w:eastAsia="zh-CN"/>
        </w:rPr>
        <w:t>22</w:t>
      </w:r>
      <w:r>
        <w:rPr>
          <w:rFonts w:hint="eastAsia" w:ascii="宋体" w:hAnsi="宋体"/>
          <w:spacing w:val="0"/>
          <w:sz w:val="21"/>
          <w:highlight w:val="none"/>
        </w:rPr>
        <w:t>年</w:t>
      </w:r>
      <w:r>
        <w:rPr>
          <w:rFonts w:hint="eastAsia" w:ascii="宋体" w:hAnsi="宋体"/>
          <w:spacing w:val="0"/>
          <w:sz w:val="21"/>
          <w:highlight w:val="none"/>
          <w:lang w:val="en-US" w:eastAsia="zh-CN"/>
        </w:rPr>
        <w:t>至今须具备与本项目相符货物</w:t>
      </w:r>
      <w:r>
        <w:rPr>
          <w:rFonts w:hint="eastAsia" w:ascii="宋体" w:hAnsi="宋体"/>
          <w:spacing w:val="0"/>
          <w:sz w:val="21"/>
          <w:highlight w:val="none"/>
        </w:rPr>
        <w:t>业绩的相关证明材料</w:t>
      </w:r>
      <w:r>
        <w:rPr>
          <w:rFonts w:hint="eastAsia" w:ascii="宋体" w:hAnsi="宋体"/>
          <w:spacing w:val="0"/>
          <w:sz w:val="21"/>
          <w:szCs w:val="21"/>
          <w:highlight w:val="none"/>
        </w:rPr>
        <w:t>（无不良记录，以中标、成交通知书</w:t>
      </w:r>
      <w:r>
        <w:rPr>
          <w:rFonts w:hint="eastAsia" w:ascii="宋体" w:hAnsi="宋体"/>
          <w:spacing w:val="0"/>
          <w:sz w:val="21"/>
          <w:szCs w:val="21"/>
          <w:highlight w:val="none"/>
          <w:lang w:eastAsia="zh-CN"/>
        </w:rPr>
        <w:t>或合同</w:t>
      </w:r>
      <w:r>
        <w:rPr>
          <w:rFonts w:hint="eastAsia" w:ascii="宋体" w:hAnsi="宋体"/>
          <w:spacing w:val="0"/>
          <w:sz w:val="21"/>
          <w:szCs w:val="21"/>
          <w:highlight w:val="none"/>
        </w:rPr>
        <w:t>为准</w:t>
      </w:r>
      <w:r>
        <w:rPr>
          <w:rFonts w:hint="eastAsia" w:ascii="宋体" w:hAnsi="宋体"/>
          <w:b/>
          <w:spacing w:val="0"/>
          <w:sz w:val="21"/>
          <w:highlight w:val="none"/>
        </w:rPr>
        <w:t>）</w:t>
      </w:r>
      <w:r>
        <w:rPr>
          <w:rFonts w:hint="eastAsia" w:ascii="宋体" w:hAnsi="宋体"/>
          <w:bCs/>
          <w:highlight w:val="none"/>
        </w:rPr>
        <w:t>（</w:t>
      </w:r>
      <w:r>
        <w:rPr>
          <w:rFonts w:hint="eastAsia" w:ascii="宋体" w:hAnsi="宋体"/>
          <w:szCs w:val="21"/>
          <w:highlight w:val="none"/>
        </w:rPr>
        <w:t>必须提供</w:t>
      </w:r>
      <w:r>
        <w:rPr>
          <w:rFonts w:hint="eastAsia" w:ascii="宋体" w:hAnsi="宋体"/>
          <w:bCs/>
          <w:highlight w:val="none"/>
        </w:rPr>
        <w:t>）；</w:t>
      </w:r>
    </w:p>
    <w:p>
      <w:pPr>
        <w:tabs>
          <w:tab w:val="left" w:pos="1305"/>
        </w:tabs>
        <w:spacing w:line="400" w:lineRule="exact"/>
        <w:ind w:firstLine="420" w:firstLineChars="200"/>
        <w:rPr>
          <w:rFonts w:hint="eastAsia" w:ascii="宋体" w:hAnsi="宋体" w:eastAsia="宋体"/>
          <w:szCs w:val="21"/>
          <w:highlight w:val="none"/>
          <w:lang w:eastAsia="zh-CN"/>
        </w:rPr>
      </w:pPr>
      <w:r>
        <w:rPr>
          <w:rFonts w:hint="eastAsia" w:ascii="宋体" w:hAnsi="宋体"/>
          <w:highlight w:val="none"/>
          <w:lang w:eastAsia="zh-CN"/>
        </w:rPr>
        <w:t>（</w:t>
      </w:r>
      <w:r>
        <w:rPr>
          <w:rFonts w:hint="eastAsia" w:ascii="宋体" w:hAnsi="宋体"/>
          <w:highlight w:val="none"/>
          <w:lang w:val="en-US" w:eastAsia="zh-CN"/>
        </w:rPr>
        <w:t>13</w:t>
      </w:r>
      <w:r>
        <w:rPr>
          <w:rFonts w:hint="eastAsia" w:ascii="宋体" w:hAnsi="宋体"/>
          <w:highlight w:val="none"/>
          <w:lang w:eastAsia="zh-CN"/>
        </w:rPr>
        <w:t>）供应商的服务计划书</w:t>
      </w:r>
      <w:r>
        <w:rPr>
          <w:rFonts w:hint="eastAsia" w:ascii="宋体" w:hAnsi="宋体"/>
          <w:szCs w:val="21"/>
          <w:highlight w:val="none"/>
        </w:rPr>
        <w:t>（</w:t>
      </w:r>
      <w:r>
        <w:rPr>
          <w:rFonts w:hint="eastAsia" w:ascii="宋体" w:hAnsi="宋体"/>
          <w:szCs w:val="21"/>
          <w:highlight w:val="none"/>
          <w:lang w:val="en-US" w:eastAsia="zh-CN"/>
        </w:rPr>
        <w:t>必须</w:t>
      </w:r>
      <w:r>
        <w:rPr>
          <w:rFonts w:hint="eastAsia" w:ascii="宋体" w:hAnsi="宋体"/>
          <w:szCs w:val="21"/>
          <w:highlight w:val="none"/>
        </w:rPr>
        <w:t>提供）</w:t>
      </w:r>
      <w:r>
        <w:rPr>
          <w:rFonts w:hint="eastAsia" w:ascii="宋体" w:hAnsi="宋体"/>
          <w:szCs w:val="21"/>
          <w:highlight w:val="none"/>
          <w:lang w:eastAsia="zh-CN"/>
        </w:rPr>
        <w:t>；</w:t>
      </w:r>
    </w:p>
    <w:p>
      <w:pPr>
        <w:tabs>
          <w:tab w:val="left" w:pos="1305"/>
        </w:tabs>
        <w:spacing w:line="400" w:lineRule="exact"/>
        <w:ind w:left="0" w:leftChars="0" w:firstLine="499" w:firstLineChars="238"/>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4</w:t>
      </w:r>
      <w:r>
        <w:rPr>
          <w:rFonts w:hint="eastAsia" w:ascii="宋体" w:hAnsi="宋体"/>
          <w:szCs w:val="21"/>
          <w:highlight w:val="none"/>
        </w:rPr>
        <w:t>）</w:t>
      </w:r>
      <w:r>
        <w:rPr>
          <w:rFonts w:hint="eastAsia" w:ascii="宋体" w:hAnsi="宋体"/>
          <w:highlight w:val="none"/>
        </w:rPr>
        <w:t>中小企业声明函（竞标产品为中小微型企业的产品，供应商应按照工信部联企业（2011）300号文的划分标准进行如实申明，如提供虚假申明应依法承担相应法律责任。格式见附件）（</w:t>
      </w:r>
      <w:r>
        <w:rPr>
          <w:rFonts w:hint="eastAsia" w:ascii="宋体" w:hAnsi="宋体"/>
          <w:highlight w:val="none"/>
          <w:lang w:val="en-US" w:eastAsia="zh-CN"/>
        </w:rPr>
        <w:t>必须</w:t>
      </w:r>
      <w:r>
        <w:rPr>
          <w:rFonts w:hint="eastAsia" w:ascii="宋体" w:hAnsi="宋体"/>
          <w:highlight w:val="none"/>
        </w:rPr>
        <w:t>提供）；</w:t>
      </w:r>
    </w:p>
    <w:p>
      <w:pPr>
        <w:snapToGrid w:val="0"/>
        <w:spacing w:line="360" w:lineRule="exact"/>
        <w:ind w:firstLine="420" w:firstLineChars="200"/>
        <w:jc w:val="left"/>
        <w:rPr>
          <w:rFonts w:hint="eastAsia" w:ascii="宋体" w:hAnsi="宋体"/>
          <w:highlight w:val="none"/>
        </w:rPr>
      </w:pPr>
      <w:r>
        <w:rPr>
          <w:rFonts w:hint="eastAsia" w:ascii="宋体" w:hAnsi="宋体"/>
          <w:highlight w:val="none"/>
        </w:rPr>
        <w:t>(1</w:t>
      </w:r>
      <w:r>
        <w:rPr>
          <w:rFonts w:hint="eastAsia" w:ascii="宋体" w:hAnsi="宋体"/>
          <w:highlight w:val="none"/>
          <w:lang w:val="en-US" w:eastAsia="zh-CN"/>
        </w:rPr>
        <w:t>5</w:t>
      </w:r>
      <w:r>
        <w:rPr>
          <w:rFonts w:hint="eastAsia" w:ascii="宋体" w:hAnsi="宋体"/>
          <w:highlight w:val="none"/>
        </w:rPr>
        <w:t>）监狱企业的证明文件[竞标产品如为监狱企业的，应当提供由省级以上监狱管理局、戒毒管理局（含新疆生产建设兵团）出具的属于监狱企业的证明文件, 否则不予享受优惠政策] （如有，请提供）；</w:t>
      </w:r>
    </w:p>
    <w:p>
      <w:pPr>
        <w:snapToGrid w:val="0"/>
        <w:spacing w:line="360" w:lineRule="exact"/>
        <w:ind w:firstLine="420" w:firstLineChars="200"/>
        <w:jc w:val="left"/>
        <w:rPr>
          <w:rFonts w:hint="eastAsia" w:ascii="宋体" w:hAnsi="宋体" w:eastAsia="宋体" w:cs="Times New Roman"/>
          <w:highlight w:val="none"/>
        </w:rPr>
      </w:pPr>
      <w:r>
        <w:rPr>
          <w:rFonts w:hint="eastAsia" w:ascii="宋体" w:hAnsi="宋体" w:eastAsia="宋体" w:cs="Times New Roman"/>
          <w:highlight w:val="none"/>
        </w:rPr>
        <w:t>(1</w:t>
      </w:r>
      <w:r>
        <w:rPr>
          <w:rFonts w:hint="eastAsia" w:ascii="宋体" w:hAnsi="宋体" w:eastAsia="宋体" w:cs="Times New Roman"/>
          <w:highlight w:val="none"/>
          <w:lang w:val="en-US" w:eastAsia="zh-CN"/>
        </w:rPr>
        <w:t>6</w:t>
      </w:r>
      <w:r>
        <w:rPr>
          <w:rFonts w:hint="eastAsia" w:ascii="宋体" w:hAnsi="宋体" w:eastAsia="宋体" w:cs="Times New Roman"/>
          <w:highlight w:val="none"/>
        </w:rPr>
        <w:t>）残疾人福利性单位声明函（供应商如为残疾人福利性单位的，否则不予享受优惠政策，格式见附件）（</w:t>
      </w:r>
      <w:r>
        <w:rPr>
          <w:rFonts w:hint="eastAsia" w:ascii="宋体" w:hAnsi="宋体"/>
          <w:highlight w:val="none"/>
          <w:lang w:eastAsia="zh-CN"/>
        </w:rPr>
        <w:t>必须</w:t>
      </w:r>
      <w:r>
        <w:rPr>
          <w:rFonts w:hint="eastAsia" w:ascii="宋体" w:hAnsi="宋体"/>
          <w:highlight w:val="none"/>
        </w:rPr>
        <w:t>提供</w:t>
      </w:r>
      <w:r>
        <w:rPr>
          <w:rFonts w:hint="eastAsia" w:ascii="宋体" w:hAnsi="宋体" w:eastAsia="宋体" w:cs="Times New Roman"/>
          <w:highlight w:val="none"/>
        </w:rPr>
        <w:t>）；</w:t>
      </w:r>
    </w:p>
    <w:p>
      <w:pPr>
        <w:snapToGrid w:val="0"/>
        <w:spacing w:line="360" w:lineRule="exact"/>
        <w:ind w:firstLine="420" w:firstLineChars="200"/>
        <w:jc w:val="left"/>
        <w:rPr>
          <w:rFonts w:hint="eastAsia" w:ascii="宋体" w:hAnsi="宋体" w:eastAsia="宋体" w:cs="Times New Roman"/>
          <w:highlight w:val="none"/>
        </w:rPr>
      </w:pPr>
      <w:r>
        <w:rPr>
          <w:rFonts w:hint="eastAsia" w:ascii="宋体" w:hAnsi="宋体" w:eastAsia="宋体" w:cs="Times New Roman"/>
          <w:highlight w:val="none"/>
        </w:rPr>
        <w:t>(1</w:t>
      </w:r>
      <w:r>
        <w:rPr>
          <w:rFonts w:hint="eastAsia" w:ascii="宋体" w:hAnsi="宋体" w:eastAsia="宋体" w:cs="Times New Roman"/>
          <w:highlight w:val="none"/>
          <w:lang w:val="en-US" w:eastAsia="zh-CN"/>
        </w:rPr>
        <w:t>7</w:t>
      </w:r>
      <w:r>
        <w:rPr>
          <w:rFonts w:hint="eastAsia" w:ascii="宋体" w:hAnsi="宋体" w:eastAsia="宋体" w:cs="Times New Roman"/>
          <w:highlight w:val="none"/>
        </w:rPr>
        <w:t>)供应商可结合本项目自身情况自行提交其它相关证明材料（如有，请提供）。</w:t>
      </w:r>
    </w:p>
    <w:p>
      <w:pPr>
        <w:snapToGrid w:val="0"/>
        <w:spacing w:line="360" w:lineRule="exact"/>
        <w:ind w:firstLine="420" w:firstLineChars="200"/>
        <w:jc w:val="left"/>
        <w:rPr>
          <w:rFonts w:hint="eastAsia" w:ascii="宋体" w:hAnsi="宋体" w:eastAsia="宋体" w:cs="Times New Roman"/>
          <w:highlight w:val="none"/>
          <w:lang w:eastAsia="zh-CN"/>
        </w:rPr>
      </w:pPr>
      <w:r>
        <w:rPr>
          <w:rFonts w:hint="eastAsia" w:ascii="宋体" w:hAnsi="宋体" w:eastAsia="宋体" w:cs="Times New Roman"/>
          <w:highlight w:val="none"/>
        </w:rPr>
        <w:t>(1</w:t>
      </w:r>
      <w:r>
        <w:rPr>
          <w:rFonts w:hint="eastAsia" w:ascii="宋体" w:hAnsi="宋体" w:eastAsia="宋体" w:cs="Times New Roman"/>
          <w:highlight w:val="none"/>
          <w:lang w:val="en-US" w:eastAsia="zh-CN"/>
        </w:rPr>
        <w:t>8</w:t>
      </w:r>
      <w:r>
        <w:rPr>
          <w:rFonts w:hint="eastAsia" w:ascii="宋体" w:hAnsi="宋体" w:eastAsia="宋体" w:cs="Times New Roman"/>
          <w:highlight w:val="none"/>
        </w:rPr>
        <w:t>)“近年发生的诉讼及仲裁情况”</w:t>
      </w:r>
      <w:r>
        <w:rPr>
          <w:rFonts w:hint="eastAsia" w:ascii="宋体" w:hAnsi="宋体" w:cs="Times New Roman"/>
          <w:highlight w:val="none"/>
          <w:lang w:val="en-US" w:eastAsia="zh-CN"/>
        </w:rPr>
        <w:t>按照供应商须知</w:t>
      </w:r>
      <w:r>
        <w:rPr>
          <w:rFonts w:hint="eastAsia" w:ascii="宋体" w:hAnsi="宋体" w:eastAsia="宋体" w:cs="Times New Roman"/>
          <w:highlight w:val="none"/>
        </w:rPr>
        <w:t>具体年份要求应</w:t>
      </w:r>
      <w:r>
        <w:rPr>
          <w:rFonts w:hint="eastAsia" w:ascii="宋体" w:hAnsi="宋体" w:cs="Times New Roman"/>
          <w:highlight w:val="none"/>
          <w:lang w:val="en-US" w:eastAsia="zh-CN"/>
        </w:rPr>
        <w:t>写明</w:t>
      </w:r>
      <w:r>
        <w:rPr>
          <w:rFonts w:hint="eastAsia" w:ascii="宋体" w:hAnsi="宋体" w:eastAsia="宋体" w:cs="Times New Roman"/>
          <w:highlight w:val="none"/>
        </w:rPr>
        <w:t>相关情况</w:t>
      </w:r>
      <w:r>
        <w:rPr>
          <w:rFonts w:hint="eastAsia" w:ascii="宋体" w:hAnsi="宋体" w:cs="Times New Roman"/>
          <w:highlight w:val="none"/>
          <w:lang w:val="en-US" w:eastAsia="zh-CN"/>
        </w:rPr>
        <w:t>说明</w:t>
      </w:r>
      <w:r>
        <w:rPr>
          <w:rFonts w:hint="eastAsia" w:ascii="宋体" w:hAnsi="宋体" w:eastAsia="宋体" w:cs="Times New Roman"/>
          <w:highlight w:val="none"/>
        </w:rPr>
        <w:t>，</w:t>
      </w:r>
      <w:r>
        <w:rPr>
          <w:rFonts w:hint="eastAsia" w:ascii="宋体" w:hAnsi="宋体" w:eastAsia="宋体" w:cs="Times New Roman"/>
          <w:highlight w:val="none"/>
          <w:lang w:val="en-US" w:eastAsia="zh-CN"/>
        </w:rPr>
        <w:t>如有，</w:t>
      </w:r>
      <w:r>
        <w:rPr>
          <w:rFonts w:hint="eastAsia" w:ascii="宋体" w:hAnsi="宋体" w:eastAsia="宋体" w:cs="Times New Roman"/>
          <w:highlight w:val="none"/>
        </w:rPr>
        <w:t>附法院或仲裁机构作出的判决、裁决等有关法律文书复印件</w:t>
      </w:r>
      <w:r>
        <w:rPr>
          <w:rFonts w:hint="eastAsia" w:ascii="宋体" w:hAnsi="宋体" w:eastAsia="宋体" w:cs="Times New Roman"/>
          <w:highlight w:val="none"/>
          <w:lang w:eastAsia="zh-CN"/>
        </w:rPr>
        <w:t>，</w:t>
      </w:r>
      <w:r>
        <w:rPr>
          <w:rFonts w:hint="eastAsia" w:ascii="宋体" w:hAnsi="宋体" w:eastAsia="宋体" w:cs="Times New Roman"/>
          <w:highlight w:val="none"/>
          <w:lang w:val="en-US" w:eastAsia="zh-CN"/>
        </w:rPr>
        <w:t>若无，</w:t>
      </w:r>
      <w:r>
        <w:rPr>
          <w:rFonts w:hint="eastAsia" w:ascii="宋体" w:hAnsi="宋体" w:cs="Times New Roman"/>
          <w:highlight w:val="none"/>
          <w:lang w:val="en-US" w:eastAsia="zh-CN"/>
        </w:rPr>
        <w:t>还</w:t>
      </w:r>
      <w:r>
        <w:rPr>
          <w:rFonts w:hint="eastAsia" w:ascii="宋体" w:hAnsi="宋体" w:eastAsia="宋体" w:cs="Times New Roman"/>
          <w:highlight w:val="none"/>
          <w:lang w:val="en-US" w:eastAsia="zh-CN"/>
        </w:rPr>
        <w:t>需提供信用良好承诺书。</w:t>
      </w:r>
      <w:r>
        <w:rPr>
          <w:rFonts w:hint="eastAsia" w:ascii="宋体" w:hAnsi="宋体" w:eastAsia="宋体" w:cs="Times New Roman"/>
          <w:highlight w:val="none"/>
        </w:rPr>
        <w:t>（</w:t>
      </w:r>
      <w:r>
        <w:rPr>
          <w:rFonts w:hint="eastAsia" w:ascii="宋体" w:hAnsi="宋体" w:eastAsia="宋体" w:cs="Times New Roman"/>
          <w:highlight w:val="none"/>
          <w:lang w:eastAsia="zh-CN"/>
        </w:rPr>
        <w:t>格式自拟，</w:t>
      </w:r>
      <w:r>
        <w:rPr>
          <w:rFonts w:hint="eastAsia" w:ascii="宋体" w:hAnsi="宋体" w:eastAsia="宋体" w:cs="Times New Roman"/>
          <w:highlight w:val="none"/>
        </w:rPr>
        <w:t>必须提供）</w:t>
      </w:r>
    </w:p>
    <w:p>
      <w:pPr>
        <w:tabs>
          <w:tab w:val="left" w:pos="1305"/>
        </w:tabs>
        <w:spacing w:line="380" w:lineRule="exact"/>
        <w:ind w:firstLine="420" w:firstLineChars="200"/>
        <w:rPr>
          <w:rFonts w:ascii="宋体" w:hAnsi="宋体"/>
          <w:highlight w:val="none"/>
        </w:rPr>
      </w:pPr>
      <w:r>
        <w:rPr>
          <w:rFonts w:hint="eastAsia" w:ascii="宋体" w:hAnsi="宋体"/>
          <w:highlight w:val="none"/>
        </w:rPr>
        <w:t>11.2、以上有关材料应真实有效，属于“必须提供”的文件必须于本项目截标前与响应文件同时提交，并加盖供应商公章（扫描公章无效，自然人除外）；其余由供应商视自身情况自行提交。本项目</w:t>
      </w:r>
      <w:r>
        <w:rPr>
          <w:rFonts w:hint="eastAsia" w:ascii="宋体" w:hAnsi="宋体"/>
          <w:highlight w:val="none"/>
          <w:lang w:eastAsia="zh-CN"/>
        </w:rPr>
        <w:t>要求</w:t>
      </w:r>
      <w:r>
        <w:rPr>
          <w:rFonts w:hint="eastAsia" w:ascii="宋体" w:hAnsi="宋体"/>
          <w:highlight w:val="none"/>
        </w:rPr>
        <w:t>提供的</w:t>
      </w:r>
      <w:r>
        <w:rPr>
          <w:rFonts w:hint="eastAsia" w:ascii="宋体" w:hAnsi="宋体"/>
          <w:highlight w:val="none"/>
          <w:lang w:eastAsia="zh-CN"/>
        </w:rPr>
        <w:t>格式自拟</w:t>
      </w:r>
      <w:r>
        <w:rPr>
          <w:rFonts w:hint="eastAsia" w:ascii="宋体" w:hAnsi="宋体"/>
          <w:highlight w:val="none"/>
        </w:rPr>
        <w:t>承诺书（</w:t>
      </w:r>
      <w:r>
        <w:rPr>
          <w:rFonts w:hint="eastAsia" w:ascii="宋体" w:hAnsi="宋体"/>
          <w:highlight w:val="none"/>
          <w:lang w:eastAsia="zh-CN"/>
        </w:rPr>
        <w:t>包含</w:t>
      </w:r>
      <w:r>
        <w:rPr>
          <w:rFonts w:hint="eastAsia" w:ascii="宋体" w:hAnsi="宋体"/>
          <w:highlight w:val="none"/>
        </w:rPr>
        <w:t>格式自拟内容）均需由法定代表人</w:t>
      </w:r>
      <w:r>
        <w:rPr>
          <w:rFonts w:hint="eastAsia" w:ascii="宋体" w:hAnsi="宋体"/>
          <w:highlight w:val="none"/>
          <w:lang w:eastAsia="zh-CN"/>
        </w:rPr>
        <w:t>签字并盖法人章</w:t>
      </w:r>
      <w:r>
        <w:rPr>
          <w:rFonts w:hint="eastAsia" w:ascii="宋体" w:hAnsi="宋体"/>
          <w:highlight w:val="none"/>
        </w:rPr>
        <w:t>。</w:t>
      </w:r>
    </w:p>
    <w:p>
      <w:pPr>
        <w:pStyle w:val="18"/>
        <w:spacing w:line="400" w:lineRule="exact"/>
        <w:ind w:firstLine="420" w:firstLineChars="200"/>
        <w:rPr>
          <w:rFonts w:hint="eastAsia"/>
          <w:highlight w:val="none"/>
        </w:rPr>
      </w:pPr>
      <w:r>
        <w:rPr>
          <w:rFonts w:hint="eastAsia"/>
          <w:highlight w:val="none"/>
        </w:rPr>
        <w:t>11.3、供应商应按竞争性谈判文件第六章“响应文件格式”编制响应文件。</w:t>
      </w:r>
    </w:p>
    <w:p>
      <w:pPr>
        <w:pStyle w:val="18"/>
        <w:spacing w:line="400" w:lineRule="exact"/>
        <w:ind w:firstLine="422" w:firstLineChars="200"/>
        <w:rPr>
          <w:rFonts w:hAnsi="宋体"/>
          <w:b/>
          <w:szCs w:val="21"/>
          <w:highlight w:val="none"/>
        </w:rPr>
      </w:pPr>
      <w:r>
        <w:rPr>
          <w:rFonts w:hint="eastAsia" w:hAnsi="宋体"/>
          <w:b/>
          <w:szCs w:val="21"/>
          <w:highlight w:val="none"/>
        </w:rPr>
        <w:t>12、</w:t>
      </w:r>
      <w:r>
        <w:rPr>
          <w:rFonts w:hint="eastAsia"/>
          <w:b/>
          <w:highlight w:val="none"/>
        </w:rPr>
        <w:t>响应</w:t>
      </w:r>
      <w:r>
        <w:rPr>
          <w:rFonts w:hint="eastAsia" w:hAnsi="宋体"/>
          <w:b/>
          <w:szCs w:val="21"/>
          <w:highlight w:val="none"/>
        </w:rPr>
        <w:t>文件的语言及计量</w:t>
      </w:r>
    </w:p>
    <w:p>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12.1、</w:t>
      </w:r>
      <w:r>
        <w:rPr>
          <w:rFonts w:hint="eastAsia"/>
          <w:highlight w:val="none"/>
        </w:rPr>
        <w:t>响应</w:t>
      </w:r>
      <w:r>
        <w:rPr>
          <w:rFonts w:hint="eastAsia" w:ascii="宋体" w:hAnsi="宋体"/>
          <w:szCs w:val="21"/>
          <w:highlight w:val="none"/>
        </w:rPr>
        <w:t>文件以及供应商与采购代理机构就有关谈判事宜的所有来往函电，均应以中文汉语书写。供应商提交的支持文件和印刷的文献可以使用别的语言，但其相应内容必须附有中文翻译文本，在解释</w:t>
      </w:r>
      <w:r>
        <w:rPr>
          <w:rFonts w:hint="eastAsia"/>
          <w:highlight w:val="none"/>
        </w:rPr>
        <w:t>响应</w:t>
      </w:r>
      <w:r>
        <w:rPr>
          <w:rFonts w:hint="eastAsia" w:ascii="宋体" w:hAnsi="宋体"/>
          <w:szCs w:val="21"/>
          <w:highlight w:val="none"/>
        </w:rPr>
        <w:t>文件时以中文翻译文本为准。</w:t>
      </w:r>
    </w:p>
    <w:p>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12.2、谈判计量单位，谈判文件已有明确规定的，使用谈判文件规定的计量单位；谈判文件没有规定的，应采用中华人民共和国法定计量单位（货币单位：人民币元），否则视同未响应。</w:t>
      </w:r>
    </w:p>
    <w:p>
      <w:pPr>
        <w:tabs>
          <w:tab w:val="left" w:pos="1305"/>
        </w:tabs>
        <w:spacing w:line="400" w:lineRule="exact"/>
        <w:ind w:firstLine="422" w:firstLineChars="200"/>
        <w:rPr>
          <w:rFonts w:ascii="宋体" w:hAnsi="宋体"/>
          <w:b/>
          <w:szCs w:val="21"/>
          <w:highlight w:val="none"/>
        </w:rPr>
      </w:pPr>
      <w:r>
        <w:rPr>
          <w:rFonts w:hint="eastAsia" w:ascii="宋体" w:hAnsi="宋体"/>
          <w:b/>
          <w:szCs w:val="21"/>
          <w:highlight w:val="none"/>
        </w:rPr>
        <w:t>13、谈判报价</w:t>
      </w:r>
    </w:p>
    <w:p>
      <w:pPr>
        <w:tabs>
          <w:tab w:val="left" w:pos="1305"/>
        </w:tabs>
        <w:spacing w:line="380" w:lineRule="exact"/>
        <w:ind w:firstLine="420" w:firstLineChars="200"/>
        <w:rPr>
          <w:rFonts w:ascii="宋体" w:hAnsi="宋体"/>
          <w:szCs w:val="21"/>
          <w:highlight w:val="none"/>
        </w:rPr>
      </w:pPr>
      <w:r>
        <w:rPr>
          <w:rFonts w:hint="eastAsia" w:ascii="宋体" w:hAnsi="宋体"/>
          <w:szCs w:val="21"/>
          <w:highlight w:val="none"/>
        </w:rPr>
        <w:t>13.1、谈判报价应按谈判文件中相关附表格式填写。最后报价</w:t>
      </w:r>
      <w:r>
        <w:rPr>
          <w:rFonts w:hint="eastAsia" w:ascii="宋体" w:hAnsi="宋体"/>
          <w:kern w:val="0"/>
          <w:szCs w:val="21"/>
          <w:highlight w:val="none"/>
        </w:rPr>
        <w:t>超过所竞项目采购预算</w:t>
      </w:r>
      <w:r>
        <w:rPr>
          <w:rFonts w:hint="eastAsia" w:ascii="宋体" w:hAnsi="宋体"/>
          <w:kern w:val="0"/>
          <w:szCs w:val="21"/>
          <w:highlight w:val="none"/>
          <w:lang w:eastAsia="zh-CN"/>
        </w:rPr>
        <w:t>单价及总价</w:t>
      </w:r>
      <w:r>
        <w:rPr>
          <w:rFonts w:hint="eastAsia" w:ascii="宋体" w:hAnsi="宋体"/>
          <w:kern w:val="0"/>
          <w:szCs w:val="21"/>
          <w:highlight w:val="none"/>
        </w:rPr>
        <w:t>金额的，响应文件作相应无效处理。</w:t>
      </w:r>
    </w:p>
    <w:p>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13.2、供应商必须就“</w:t>
      </w:r>
      <w:r>
        <w:rPr>
          <w:rFonts w:hint="eastAsia" w:ascii="宋体" w:hAnsi="宋体"/>
          <w:color w:val="000000" w:themeColor="text1"/>
          <w:szCs w:val="21"/>
          <w:highlight w:val="none"/>
          <w:lang w:eastAsia="zh-CN"/>
          <w14:textFill>
            <w14:solidFill>
              <w14:schemeClr w14:val="tx1"/>
            </w14:solidFill>
          </w14:textFill>
        </w:rPr>
        <w:t>货物</w:t>
      </w:r>
      <w:r>
        <w:rPr>
          <w:rFonts w:hint="eastAsia" w:ascii="宋体" w:hAnsi="宋体"/>
          <w:szCs w:val="21"/>
          <w:highlight w:val="none"/>
        </w:rPr>
        <w:t>采购需求”中所有货物内容作完整唯一报价，否则，其响应文件无效。响应文件只允许有一个报价，有选择的或有条件的报价将不予接受。</w:t>
      </w:r>
    </w:p>
    <w:p>
      <w:pPr>
        <w:tabs>
          <w:tab w:val="left" w:pos="1305"/>
        </w:tabs>
        <w:spacing w:line="380" w:lineRule="exact"/>
        <w:ind w:firstLine="420" w:firstLineChars="200"/>
        <w:rPr>
          <w:rFonts w:hint="eastAsia" w:ascii="宋体" w:hAnsi="宋体"/>
          <w:kern w:val="0"/>
          <w:szCs w:val="21"/>
          <w:highlight w:val="none"/>
        </w:rPr>
      </w:pPr>
      <w:r>
        <w:rPr>
          <w:rFonts w:hint="eastAsia" w:ascii="宋体" w:hAnsi="宋体"/>
          <w:kern w:val="0"/>
          <w:szCs w:val="21"/>
          <w:highlight w:val="none"/>
        </w:rPr>
        <w:t>13.</w:t>
      </w:r>
      <w:r>
        <w:rPr>
          <w:rFonts w:hint="eastAsia" w:ascii="宋体" w:hAnsi="宋体"/>
          <w:kern w:val="0"/>
          <w:szCs w:val="21"/>
          <w:highlight w:val="none"/>
          <w:lang w:val="en-US" w:eastAsia="zh-CN"/>
        </w:rPr>
        <w:t>3</w:t>
      </w:r>
      <w:r>
        <w:rPr>
          <w:rFonts w:hint="eastAsia" w:ascii="宋体" w:hAnsi="宋体"/>
          <w:kern w:val="0"/>
          <w:szCs w:val="21"/>
          <w:highlight w:val="none"/>
        </w:rPr>
        <w:t>未书面退出谈判的</w:t>
      </w:r>
      <w:r>
        <w:rPr>
          <w:rFonts w:ascii="宋体" w:hAnsi="宋体"/>
          <w:kern w:val="0"/>
          <w:szCs w:val="21"/>
          <w:highlight w:val="none"/>
        </w:rPr>
        <w:t>供应商在规定时间内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w:t>
      </w:r>
      <w:r>
        <w:rPr>
          <w:rFonts w:hint="eastAsia" w:ascii="宋体" w:hAnsi="宋体"/>
          <w:kern w:val="0"/>
          <w:szCs w:val="21"/>
          <w:highlight w:val="none"/>
        </w:rPr>
        <w:t>，其最后报价超出采购预算导致已通过评审的响应文件无效的，按供应商在提交响应文件截止时间后撤回响应文件处理。</w:t>
      </w:r>
    </w:p>
    <w:p>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14. 响应文件有效期</w:t>
      </w:r>
    </w:p>
    <w:p>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14.1 响应文件有效期：响应文件递交截止时间之日起90天，有效期不足的响应文件将被拒绝。</w:t>
      </w:r>
    </w:p>
    <w:p>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14.2 出现特殊情况下，需要延长响应文件有效期的，采购代理机构以书面形式通知供应商延长响应文件有效期。供应商同意延长的，不能修改响应文件。供应商拒绝延长的，其响应文件无效。</w:t>
      </w:r>
    </w:p>
    <w:p>
      <w:pPr>
        <w:numPr>
          <w:ilvl w:val="0"/>
          <w:numId w:val="3"/>
        </w:numPr>
        <w:tabs>
          <w:tab w:val="left" w:pos="1305"/>
        </w:tabs>
        <w:spacing w:line="380" w:lineRule="exact"/>
        <w:ind w:firstLine="422" w:firstLineChars="200"/>
        <w:rPr>
          <w:rFonts w:hint="eastAsia" w:ascii="宋体" w:hAnsi="宋体"/>
          <w:b w:val="0"/>
          <w:bCs/>
          <w:szCs w:val="21"/>
          <w:highlight w:val="none"/>
        </w:rPr>
      </w:pPr>
      <w:r>
        <w:rPr>
          <w:rFonts w:hint="eastAsia" w:ascii="宋体" w:hAnsi="宋体"/>
          <w:b/>
          <w:szCs w:val="21"/>
          <w:highlight w:val="none"/>
        </w:rPr>
        <w:t>谈判保证金：</w:t>
      </w:r>
      <w:r>
        <w:rPr>
          <w:rFonts w:hint="eastAsia" w:ascii="宋体" w:hAnsi="宋体"/>
          <w:b w:val="0"/>
          <w:bCs/>
          <w:szCs w:val="21"/>
          <w:highlight w:val="none"/>
          <w:lang w:val="en-US" w:eastAsia="zh-CN"/>
        </w:rPr>
        <w:t>详见供应商须知前附表。</w:t>
      </w:r>
    </w:p>
    <w:p>
      <w:pPr>
        <w:tabs>
          <w:tab w:val="left" w:pos="1305"/>
        </w:tabs>
        <w:spacing w:line="380" w:lineRule="exact"/>
        <w:ind w:firstLine="422" w:firstLineChars="200"/>
        <w:rPr>
          <w:rFonts w:ascii="宋体" w:hAnsi="宋体"/>
          <w:b/>
          <w:szCs w:val="21"/>
          <w:highlight w:val="none"/>
        </w:rPr>
      </w:pPr>
      <w:r>
        <w:rPr>
          <w:rFonts w:hint="eastAsia" w:ascii="宋体" w:hAnsi="宋体"/>
          <w:b/>
          <w:szCs w:val="21"/>
          <w:highlight w:val="none"/>
        </w:rPr>
        <w:t>16. 响应文件的</w:t>
      </w:r>
      <w:r>
        <w:rPr>
          <w:rFonts w:hint="eastAsia" w:ascii="宋体" w:hAnsi="宋体" w:cs="Courier New"/>
          <w:b/>
          <w:szCs w:val="21"/>
          <w:highlight w:val="none"/>
        </w:rPr>
        <w:t>签署</w:t>
      </w:r>
    </w:p>
    <w:p>
      <w:pPr>
        <w:tabs>
          <w:tab w:val="left" w:pos="1305"/>
        </w:tabs>
        <w:spacing w:line="380" w:lineRule="exact"/>
        <w:ind w:firstLine="420" w:firstLineChars="200"/>
        <w:rPr>
          <w:rFonts w:hint="eastAsia" w:ascii="宋体" w:hAnsi="宋体" w:eastAsia="宋体"/>
          <w:b/>
          <w:szCs w:val="21"/>
          <w:highlight w:val="none"/>
          <w:lang w:eastAsia="zh-CN"/>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w:t>
      </w:r>
      <w:r>
        <w:rPr>
          <w:rFonts w:hint="eastAsia" w:ascii="宋体" w:hAnsi="宋体"/>
          <w:szCs w:val="21"/>
          <w:highlight w:val="none"/>
          <w:lang w:val="en-US" w:eastAsia="zh-CN"/>
        </w:rPr>
        <w:t>1</w:t>
      </w:r>
      <w:r>
        <w:rPr>
          <w:rFonts w:hint="eastAsia" w:ascii="宋体" w:hAnsi="宋体"/>
          <w:szCs w:val="21"/>
          <w:highlight w:val="none"/>
        </w:rPr>
        <w:t xml:space="preserve"> 响应文件</w:t>
      </w:r>
      <w:r>
        <w:rPr>
          <w:rFonts w:hint="eastAsia" w:ascii="宋体" w:hAnsi="宋体"/>
          <w:szCs w:val="21"/>
          <w:highlight w:val="none"/>
          <w:lang w:eastAsia="zh-CN"/>
        </w:rPr>
        <w:t>编制</w:t>
      </w:r>
      <w:r>
        <w:rPr>
          <w:rFonts w:hint="eastAsia" w:ascii="宋体" w:hAnsi="宋体"/>
          <w:szCs w:val="21"/>
          <w:highlight w:val="none"/>
        </w:rPr>
        <w:t>要求：供应商应按供应商须知第11.1条“响应文件组成”规定的顺序自编目录及页码。响应文件的“正本”、“副本”应当标注页码。</w:t>
      </w:r>
      <w:r>
        <w:rPr>
          <w:rFonts w:hint="eastAsia" w:ascii="宋体" w:hAnsi="宋体"/>
          <w:highlight w:val="none"/>
        </w:rPr>
        <w:t>响应文件(包含副本)每页右下角(响应文件封面除外)均需由供应商的法定代表人签字</w:t>
      </w:r>
      <w:r>
        <w:rPr>
          <w:rFonts w:hint="eastAsia" w:ascii="宋体" w:hAnsi="宋体"/>
          <w:highlight w:val="none"/>
          <w:lang w:eastAsia="zh-CN"/>
        </w:rPr>
        <w:t>并</w:t>
      </w:r>
      <w:r>
        <w:rPr>
          <w:rFonts w:hint="eastAsia" w:ascii="宋体" w:hAnsi="宋体"/>
          <w:highlight w:val="none"/>
        </w:rPr>
        <w:t>于右下角加盖供应商公章</w:t>
      </w:r>
      <w:r>
        <w:rPr>
          <w:rFonts w:hint="eastAsia" w:ascii="宋体" w:hAnsi="宋体"/>
          <w:highlight w:val="none"/>
          <w:lang w:eastAsia="zh-CN"/>
        </w:rPr>
        <w:t>及法人章</w:t>
      </w:r>
      <w:r>
        <w:rPr>
          <w:rFonts w:hint="eastAsia" w:ascii="宋体" w:hAnsi="宋体"/>
          <w:highlight w:val="none"/>
        </w:rPr>
        <w:t>。</w:t>
      </w:r>
      <w:r>
        <w:rPr>
          <w:rFonts w:hint="eastAsia" w:ascii="宋体" w:hAnsi="宋体"/>
          <w:szCs w:val="21"/>
          <w:highlight w:val="none"/>
        </w:rPr>
        <w:t>封面</w:t>
      </w:r>
      <w:r>
        <w:rPr>
          <w:rFonts w:hint="eastAsia" w:ascii="宋体" w:hAnsi="宋体"/>
          <w:szCs w:val="21"/>
          <w:highlight w:val="none"/>
          <w:lang w:val="en-US" w:eastAsia="zh-CN"/>
        </w:rPr>
        <w:t>右上角</w:t>
      </w:r>
      <w:r>
        <w:rPr>
          <w:rFonts w:hint="eastAsia" w:ascii="宋体" w:hAnsi="宋体"/>
          <w:szCs w:val="21"/>
          <w:highlight w:val="none"/>
        </w:rPr>
        <w:t>应注明“正本”、“副本”字样，封面上写明项目名称、项目编号、采购代理机构、供应商单位名称</w:t>
      </w:r>
      <w:r>
        <w:rPr>
          <w:rFonts w:hint="eastAsia" w:ascii="宋体" w:hAnsi="宋体"/>
          <w:szCs w:val="21"/>
          <w:highlight w:val="none"/>
          <w:lang w:eastAsia="zh-CN"/>
        </w:rPr>
        <w:t>、地址、法定代表人签字盖章及日期等内容组成。</w:t>
      </w:r>
    </w:p>
    <w:p>
      <w:pPr>
        <w:tabs>
          <w:tab w:val="left" w:pos="1305"/>
        </w:tabs>
        <w:spacing w:line="380" w:lineRule="exact"/>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w:t>
      </w:r>
      <w:r>
        <w:rPr>
          <w:rFonts w:hint="eastAsia" w:ascii="宋体" w:hAnsi="宋体"/>
          <w:szCs w:val="21"/>
          <w:highlight w:val="none"/>
          <w:lang w:val="en-US" w:eastAsia="zh-CN"/>
        </w:rPr>
        <w:t>3</w:t>
      </w:r>
      <w:r>
        <w:rPr>
          <w:rFonts w:hint="eastAsia" w:ascii="宋体" w:hAnsi="宋体"/>
          <w:szCs w:val="21"/>
          <w:highlight w:val="none"/>
        </w:rPr>
        <w:t>响应文件须由供应商在</w:t>
      </w:r>
      <w:r>
        <w:rPr>
          <w:rFonts w:hint="eastAsia" w:ascii="宋体" w:hAnsi="宋体"/>
          <w:szCs w:val="21"/>
          <w:highlight w:val="none"/>
          <w:lang w:val="en-US" w:eastAsia="zh-CN"/>
        </w:rPr>
        <w:t>谈判文件</w:t>
      </w:r>
      <w:r>
        <w:rPr>
          <w:rFonts w:hint="eastAsia" w:ascii="宋体" w:hAnsi="宋体"/>
          <w:szCs w:val="21"/>
          <w:highlight w:val="none"/>
        </w:rPr>
        <w:t>规定</w:t>
      </w:r>
      <w:r>
        <w:rPr>
          <w:rFonts w:hint="eastAsia" w:ascii="宋体" w:hAnsi="宋体"/>
          <w:szCs w:val="21"/>
          <w:highlight w:val="none"/>
          <w:lang w:val="en-US" w:eastAsia="zh-CN"/>
        </w:rPr>
        <w:t>的准确</w:t>
      </w:r>
      <w:r>
        <w:rPr>
          <w:rFonts w:hint="eastAsia" w:ascii="宋体" w:hAnsi="宋体"/>
          <w:szCs w:val="21"/>
          <w:highlight w:val="none"/>
        </w:rPr>
        <w:t>位置加盖供应商公章（扫描公章</w:t>
      </w:r>
      <w:r>
        <w:rPr>
          <w:rFonts w:hint="eastAsia" w:ascii="宋体" w:hAnsi="宋体"/>
          <w:szCs w:val="21"/>
          <w:highlight w:val="none"/>
          <w:lang w:eastAsia="zh-CN"/>
        </w:rPr>
        <w:t>、</w:t>
      </w:r>
      <w:r>
        <w:rPr>
          <w:rFonts w:ascii="宋体" w:hAnsi="宋体" w:cs="宋体"/>
          <w:szCs w:val="21"/>
          <w:highlight w:val="none"/>
        </w:rPr>
        <w:t>财务章、部门章、分公司章、工会章、合同章、</w:t>
      </w:r>
      <w:r>
        <w:rPr>
          <w:rFonts w:hint="eastAsia" w:ascii="宋体" w:hAnsi="宋体" w:cs="宋体"/>
          <w:szCs w:val="21"/>
          <w:highlight w:val="none"/>
        </w:rPr>
        <w:t>谈判</w:t>
      </w:r>
      <w:r>
        <w:rPr>
          <w:rFonts w:ascii="宋体" w:hAnsi="宋体" w:cs="宋体"/>
          <w:szCs w:val="21"/>
          <w:highlight w:val="none"/>
        </w:rPr>
        <w:t>专用章、业务专用章及银行转账章、现金收讫章、现金付讫章</w:t>
      </w:r>
      <w:r>
        <w:rPr>
          <w:rFonts w:hint="eastAsia" w:ascii="宋体" w:hAnsi="宋体" w:cs="宋体"/>
          <w:szCs w:val="21"/>
          <w:highlight w:val="none"/>
          <w:lang w:eastAsia="zh-CN"/>
        </w:rPr>
        <w:t>、</w:t>
      </w:r>
      <w:r>
        <w:rPr>
          <w:rFonts w:hint="eastAsia" w:ascii="宋体" w:hAnsi="宋体" w:cs="宋体"/>
          <w:szCs w:val="21"/>
          <w:highlight w:val="none"/>
          <w:lang w:val="en-US" w:eastAsia="zh-CN"/>
        </w:rPr>
        <w:t>其他形式非正规公章</w:t>
      </w:r>
      <w:r>
        <w:rPr>
          <w:rFonts w:ascii="宋体" w:hAnsi="宋体" w:cs="宋体"/>
          <w:szCs w:val="21"/>
          <w:highlight w:val="none"/>
        </w:rPr>
        <w:t>等其它形式印章</w:t>
      </w:r>
      <w:r>
        <w:rPr>
          <w:rFonts w:hint="eastAsia" w:ascii="宋体" w:hAnsi="宋体" w:cs="宋体"/>
          <w:szCs w:val="21"/>
          <w:highlight w:val="none"/>
          <w:lang w:val="en-US" w:eastAsia="zh-CN"/>
        </w:rPr>
        <w:t>均</w:t>
      </w:r>
      <w:r>
        <w:rPr>
          <w:rFonts w:hint="eastAsia" w:ascii="宋体" w:hAnsi="宋体"/>
          <w:szCs w:val="21"/>
          <w:highlight w:val="none"/>
        </w:rPr>
        <w:t>无效，自然人除外）并由法定代表人或授权委托代理人</w:t>
      </w:r>
      <w:r>
        <w:rPr>
          <w:rFonts w:hint="eastAsia"/>
          <w:lang w:val="en-US" w:eastAsia="zh-CN"/>
        </w:rPr>
        <w:t>签字或签章</w:t>
      </w:r>
      <w:r>
        <w:rPr>
          <w:rFonts w:hint="eastAsia" w:ascii="宋体" w:hAnsi="宋体"/>
          <w:szCs w:val="21"/>
          <w:highlight w:val="none"/>
        </w:rPr>
        <w:t>，</w:t>
      </w:r>
      <w:r>
        <w:rPr>
          <w:rFonts w:hint="eastAsia" w:ascii="宋体" w:hAnsi="宋体"/>
          <w:szCs w:val="21"/>
          <w:highlight w:val="none"/>
          <w:lang w:val="en-US" w:eastAsia="zh-CN"/>
        </w:rPr>
        <w:t>响应文件格式中相对应的位置不得随意签字或盖章，严格按照响应文件格式中要求的位置和签字（盖章）形式进行填写，</w:t>
      </w:r>
      <w:r>
        <w:rPr>
          <w:rFonts w:hint="eastAsia" w:ascii="宋体" w:hAnsi="宋体"/>
          <w:szCs w:val="21"/>
          <w:highlight w:val="none"/>
        </w:rPr>
        <w:t>供应商应写全称，当正本与副本不一致时，以正本为准。</w:t>
      </w:r>
    </w:p>
    <w:p>
      <w:pPr>
        <w:spacing w:line="360" w:lineRule="exact"/>
        <w:ind w:firstLine="420" w:firstLineChars="200"/>
        <w:rPr>
          <w:rFonts w:hint="eastAsia" w:ascii="宋体" w:hAnsi="宋体"/>
          <w:szCs w:val="21"/>
          <w:highlight w:val="none"/>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w:t>
      </w:r>
      <w:r>
        <w:rPr>
          <w:rFonts w:hint="eastAsia" w:ascii="宋体" w:hAnsi="宋体"/>
          <w:szCs w:val="21"/>
          <w:highlight w:val="none"/>
          <w:lang w:val="en-US" w:eastAsia="zh-CN"/>
        </w:rPr>
        <w:t>4</w:t>
      </w:r>
      <w:r>
        <w:rPr>
          <w:rFonts w:hint="eastAsia" w:ascii="宋体" w:hAnsi="宋体"/>
          <w:szCs w:val="21"/>
          <w:highlight w:val="none"/>
        </w:rPr>
        <w:t xml:space="preserve"> 响应文件不得涂改，若有修改错漏处，须加盖供应商公章（自然人除外）及法定代表人或负责人或自然人或相应的授权委托代理人</w:t>
      </w:r>
      <w:r>
        <w:rPr>
          <w:rFonts w:hint="eastAsia"/>
          <w:lang w:val="en-US" w:eastAsia="zh-CN"/>
        </w:rPr>
        <w:t>签字或签章</w:t>
      </w:r>
      <w:r>
        <w:rPr>
          <w:rFonts w:hint="eastAsia" w:ascii="宋体" w:hAnsi="宋体"/>
          <w:szCs w:val="21"/>
          <w:highlight w:val="none"/>
        </w:rPr>
        <w:t>。响应文件因字迹潦草或表达不清所引起的后果由供应商负责。</w:t>
      </w:r>
    </w:p>
    <w:p>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17. 响应文件的修改和撤回</w:t>
      </w:r>
    </w:p>
    <w:p>
      <w:pPr>
        <w:spacing w:line="380" w:lineRule="exact"/>
        <w:ind w:firstLine="435"/>
        <w:rPr>
          <w:rFonts w:hint="eastAsia" w:ascii="宋体" w:hAnsi="宋体"/>
          <w:szCs w:val="21"/>
          <w:highlight w:val="none"/>
        </w:rPr>
      </w:pPr>
      <w:r>
        <w:rPr>
          <w:rFonts w:hint="eastAsia" w:ascii="宋体" w:hAnsi="宋体"/>
          <w:szCs w:val="21"/>
          <w:highlight w:val="none"/>
        </w:rPr>
        <w:t>17.1 供应商在响应文件递交截止时间之前，可以对已递交的响应文件进行修改或撤回，并书面通知采购代理机构。</w:t>
      </w:r>
    </w:p>
    <w:p>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17.2 在响应文件递交截止时间后的响应文件有效期内，供应商不得撤回其响应文件。</w:t>
      </w:r>
    </w:p>
    <w:p>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18. 响应文件的递交</w:t>
      </w:r>
    </w:p>
    <w:p>
      <w:pPr>
        <w:tabs>
          <w:tab w:val="left" w:pos="1305"/>
        </w:tabs>
        <w:spacing w:line="380" w:lineRule="exact"/>
        <w:ind w:firstLine="420" w:firstLineChars="200"/>
        <w:rPr>
          <w:rFonts w:hint="eastAsia" w:ascii="宋体" w:hAnsi="宋体" w:eastAsia="宋体"/>
          <w:szCs w:val="21"/>
          <w:highlight w:val="none"/>
          <w:lang w:val="en-US" w:eastAsia="zh-CN"/>
        </w:rPr>
      </w:pPr>
      <w:r>
        <w:rPr>
          <w:rFonts w:hint="eastAsia" w:ascii="宋体" w:hAnsi="宋体"/>
          <w:szCs w:val="21"/>
          <w:highlight w:val="none"/>
        </w:rPr>
        <w:t>18.1响应文件递交截止时间及递交起止时间</w:t>
      </w:r>
      <w:r>
        <w:rPr>
          <w:rFonts w:hint="eastAsia" w:ascii="宋体" w:hAnsi="宋体"/>
          <w:szCs w:val="21"/>
          <w:highlight w:val="none"/>
          <w:lang w:eastAsia="zh-CN"/>
        </w:rPr>
        <w:t>。</w:t>
      </w:r>
    </w:p>
    <w:p>
      <w:pPr>
        <w:tabs>
          <w:tab w:val="left" w:pos="1305"/>
        </w:tabs>
        <w:spacing w:line="380" w:lineRule="exact"/>
        <w:ind w:firstLine="422" w:firstLineChars="200"/>
        <w:rPr>
          <w:rFonts w:hint="eastAsia" w:ascii="宋体" w:hAnsi="宋体"/>
          <w:szCs w:val="21"/>
          <w:highlight w:val="none"/>
        </w:rPr>
      </w:pPr>
      <w:r>
        <w:rPr>
          <w:rFonts w:hint="eastAsia" w:ascii="宋体" w:hAnsi="宋体"/>
          <w:b/>
          <w:szCs w:val="21"/>
          <w:highlight w:val="none"/>
        </w:rPr>
        <w:t>响应文件递交截止时间：</w:t>
      </w:r>
      <w:r>
        <w:rPr>
          <w:rFonts w:hint="eastAsia" w:ascii="宋体" w:hAnsi="宋体" w:cs="黑体"/>
          <w:b w:val="0"/>
          <w:color w:val="000000"/>
          <w:kern w:val="0"/>
          <w:sz w:val="21"/>
          <w:szCs w:val="21"/>
          <w:highlight w:val="none"/>
          <w:lang w:val="en-US" w:eastAsia="zh-CN"/>
        </w:rPr>
        <w:t>2025年07月25日17点30分。</w:t>
      </w:r>
    </w:p>
    <w:p>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562" w:firstLineChars="200"/>
        <w:jc w:val="center"/>
        <w:textAlignment w:val="auto"/>
        <w:rPr>
          <w:rFonts w:hint="eastAsia" w:ascii="宋体" w:hAnsi="宋体"/>
          <w:b/>
          <w:sz w:val="28"/>
          <w:szCs w:val="28"/>
          <w:highlight w:val="none"/>
        </w:rPr>
      </w:pPr>
      <w:r>
        <w:rPr>
          <w:rFonts w:hint="eastAsia" w:ascii="宋体" w:hAnsi="宋体"/>
          <w:b/>
          <w:sz w:val="28"/>
          <w:szCs w:val="28"/>
          <w:highlight w:val="none"/>
        </w:rPr>
        <w:t>四、竞争性谈判（简称谈判）与评审</w:t>
      </w:r>
    </w:p>
    <w:p>
      <w:pPr>
        <w:keepNext w:val="0"/>
        <w:keepLines w:val="0"/>
        <w:pageBreakBefore w:val="0"/>
        <w:widowControl w:val="0"/>
        <w:tabs>
          <w:tab w:val="center" w:pos="4411"/>
          <w:tab w:val="left" w:pos="5475"/>
        </w:tabs>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b/>
          <w:szCs w:val="21"/>
          <w:highlight w:val="none"/>
        </w:rPr>
      </w:pPr>
      <w:r>
        <w:rPr>
          <w:rFonts w:hint="eastAsia" w:ascii="宋体" w:hAnsi="宋体"/>
          <w:b/>
          <w:szCs w:val="21"/>
          <w:highlight w:val="none"/>
        </w:rPr>
        <w:t>19. 谈判小组组成及谈判时间、地点、人员</w:t>
      </w:r>
    </w:p>
    <w:p>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b/>
          <w:szCs w:val="21"/>
          <w:highlight w:val="none"/>
        </w:rPr>
      </w:pPr>
      <w:r>
        <w:rPr>
          <w:rFonts w:hint="eastAsia" w:ascii="宋体" w:hAnsi="宋体"/>
          <w:b/>
          <w:szCs w:val="21"/>
          <w:highlight w:val="none"/>
        </w:rPr>
        <w:t>19.1 谈判小组组成：</w:t>
      </w:r>
    </w:p>
    <w:p>
      <w:pPr>
        <w:spacing w:line="380" w:lineRule="exact"/>
        <w:ind w:firstLine="435"/>
        <w:rPr>
          <w:rFonts w:hint="eastAsia" w:ascii="宋体" w:hAnsi="宋体"/>
          <w:szCs w:val="21"/>
          <w:highlight w:val="none"/>
          <w:u w:val="none"/>
        </w:rPr>
      </w:pPr>
      <w:r>
        <w:rPr>
          <w:rFonts w:hint="eastAsia" w:ascii="宋体" w:hAnsi="宋体"/>
          <w:szCs w:val="21"/>
          <w:highlight w:val="none"/>
        </w:rPr>
        <w:t>谈判及评审工作由采购代理机构负责组织，具体谈判、评审工作由依法组建的谈判小组负责，谈判小组有关方面的专家组成。谈判小组的构成：</w:t>
      </w:r>
      <w:r>
        <w:rPr>
          <w:rFonts w:hint="eastAsia" w:ascii="宋体" w:hAnsi="宋体"/>
          <w:szCs w:val="21"/>
          <w:highlight w:val="none"/>
          <w:u w:val="none"/>
        </w:rPr>
        <w:t>3人，其中采购人代表0人，专家3人。专家确定方式：</w:t>
      </w:r>
      <w:r>
        <w:rPr>
          <w:rFonts w:hint="eastAsia" w:ascii="宋体" w:hAnsi="宋体"/>
          <w:szCs w:val="21"/>
          <w:highlight w:val="none"/>
          <w:u w:val="none"/>
          <w:lang w:val="zh-CN"/>
        </w:rPr>
        <w:t>从</w:t>
      </w:r>
      <w:r>
        <w:rPr>
          <w:rFonts w:hint="eastAsia" w:ascii="宋体" w:hAnsi="宋体"/>
          <w:szCs w:val="21"/>
          <w:highlight w:val="none"/>
          <w:u w:val="none"/>
          <w:lang w:val="zh-CN" w:eastAsia="zh-CN"/>
        </w:rPr>
        <w:t>吉林省</w:t>
      </w:r>
      <w:r>
        <w:rPr>
          <w:rFonts w:hint="eastAsia" w:ascii="宋体" w:hAnsi="宋体"/>
          <w:szCs w:val="21"/>
          <w:highlight w:val="none"/>
          <w:u w:val="none"/>
          <w:lang w:val="en-US" w:eastAsia="zh-CN"/>
        </w:rPr>
        <w:t>政府采购云平台</w:t>
      </w:r>
      <w:r>
        <w:rPr>
          <w:rFonts w:hint="eastAsia" w:ascii="宋体" w:hAnsi="宋体"/>
          <w:szCs w:val="21"/>
          <w:highlight w:val="none"/>
          <w:u w:val="none"/>
          <w:lang w:val="zh-CN"/>
        </w:rPr>
        <w:t>专家库中随机抽取</w:t>
      </w:r>
      <w:r>
        <w:rPr>
          <w:rFonts w:hint="eastAsia" w:ascii="宋体" w:hAnsi="宋体"/>
          <w:szCs w:val="21"/>
          <w:highlight w:val="none"/>
          <w:u w:val="none"/>
        </w:rPr>
        <w:t>。</w:t>
      </w:r>
    </w:p>
    <w:p>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19.2 谈判时间、地点、人员：</w:t>
      </w:r>
    </w:p>
    <w:p>
      <w:pPr>
        <w:spacing w:line="380" w:lineRule="exact"/>
        <w:ind w:left="315" w:leftChars="150" w:firstLine="105" w:firstLineChars="50"/>
        <w:rPr>
          <w:rFonts w:hint="eastAsia" w:ascii="宋体" w:hAnsi="宋体"/>
          <w:szCs w:val="21"/>
          <w:highlight w:val="none"/>
        </w:rPr>
      </w:pPr>
      <w:r>
        <w:rPr>
          <w:rFonts w:hint="eastAsia" w:ascii="宋体" w:hAnsi="宋体"/>
          <w:szCs w:val="21"/>
          <w:highlight w:val="none"/>
        </w:rPr>
        <w:t>19.2.1 谈判时间：</w:t>
      </w:r>
      <w:r>
        <w:rPr>
          <w:rFonts w:hint="eastAsia" w:ascii="宋体" w:hAnsi="宋体"/>
          <w:position w:val="-2"/>
          <w:szCs w:val="21"/>
          <w:highlight w:val="none"/>
        </w:rPr>
        <w:t>响应文件递交</w:t>
      </w:r>
      <w:r>
        <w:rPr>
          <w:rFonts w:hint="eastAsia" w:ascii="宋体" w:hAnsi="宋体"/>
          <w:szCs w:val="21"/>
          <w:highlight w:val="none"/>
        </w:rPr>
        <w:t>截止时间后。</w:t>
      </w:r>
    </w:p>
    <w:p>
      <w:pPr>
        <w:spacing w:line="380" w:lineRule="exact"/>
        <w:ind w:firstLine="420" w:firstLineChars="200"/>
        <w:rPr>
          <w:rFonts w:hint="eastAsia" w:ascii="宋体" w:hAnsi="宋体"/>
          <w:szCs w:val="21"/>
          <w:highlight w:val="none"/>
        </w:rPr>
      </w:pPr>
      <w:r>
        <w:rPr>
          <w:rFonts w:hint="eastAsia" w:ascii="宋体" w:hAnsi="宋体"/>
          <w:szCs w:val="21"/>
          <w:highlight w:val="none"/>
        </w:rPr>
        <w:t>19.2.2 谈判地点：</w:t>
      </w:r>
      <w:r>
        <w:rPr>
          <w:rFonts w:hint="eastAsia" w:ascii="宋体" w:hAnsi="宋体"/>
          <w:szCs w:val="21"/>
          <w:highlight w:val="none"/>
          <w:lang w:eastAsia="zh-CN"/>
        </w:rPr>
        <w:t>长春市二道区洋浦大街6999号凯利中心AB栋101开标</w:t>
      </w:r>
      <w:r>
        <w:rPr>
          <w:rFonts w:hint="eastAsia" w:ascii="宋体" w:hAnsi="宋体"/>
          <w:szCs w:val="21"/>
          <w:highlight w:val="none"/>
          <w:lang w:val="en-US" w:eastAsia="zh-CN"/>
        </w:rPr>
        <w:t>4</w:t>
      </w:r>
      <w:r>
        <w:rPr>
          <w:rFonts w:hint="eastAsia" w:ascii="宋体" w:hAnsi="宋体"/>
          <w:szCs w:val="21"/>
          <w:highlight w:val="none"/>
          <w:lang w:eastAsia="zh-CN"/>
        </w:rPr>
        <w:t>室</w:t>
      </w:r>
      <w:r>
        <w:rPr>
          <w:rFonts w:hint="eastAsia" w:ascii="宋体" w:hAnsi="宋体" w:cs="宋体"/>
          <w:szCs w:val="21"/>
          <w:highlight w:val="none"/>
        </w:rPr>
        <w:t>。</w:t>
      </w:r>
    </w:p>
    <w:p>
      <w:pPr>
        <w:tabs>
          <w:tab w:val="left" w:pos="1140"/>
        </w:tabs>
        <w:spacing w:line="380" w:lineRule="exact"/>
        <w:ind w:left="420" w:leftChars="200"/>
        <w:rPr>
          <w:rFonts w:hint="eastAsia" w:ascii="宋体" w:hAnsi="宋体"/>
          <w:szCs w:val="21"/>
          <w:highlight w:val="none"/>
        </w:rPr>
      </w:pPr>
      <w:r>
        <w:rPr>
          <w:rFonts w:hint="eastAsia" w:ascii="宋体" w:hAnsi="宋体"/>
          <w:szCs w:val="21"/>
          <w:highlight w:val="none"/>
        </w:rPr>
        <w:t>19.2.3 谈判参加人员：</w:t>
      </w:r>
      <w:r>
        <w:rPr>
          <w:rFonts w:hint="eastAsia" w:ascii="宋体" w:hAnsi="宋体"/>
          <w:szCs w:val="21"/>
          <w:highlight w:val="none"/>
          <w:lang w:val="en-US" w:eastAsia="zh-CN"/>
        </w:rPr>
        <w:t>通过线上“政采云”</w:t>
      </w:r>
      <w:r>
        <w:rPr>
          <w:rFonts w:hint="eastAsia"/>
          <w:highlight w:val="none"/>
          <w:lang w:eastAsia="zh-CN"/>
        </w:rPr>
        <w:t>（网址：http</w:t>
      </w:r>
      <w:r>
        <w:rPr>
          <w:rFonts w:hint="eastAsia" w:ascii="宋体" w:hAnsi="宋体" w:eastAsia="宋体" w:cs="Times New Roman"/>
          <w:highlight w:val="none"/>
          <w:lang w:eastAsia="zh-CN"/>
        </w:rPr>
        <w:t xml:space="preserve">:// </w:t>
      </w:r>
      <w:r>
        <w:rPr>
          <w:rFonts w:hint="eastAsia" w:ascii="宋体" w:hAnsi="宋体" w:eastAsia="宋体" w:cs="Times New Roman"/>
          <w:highlight w:val="none"/>
          <w:lang w:eastAsia="zh-CN"/>
        </w:rPr>
        <w:fldChar w:fldCharType="begin"/>
      </w:r>
      <w:r>
        <w:rPr>
          <w:rFonts w:hint="eastAsia" w:ascii="宋体" w:hAnsi="宋体" w:eastAsia="宋体" w:cs="Times New Roman"/>
          <w:highlight w:val="none"/>
          <w:lang w:eastAsia="zh-CN"/>
        </w:rPr>
        <w:instrText xml:space="preserve"> HYPERLINK "http://www.zcygov.cn）递交电子版响应文件。" </w:instrText>
      </w:r>
      <w:r>
        <w:rPr>
          <w:rFonts w:hint="eastAsia" w:ascii="宋体" w:hAnsi="宋体" w:eastAsia="宋体" w:cs="Times New Roman"/>
          <w:highlight w:val="none"/>
          <w:lang w:eastAsia="zh-CN"/>
        </w:rPr>
        <w:fldChar w:fldCharType="separate"/>
      </w:r>
      <w:r>
        <w:rPr>
          <w:rFonts w:hint="eastAsia" w:ascii="宋体" w:hAnsi="宋体" w:eastAsia="宋体" w:cs="Times New Roman"/>
          <w:highlight w:val="none"/>
          <w:lang w:eastAsia="zh-CN"/>
        </w:rPr>
        <w:t>www.zcygov.cn）</w:t>
      </w:r>
      <w:r>
        <w:rPr>
          <w:rFonts w:hint="eastAsia" w:ascii="宋体" w:hAnsi="宋体" w:eastAsia="宋体" w:cs="Times New Roman"/>
          <w:highlight w:val="none"/>
          <w:lang w:eastAsia="zh-CN"/>
        </w:rPr>
        <w:fldChar w:fldCharType="end"/>
      </w:r>
      <w:r>
        <w:rPr>
          <w:rFonts w:hint="eastAsia" w:ascii="宋体" w:hAnsi="宋体"/>
          <w:szCs w:val="21"/>
          <w:highlight w:val="none"/>
          <w:lang w:val="en-US" w:eastAsia="zh-CN"/>
        </w:rPr>
        <w:t>平台进行参与开评标</w:t>
      </w:r>
      <w:r>
        <w:rPr>
          <w:rFonts w:hint="eastAsia" w:ascii="宋体" w:hAnsi="宋体"/>
          <w:szCs w:val="21"/>
          <w:highlight w:val="none"/>
        </w:rPr>
        <w:t>。</w:t>
      </w:r>
    </w:p>
    <w:p>
      <w:pPr>
        <w:tabs>
          <w:tab w:val="left" w:pos="1140"/>
        </w:tabs>
        <w:spacing w:line="380" w:lineRule="exact"/>
        <w:ind w:left="420" w:leftChars="200"/>
        <w:rPr>
          <w:rFonts w:ascii="宋体" w:hAnsi="宋体"/>
          <w:szCs w:val="21"/>
          <w:highlight w:val="none"/>
        </w:rPr>
      </w:pPr>
      <w:r>
        <w:rPr>
          <w:rFonts w:hint="eastAsia" w:ascii="宋体" w:hAnsi="宋体"/>
          <w:position w:val="-2"/>
          <w:szCs w:val="21"/>
          <w:highlight w:val="none"/>
        </w:rPr>
        <w:t xml:space="preserve">19.2.4 </w:t>
      </w:r>
      <w:r>
        <w:rPr>
          <w:rFonts w:hint="eastAsia" w:ascii="宋体" w:hAnsi="宋体"/>
          <w:position w:val="-2"/>
          <w:szCs w:val="21"/>
          <w:highlight w:val="none"/>
          <w:lang w:val="en-US" w:eastAsia="zh-CN"/>
        </w:rPr>
        <w:t>本项目</w:t>
      </w:r>
      <w:r>
        <w:rPr>
          <w:rFonts w:hint="eastAsia" w:ascii="宋体" w:hAnsi="宋体"/>
          <w:szCs w:val="21"/>
          <w:highlight w:val="none"/>
          <w:lang w:val="en-US" w:eastAsia="zh-CN"/>
        </w:rPr>
        <w:t>不再当场进行唱标</w:t>
      </w:r>
      <w:r>
        <w:rPr>
          <w:rFonts w:hint="eastAsia" w:ascii="宋体" w:hAnsi="宋体"/>
          <w:szCs w:val="21"/>
          <w:highlight w:val="none"/>
        </w:rPr>
        <w:t>，由谈判小组在评标室内开启响应文件。</w:t>
      </w:r>
      <w:r>
        <w:rPr>
          <w:rFonts w:ascii="宋体" w:hAnsi="宋体"/>
          <w:szCs w:val="21"/>
          <w:highlight w:val="none"/>
        </w:rPr>
        <w:t xml:space="preserve">  </w:t>
      </w:r>
    </w:p>
    <w:p>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20. 评审原则和评审办法</w:t>
      </w:r>
    </w:p>
    <w:p>
      <w:pPr>
        <w:tabs>
          <w:tab w:val="left" w:pos="1140"/>
        </w:tabs>
        <w:spacing w:line="380" w:lineRule="exact"/>
        <w:ind w:firstLine="359" w:firstLineChars="171"/>
        <w:rPr>
          <w:rFonts w:hint="eastAsia" w:ascii="宋体" w:hAnsi="宋体"/>
          <w:szCs w:val="21"/>
          <w:highlight w:val="none"/>
        </w:rPr>
      </w:pPr>
      <w:r>
        <w:rPr>
          <w:rFonts w:hint="eastAsia" w:ascii="宋体" w:hAnsi="宋体"/>
          <w:szCs w:val="20"/>
          <w:highlight w:val="none"/>
        </w:rPr>
        <w:t xml:space="preserve">20.1 </w:t>
      </w:r>
      <w:r>
        <w:rPr>
          <w:rFonts w:hint="eastAsia" w:ascii="宋体" w:hAnsi="宋体"/>
          <w:szCs w:val="21"/>
          <w:highlight w:val="none"/>
        </w:rPr>
        <w:t>谈判小组必须坚持公平、公正、科学和择优的原则。</w:t>
      </w:r>
    </w:p>
    <w:p>
      <w:pPr>
        <w:tabs>
          <w:tab w:val="left" w:pos="1140"/>
        </w:tabs>
        <w:spacing w:line="380" w:lineRule="exact"/>
        <w:ind w:firstLine="359" w:firstLineChars="171"/>
        <w:rPr>
          <w:rFonts w:hint="eastAsia" w:ascii="宋体" w:hAnsi="宋体"/>
          <w:szCs w:val="21"/>
          <w:highlight w:val="none"/>
        </w:rPr>
      </w:pPr>
      <w:r>
        <w:rPr>
          <w:rFonts w:hint="eastAsia" w:ascii="宋体" w:hAnsi="宋体"/>
          <w:szCs w:val="20"/>
          <w:highlight w:val="none"/>
        </w:rPr>
        <w:t xml:space="preserve">20.2 </w:t>
      </w:r>
      <w:r>
        <w:rPr>
          <w:rFonts w:hint="eastAsia" w:ascii="宋体" w:hAnsi="宋体"/>
          <w:szCs w:val="21"/>
          <w:highlight w:val="none"/>
        </w:rPr>
        <w:t>评审办法：具体详见第四章评审办法。</w:t>
      </w:r>
    </w:p>
    <w:p>
      <w:pPr>
        <w:pStyle w:val="18"/>
        <w:spacing w:line="380" w:lineRule="exact"/>
        <w:ind w:firstLine="359" w:firstLineChars="171"/>
        <w:rPr>
          <w:rFonts w:hint="eastAsia" w:hAnsi="宋体"/>
          <w:szCs w:val="21"/>
          <w:highlight w:val="none"/>
        </w:rPr>
      </w:pPr>
      <w:r>
        <w:rPr>
          <w:rFonts w:hint="eastAsia" w:hAnsi="宋体"/>
          <w:szCs w:val="21"/>
          <w:highlight w:val="none"/>
        </w:rPr>
        <w:t>20.3 谈判小组应按谈判文件进行评审，不得擅自更改评审办法。</w:t>
      </w:r>
    </w:p>
    <w:p>
      <w:pPr>
        <w:pStyle w:val="18"/>
        <w:spacing w:line="380" w:lineRule="exact"/>
        <w:ind w:firstLine="359" w:firstLineChars="171"/>
        <w:rPr>
          <w:rFonts w:hint="eastAsia" w:hAnsi="宋体"/>
          <w:szCs w:val="21"/>
          <w:highlight w:val="none"/>
        </w:rPr>
      </w:pPr>
      <w:r>
        <w:rPr>
          <w:rFonts w:hint="eastAsia" w:hAnsi="宋体"/>
          <w:szCs w:val="21"/>
          <w:highlight w:val="none"/>
        </w:rPr>
        <w:t>20.4 在评审过程中，谈判小组任何人不得对某个供应商发表任何倾向性意见，不得向其他谈判小组成员明示或者暗示自己的评审意见。</w:t>
      </w:r>
    </w:p>
    <w:p>
      <w:pPr>
        <w:tabs>
          <w:tab w:val="left" w:pos="1140"/>
        </w:tabs>
        <w:spacing w:line="380" w:lineRule="exact"/>
        <w:ind w:firstLine="359" w:firstLineChars="171"/>
        <w:rPr>
          <w:rFonts w:hint="eastAsia" w:ascii="宋体" w:hAnsi="宋体"/>
          <w:szCs w:val="21"/>
          <w:highlight w:val="none"/>
        </w:rPr>
      </w:pPr>
      <w:r>
        <w:rPr>
          <w:rFonts w:hint="eastAsia" w:ascii="宋体" w:hAnsi="宋体"/>
          <w:szCs w:val="21"/>
          <w:highlight w:val="none"/>
        </w:rPr>
        <w:t>20.5 谈判小组成员对需要共同认定的事项存在争议的，按照少数服从多数的原则作出结论。持不　　　　　　　　　　　　　　　　　　　　　　　　　　　　　　　　　　　　　　　　　　　　　　　　　　　　　　　　　　　　　　　　　　　　　　同意见的谈判小组成员应当在评审报告上签署不同意见并说明理由，否则视为同意。</w:t>
      </w:r>
    </w:p>
    <w:p>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21. 评审程序及谈判要求</w:t>
      </w:r>
    </w:p>
    <w:p>
      <w:pPr>
        <w:pStyle w:val="18"/>
        <w:spacing w:line="380" w:lineRule="exact"/>
        <w:ind w:firstLine="315" w:firstLineChars="150"/>
        <w:rPr>
          <w:rFonts w:hint="eastAsia" w:hAnsi="宋体"/>
          <w:szCs w:val="21"/>
          <w:highlight w:val="none"/>
        </w:rPr>
      </w:pPr>
      <w:r>
        <w:rPr>
          <w:rFonts w:hint="eastAsia" w:hAnsi="宋体"/>
          <w:szCs w:val="21"/>
          <w:highlight w:val="none"/>
        </w:rPr>
        <w:t>21.1 采购代理机构核实谈判小组成员身份，告知回避要求，宣布评审工作纪律和程序，统一保管通讯工具或相关电子设备，推选谈判小组组长。</w:t>
      </w:r>
    </w:p>
    <w:p>
      <w:pPr>
        <w:spacing w:line="380" w:lineRule="exact"/>
        <w:ind w:firstLine="315" w:firstLineChars="150"/>
        <w:rPr>
          <w:rFonts w:hint="eastAsia" w:ascii="宋体" w:hAnsi="宋体" w:cs="Arial"/>
          <w:kern w:val="0"/>
          <w:szCs w:val="21"/>
          <w:highlight w:val="none"/>
        </w:rPr>
      </w:pPr>
      <w:r>
        <w:rPr>
          <w:rFonts w:hint="eastAsia" w:ascii="宋体" w:hAnsi="宋体"/>
          <w:szCs w:val="21"/>
          <w:highlight w:val="none"/>
        </w:rPr>
        <w:t xml:space="preserve">21.2 </w:t>
      </w:r>
      <w:r>
        <w:rPr>
          <w:rFonts w:ascii="宋体" w:hAnsi="宋体"/>
          <w:szCs w:val="21"/>
          <w:highlight w:val="none"/>
        </w:rPr>
        <w:t>谈判小组</w:t>
      </w:r>
      <w:r>
        <w:rPr>
          <w:rFonts w:hint="eastAsia" w:ascii="宋体" w:hAnsi="宋体"/>
          <w:szCs w:val="21"/>
          <w:highlight w:val="none"/>
        </w:rPr>
        <w:t>应当对发布公告的竞争性谈判文件（简称谈判文件）进行确认，</w:t>
      </w:r>
      <w:r>
        <w:rPr>
          <w:rFonts w:ascii="宋体" w:hAnsi="宋体" w:cs="Arial"/>
          <w:kern w:val="0"/>
          <w:szCs w:val="21"/>
          <w:highlight w:val="none"/>
        </w:rPr>
        <w:t>审查供应商的响应文件并作出评价；要求供应商解释或者澄清其响应文件；编写评审报告；告知采购人、采购代理机构在评审过程中发现的供应商的违法违规行为。</w:t>
      </w:r>
    </w:p>
    <w:p>
      <w:pPr>
        <w:spacing w:line="380" w:lineRule="exact"/>
        <w:ind w:firstLine="315" w:firstLineChars="150"/>
        <w:rPr>
          <w:rFonts w:hint="eastAsia" w:ascii="宋体" w:hAnsi="宋体" w:eastAsia="宋体"/>
          <w:szCs w:val="21"/>
          <w:highlight w:val="none"/>
          <w:lang w:eastAsia="zh-CN"/>
        </w:rPr>
      </w:pPr>
      <w:r>
        <w:rPr>
          <w:rFonts w:hint="eastAsia" w:ascii="宋体" w:hAnsi="宋体"/>
          <w:szCs w:val="21"/>
          <w:highlight w:val="none"/>
        </w:rPr>
        <w:t>21.3</w:t>
      </w:r>
      <w:r>
        <w:rPr>
          <w:rFonts w:ascii="宋体" w:hAnsi="宋体" w:cs="Arial"/>
          <w:kern w:val="0"/>
          <w:szCs w:val="21"/>
          <w:highlight w:val="none"/>
        </w:rPr>
        <w:t>谈判小组</w:t>
      </w:r>
      <w:r>
        <w:rPr>
          <w:rFonts w:hint="eastAsia" w:ascii="宋体" w:hAnsi="宋体"/>
          <w:szCs w:val="21"/>
          <w:highlight w:val="none"/>
        </w:rPr>
        <w:t>依据法律法规和竞争性谈判文件的规定，首先对响应文件中的资格证明等进行资格性审查，以确定供应商是否具备本项目供应商资格</w:t>
      </w:r>
      <w:r>
        <w:rPr>
          <w:rFonts w:hint="eastAsia" w:ascii="宋体" w:hAnsi="宋体"/>
          <w:szCs w:val="21"/>
          <w:highlight w:val="none"/>
          <w:lang w:eastAsia="zh-CN"/>
        </w:rPr>
        <w:t>。</w:t>
      </w:r>
    </w:p>
    <w:p>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在进行资格性审查时，谈判小组将进入《国家企业信用信息公示系统》对企业股东及出资等信息进行查询，对存在《中华人民共和国政府采购法实施条例》第十八条第一款情形的，其响应文件将被视为无效文件。</w:t>
      </w:r>
    </w:p>
    <w:p>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审查流程</w:t>
      </w:r>
    </w:p>
    <w:p>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1、进入《国家企业信用信息公示系统》（网址：http://www.gsxt.gov.cn/index.html），输入企业名称，进入企业信息主页面。</w:t>
      </w:r>
    </w:p>
    <w:p>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2、查看主页“股东及出资信息”栏，或年报中的“股东及出资信息”栏信息。</w:t>
      </w:r>
    </w:p>
    <w:p>
      <w:pPr>
        <w:spacing w:line="36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3、将各供应商的股东及出资信息进行比对，如发现存在单位负责人为同一人或者存在直接控股、管理关系的不同供应商参加同一合同项下的政府采购活动，按无效处理。</w:t>
      </w:r>
    </w:p>
    <w:p>
      <w:pPr>
        <w:spacing w:line="360" w:lineRule="exact"/>
        <w:ind w:firstLine="315" w:firstLineChars="150"/>
        <w:rPr>
          <w:rFonts w:hint="eastAsia" w:ascii="宋体" w:hAnsi="宋体"/>
          <w:szCs w:val="21"/>
          <w:highlight w:val="none"/>
        </w:rPr>
      </w:pPr>
      <w:r>
        <w:rPr>
          <w:rFonts w:hint="eastAsia" w:ascii="宋体" w:hAnsi="宋体" w:cs="Arial"/>
          <w:kern w:val="0"/>
          <w:szCs w:val="21"/>
          <w:highlight w:val="none"/>
        </w:rPr>
        <w:t>4、将相关资料打印存档。</w:t>
      </w:r>
    </w:p>
    <w:p>
      <w:pPr>
        <w:spacing w:line="360" w:lineRule="exact"/>
        <w:ind w:firstLine="315" w:firstLineChars="150"/>
        <w:rPr>
          <w:rFonts w:hint="eastAsia" w:ascii="宋体" w:hAnsi="宋体"/>
          <w:szCs w:val="21"/>
          <w:highlight w:val="none"/>
        </w:rPr>
      </w:pPr>
      <w:r>
        <w:rPr>
          <w:rFonts w:hint="eastAsia" w:ascii="宋体" w:hAnsi="宋体"/>
          <w:szCs w:val="21"/>
          <w:highlight w:val="none"/>
        </w:rPr>
        <w:t>再对通过资格性审查的供应商响应文件的有效性、完整性和对谈判文件的响应程度进行符合性审查，以确定是否对谈判文件的实质性要求做出响应。</w:t>
      </w:r>
    </w:p>
    <w:p>
      <w:pPr>
        <w:spacing w:line="380" w:lineRule="exact"/>
        <w:ind w:firstLine="420" w:firstLineChars="200"/>
        <w:rPr>
          <w:rFonts w:hint="eastAsia" w:ascii="宋体" w:hAnsi="宋体" w:cs="宋体"/>
          <w:szCs w:val="21"/>
          <w:highlight w:val="none"/>
        </w:rPr>
      </w:pPr>
      <w:r>
        <w:rPr>
          <w:rFonts w:hint="eastAsia" w:ascii="宋体" w:hAnsi="宋体" w:cs="Arial"/>
          <w:kern w:val="0"/>
          <w:szCs w:val="21"/>
          <w:highlight w:val="none"/>
        </w:rPr>
        <w:t>21.4谈判小组在对响应文件的资格性和符合性进行审查时，如发现供应商提供的证明文件不齐全或不符合规定形式的，应一次性告之供应商。</w:t>
      </w:r>
    </w:p>
    <w:p>
      <w:pPr>
        <w:spacing w:line="360" w:lineRule="exact"/>
        <w:ind w:firstLine="420" w:firstLineChars="200"/>
        <w:rPr>
          <w:rFonts w:hint="eastAsia" w:ascii="宋体" w:hAnsi="宋体" w:cs="Arial"/>
          <w:kern w:val="0"/>
          <w:szCs w:val="21"/>
          <w:highlight w:val="none"/>
        </w:rPr>
      </w:pPr>
      <w:r>
        <w:rPr>
          <w:rFonts w:hint="eastAsia" w:ascii="宋体" w:hAnsi="宋体" w:cs="Arial"/>
          <w:kern w:val="0"/>
          <w:szCs w:val="21"/>
          <w:highlight w:val="none"/>
        </w:rPr>
        <w:t>21.5谈判小组</w:t>
      </w:r>
      <w:r>
        <w:rPr>
          <w:rFonts w:ascii="宋体" w:hAnsi="宋体" w:cs="Arial"/>
          <w:kern w:val="0"/>
          <w:szCs w:val="21"/>
          <w:highlight w:val="none"/>
        </w:rPr>
        <w:t>在对响应文件的有效性、完整性和响应程度进行审查时，可以要求供应商对</w:t>
      </w:r>
      <w:r>
        <w:rPr>
          <w:rFonts w:hint="eastAsia" w:ascii="宋体" w:hAnsi="宋体"/>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w:t>
      </w:r>
      <w:r>
        <w:rPr>
          <w:rFonts w:ascii="宋体" w:hAnsi="宋体"/>
          <w:szCs w:val="21"/>
          <w:highlight w:val="none"/>
        </w:rPr>
        <w:t>由其法定代表人</w:t>
      </w:r>
      <w:r>
        <w:rPr>
          <w:rFonts w:hint="eastAsia" w:ascii="宋体" w:hAnsi="宋体"/>
          <w:szCs w:val="21"/>
          <w:highlight w:val="none"/>
        </w:rPr>
        <w:t>或负责人或自然人</w:t>
      </w:r>
      <w:r>
        <w:rPr>
          <w:rFonts w:ascii="宋体" w:hAnsi="宋体"/>
          <w:szCs w:val="21"/>
          <w:highlight w:val="none"/>
        </w:rPr>
        <w:t>或</w:t>
      </w:r>
      <w:r>
        <w:rPr>
          <w:rFonts w:hint="eastAsia" w:ascii="宋体" w:hAnsi="宋体"/>
          <w:szCs w:val="21"/>
          <w:highlight w:val="none"/>
        </w:rPr>
        <w:t>相应的</w:t>
      </w:r>
      <w:r>
        <w:rPr>
          <w:rFonts w:ascii="宋体" w:hAnsi="宋体"/>
          <w:szCs w:val="21"/>
          <w:highlight w:val="none"/>
        </w:rPr>
        <w:t>授权</w:t>
      </w:r>
      <w:r>
        <w:rPr>
          <w:rFonts w:hint="eastAsia" w:ascii="宋体" w:hAnsi="宋体"/>
          <w:szCs w:val="21"/>
          <w:highlight w:val="none"/>
        </w:rPr>
        <w:t>委托</w:t>
      </w:r>
      <w:r>
        <w:rPr>
          <w:rFonts w:ascii="宋体" w:hAnsi="宋体"/>
          <w:szCs w:val="21"/>
          <w:highlight w:val="none"/>
        </w:rPr>
        <w:t>代表签字或者加盖</w:t>
      </w:r>
      <w:r>
        <w:rPr>
          <w:rFonts w:hint="eastAsia" w:ascii="宋体" w:hAnsi="宋体"/>
          <w:szCs w:val="21"/>
          <w:highlight w:val="none"/>
        </w:rPr>
        <w:t>供应商</w:t>
      </w:r>
      <w:r>
        <w:rPr>
          <w:rFonts w:ascii="宋体" w:hAnsi="宋体"/>
          <w:szCs w:val="21"/>
          <w:highlight w:val="none"/>
        </w:rPr>
        <w:t>公章</w:t>
      </w:r>
      <w:r>
        <w:rPr>
          <w:rFonts w:hint="eastAsia" w:ascii="宋体" w:hAnsi="宋体"/>
          <w:szCs w:val="21"/>
          <w:highlight w:val="none"/>
        </w:rPr>
        <w:t>（自然人除外）。</w:t>
      </w:r>
    </w:p>
    <w:p>
      <w:pPr>
        <w:spacing w:line="360" w:lineRule="exact"/>
        <w:ind w:firstLine="420" w:firstLineChars="200"/>
        <w:rPr>
          <w:rFonts w:hint="eastAsia" w:ascii="宋体" w:hAnsi="宋体"/>
          <w:szCs w:val="21"/>
          <w:highlight w:val="none"/>
        </w:rPr>
      </w:pPr>
      <w:r>
        <w:rPr>
          <w:rFonts w:ascii="宋体" w:hAnsi="宋体"/>
          <w:szCs w:val="21"/>
          <w:highlight w:val="none"/>
        </w:rPr>
        <w:t>根据谈判文件规定的程序、评定成交的标准等事</w:t>
      </w:r>
      <w:r>
        <w:rPr>
          <w:rFonts w:hint="eastAsia" w:ascii="宋体" w:hAnsi="宋体"/>
          <w:szCs w:val="21"/>
          <w:highlight w:val="none"/>
        </w:rPr>
        <w:t>项</w:t>
      </w:r>
      <w:r>
        <w:rPr>
          <w:rFonts w:ascii="宋体" w:hAnsi="宋体"/>
          <w:szCs w:val="21"/>
          <w:highlight w:val="none"/>
        </w:rPr>
        <w:t>与实质性响应</w:t>
      </w:r>
      <w:r>
        <w:rPr>
          <w:rFonts w:hint="eastAsia" w:ascii="宋体" w:hAnsi="宋体"/>
          <w:szCs w:val="21"/>
          <w:highlight w:val="none"/>
        </w:rPr>
        <w:t>竞争性</w:t>
      </w:r>
      <w:r>
        <w:rPr>
          <w:rFonts w:ascii="宋体" w:hAnsi="宋体"/>
          <w:szCs w:val="21"/>
          <w:highlight w:val="none"/>
        </w:rPr>
        <w:t>谈判文件要求的</w:t>
      </w:r>
      <w:r>
        <w:rPr>
          <w:rFonts w:hint="eastAsia" w:ascii="宋体" w:hAnsi="宋体"/>
          <w:szCs w:val="21"/>
          <w:highlight w:val="none"/>
        </w:rPr>
        <w:t>供应商</w:t>
      </w:r>
      <w:r>
        <w:rPr>
          <w:rFonts w:ascii="宋体" w:hAnsi="宋体"/>
          <w:szCs w:val="21"/>
          <w:highlight w:val="none"/>
        </w:rPr>
        <w:t>进行谈判。未实质性响应谈判文件的</w:t>
      </w:r>
      <w:r>
        <w:rPr>
          <w:rFonts w:hint="eastAsia" w:ascii="宋体" w:hAnsi="宋体"/>
          <w:szCs w:val="21"/>
          <w:highlight w:val="none"/>
        </w:rPr>
        <w:t>响应文件</w:t>
      </w:r>
      <w:r>
        <w:rPr>
          <w:rFonts w:ascii="宋体" w:hAnsi="宋体"/>
          <w:szCs w:val="21"/>
          <w:highlight w:val="none"/>
        </w:rPr>
        <w:t>按无效处理，谈判小组应当告知有关</w:t>
      </w:r>
      <w:r>
        <w:rPr>
          <w:rFonts w:hint="eastAsia" w:ascii="宋体" w:hAnsi="宋体"/>
          <w:szCs w:val="21"/>
          <w:highlight w:val="none"/>
        </w:rPr>
        <w:t>供应商</w:t>
      </w:r>
      <w:r>
        <w:rPr>
          <w:rFonts w:ascii="宋体" w:hAnsi="宋体"/>
          <w:szCs w:val="21"/>
          <w:highlight w:val="none"/>
        </w:rPr>
        <w:t>。</w:t>
      </w:r>
    </w:p>
    <w:p>
      <w:pPr>
        <w:spacing w:line="360" w:lineRule="exact"/>
        <w:ind w:firstLine="420" w:firstLineChars="200"/>
        <w:rPr>
          <w:rFonts w:hint="eastAsia" w:ascii="宋体" w:hAnsi="宋体"/>
          <w:szCs w:val="21"/>
          <w:highlight w:val="none"/>
        </w:rPr>
      </w:pPr>
      <w:r>
        <w:rPr>
          <w:rFonts w:hint="eastAsia" w:ascii="宋体" w:hAnsi="宋体" w:cs="宋体"/>
          <w:kern w:val="0"/>
          <w:szCs w:val="21"/>
          <w:highlight w:val="none"/>
        </w:rPr>
        <w:t>谈判小组</w:t>
      </w:r>
      <w:r>
        <w:rPr>
          <w:rFonts w:ascii="宋体" w:hAnsi="宋体"/>
          <w:szCs w:val="21"/>
          <w:highlight w:val="none"/>
        </w:rPr>
        <w:t>所有成员应当</w:t>
      </w:r>
      <w:r>
        <w:rPr>
          <w:rFonts w:hint="eastAsia" w:ascii="宋体" w:hAnsi="宋体" w:cs="宋体"/>
          <w:kern w:val="0"/>
          <w:szCs w:val="21"/>
          <w:highlight w:val="none"/>
        </w:rPr>
        <w:t>按已确定的</w:t>
      </w:r>
      <w:r>
        <w:rPr>
          <w:rFonts w:hint="eastAsia" w:ascii="宋体" w:hAnsi="宋体"/>
          <w:szCs w:val="21"/>
          <w:highlight w:val="none"/>
        </w:rPr>
        <w:t>谈判顺序集中</w:t>
      </w:r>
      <w:r>
        <w:rPr>
          <w:rFonts w:ascii="宋体" w:hAnsi="宋体"/>
          <w:szCs w:val="21"/>
          <w:highlight w:val="none"/>
        </w:rPr>
        <w:t>与</w:t>
      </w:r>
      <w:r>
        <w:rPr>
          <w:rFonts w:hint="eastAsia" w:ascii="宋体" w:hAnsi="宋体"/>
          <w:szCs w:val="21"/>
          <w:highlight w:val="none"/>
        </w:rPr>
        <w:t>供应商</w:t>
      </w:r>
      <w:r>
        <w:rPr>
          <w:rFonts w:ascii="宋体" w:hAnsi="宋体"/>
          <w:szCs w:val="21"/>
          <w:highlight w:val="none"/>
        </w:rPr>
        <w:t>分别</w:t>
      </w:r>
      <w:r>
        <w:rPr>
          <w:rFonts w:hint="eastAsia" w:ascii="宋体" w:hAnsi="宋体"/>
          <w:szCs w:val="21"/>
          <w:highlight w:val="none"/>
          <w:lang w:val="en-US" w:eastAsia="zh-CN"/>
        </w:rPr>
        <w:t>线上</w:t>
      </w:r>
      <w:r>
        <w:rPr>
          <w:rFonts w:ascii="宋体" w:hAnsi="宋体"/>
          <w:szCs w:val="21"/>
          <w:highlight w:val="none"/>
        </w:rPr>
        <w:t>进行谈判，并给予所有实质性响应</w:t>
      </w:r>
      <w:r>
        <w:rPr>
          <w:rFonts w:hint="eastAsia" w:ascii="宋体" w:hAnsi="宋体"/>
          <w:szCs w:val="21"/>
          <w:highlight w:val="none"/>
        </w:rPr>
        <w:t>竞争性</w:t>
      </w:r>
      <w:r>
        <w:rPr>
          <w:rFonts w:ascii="宋体" w:hAnsi="宋体"/>
          <w:szCs w:val="21"/>
          <w:highlight w:val="none"/>
        </w:rPr>
        <w:t>谈判文件要求的</w:t>
      </w:r>
      <w:r>
        <w:rPr>
          <w:rFonts w:hint="eastAsia" w:ascii="宋体" w:hAnsi="宋体"/>
          <w:szCs w:val="21"/>
          <w:highlight w:val="none"/>
        </w:rPr>
        <w:t>供应商</w:t>
      </w:r>
      <w:r>
        <w:rPr>
          <w:rFonts w:ascii="宋体" w:hAnsi="宋体"/>
          <w:szCs w:val="21"/>
          <w:highlight w:val="none"/>
        </w:rPr>
        <w:t>平等的谈判机会。</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谈判</w:t>
      </w:r>
      <w:r>
        <w:rPr>
          <w:rFonts w:hint="eastAsia" w:ascii="宋体" w:hAnsi="宋体"/>
          <w:szCs w:val="21"/>
          <w:highlight w:val="none"/>
          <w:lang w:val="en-US" w:eastAsia="zh-CN"/>
        </w:rPr>
        <w:t>过程中及评审结束</w:t>
      </w:r>
      <w:r>
        <w:rPr>
          <w:rFonts w:hint="eastAsia" w:ascii="宋体" w:hAnsi="宋体"/>
          <w:szCs w:val="21"/>
          <w:highlight w:val="none"/>
        </w:rPr>
        <w:t>，谈判小组不得透露与谈判有关的其他供应商的技术资料、价格和其他信息。</w:t>
      </w:r>
    </w:p>
    <w:p>
      <w:pPr>
        <w:widowControl/>
        <w:tabs>
          <w:tab w:val="left" w:pos="540"/>
        </w:tabs>
        <w:spacing w:line="360" w:lineRule="exact"/>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采购代理机构对谈判过程和重要谈判内容进行记录，</w:t>
      </w:r>
      <w:r>
        <w:rPr>
          <w:rFonts w:hint="eastAsia" w:ascii="宋体" w:hAnsi="宋体"/>
          <w:szCs w:val="21"/>
          <w:highlight w:val="none"/>
          <w:lang w:val="en-US" w:eastAsia="zh-CN"/>
        </w:rPr>
        <w:t>供应商对</w:t>
      </w:r>
      <w:r>
        <w:rPr>
          <w:rFonts w:hint="eastAsia" w:ascii="宋体" w:hAnsi="宋体"/>
          <w:szCs w:val="21"/>
          <w:highlight w:val="none"/>
        </w:rPr>
        <w:t>谈判</w:t>
      </w:r>
      <w:r>
        <w:rPr>
          <w:rFonts w:hint="eastAsia" w:ascii="宋体" w:hAnsi="宋体"/>
          <w:szCs w:val="21"/>
          <w:highlight w:val="none"/>
          <w:lang w:val="en-US" w:eastAsia="zh-CN"/>
        </w:rPr>
        <w:t>内容进行</w:t>
      </w:r>
      <w:r>
        <w:rPr>
          <w:rFonts w:hint="eastAsia" w:ascii="宋体" w:hAnsi="宋体"/>
          <w:szCs w:val="21"/>
          <w:highlight w:val="none"/>
        </w:rPr>
        <w:t>确认</w:t>
      </w:r>
      <w:r>
        <w:rPr>
          <w:rFonts w:hint="eastAsia" w:ascii="宋体" w:hAnsi="宋体"/>
          <w:szCs w:val="21"/>
          <w:highlight w:val="none"/>
          <w:lang w:eastAsia="zh-CN"/>
        </w:rPr>
        <w:t>，</w:t>
      </w:r>
      <w:r>
        <w:rPr>
          <w:rFonts w:hint="eastAsia" w:ascii="宋体" w:hAnsi="宋体"/>
          <w:szCs w:val="21"/>
          <w:highlight w:val="none"/>
        </w:rPr>
        <w:t>采购代理机构</w:t>
      </w:r>
      <w:r>
        <w:rPr>
          <w:rFonts w:hint="eastAsia" w:ascii="宋体" w:hAnsi="宋体"/>
          <w:szCs w:val="21"/>
          <w:highlight w:val="none"/>
          <w:lang w:val="en-US" w:eastAsia="zh-CN"/>
        </w:rPr>
        <w:t>对谈判的实质性内容（包含</w:t>
      </w:r>
      <w:r>
        <w:rPr>
          <w:rFonts w:hint="eastAsia" w:ascii="宋体" w:hAnsi="宋体"/>
          <w:szCs w:val="21"/>
          <w:highlight w:val="none"/>
        </w:rPr>
        <w:t>供应商的技术资料、</w:t>
      </w:r>
      <w:r>
        <w:rPr>
          <w:rFonts w:hint="eastAsia" w:ascii="宋体" w:hAnsi="宋体"/>
          <w:szCs w:val="21"/>
          <w:highlight w:val="none"/>
          <w:lang w:val="en-US" w:eastAsia="zh-CN"/>
        </w:rPr>
        <w:t>优惠条件、最终</w:t>
      </w:r>
      <w:r>
        <w:rPr>
          <w:rFonts w:hint="eastAsia" w:ascii="宋体" w:hAnsi="宋体"/>
          <w:szCs w:val="21"/>
          <w:highlight w:val="none"/>
        </w:rPr>
        <w:t>价格</w:t>
      </w:r>
      <w:r>
        <w:rPr>
          <w:rFonts w:hint="eastAsia" w:ascii="宋体" w:hAnsi="宋体"/>
          <w:szCs w:val="21"/>
          <w:highlight w:val="none"/>
          <w:lang w:val="en-US" w:eastAsia="zh-CN"/>
        </w:rPr>
        <w:t>等）不得泄露。</w:t>
      </w:r>
    </w:p>
    <w:p>
      <w:pPr>
        <w:spacing w:line="360" w:lineRule="exact"/>
        <w:ind w:firstLine="420" w:firstLineChars="200"/>
        <w:rPr>
          <w:rFonts w:ascii="宋体" w:hAnsi="宋体"/>
          <w:szCs w:val="21"/>
          <w:highlight w:val="none"/>
        </w:rPr>
      </w:pPr>
      <w:r>
        <w:rPr>
          <w:rFonts w:hint="eastAsia" w:ascii="宋体" w:hAnsi="宋体"/>
          <w:szCs w:val="21"/>
          <w:highlight w:val="none"/>
        </w:rPr>
        <w:t>21.6</w:t>
      </w:r>
      <w:r>
        <w:rPr>
          <w:rFonts w:ascii="宋体" w:hAnsi="宋体"/>
          <w:szCs w:val="21"/>
          <w:highlight w:val="none"/>
        </w:rPr>
        <w:t>在谈判过程中，谈判小组可以根据谈判文件和谈判情况实质性变动</w:t>
      </w:r>
      <w:r>
        <w:rPr>
          <w:rFonts w:hint="eastAsia" w:ascii="宋体" w:hAnsi="宋体"/>
          <w:szCs w:val="21"/>
          <w:highlight w:val="none"/>
        </w:rPr>
        <w:t>项目</w:t>
      </w:r>
      <w:r>
        <w:rPr>
          <w:rFonts w:ascii="宋体" w:hAnsi="宋体"/>
          <w:szCs w:val="21"/>
          <w:highlight w:val="none"/>
        </w:rPr>
        <w:t>需求中的技术、服务要求以及合同草案条款，但不得变动谈判文件中的其他内容。实质性变动的内容，须经采购人代表确认。</w:t>
      </w:r>
    </w:p>
    <w:p>
      <w:pPr>
        <w:spacing w:line="360" w:lineRule="exact"/>
        <w:ind w:firstLine="420" w:firstLineChars="200"/>
        <w:rPr>
          <w:rFonts w:ascii="宋体" w:hAnsi="宋体"/>
          <w:szCs w:val="21"/>
          <w:highlight w:val="none"/>
        </w:rPr>
      </w:pPr>
      <w:r>
        <w:rPr>
          <w:rFonts w:ascii="宋体" w:hAnsi="宋体"/>
          <w:szCs w:val="21"/>
          <w:highlight w:val="none"/>
        </w:rPr>
        <w:t>对谈判文件作出的实质性变动是谈判文件的有效组成部分，谈判小组应当及时以书面形式同时通知所有参加谈判的</w:t>
      </w:r>
      <w:r>
        <w:rPr>
          <w:rFonts w:hint="eastAsia" w:ascii="宋体" w:hAnsi="宋体"/>
          <w:szCs w:val="21"/>
          <w:highlight w:val="none"/>
        </w:rPr>
        <w:t>供应商</w:t>
      </w:r>
      <w:r>
        <w:rPr>
          <w:rFonts w:ascii="宋体" w:hAnsi="宋体"/>
          <w:szCs w:val="21"/>
          <w:highlight w:val="none"/>
        </w:rPr>
        <w:t>。</w:t>
      </w:r>
    </w:p>
    <w:p>
      <w:pPr>
        <w:widowControl/>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21.7</w:t>
      </w:r>
      <w:r>
        <w:rPr>
          <w:rFonts w:ascii="宋体" w:hAnsi="宋体"/>
          <w:kern w:val="0"/>
          <w:szCs w:val="21"/>
          <w:highlight w:val="none"/>
        </w:rPr>
        <w:t>在采购过程中符合竞争要求的供应商或者报价未超过采购预算的供应商不足3家的</w:t>
      </w:r>
      <w:r>
        <w:rPr>
          <w:rFonts w:hint="eastAsia" w:ascii="宋体" w:hAnsi="宋体"/>
          <w:kern w:val="0"/>
          <w:szCs w:val="21"/>
          <w:highlight w:val="none"/>
        </w:rPr>
        <w:t>，采购人或者采购代理机构应当终止竞争性谈判采购活动。</w:t>
      </w:r>
    </w:p>
    <w:p>
      <w:pPr>
        <w:widowControl/>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21.8最后报价</w:t>
      </w:r>
    </w:p>
    <w:p>
      <w:pPr>
        <w:spacing w:line="360" w:lineRule="exact"/>
        <w:ind w:firstLine="420" w:firstLineChars="200"/>
        <w:rPr>
          <w:rFonts w:ascii="宋体" w:hAnsi="宋体"/>
          <w:kern w:val="0"/>
          <w:szCs w:val="21"/>
          <w:highlight w:val="none"/>
        </w:rPr>
      </w:pPr>
      <w:r>
        <w:rPr>
          <w:rFonts w:hint="eastAsia" w:ascii="宋体" w:hAnsi="宋体"/>
          <w:kern w:val="0"/>
          <w:szCs w:val="21"/>
          <w:highlight w:val="none"/>
        </w:rPr>
        <w:t>21.8.1</w:t>
      </w:r>
      <w:r>
        <w:rPr>
          <w:rFonts w:ascii="宋体" w:hAnsi="宋体"/>
          <w:kern w:val="0"/>
          <w:szCs w:val="21"/>
          <w:highlight w:val="none"/>
        </w:rPr>
        <w:t>谈判文件能够详细列明采购标的的技术、服务要求的，谈判结束后，谈判小组应当要求所有继续参加谈判的供应商在规定时间内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提交最后报价，提交最后报价的供应商不得少于3家。</w:t>
      </w:r>
    </w:p>
    <w:p>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21.8.2</w:t>
      </w:r>
      <w:r>
        <w:rPr>
          <w:rFonts w:ascii="宋体" w:hAnsi="宋体"/>
          <w:kern w:val="0"/>
          <w:szCs w:val="21"/>
          <w:highlight w:val="none"/>
        </w:rPr>
        <w:t>谈判文件不能详细列明采购标的的技术、服务要求</w:t>
      </w:r>
      <w:r>
        <w:rPr>
          <w:rFonts w:hint="eastAsia" w:ascii="宋体" w:hAnsi="宋体"/>
          <w:kern w:val="0"/>
          <w:szCs w:val="21"/>
          <w:highlight w:val="none"/>
        </w:rPr>
        <w:t>的</w:t>
      </w:r>
      <w:r>
        <w:rPr>
          <w:rFonts w:ascii="宋体" w:hAnsi="宋体"/>
          <w:kern w:val="0"/>
          <w:szCs w:val="21"/>
          <w:highlight w:val="none"/>
        </w:rPr>
        <w:t>，需</w:t>
      </w:r>
      <w:r>
        <w:rPr>
          <w:rFonts w:hint="eastAsia" w:ascii="宋体" w:hAnsi="宋体"/>
          <w:kern w:val="0"/>
          <w:szCs w:val="21"/>
          <w:highlight w:val="none"/>
        </w:rPr>
        <w:t>由</w:t>
      </w:r>
      <w:r>
        <w:rPr>
          <w:rFonts w:ascii="宋体" w:hAnsi="宋体"/>
          <w:kern w:val="0"/>
          <w:szCs w:val="21"/>
          <w:highlight w:val="none"/>
        </w:rPr>
        <w:t>谈判供应商提供最终设计方案或解决方案的，谈判结束后，谈判小组应当按照少数服从多数的原则投票推荐3家以上</w:t>
      </w:r>
      <w:r>
        <w:rPr>
          <w:rFonts w:hint="eastAsia" w:ascii="宋体" w:hAnsi="宋体"/>
          <w:kern w:val="0"/>
          <w:szCs w:val="21"/>
          <w:highlight w:val="none"/>
        </w:rPr>
        <w:t>（含3家）</w:t>
      </w:r>
      <w:r>
        <w:rPr>
          <w:rFonts w:ascii="宋体" w:hAnsi="宋体"/>
          <w:kern w:val="0"/>
          <w:szCs w:val="21"/>
          <w:highlight w:val="none"/>
        </w:rPr>
        <w:t>供应商的设计方案或者解决方案，并要求其在规定时间内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w:t>
      </w:r>
      <w:r>
        <w:rPr>
          <w:rFonts w:hint="eastAsia" w:ascii="宋体" w:hAnsi="宋体"/>
          <w:kern w:val="0"/>
          <w:szCs w:val="21"/>
          <w:highlight w:val="none"/>
        </w:rPr>
        <w:t>。</w:t>
      </w:r>
    </w:p>
    <w:p>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21.8.3</w:t>
      </w:r>
      <w:r>
        <w:rPr>
          <w:rFonts w:ascii="宋体" w:hAnsi="宋体"/>
          <w:kern w:val="0"/>
          <w:szCs w:val="21"/>
          <w:highlight w:val="none"/>
        </w:rPr>
        <w:t>最后报价是供应商</w:t>
      </w:r>
      <w:r>
        <w:rPr>
          <w:rFonts w:hint="eastAsia" w:ascii="宋体" w:hAnsi="宋体"/>
          <w:kern w:val="0"/>
          <w:szCs w:val="21"/>
          <w:highlight w:val="none"/>
        </w:rPr>
        <w:t>响应文件</w:t>
      </w:r>
      <w:r>
        <w:rPr>
          <w:rFonts w:ascii="宋体" w:hAnsi="宋体"/>
          <w:kern w:val="0"/>
          <w:szCs w:val="21"/>
          <w:highlight w:val="none"/>
        </w:rPr>
        <w:t>的有效组成部分。</w:t>
      </w:r>
    </w:p>
    <w:p>
      <w:pPr>
        <w:tabs>
          <w:tab w:val="left" w:pos="1305"/>
        </w:tabs>
        <w:spacing w:line="360" w:lineRule="exact"/>
        <w:ind w:firstLine="420" w:firstLineChars="200"/>
        <w:rPr>
          <w:rFonts w:ascii="宋体" w:hAnsi="宋体"/>
          <w:szCs w:val="21"/>
          <w:highlight w:val="none"/>
        </w:rPr>
      </w:pPr>
      <w:r>
        <w:rPr>
          <w:rFonts w:hint="eastAsia" w:ascii="宋体" w:hAnsi="宋体"/>
          <w:szCs w:val="21"/>
          <w:highlight w:val="none"/>
        </w:rPr>
        <w:t>21.8.4最后报价中谈判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pPr>
        <w:tabs>
          <w:tab w:val="left" w:pos="1305"/>
        </w:tabs>
        <w:spacing w:line="360" w:lineRule="exact"/>
        <w:ind w:firstLine="420" w:firstLineChars="200"/>
        <w:rPr>
          <w:rFonts w:hint="eastAsia" w:ascii="宋体" w:hAnsi="宋体"/>
          <w:szCs w:val="21"/>
          <w:highlight w:val="none"/>
        </w:rPr>
      </w:pPr>
      <w:r>
        <w:rPr>
          <w:rFonts w:hint="eastAsia" w:ascii="宋体" w:hAnsi="宋体"/>
          <w:szCs w:val="21"/>
          <w:highlight w:val="none"/>
        </w:rPr>
        <w:t>按上述勘误修正原则及方法调整或修正响应文件的谈判报价，供应商需签字确认。</w:t>
      </w:r>
    </w:p>
    <w:p>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21.9</w:t>
      </w:r>
      <w:r>
        <w:rPr>
          <w:rFonts w:ascii="宋体" w:hAnsi="宋体"/>
          <w:kern w:val="0"/>
          <w:szCs w:val="21"/>
          <w:highlight w:val="none"/>
        </w:rPr>
        <w:t>已提交响应文件的供应商，在</w:t>
      </w:r>
      <w:r>
        <w:rPr>
          <w:rFonts w:hint="eastAsia" w:ascii="宋体" w:hAnsi="宋体"/>
          <w:kern w:val="0"/>
          <w:szCs w:val="21"/>
          <w:highlight w:val="none"/>
          <w:lang w:val="en-US" w:eastAsia="zh-CN"/>
        </w:rPr>
        <w:t>线上</w:t>
      </w:r>
      <w:r>
        <w:rPr>
          <w:rFonts w:ascii="宋体" w:hAnsi="宋体"/>
          <w:kern w:val="0"/>
          <w:szCs w:val="21"/>
          <w:highlight w:val="none"/>
        </w:rPr>
        <w:t>提交最后报价之前，可以根据谈判情况</w:t>
      </w:r>
      <w:r>
        <w:rPr>
          <w:rFonts w:hint="eastAsia" w:ascii="宋体" w:hAnsi="宋体"/>
          <w:kern w:val="0"/>
          <w:szCs w:val="21"/>
          <w:highlight w:val="none"/>
        </w:rPr>
        <w:t>书面</w:t>
      </w:r>
      <w:r>
        <w:rPr>
          <w:rFonts w:ascii="宋体" w:hAnsi="宋体"/>
          <w:kern w:val="0"/>
          <w:szCs w:val="21"/>
          <w:highlight w:val="none"/>
        </w:rPr>
        <w:t>退出谈判</w:t>
      </w:r>
      <w:r>
        <w:rPr>
          <w:rFonts w:hint="eastAsia" w:ascii="宋体" w:hAnsi="宋体"/>
          <w:kern w:val="0"/>
          <w:szCs w:val="21"/>
          <w:highlight w:val="none"/>
        </w:rPr>
        <w:t>。</w:t>
      </w:r>
    </w:p>
    <w:p>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未</w:t>
      </w:r>
      <w:r>
        <w:rPr>
          <w:rFonts w:hint="eastAsia" w:ascii="宋体" w:hAnsi="宋体"/>
          <w:kern w:val="0"/>
          <w:szCs w:val="21"/>
          <w:highlight w:val="none"/>
          <w:lang w:val="en-US" w:eastAsia="zh-CN"/>
        </w:rPr>
        <w:t>线上</w:t>
      </w:r>
      <w:r>
        <w:rPr>
          <w:rFonts w:hint="eastAsia" w:ascii="宋体" w:hAnsi="宋体"/>
          <w:kern w:val="0"/>
          <w:szCs w:val="21"/>
          <w:highlight w:val="none"/>
        </w:rPr>
        <w:t>退出谈判的</w:t>
      </w:r>
      <w:r>
        <w:rPr>
          <w:rFonts w:ascii="宋体" w:hAnsi="宋体"/>
          <w:kern w:val="0"/>
          <w:szCs w:val="21"/>
          <w:highlight w:val="none"/>
        </w:rPr>
        <w:t>供应商在规定时间内提交最后报价</w:t>
      </w:r>
      <w:r>
        <w:rPr>
          <w:rFonts w:hint="eastAsia" w:ascii="宋体" w:hAnsi="宋体"/>
          <w:kern w:val="0"/>
          <w:szCs w:val="21"/>
          <w:highlight w:val="none"/>
        </w:rPr>
        <w:t>，其最后报价超出采购预算导致已通过评审的响应文件无效的，按供应商在提交响应文件截止时间后撤回响应文件处理。</w:t>
      </w:r>
    </w:p>
    <w:p>
      <w:pPr>
        <w:widowControl/>
        <w:tabs>
          <w:tab w:val="left" w:pos="540"/>
        </w:tabs>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21.10</w:t>
      </w:r>
      <w:r>
        <w:rPr>
          <w:rFonts w:ascii="宋体" w:hAnsi="宋体"/>
          <w:kern w:val="0"/>
          <w:szCs w:val="21"/>
          <w:highlight w:val="none"/>
        </w:rPr>
        <w:t>评审报告</w:t>
      </w:r>
    </w:p>
    <w:p>
      <w:pPr>
        <w:spacing w:line="360" w:lineRule="exact"/>
        <w:ind w:firstLine="420" w:firstLineChars="200"/>
        <w:rPr>
          <w:rFonts w:hint="eastAsia" w:ascii="宋体" w:hAnsi="宋体"/>
          <w:kern w:val="0"/>
          <w:sz w:val="24"/>
          <w:highlight w:val="none"/>
        </w:rPr>
      </w:pPr>
      <w:r>
        <w:rPr>
          <w:rFonts w:ascii="宋体" w:hAnsi="宋体"/>
          <w:kern w:val="0"/>
          <w:szCs w:val="21"/>
          <w:highlight w:val="none"/>
        </w:rPr>
        <w:t>谈判小组应当从质量和服务均能满足</w:t>
      </w:r>
      <w:r>
        <w:rPr>
          <w:rFonts w:hint="eastAsia" w:ascii="宋体" w:hAnsi="宋体"/>
          <w:kern w:val="0"/>
          <w:szCs w:val="21"/>
          <w:highlight w:val="none"/>
        </w:rPr>
        <w:t>谈判</w:t>
      </w:r>
      <w:r>
        <w:rPr>
          <w:rFonts w:ascii="宋体" w:hAnsi="宋体"/>
          <w:kern w:val="0"/>
          <w:szCs w:val="21"/>
          <w:highlight w:val="none"/>
        </w:rPr>
        <w:t>文件</w:t>
      </w:r>
      <w:r>
        <w:rPr>
          <w:rFonts w:hint="eastAsia" w:ascii="宋体" w:hAnsi="宋体"/>
          <w:kern w:val="0"/>
          <w:szCs w:val="21"/>
          <w:highlight w:val="none"/>
        </w:rPr>
        <w:t>全部</w:t>
      </w:r>
      <w:r>
        <w:rPr>
          <w:rFonts w:ascii="宋体" w:hAnsi="宋体"/>
          <w:kern w:val="0"/>
          <w:szCs w:val="21"/>
          <w:highlight w:val="none"/>
        </w:rPr>
        <w:t>实质性响应要求的供应商中，按</w:t>
      </w:r>
      <w:r>
        <w:rPr>
          <w:rFonts w:hint="eastAsia" w:ascii="宋体" w:hAnsi="宋体"/>
          <w:kern w:val="0"/>
          <w:szCs w:val="21"/>
          <w:highlight w:val="none"/>
        </w:rPr>
        <w:t>照评审报价（最后报价及享受政府采购政策的优惠扣除）由低到高的顺序</w:t>
      </w:r>
      <w:r>
        <w:rPr>
          <w:rFonts w:ascii="宋体" w:hAnsi="宋体"/>
          <w:kern w:val="0"/>
          <w:szCs w:val="21"/>
          <w:highlight w:val="none"/>
        </w:rPr>
        <w:t>提出3名以上</w:t>
      </w:r>
      <w:r>
        <w:rPr>
          <w:rFonts w:hint="eastAsia" w:ascii="宋体" w:hAnsi="宋体"/>
          <w:kern w:val="0"/>
          <w:szCs w:val="21"/>
          <w:highlight w:val="none"/>
        </w:rPr>
        <w:t>（含3名）</w:t>
      </w:r>
      <w:r>
        <w:rPr>
          <w:rFonts w:ascii="宋体" w:hAnsi="宋体"/>
          <w:kern w:val="0"/>
          <w:szCs w:val="21"/>
          <w:highlight w:val="none"/>
        </w:rPr>
        <w:t>成交候选人，并编写评审报告。</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21.11在评审过程中出现法律法规和谈判文件均没有明确规定的情形时，由谈判小组现场协商解决，协商不一致的，由全体谈判小组投票表决，以得票率二分之一以上专家的意见为准。</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21.12采购代理机构发现谈判小组有明显的违规倾向或歧视现象，或不按评审办法进行，或其他不正常行为的，应当及时制止。如制止无效，应及时向</w:t>
      </w:r>
      <w:r>
        <w:rPr>
          <w:rFonts w:hint="eastAsia" w:ascii="宋体" w:hAnsi="宋体" w:cs="宋体"/>
          <w:szCs w:val="21"/>
          <w:highlight w:val="none"/>
          <w:lang w:eastAsia="zh-CN"/>
        </w:rPr>
        <w:t>长春市双阳区</w:t>
      </w:r>
      <w:r>
        <w:rPr>
          <w:rFonts w:hint="eastAsia" w:ascii="宋体" w:hAnsi="宋体" w:cs="宋体"/>
          <w:szCs w:val="21"/>
          <w:highlight w:val="none"/>
        </w:rPr>
        <w:t>政府采购管理</w:t>
      </w:r>
      <w:r>
        <w:rPr>
          <w:rFonts w:hint="eastAsia" w:ascii="宋体" w:hAnsi="宋体" w:cs="宋体"/>
          <w:szCs w:val="21"/>
          <w:highlight w:val="none"/>
          <w:lang w:eastAsia="zh-CN"/>
        </w:rPr>
        <w:t>工作</w:t>
      </w:r>
      <w:r>
        <w:rPr>
          <w:rFonts w:hint="eastAsia" w:ascii="宋体" w:hAnsi="宋体" w:cs="宋体"/>
          <w:szCs w:val="21"/>
          <w:highlight w:val="none"/>
        </w:rPr>
        <w:t>办公室</w:t>
      </w:r>
      <w:r>
        <w:rPr>
          <w:rFonts w:hint="eastAsia" w:ascii="宋体" w:hAnsi="宋体"/>
          <w:szCs w:val="21"/>
          <w:highlight w:val="none"/>
        </w:rPr>
        <w:t>报告。</w:t>
      </w:r>
    </w:p>
    <w:p>
      <w:pPr>
        <w:pStyle w:val="18"/>
        <w:spacing w:line="360" w:lineRule="exact"/>
        <w:ind w:firstLine="422" w:firstLineChars="200"/>
        <w:rPr>
          <w:rFonts w:hint="eastAsia" w:hAnsi="宋体"/>
          <w:b/>
          <w:bCs/>
          <w:szCs w:val="21"/>
          <w:highlight w:val="none"/>
        </w:rPr>
      </w:pPr>
      <w:r>
        <w:rPr>
          <w:rFonts w:hint="eastAsia" w:hAnsi="宋体"/>
          <w:b/>
          <w:bCs/>
          <w:szCs w:val="21"/>
          <w:highlight w:val="none"/>
        </w:rPr>
        <w:t>22. 确定成交供应商</w:t>
      </w:r>
    </w:p>
    <w:p>
      <w:pPr>
        <w:pStyle w:val="18"/>
        <w:tabs>
          <w:tab w:val="left" w:pos="4214"/>
        </w:tabs>
        <w:spacing w:line="360" w:lineRule="exact"/>
        <w:ind w:firstLine="420" w:firstLineChars="200"/>
        <w:rPr>
          <w:rFonts w:hint="eastAsia" w:hAnsi="宋体"/>
          <w:szCs w:val="21"/>
          <w:highlight w:val="none"/>
        </w:rPr>
      </w:pPr>
      <w:r>
        <w:rPr>
          <w:rFonts w:hint="eastAsia" w:hAnsi="宋体"/>
          <w:szCs w:val="21"/>
          <w:highlight w:val="none"/>
        </w:rPr>
        <w:t>22.1采购单位应当确定谈判小组推荐排名第一的成交候选人为成交供应商。</w:t>
      </w:r>
    </w:p>
    <w:p>
      <w:pPr>
        <w:pStyle w:val="18"/>
        <w:spacing w:line="360" w:lineRule="exact"/>
        <w:ind w:firstLine="447" w:firstLineChars="213"/>
        <w:rPr>
          <w:rFonts w:hint="eastAsia" w:hAnsi="宋体"/>
          <w:szCs w:val="21"/>
          <w:highlight w:val="none"/>
        </w:rPr>
      </w:pPr>
      <w:r>
        <w:rPr>
          <w:rFonts w:hint="eastAsia" w:hAnsi="宋体"/>
          <w:szCs w:val="21"/>
          <w:highlight w:val="none"/>
        </w:rPr>
        <w:t>22.2排名第一的成交候选人放弃成交、因不可抗力提出不能履行合同，</w:t>
      </w:r>
      <w:r>
        <w:rPr>
          <w:rFonts w:hint="eastAsia" w:hAnsi="宋体" w:cs="宋体"/>
          <w:kern w:val="0"/>
          <w:szCs w:val="21"/>
          <w:highlight w:val="none"/>
        </w:rPr>
        <w:t>或信用信息记录不符合相关规定的，</w:t>
      </w:r>
      <w:r>
        <w:rPr>
          <w:rFonts w:hint="eastAsia" w:hAnsi="宋体"/>
          <w:szCs w:val="21"/>
          <w:highlight w:val="none"/>
        </w:rPr>
        <w:t>或者谈判文件规定应当提交履约保证金而在规定的期限内未能提交的，</w:t>
      </w:r>
      <w:r>
        <w:rPr>
          <w:rFonts w:hint="eastAsia" w:hAnsi="宋体"/>
          <w:szCs w:val="21"/>
          <w:highlight w:val="none"/>
          <w:lang w:eastAsia="zh-CN"/>
        </w:rPr>
        <w:t>或无任何原因拒不履行程序的，</w:t>
      </w:r>
      <w:r>
        <w:rPr>
          <w:rFonts w:hint="eastAsia" w:hAnsi="宋体"/>
          <w:szCs w:val="21"/>
          <w:highlight w:val="none"/>
        </w:rPr>
        <w:t>采购单位可以确定排名第二的成交候选人为成交供应商</w:t>
      </w:r>
      <w:r>
        <w:rPr>
          <w:rFonts w:hint="eastAsia" w:hAnsi="宋体"/>
          <w:szCs w:val="21"/>
          <w:highlight w:val="none"/>
          <w:lang w:val="en-US" w:eastAsia="zh-CN"/>
        </w:rPr>
        <w:t>或者重新招标</w:t>
      </w:r>
      <w:r>
        <w:rPr>
          <w:rFonts w:hint="eastAsia" w:hAnsi="宋体"/>
          <w:szCs w:val="21"/>
          <w:highlight w:val="none"/>
        </w:rPr>
        <w:t>。</w:t>
      </w:r>
    </w:p>
    <w:p>
      <w:pPr>
        <w:pStyle w:val="18"/>
        <w:spacing w:line="360" w:lineRule="exact"/>
        <w:ind w:firstLine="420" w:firstLineChars="200"/>
        <w:rPr>
          <w:rFonts w:hint="eastAsia" w:hAnsi="宋体"/>
          <w:szCs w:val="21"/>
          <w:highlight w:val="none"/>
        </w:rPr>
      </w:pPr>
      <w:r>
        <w:rPr>
          <w:rFonts w:hint="eastAsia" w:hAnsi="宋体"/>
          <w:szCs w:val="21"/>
          <w:highlight w:val="none"/>
        </w:rPr>
        <w:t>22.3排名第二的成交候选人因前款规定的同样原因不能签订合同的，采购单位可以确定排名第三的成交候选人为成交供应商。</w:t>
      </w:r>
    </w:p>
    <w:p>
      <w:pPr>
        <w:pStyle w:val="18"/>
        <w:spacing w:line="360" w:lineRule="exact"/>
        <w:ind w:firstLine="420" w:firstLineChars="200"/>
        <w:rPr>
          <w:rFonts w:hint="eastAsia" w:hAnsi="宋体"/>
          <w:szCs w:val="21"/>
          <w:highlight w:val="none"/>
        </w:rPr>
      </w:pPr>
      <w:r>
        <w:rPr>
          <w:rFonts w:hint="eastAsia" w:hAnsi="宋体"/>
          <w:szCs w:val="21"/>
          <w:highlight w:val="none"/>
        </w:rPr>
        <w:t>22.4成交人信用信息查询：</w:t>
      </w:r>
    </w:p>
    <w:p>
      <w:pPr>
        <w:pStyle w:val="18"/>
        <w:spacing w:line="360" w:lineRule="exact"/>
        <w:ind w:firstLine="420" w:firstLineChars="200"/>
        <w:rPr>
          <w:rFonts w:hint="eastAsia" w:hAnsi="宋体"/>
          <w:szCs w:val="21"/>
          <w:highlight w:val="none"/>
        </w:rPr>
      </w:pPr>
      <w:r>
        <w:rPr>
          <w:rFonts w:hint="eastAsia" w:hAnsi="宋体"/>
          <w:szCs w:val="21"/>
          <w:highlight w:val="none"/>
        </w:rPr>
        <w:t>根据《关于做好政府采购有关信用主体标识码登记及在政府采购活动中查询使用信用记录有关问题的通知》财</w:t>
      </w:r>
      <w:r>
        <w:rPr>
          <w:rFonts w:hint="eastAsia" w:hAnsi="宋体"/>
          <w:szCs w:val="21"/>
          <w:highlight w:val="none"/>
          <w:lang w:val="en-US" w:eastAsia="zh-CN"/>
        </w:rPr>
        <w:t>库</w:t>
      </w:r>
      <w:r>
        <w:rPr>
          <w:rFonts w:hint="eastAsia" w:hAnsi="宋体"/>
          <w:szCs w:val="21"/>
          <w:highlight w:val="none"/>
        </w:rPr>
        <w:t>〔2016〕</w:t>
      </w:r>
      <w:r>
        <w:rPr>
          <w:rFonts w:hint="eastAsia" w:hAnsi="宋体"/>
          <w:szCs w:val="21"/>
          <w:highlight w:val="none"/>
          <w:lang w:val="en-US" w:eastAsia="zh-CN"/>
        </w:rPr>
        <w:t>125</w:t>
      </w:r>
      <w:r>
        <w:rPr>
          <w:rFonts w:hint="eastAsia" w:hAnsi="宋体"/>
          <w:szCs w:val="21"/>
          <w:highlight w:val="none"/>
        </w:rPr>
        <w:t>号的通知，采购代理机构对成交人的成交资格进行信用查询：</w:t>
      </w:r>
    </w:p>
    <w:p>
      <w:pPr>
        <w:pStyle w:val="18"/>
        <w:spacing w:line="360" w:lineRule="exact"/>
        <w:ind w:firstLine="420" w:firstLineChars="200"/>
        <w:rPr>
          <w:rFonts w:hint="eastAsia" w:hAnsi="宋体"/>
          <w:szCs w:val="21"/>
          <w:highlight w:val="none"/>
        </w:rPr>
      </w:pPr>
      <w:r>
        <w:rPr>
          <w:rFonts w:hint="eastAsia" w:hAnsi="宋体"/>
          <w:szCs w:val="21"/>
          <w:highlight w:val="none"/>
        </w:rPr>
        <w:t>①查询渠道：“信用中国”网站(www.creditchina.gov.cn)、中国政府采购网(www.ccgp.gov.cn)等；</w:t>
      </w:r>
    </w:p>
    <w:p>
      <w:pPr>
        <w:pStyle w:val="18"/>
        <w:spacing w:line="360" w:lineRule="exact"/>
        <w:ind w:firstLine="420" w:firstLineChars="200"/>
        <w:rPr>
          <w:rFonts w:hint="eastAsia" w:hAnsi="宋体"/>
          <w:szCs w:val="21"/>
          <w:highlight w:val="none"/>
        </w:rPr>
      </w:pPr>
      <w:r>
        <w:rPr>
          <w:rFonts w:hint="eastAsia" w:hAnsi="宋体"/>
          <w:szCs w:val="21"/>
          <w:highlight w:val="none"/>
        </w:rPr>
        <w:t>②查询截止时点：成交通知书发出前；</w:t>
      </w:r>
    </w:p>
    <w:p>
      <w:pPr>
        <w:pStyle w:val="18"/>
        <w:spacing w:line="360" w:lineRule="exact"/>
        <w:ind w:firstLine="420" w:firstLineChars="200"/>
        <w:rPr>
          <w:rFonts w:hint="eastAsia" w:hAnsi="宋体"/>
          <w:szCs w:val="21"/>
          <w:highlight w:val="none"/>
        </w:rPr>
      </w:pPr>
      <w:r>
        <w:rPr>
          <w:rFonts w:hint="eastAsia" w:hAnsi="宋体"/>
          <w:szCs w:val="21"/>
          <w:highlight w:val="none"/>
        </w:rPr>
        <w:t>③信用信息查询记录和证据留存方式：在查询网站中直接打印查询记录，打印材料作为采购活动资料保存。</w:t>
      </w:r>
    </w:p>
    <w:p>
      <w:pPr>
        <w:pStyle w:val="18"/>
        <w:spacing w:line="360" w:lineRule="exact"/>
        <w:ind w:firstLine="420" w:firstLineChars="200"/>
        <w:rPr>
          <w:rFonts w:hint="eastAsia" w:hAnsi="宋体"/>
          <w:szCs w:val="21"/>
          <w:highlight w:val="none"/>
        </w:rPr>
      </w:pPr>
      <w:r>
        <w:rPr>
          <w:rFonts w:hint="eastAsia" w:hAnsi="宋体"/>
          <w:szCs w:val="21"/>
          <w:highlight w:val="none"/>
        </w:rPr>
        <w:t>④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pPr>
        <w:pStyle w:val="18"/>
        <w:spacing w:line="360" w:lineRule="exact"/>
        <w:ind w:firstLine="420" w:firstLineChars="200"/>
        <w:rPr>
          <w:rFonts w:hint="eastAsia" w:hAnsi="宋体"/>
          <w:szCs w:val="21"/>
          <w:highlight w:val="none"/>
        </w:rPr>
      </w:pPr>
      <w:r>
        <w:rPr>
          <w:rFonts w:hint="eastAsia" w:hAnsi="宋体"/>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widowControl/>
        <w:shd w:val="clear" w:color="auto" w:fill="FFFFFF"/>
        <w:spacing w:line="360" w:lineRule="exact"/>
        <w:ind w:firstLine="480"/>
        <w:jc w:val="left"/>
        <w:rPr>
          <w:rFonts w:hint="eastAsia" w:ascii="宋体" w:hAnsi="宋体"/>
          <w:b/>
          <w:szCs w:val="21"/>
          <w:highlight w:val="none"/>
        </w:rPr>
      </w:pPr>
      <w:r>
        <w:rPr>
          <w:rFonts w:hint="eastAsia" w:ascii="宋体" w:hAnsi="宋体"/>
          <w:b/>
          <w:bCs/>
          <w:szCs w:val="21"/>
          <w:highlight w:val="none"/>
        </w:rPr>
        <w:t xml:space="preserve">23. </w:t>
      </w:r>
      <w:r>
        <w:rPr>
          <w:rFonts w:hint="eastAsia" w:ascii="宋体" w:hAnsi="宋体"/>
          <w:b/>
          <w:szCs w:val="21"/>
          <w:highlight w:val="none"/>
        </w:rPr>
        <w:t>属于下列情况之一者，响应文件无效：</w:t>
      </w:r>
    </w:p>
    <w:p>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（1）未按谈判文件第11项、第16项规定完整编制、提交响应文件和未按规定要求签字、盖章的；</w:t>
      </w:r>
    </w:p>
    <w:p>
      <w:pPr>
        <w:snapToGrid w:val="0"/>
        <w:spacing w:line="360" w:lineRule="exact"/>
        <w:ind w:firstLine="420" w:firstLineChars="200"/>
        <w:outlineLvl w:val="4"/>
        <w:rPr>
          <w:rFonts w:hint="eastAsia" w:ascii="宋体" w:hAnsi="宋体"/>
          <w:szCs w:val="21"/>
          <w:highlight w:val="none"/>
        </w:rPr>
      </w:pPr>
      <w:r>
        <w:rPr>
          <w:rFonts w:hint="eastAsia" w:ascii="宋体" w:hAnsi="宋体"/>
          <w:szCs w:val="21"/>
          <w:highlight w:val="none"/>
        </w:rPr>
        <w:t>（2）不具备谈判文件规定的资格要求的</w:t>
      </w:r>
      <w:r>
        <w:rPr>
          <w:rFonts w:hint="eastAsia" w:ascii="宋体" w:hAnsi="宋体"/>
          <w:highlight w:val="none"/>
        </w:rPr>
        <w:t>；</w:t>
      </w:r>
    </w:p>
    <w:p>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（3）响应文件未按谈判文件的内容和要求编制，或提供虚假材料的；</w:t>
      </w:r>
    </w:p>
    <w:p>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（4）响应文件有效期、交货</w:t>
      </w:r>
      <w:r>
        <w:rPr>
          <w:rFonts w:hint="eastAsia" w:ascii="宋体" w:hAnsi="宋体"/>
          <w:szCs w:val="21"/>
          <w:highlight w:val="none"/>
          <w:lang w:eastAsia="zh-CN"/>
        </w:rPr>
        <w:t>（</w:t>
      </w:r>
      <w:r>
        <w:rPr>
          <w:rFonts w:hint="eastAsia" w:ascii="宋体" w:hAnsi="宋体"/>
          <w:szCs w:val="21"/>
          <w:highlight w:val="none"/>
          <w:lang w:val="en-US" w:eastAsia="zh-CN"/>
        </w:rPr>
        <w:t>服务</w:t>
      </w:r>
      <w:r>
        <w:rPr>
          <w:rFonts w:hint="eastAsia" w:ascii="宋体" w:hAnsi="宋体"/>
          <w:szCs w:val="21"/>
          <w:highlight w:val="none"/>
          <w:lang w:eastAsia="zh-CN"/>
        </w:rPr>
        <w:t>）</w:t>
      </w:r>
      <w:r>
        <w:rPr>
          <w:rFonts w:hint="eastAsia" w:ascii="宋体" w:hAnsi="宋体"/>
          <w:szCs w:val="21"/>
          <w:highlight w:val="none"/>
        </w:rPr>
        <w:t>时间、</w:t>
      </w:r>
      <w:r>
        <w:rPr>
          <w:rFonts w:hint="eastAsia" w:ascii="宋体" w:hAnsi="宋体"/>
          <w:szCs w:val="21"/>
          <w:highlight w:val="none"/>
          <w:lang w:val="en-US" w:eastAsia="zh-CN"/>
        </w:rPr>
        <w:t>质保</w:t>
      </w:r>
      <w:r>
        <w:rPr>
          <w:rFonts w:hint="eastAsia" w:ascii="宋体" w:hAnsi="宋体"/>
          <w:szCs w:val="21"/>
          <w:highlight w:val="none"/>
        </w:rPr>
        <w:t>期、售后服务不能满足谈判文件要求的；</w:t>
      </w:r>
    </w:p>
    <w:p>
      <w:pPr>
        <w:snapToGrid w:val="0"/>
        <w:spacing w:line="360" w:lineRule="exact"/>
        <w:ind w:firstLine="420" w:firstLineChars="200"/>
        <w:outlineLvl w:val="4"/>
        <w:rPr>
          <w:rFonts w:hint="default" w:ascii="宋体" w:hAnsi="宋体" w:eastAsia="宋体"/>
          <w:szCs w:val="21"/>
          <w:highlight w:val="none"/>
          <w:lang w:val="en-US" w:eastAsia="zh-CN"/>
        </w:rPr>
      </w:pPr>
      <w:r>
        <w:rPr>
          <w:rFonts w:hint="eastAsia" w:ascii="宋体" w:hAnsi="宋体"/>
          <w:szCs w:val="21"/>
          <w:highlight w:val="none"/>
        </w:rPr>
        <w:t>（5）</w:t>
      </w:r>
      <w:r>
        <w:rPr>
          <w:rFonts w:hint="eastAsia" w:ascii="宋体" w:hAnsi="宋体"/>
          <w:highlight w:val="none"/>
        </w:rPr>
        <w:t>供应商</w:t>
      </w:r>
      <w:r>
        <w:rPr>
          <w:rFonts w:hint="eastAsia" w:ascii="宋体" w:hAnsi="宋体"/>
          <w:szCs w:val="21"/>
          <w:highlight w:val="none"/>
        </w:rPr>
        <w:t>未就“</w:t>
      </w:r>
      <w:r>
        <w:rPr>
          <w:rFonts w:hint="eastAsia" w:ascii="宋体" w:hAnsi="宋体"/>
          <w:szCs w:val="21"/>
          <w:highlight w:val="none"/>
          <w:lang w:eastAsia="zh-CN"/>
        </w:rPr>
        <w:t>货物</w:t>
      </w:r>
      <w:r>
        <w:rPr>
          <w:rFonts w:hint="eastAsia" w:ascii="宋体" w:hAnsi="宋体"/>
          <w:szCs w:val="21"/>
          <w:highlight w:val="none"/>
        </w:rPr>
        <w:t>采购需求</w:t>
      </w:r>
      <w:r>
        <w:rPr>
          <w:rFonts w:hint="eastAsia" w:ascii="宋体" w:hAnsi="宋体"/>
          <w:szCs w:val="21"/>
          <w:highlight w:val="none"/>
          <w:lang w:val="en-US" w:eastAsia="zh-CN"/>
        </w:rPr>
        <w:t>表</w:t>
      </w:r>
      <w:r>
        <w:rPr>
          <w:rFonts w:hint="eastAsia" w:ascii="宋体" w:hAnsi="宋体"/>
          <w:szCs w:val="21"/>
          <w:highlight w:val="none"/>
        </w:rPr>
        <w:t>”中所竞所有货物</w:t>
      </w:r>
      <w:r>
        <w:rPr>
          <w:rFonts w:hint="eastAsia" w:ascii="宋体" w:hAnsi="宋体"/>
          <w:szCs w:val="21"/>
          <w:highlight w:val="none"/>
          <w:lang w:eastAsia="zh-CN"/>
        </w:rPr>
        <w:t>（</w:t>
      </w:r>
      <w:r>
        <w:rPr>
          <w:rFonts w:hint="eastAsia" w:ascii="宋体" w:hAnsi="宋体"/>
          <w:szCs w:val="21"/>
          <w:highlight w:val="none"/>
          <w:lang w:val="en-US" w:eastAsia="zh-CN"/>
        </w:rPr>
        <w:t>服务</w:t>
      </w:r>
      <w:r>
        <w:rPr>
          <w:rFonts w:hint="eastAsia" w:ascii="宋体" w:hAnsi="宋体"/>
          <w:szCs w:val="21"/>
          <w:highlight w:val="none"/>
          <w:lang w:eastAsia="zh-CN"/>
        </w:rPr>
        <w:t>）</w:t>
      </w:r>
      <w:r>
        <w:rPr>
          <w:rFonts w:hint="eastAsia" w:ascii="宋体" w:hAnsi="宋体"/>
          <w:szCs w:val="21"/>
          <w:highlight w:val="none"/>
        </w:rPr>
        <w:t>内容分别作完整唯一报价的</w:t>
      </w:r>
      <w:r>
        <w:rPr>
          <w:rFonts w:hint="eastAsia" w:ascii="宋体" w:hAnsi="宋体"/>
          <w:highlight w:val="none"/>
        </w:rPr>
        <w:t>，或报价超出采购预算总</w:t>
      </w:r>
      <w:r>
        <w:rPr>
          <w:rFonts w:hint="eastAsia" w:ascii="宋体" w:hAnsi="宋体"/>
          <w:highlight w:val="none"/>
          <w:lang w:eastAsia="zh-CN"/>
        </w:rPr>
        <w:t>价</w:t>
      </w:r>
      <w:r>
        <w:rPr>
          <w:rFonts w:hint="eastAsia" w:ascii="宋体" w:hAnsi="宋体"/>
          <w:highlight w:val="none"/>
        </w:rPr>
        <w:t>金额的；</w:t>
      </w:r>
      <w:r>
        <w:rPr>
          <w:rFonts w:hint="eastAsia" w:ascii="宋体" w:hAnsi="宋体"/>
          <w:highlight w:val="none"/>
          <w:lang w:val="en-US" w:eastAsia="zh-CN"/>
        </w:rPr>
        <w:t>或未按招要求提供相关资料的。</w:t>
      </w:r>
    </w:p>
    <w:p>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（6）</w:t>
      </w:r>
      <w:r>
        <w:rPr>
          <w:highlight w:val="none"/>
        </w:rPr>
        <w:t>未在谈判小组规定的时间内</w:t>
      </w:r>
      <w:r>
        <w:rPr>
          <w:rFonts w:hint="eastAsia"/>
          <w:highlight w:val="none"/>
        </w:rPr>
        <w:t>重新提交响应文件</w:t>
      </w:r>
      <w:r>
        <w:rPr>
          <w:highlight w:val="none"/>
        </w:rPr>
        <w:t>的</w:t>
      </w:r>
      <w:r>
        <w:rPr>
          <w:rFonts w:hint="eastAsia"/>
          <w:highlight w:val="none"/>
        </w:rPr>
        <w:t>；</w:t>
      </w:r>
    </w:p>
    <w:p>
      <w:pPr>
        <w:snapToGrid w:val="0"/>
        <w:spacing w:line="360" w:lineRule="exact"/>
        <w:ind w:firstLine="411" w:firstLineChars="196"/>
        <w:outlineLvl w:val="4"/>
        <w:rPr>
          <w:rFonts w:hint="eastAsia" w:ascii="宋体" w:hAnsi="宋体"/>
          <w:highlight w:val="none"/>
        </w:rPr>
      </w:pPr>
      <w:r>
        <w:rPr>
          <w:rFonts w:hint="eastAsia" w:ascii="宋体" w:hAnsi="宋体"/>
          <w:szCs w:val="21"/>
          <w:highlight w:val="none"/>
        </w:rPr>
        <w:t>（</w:t>
      </w:r>
      <w:r>
        <w:rPr>
          <w:rFonts w:hint="eastAsia" w:ascii="宋体" w:hAnsi="宋体"/>
          <w:highlight w:val="none"/>
        </w:rPr>
        <w:t>7）</w:t>
      </w:r>
      <w:r>
        <w:rPr>
          <w:rFonts w:hint="eastAsia" w:hAnsi="宋体"/>
          <w:szCs w:val="21"/>
          <w:highlight w:val="none"/>
        </w:rPr>
        <w:t>单位负责人为同一人或者存在直接控股、管理关系的不同供应商参加同一合同项下</w:t>
      </w:r>
      <w:r>
        <w:rPr>
          <w:rFonts w:hint="eastAsia"/>
          <w:szCs w:val="21"/>
          <w:highlight w:val="none"/>
        </w:rPr>
        <w:t>分标</w:t>
      </w:r>
      <w:r>
        <w:rPr>
          <w:rFonts w:hint="eastAsia" w:hAnsi="宋体"/>
          <w:szCs w:val="21"/>
          <w:highlight w:val="none"/>
        </w:rPr>
        <w:t>或未划分分标的同一</w:t>
      </w:r>
      <w:r>
        <w:rPr>
          <w:rFonts w:hint="eastAsia"/>
          <w:szCs w:val="21"/>
          <w:highlight w:val="none"/>
        </w:rPr>
        <w:t>合同项下</w:t>
      </w:r>
      <w:r>
        <w:rPr>
          <w:rFonts w:hint="eastAsia" w:hAnsi="宋体"/>
          <w:szCs w:val="21"/>
          <w:highlight w:val="none"/>
        </w:rPr>
        <w:t>的政府采购活动；</w:t>
      </w:r>
    </w:p>
    <w:p>
      <w:pPr>
        <w:pStyle w:val="18"/>
        <w:spacing w:line="360" w:lineRule="exact"/>
        <w:ind w:firstLine="420" w:firstLineChars="200"/>
        <w:rPr>
          <w:rFonts w:hint="eastAsia" w:hAnsi="宋体"/>
          <w:szCs w:val="24"/>
          <w:highlight w:val="none"/>
        </w:rPr>
      </w:pPr>
      <w:r>
        <w:rPr>
          <w:rFonts w:hint="eastAsia" w:hAnsi="宋体"/>
          <w:szCs w:val="24"/>
          <w:highlight w:val="none"/>
        </w:rPr>
        <w:t>（8）未满足谈判文件全部实质性要求的或者响应文件有采购人不能接受的附加条件的；</w:t>
      </w:r>
    </w:p>
    <w:p>
      <w:pPr>
        <w:pStyle w:val="18"/>
        <w:spacing w:line="360" w:lineRule="exact"/>
        <w:ind w:firstLine="420" w:firstLineChars="200"/>
        <w:rPr>
          <w:rFonts w:hint="eastAsia" w:hAnsi="宋体"/>
          <w:szCs w:val="24"/>
          <w:highlight w:val="none"/>
        </w:rPr>
      </w:pPr>
      <w:r>
        <w:rPr>
          <w:rFonts w:hint="eastAsia" w:hAnsi="宋体"/>
          <w:szCs w:val="24"/>
          <w:highlight w:val="none"/>
        </w:rPr>
        <w:t>（9）</w:t>
      </w:r>
      <w:r>
        <w:rPr>
          <w:rFonts w:hint="eastAsia" w:hAnsi="宋体"/>
          <w:szCs w:val="21"/>
          <w:highlight w:val="none"/>
        </w:rPr>
        <w:t>不符合法律、法规和谈判文件规定的其他实质性要求和条件的。</w:t>
      </w:r>
    </w:p>
    <w:p>
      <w:pPr>
        <w:snapToGrid w:val="0"/>
        <w:spacing w:line="360" w:lineRule="exact"/>
        <w:ind w:firstLine="422" w:firstLineChars="200"/>
        <w:rPr>
          <w:rFonts w:hint="eastAsia" w:ascii="宋体" w:hAnsi="宋体"/>
          <w:b/>
          <w:szCs w:val="21"/>
          <w:highlight w:val="none"/>
        </w:rPr>
      </w:pPr>
      <w:r>
        <w:rPr>
          <w:rFonts w:hint="eastAsia" w:ascii="宋体" w:hAnsi="宋体"/>
          <w:b/>
          <w:szCs w:val="21"/>
          <w:highlight w:val="none"/>
        </w:rPr>
        <w:t>24.有下列情形之一的视为供应商相互串通谈判，响应文件将被视为无效：</w:t>
      </w:r>
    </w:p>
    <w:p>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（1）不同供应商的响应文件由同一单位或者个人编制；或不同供应商报名的IP地址一致的；</w:t>
      </w:r>
    </w:p>
    <w:p>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（2）不同供应商委托同一单位或者个人办理谈判事宜；</w:t>
      </w:r>
    </w:p>
    <w:p>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（3）不同的供应商的响应文件载明的项目管理员为同一个人；</w:t>
      </w:r>
    </w:p>
    <w:p>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（4）不同供应商的响应文件异常一致或竞标报价呈规律性差异；</w:t>
      </w:r>
    </w:p>
    <w:p>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（5）不同供应商的响应文件相互混装；</w:t>
      </w:r>
    </w:p>
    <w:p>
      <w:pPr>
        <w:snapToGrid w:val="0"/>
        <w:spacing w:line="360" w:lineRule="exact"/>
        <w:ind w:firstLine="411" w:firstLineChars="196"/>
        <w:rPr>
          <w:rFonts w:hint="eastAsia" w:ascii="宋体" w:hAnsi="宋体"/>
          <w:highlight w:val="none"/>
        </w:rPr>
      </w:pPr>
      <w:r>
        <w:rPr>
          <w:rFonts w:hint="eastAsia" w:ascii="宋体" w:hAnsi="宋体"/>
          <w:szCs w:val="21"/>
          <w:highlight w:val="none"/>
        </w:rPr>
        <w:t>（6）响应文件实质性要求未做变动，供应商最后报价高于第一次报价的。</w:t>
      </w:r>
    </w:p>
    <w:p>
      <w:pPr>
        <w:snapToGrid w:val="0"/>
        <w:spacing w:line="360" w:lineRule="exact"/>
        <w:ind w:firstLine="411" w:firstLineChars="196"/>
        <w:outlineLvl w:val="4"/>
        <w:rPr>
          <w:rFonts w:hint="eastAsia" w:ascii="宋体" w:hAnsi="宋体"/>
          <w:bCs/>
          <w:szCs w:val="21"/>
          <w:highlight w:val="none"/>
        </w:rPr>
      </w:pPr>
      <w:r>
        <w:rPr>
          <w:rFonts w:hint="eastAsia" w:ascii="宋体" w:hAnsi="宋体"/>
          <w:bCs/>
          <w:szCs w:val="21"/>
          <w:highlight w:val="none"/>
        </w:rPr>
        <w:t xml:space="preserve">25. </w:t>
      </w:r>
      <w:r>
        <w:rPr>
          <w:rFonts w:ascii="宋体" w:hAnsi="宋体"/>
          <w:bCs/>
          <w:szCs w:val="21"/>
          <w:highlight w:val="none"/>
        </w:rPr>
        <w:t>出现下列情形之一的，采购人或者采购代理机构应当终止竞争性谈判采购活动，发布项目终止公告并说明原因，重新开展采购活动：</w:t>
      </w:r>
    </w:p>
    <w:p>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（1）</w:t>
      </w:r>
      <w:r>
        <w:rPr>
          <w:rFonts w:ascii="宋体" w:hAnsi="宋体"/>
          <w:szCs w:val="21"/>
          <w:highlight w:val="none"/>
        </w:rPr>
        <w:t>因情况变化，不再符合规定的竞争性谈判采购方式适用情形的；</w:t>
      </w:r>
    </w:p>
    <w:p>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（2）</w:t>
      </w:r>
      <w:r>
        <w:rPr>
          <w:rFonts w:ascii="宋体" w:hAnsi="宋体"/>
          <w:szCs w:val="21"/>
          <w:highlight w:val="none"/>
        </w:rPr>
        <w:t>出现影响采购公正的违法、违规行为的；</w:t>
      </w:r>
      <w:r>
        <w:rPr>
          <w:rFonts w:hint="eastAsia" w:ascii="宋体" w:hAnsi="宋体"/>
          <w:szCs w:val="21"/>
          <w:highlight w:val="none"/>
        </w:rPr>
        <w:t xml:space="preserve"> </w:t>
      </w:r>
    </w:p>
    <w:p>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（3）</w:t>
      </w:r>
      <w:r>
        <w:rPr>
          <w:rFonts w:ascii="宋体" w:hAnsi="宋体"/>
          <w:szCs w:val="21"/>
          <w:highlight w:val="none"/>
        </w:rPr>
        <w:t>在采购过程中符合竞争要求的供应商或者报价未超过采购预算的供应商不足3家的</w:t>
      </w:r>
      <w:r>
        <w:rPr>
          <w:rFonts w:hint="eastAsia" w:ascii="宋体" w:hAnsi="宋体"/>
          <w:szCs w:val="21"/>
          <w:highlight w:val="none"/>
        </w:rPr>
        <w:t xml:space="preserve">。 </w:t>
      </w:r>
    </w:p>
    <w:p>
      <w:pPr>
        <w:snapToGrid w:val="0"/>
        <w:spacing w:line="360" w:lineRule="exact"/>
        <w:ind w:firstLine="422" w:firstLineChars="200"/>
        <w:outlineLvl w:val="4"/>
        <w:rPr>
          <w:rFonts w:hint="eastAsia" w:ascii="宋体" w:hAnsi="宋体"/>
          <w:b/>
          <w:highlight w:val="none"/>
        </w:rPr>
      </w:pPr>
      <w:r>
        <w:rPr>
          <w:rFonts w:hint="eastAsia" w:ascii="宋体" w:hAnsi="宋体"/>
          <w:b/>
          <w:highlight w:val="none"/>
        </w:rPr>
        <w:t>26. 谈判过程的监控</w:t>
      </w:r>
    </w:p>
    <w:p>
      <w:pPr>
        <w:pStyle w:val="18"/>
        <w:spacing w:line="360" w:lineRule="exact"/>
        <w:ind w:firstLine="411" w:firstLineChars="196"/>
        <w:rPr>
          <w:rFonts w:hint="eastAsia" w:hAnsi="宋体"/>
          <w:highlight w:val="none"/>
        </w:rPr>
      </w:pPr>
      <w:r>
        <w:rPr>
          <w:rFonts w:hint="eastAsia" w:hAnsi="宋体"/>
          <w:highlight w:val="none"/>
        </w:rPr>
        <w:t>本项目谈判过程实行全程录音、录像监控，供应商在谈判过程中所进行的试图影响谈判结果的不公正活动，可能导致其谈判被拒绝。</w:t>
      </w:r>
    </w:p>
    <w:p>
      <w:pPr>
        <w:pStyle w:val="18"/>
        <w:spacing w:line="360" w:lineRule="exact"/>
        <w:ind w:firstLine="413" w:firstLineChars="196"/>
        <w:rPr>
          <w:rFonts w:hint="eastAsia" w:hAnsi="宋体"/>
          <w:b/>
          <w:highlight w:val="none"/>
        </w:rPr>
      </w:pPr>
      <w:r>
        <w:rPr>
          <w:rFonts w:hint="eastAsia" w:hAnsi="宋体"/>
          <w:b/>
          <w:highlight w:val="none"/>
        </w:rPr>
        <w:t>27</w:t>
      </w:r>
      <w:r>
        <w:rPr>
          <w:rFonts w:hint="eastAsia" w:hAnsi="宋体"/>
          <w:b/>
          <w:szCs w:val="21"/>
          <w:highlight w:val="none"/>
        </w:rPr>
        <w:t xml:space="preserve">. </w:t>
      </w:r>
      <w:r>
        <w:rPr>
          <w:rFonts w:hint="eastAsia" w:hAnsi="宋体"/>
          <w:b/>
          <w:szCs w:val="24"/>
          <w:highlight w:val="none"/>
        </w:rPr>
        <w:t>成交结果公告及成交通知书</w:t>
      </w:r>
    </w:p>
    <w:p>
      <w:pPr>
        <w:spacing w:line="360" w:lineRule="exact"/>
        <w:ind w:firstLine="420" w:firstLineChars="200"/>
        <w:rPr>
          <w:rFonts w:hint="eastAsia" w:ascii="宋体" w:hAnsi="宋体"/>
          <w:szCs w:val="21"/>
          <w:highlight w:val="none"/>
        </w:rPr>
      </w:pPr>
      <w:r>
        <w:rPr>
          <w:rFonts w:hint="eastAsia" w:ascii="宋体" w:hAnsi="宋体"/>
          <w:highlight w:val="none"/>
        </w:rPr>
        <w:t xml:space="preserve">27.1 </w:t>
      </w:r>
      <w:r>
        <w:rPr>
          <w:rFonts w:hint="eastAsia" w:ascii="宋体" w:hAnsi="宋体"/>
          <w:szCs w:val="21"/>
          <w:highlight w:val="none"/>
        </w:rPr>
        <w:t>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27.2 在发布成交结果公告的同时，采购代理机构向成交供应商发出成交通知书。</w:t>
      </w:r>
    </w:p>
    <w:p>
      <w:pPr>
        <w:spacing w:line="360" w:lineRule="exact"/>
        <w:ind w:left="420" w:leftChars="200" w:firstLine="0" w:firstLineChars="0"/>
        <w:rPr>
          <w:rFonts w:hint="eastAsia" w:ascii="宋体" w:hAnsi="宋体" w:cs="Times New Roman"/>
          <w:szCs w:val="21"/>
          <w:highlight w:val="none"/>
          <w:lang w:eastAsia="zh-CN"/>
        </w:rPr>
      </w:pPr>
      <w:r>
        <w:rPr>
          <w:rFonts w:hint="eastAsia" w:ascii="宋体" w:hAnsi="宋体" w:cs="Times New Roman"/>
          <w:szCs w:val="21"/>
          <w:highlight w:val="none"/>
          <w:lang w:val="en-US" w:eastAsia="zh-CN"/>
        </w:rPr>
        <w:t>27.3</w:t>
      </w:r>
      <w:r>
        <w:rPr>
          <w:rFonts w:hint="eastAsia" w:ascii="宋体" w:hAnsi="宋体" w:cs="Times New Roman"/>
          <w:szCs w:val="21"/>
          <w:highlight w:val="none"/>
        </w:rPr>
        <w:t>成交人在领取成交通知书前必须按照</w:t>
      </w:r>
      <w:r>
        <w:rPr>
          <w:rFonts w:hint="eastAsia" w:ascii="宋体" w:hAnsi="宋体" w:cs="Times New Roman"/>
          <w:szCs w:val="21"/>
          <w:highlight w:val="none"/>
          <w:lang w:eastAsia="zh-CN"/>
        </w:rPr>
        <w:t>采购</w:t>
      </w:r>
      <w:r>
        <w:rPr>
          <w:rFonts w:hint="eastAsia" w:ascii="宋体" w:hAnsi="宋体" w:cs="Times New Roman"/>
          <w:szCs w:val="21"/>
          <w:highlight w:val="none"/>
        </w:rPr>
        <w:t>文件规定</w:t>
      </w:r>
      <w:r>
        <w:rPr>
          <w:rFonts w:hint="eastAsia" w:ascii="宋体" w:hAnsi="宋体" w:cs="Times New Roman"/>
          <w:szCs w:val="21"/>
          <w:highlight w:val="none"/>
          <w:lang w:eastAsia="zh-CN"/>
        </w:rPr>
        <w:t>一次性向招标代理机构</w:t>
      </w:r>
      <w:r>
        <w:rPr>
          <w:rFonts w:hint="eastAsia" w:ascii="宋体" w:hAnsi="宋体" w:cs="Times New Roman"/>
          <w:szCs w:val="21"/>
          <w:highlight w:val="none"/>
        </w:rPr>
        <w:t>递交招标代理服务费</w:t>
      </w:r>
      <w:r>
        <w:rPr>
          <w:rFonts w:hint="eastAsia" w:ascii="宋体" w:hAnsi="宋体" w:cs="Times New Roman"/>
          <w:szCs w:val="21"/>
          <w:highlight w:val="none"/>
          <w:lang w:val="en-US" w:eastAsia="zh-CN"/>
        </w:rPr>
        <w:t>1.5万元</w:t>
      </w:r>
      <w:r>
        <w:rPr>
          <w:rFonts w:hint="eastAsia" w:ascii="宋体" w:hAnsi="宋体" w:cs="Times New Roman"/>
          <w:szCs w:val="21"/>
          <w:highlight w:val="none"/>
          <w:lang w:eastAsia="zh-CN"/>
        </w:rPr>
        <w:t>。</w:t>
      </w:r>
    </w:p>
    <w:p>
      <w:pPr>
        <w:spacing w:line="360" w:lineRule="exact"/>
        <w:ind w:left="420" w:leftChars="200" w:firstLine="0" w:firstLineChars="0"/>
        <w:rPr>
          <w:rFonts w:hint="eastAsia" w:ascii="宋体" w:hAnsi="宋体" w:cs="Times New Roman"/>
          <w:szCs w:val="21"/>
          <w:highlight w:val="none"/>
        </w:rPr>
      </w:pPr>
      <w:r>
        <w:rPr>
          <w:rFonts w:hint="eastAsia" w:ascii="宋体" w:hAnsi="宋体" w:cs="Times New Roman"/>
          <w:szCs w:val="21"/>
          <w:highlight w:val="none"/>
        </w:rPr>
        <w:t>27.</w:t>
      </w:r>
      <w:r>
        <w:rPr>
          <w:rFonts w:hint="eastAsia" w:ascii="宋体" w:hAnsi="宋体" w:cs="Times New Roman"/>
          <w:szCs w:val="21"/>
          <w:highlight w:val="none"/>
          <w:lang w:val="en-US" w:eastAsia="zh-CN"/>
        </w:rPr>
        <w:t>4</w:t>
      </w:r>
      <w:r>
        <w:rPr>
          <w:rFonts w:hint="eastAsia" w:ascii="宋体" w:hAnsi="宋体" w:cs="Times New Roman"/>
          <w:szCs w:val="21"/>
          <w:highlight w:val="none"/>
        </w:rPr>
        <w:t>采购代理机构无义务向未成交的供应商解释未成交原因和退还响应文件。</w:t>
      </w:r>
    </w:p>
    <w:p>
      <w:pPr>
        <w:tabs>
          <w:tab w:val="left" w:pos="1140"/>
        </w:tabs>
        <w:spacing w:line="360" w:lineRule="exact"/>
        <w:jc w:val="center"/>
        <w:rPr>
          <w:rFonts w:hint="eastAsia" w:ascii="宋体" w:hAnsi="宋体"/>
          <w:b/>
          <w:sz w:val="28"/>
          <w:szCs w:val="28"/>
          <w:highlight w:val="none"/>
        </w:rPr>
      </w:pPr>
      <w:r>
        <w:rPr>
          <w:rFonts w:hint="eastAsia" w:ascii="宋体" w:hAnsi="宋体"/>
          <w:b/>
          <w:sz w:val="28"/>
          <w:szCs w:val="28"/>
          <w:highlight w:val="none"/>
        </w:rPr>
        <w:t>五、签订合同</w:t>
      </w:r>
    </w:p>
    <w:p>
      <w:pPr>
        <w:spacing w:line="360" w:lineRule="exact"/>
        <w:ind w:firstLine="413" w:firstLineChars="196"/>
        <w:rPr>
          <w:rFonts w:hint="eastAsia" w:ascii="宋体" w:hAnsi="宋体"/>
          <w:b/>
          <w:highlight w:val="none"/>
        </w:rPr>
      </w:pPr>
      <w:r>
        <w:rPr>
          <w:rFonts w:hint="eastAsia" w:ascii="宋体" w:hAnsi="宋体"/>
          <w:b/>
          <w:highlight w:val="none"/>
        </w:rPr>
        <w:t>28</w:t>
      </w:r>
      <w:r>
        <w:rPr>
          <w:rFonts w:hint="eastAsia" w:ascii="宋体" w:hAnsi="宋体"/>
          <w:b/>
          <w:szCs w:val="21"/>
          <w:highlight w:val="none"/>
        </w:rPr>
        <w:t xml:space="preserve">. </w:t>
      </w:r>
      <w:r>
        <w:rPr>
          <w:rFonts w:hint="eastAsia" w:ascii="宋体" w:hAnsi="宋体"/>
          <w:b/>
          <w:highlight w:val="none"/>
        </w:rPr>
        <w:t>履约保证金</w:t>
      </w:r>
    </w:p>
    <w:p>
      <w:pPr>
        <w:spacing w:line="360" w:lineRule="exact"/>
        <w:rPr>
          <w:rFonts w:hint="default" w:ascii="宋体" w:hAnsi="宋体" w:eastAsia="宋体"/>
          <w:b/>
          <w:szCs w:val="21"/>
          <w:highlight w:val="none"/>
          <w:lang w:val="en-US" w:eastAsia="zh-CN"/>
        </w:rPr>
      </w:pPr>
      <w:r>
        <w:rPr>
          <w:rFonts w:hint="eastAsia" w:hAnsi="宋体"/>
          <w:b/>
          <w:szCs w:val="21"/>
          <w:highlight w:val="none"/>
        </w:rPr>
        <w:t xml:space="preserve">   </w:t>
      </w:r>
      <w:r>
        <w:rPr>
          <w:rFonts w:hint="eastAsia" w:ascii="宋体" w:hAnsi="宋体"/>
          <w:b/>
          <w:szCs w:val="21"/>
          <w:highlight w:val="none"/>
        </w:rPr>
        <w:t xml:space="preserve"> 28.1</w:t>
      </w:r>
      <w:r>
        <w:rPr>
          <w:rFonts w:hint="eastAsia" w:ascii="宋体" w:hAnsi="宋体"/>
          <w:b/>
          <w:szCs w:val="21"/>
          <w:highlight w:val="none"/>
          <w:lang w:eastAsia="zh-CN"/>
        </w:rPr>
        <w:t>符合供应商须知第</w:t>
      </w:r>
      <w:r>
        <w:rPr>
          <w:rFonts w:hint="eastAsia" w:ascii="宋体" w:hAnsi="宋体"/>
          <w:b/>
          <w:szCs w:val="21"/>
          <w:highlight w:val="none"/>
          <w:lang w:val="en-US" w:eastAsia="zh-CN"/>
        </w:rPr>
        <w:t>28.1项规定。</w:t>
      </w:r>
    </w:p>
    <w:p>
      <w:pPr>
        <w:pStyle w:val="18"/>
        <w:spacing w:line="360" w:lineRule="exact"/>
        <w:ind w:left="6" w:leftChars="3" w:firstLine="422" w:firstLineChars="200"/>
        <w:rPr>
          <w:rFonts w:hint="eastAsia" w:hAnsi="宋体"/>
          <w:b/>
          <w:szCs w:val="21"/>
          <w:highlight w:val="none"/>
        </w:rPr>
      </w:pPr>
      <w:r>
        <w:rPr>
          <w:rFonts w:hint="eastAsia" w:hAnsi="宋体"/>
          <w:b/>
          <w:szCs w:val="21"/>
          <w:highlight w:val="none"/>
        </w:rPr>
        <w:t>29. 签订合同</w:t>
      </w:r>
    </w:p>
    <w:p>
      <w:pPr>
        <w:tabs>
          <w:tab w:val="left" w:pos="1140"/>
        </w:tabs>
        <w:spacing w:line="360" w:lineRule="exact"/>
        <w:ind w:firstLine="420" w:firstLineChars="200"/>
        <w:rPr>
          <w:rFonts w:hint="eastAsia" w:ascii="宋体" w:hAnsi="宋体"/>
          <w:highlight w:val="none"/>
        </w:rPr>
      </w:pPr>
      <w:r>
        <w:rPr>
          <w:rFonts w:hint="eastAsia" w:ascii="宋体" w:hAnsi="宋体"/>
          <w:highlight w:val="none"/>
        </w:rPr>
        <w:t>29.1 签订合同时间：成交通知书发出之日起30日内。</w:t>
      </w:r>
    </w:p>
    <w:p>
      <w:pPr>
        <w:spacing w:line="360" w:lineRule="exact"/>
        <w:ind w:firstLine="420" w:firstLineChars="200"/>
        <w:rPr>
          <w:rFonts w:ascii="宋体" w:hAnsi="宋体"/>
          <w:highlight w:val="none"/>
        </w:rPr>
      </w:pPr>
      <w:r>
        <w:rPr>
          <w:rFonts w:hint="eastAsia" w:ascii="宋体" w:hAnsi="宋体"/>
          <w:highlight w:val="none"/>
        </w:rPr>
        <w:t>29.2如成交供应商有下列情形之一的，情节严重的，由财政部门将其列入不良行为记录名单，在一至三年内禁止参加政府采购活动，并予以通报。采购代理机构可从谈判小组推荐的成交候选人中按顺序重新确定成交供应商或重新组织采购。拒绝签订政府采购合同的成交供应商不得参加对该项目重新开展的采购活</w:t>
      </w:r>
      <w:r>
        <w:rPr>
          <w:rFonts w:hint="eastAsia" w:ascii="宋体" w:hAnsi="宋体"/>
          <w:szCs w:val="21"/>
          <w:highlight w:val="none"/>
        </w:rPr>
        <w:t>动。</w:t>
      </w:r>
    </w:p>
    <w:p>
      <w:pPr>
        <w:widowControl/>
        <w:spacing w:line="360" w:lineRule="exact"/>
        <w:jc w:val="left"/>
        <w:rPr>
          <w:rFonts w:ascii="宋体" w:hAnsi="宋体"/>
          <w:highlight w:val="none"/>
        </w:rPr>
      </w:pPr>
      <w:r>
        <w:rPr>
          <w:rFonts w:hint="eastAsia" w:ascii="宋体" w:hAnsi="宋体"/>
          <w:highlight w:val="none"/>
        </w:rPr>
        <w:t>　　（1）成交后不与采购人签订合同的（不可抗力除外）；</w:t>
      </w:r>
    </w:p>
    <w:p>
      <w:pPr>
        <w:widowControl/>
        <w:spacing w:line="360" w:lineRule="exact"/>
        <w:jc w:val="left"/>
        <w:rPr>
          <w:rFonts w:ascii="宋体" w:hAnsi="宋体"/>
          <w:highlight w:val="none"/>
        </w:rPr>
      </w:pPr>
      <w:r>
        <w:rPr>
          <w:rFonts w:hint="eastAsia" w:ascii="宋体" w:hAnsi="宋体"/>
          <w:highlight w:val="none"/>
        </w:rPr>
        <w:t xml:space="preserve">    （2）将成交项目转让给他人，或者在响应文件中未说明，且未经采购人同意，将成交项目分包给他人的；</w:t>
      </w:r>
    </w:p>
    <w:p>
      <w:pPr>
        <w:widowControl/>
        <w:spacing w:line="360" w:lineRule="exact"/>
        <w:ind w:firstLine="420"/>
        <w:jc w:val="left"/>
        <w:rPr>
          <w:rFonts w:hint="eastAsia" w:ascii="宋体" w:hAnsi="宋体"/>
          <w:highlight w:val="none"/>
        </w:rPr>
      </w:pPr>
      <w:r>
        <w:rPr>
          <w:rFonts w:hint="eastAsia" w:ascii="宋体" w:hAnsi="宋体"/>
          <w:highlight w:val="none"/>
        </w:rPr>
        <w:t>（3）拒绝履行合同义务的。</w:t>
      </w:r>
    </w:p>
    <w:p>
      <w:pPr>
        <w:spacing w:line="360" w:lineRule="exact"/>
        <w:ind w:firstLine="420" w:firstLineChars="200"/>
        <w:rPr>
          <w:rFonts w:hint="eastAsia" w:ascii="宋体" w:hAnsi="宋体"/>
          <w:highlight w:val="none"/>
        </w:rPr>
      </w:pPr>
      <w:r>
        <w:rPr>
          <w:rFonts w:hint="eastAsia" w:ascii="宋体" w:hAnsi="宋体"/>
          <w:highlight w:val="none"/>
        </w:rPr>
        <w:t>29.3 合同备案存档：政府采购合同双方自签订之日起</w:t>
      </w:r>
      <w:r>
        <w:rPr>
          <w:rFonts w:hint="eastAsia" w:ascii="宋体" w:hAnsi="宋体"/>
          <w:highlight w:val="none"/>
          <w:lang w:val="en-US" w:eastAsia="zh-CN"/>
        </w:rPr>
        <w:t>1</w:t>
      </w:r>
      <w:r>
        <w:rPr>
          <w:rFonts w:hint="eastAsia" w:ascii="宋体" w:hAnsi="宋体"/>
          <w:highlight w:val="none"/>
        </w:rPr>
        <w:t>个工作日内将合同原件一份交采购代理机构。</w:t>
      </w:r>
    </w:p>
    <w:p>
      <w:pPr>
        <w:pStyle w:val="18"/>
        <w:spacing w:line="380" w:lineRule="exact"/>
        <w:ind w:left="3"/>
        <w:jc w:val="center"/>
        <w:rPr>
          <w:rFonts w:hint="eastAsia" w:hAnsi="宋体"/>
          <w:b/>
          <w:sz w:val="28"/>
          <w:szCs w:val="28"/>
          <w:highlight w:val="none"/>
        </w:rPr>
      </w:pPr>
      <w:r>
        <w:rPr>
          <w:rFonts w:hint="eastAsia" w:hAnsi="宋体"/>
          <w:b/>
          <w:sz w:val="28"/>
          <w:szCs w:val="28"/>
          <w:highlight w:val="none"/>
        </w:rPr>
        <w:t>六、其他事项</w:t>
      </w:r>
    </w:p>
    <w:p>
      <w:pPr>
        <w:spacing w:line="380" w:lineRule="exact"/>
        <w:ind w:firstLine="517" w:firstLineChars="245"/>
        <w:rPr>
          <w:rFonts w:hint="eastAsia" w:ascii="宋体" w:hAnsi="宋体"/>
          <w:b/>
          <w:highlight w:val="none"/>
        </w:rPr>
      </w:pPr>
      <w:r>
        <w:rPr>
          <w:rFonts w:hint="eastAsia" w:ascii="宋体" w:hAnsi="宋体"/>
          <w:b/>
          <w:highlight w:val="none"/>
        </w:rPr>
        <w:t>30</w:t>
      </w:r>
      <w:r>
        <w:rPr>
          <w:rFonts w:hint="eastAsia" w:ascii="宋体" w:hAnsi="宋体"/>
          <w:b/>
          <w:szCs w:val="21"/>
          <w:highlight w:val="none"/>
        </w:rPr>
        <w:t xml:space="preserve">. </w:t>
      </w:r>
      <w:r>
        <w:rPr>
          <w:rFonts w:hint="eastAsia" w:ascii="宋体" w:hAnsi="宋体"/>
          <w:b/>
          <w:highlight w:val="none"/>
        </w:rPr>
        <w:t>采购代理服务费</w:t>
      </w:r>
    </w:p>
    <w:p>
      <w:pPr>
        <w:spacing w:line="380" w:lineRule="exact"/>
        <w:jc w:val="left"/>
        <w:rPr>
          <w:rFonts w:hint="default" w:ascii="宋体" w:hAnsi="宋体" w:eastAsia="宋体"/>
          <w:szCs w:val="21"/>
          <w:highlight w:val="none"/>
          <w:lang w:val="en-US" w:eastAsia="zh-CN"/>
        </w:rPr>
      </w:pPr>
      <w:r>
        <w:rPr>
          <w:rFonts w:hint="eastAsia" w:ascii="宋体" w:hAnsi="宋体"/>
          <w:highlight w:val="none"/>
        </w:rPr>
        <w:t xml:space="preserve">  </w:t>
      </w:r>
      <w:r>
        <w:rPr>
          <w:rFonts w:hint="eastAsia" w:ascii="宋体" w:hAnsi="宋体"/>
          <w:highlight w:val="none"/>
          <w:lang w:val="en-US" w:eastAsia="zh-CN"/>
        </w:rPr>
        <w:t xml:space="preserve">   </w:t>
      </w:r>
      <w:r>
        <w:rPr>
          <w:rFonts w:hint="eastAsia" w:ascii="宋体" w:hAnsi="宋体" w:eastAsia="宋体" w:cs="宋体"/>
          <w:szCs w:val="21"/>
          <w:lang w:val="zh-CN"/>
        </w:rPr>
        <w:t>执行《国家发展改革委关于进一步放开建设项目专业服务价格的通知》（发改价格〔2015〕299号），号文件的标准进行计算</w:t>
      </w:r>
      <w:r>
        <w:rPr>
          <w:rFonts w:hint="eastAsia" w:ascii="宋体" w:hAnsi="宋体" w:cs="宋体"/>
          <w:szCs w:val="21"/>
          <w:lang w:val="zh-CN"/>
        </w:rPr>
        <w:t>，由中标单位向采购代理机构对公转账或个人转账或现金支付</w:t>
      </w:r>
      <w:r>
        <w:rPr>
          <w:rFonts w:hint="eastAsia" w:ascii="宋体" w:hAnsi="宋体" w:cs="宋体"/>
          <w:szCs w:val="21"/>
          <w:lang w:val="en-US" w:eastAsia="zh-CN"/>
        </w:rPr>
        <w:t>1.5万元</w:t>
      </w:r>
      <w:r>
        <w:rPr>
          <w:rFonts w:hint="eastAsia" w:ascii="宋体" w:hAnsi="宋体" w:cs="宋体"/>
          <w:szCs w:val="21"/>
          <w:lang w:val="zh-CN"/>
        </w:rPr>
        <w:t>。</w:t>
      </w:r>
    </w:p>
    <w:p>
      <w:pPr>
        <w:spacing w:line="380" w:lineRule="exact"/>
        <w:jc w:val="left"/>
        <w:rPr>
          <w:rFonts w:hint="default" w:ascii="宋体" w:hAnsi="宋体" w:eastAsia="宋体"/>
          <w:szCs w:val="21"/>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416" w:lineRule="auto"/>
        <w:textAlignment w:val="auto"/>
        <w:rPr>
          <w:rFonts w:hint="eastAsia"/>
          <w:highlight w:val="none"/>
        </w:rPr>
      </w:pPr>
    </w:p>
    <w:p>
      <w:pPr>
        <w:spacing w:line="380" w:lineRule="exact"/>
        <w:rPr>
          <w:rFonts w:hint="eastAsia"/>
          <w:b/>
          <w:sz w:val="32"/>
          <w:szCs w:val="32"/>
          <w:highlight w:val="none"/>
        </w:rPr>
        <w:sectPr>
          <w:footerReference r:id="rId6" w:type="default"/>
          <w:pgSz w:w="11906" w:h="16838"/>
          <w:pgMar w:top="1134" w:right="992"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bookmarkStart w:id="9" w:name="_Toc432277439"/>
      <w:bookmarkStart w:id="10" w:name="_Toc455565643"/>
      <w:bookmarkStart w:id="11" w:name="_Toc432264367"/>
    </w:p>
    <w:bookmarkEnd w:id="9"/>
    <w:bookmarkEnd w:id="10"/>
    <w:bookmarkEnd w:id="11"/>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b/>
          <w:sz w:val="32"/>
          <w:szCs w:val="32"/>
          <w:highlight w:val="none"/>
          <w:lang w:val="zh-CN"/>
        </w:rPr>
      </w:pPr>
      <w:r>
        <w:rPr>
          <w:rFonts w:hint="eastAsia"/>
          <w:b/>
          <w:sz w:val="32"/>
          <w:szCs w:val="32"/>
          <w:highlight w:val="none"/>
          <w:lang w:eastAsia="zh-CN"/>
        </w:rPr>
        <w:t>货物采购</w:t>
      </w:r>
      <w:r>
        <w:rPr>
          <w:rFonts w:hint="eastAsia"/>
          <w:b/>
          <w:sz w:val="32"/>
          <w:szCs w:val="32"/>
          <w:highlight w:val="none"/>
          <w:lang w:val="zh-CN"/>
        </w:rPr>
        <w:t>需求表</w:t>
      </w:r>
    </w:p>
    <w:p>
      <w:pPr>
        <w:pStyle w:val="3"/>
        <w:spacing w:before="0" w:after="0" w:line="240" w:lineRule="auto"/>
        <w:rPr>
          <w:rFonts w:ascii="宋体" w:hAnsi="宋体" w:cs="宋体"/>
          <w:sz w:val="28"/>
          <w:szCs w:val="28"/>
        </w:rPr>
      </w:pPr>
      <w:bookmarkStart w:id="12" w:name="_Toc14770"/>
      <w:r>
        <w:rPr>
          <w:rFonts w:hint="eastAsia" w:ascii="宋体" w:hAnsi="宋体" w:cs="宋体"/>
          <w:sz w:val="28"/>
          <w:szCs w:val="28"/>
        </w:rPr>
        <w:t>一、项目概况及总体要求</w:t>
      </w:r>
      <w:bookmarkEnd w:id="12"/>
    </w:p>
    <w:p>
      <w:pPr>
        <w:spacing w:line="240" w:lineRule="auto"/>
        <w:ind w:firstLine="480" w:firstLineChars="200"/>
        <w:rPr>
          <w:rFonts w:ascii="宋体" w:hAnsi="宋体" w:cs="宋体"/>
          <w:sz w:val="24"/>
        </w:rPr>
      </w:pPr>
      <w:r>
        <w:rPr>
          <w:rFonts w:hint="eastAsia" w:ascii="宋体" w:hAnsi="宋体" w:cs="宋体"/>
          <w:sz w:val="24"/>
        </w:rPr>
        <w:t>1、项目名称：</w:t>
      </w:r>
      <w:r>
        <w:rPr>
          <w:rFonts w:hint="eastAsia" w:ascii="宋体" w:hAnsi="宋体" w:cs="宋体"/>
          <w:sz w:val="24"/>
          <w:lang w:eastAsia="zh-CN"/>
        </w:rPr>
        <w:t>长春市双阳区第一实验小学厨房设备采购项目</w:t>
      </w:r>
      <w:r>
        <w:rPr>
          <w:rFonts w:hint="eastAsia" w:ascii="宋体" w:hAnsi="宋体" w:cs="宋体"/>
          <w:sz w:val="24"/>
        </w:rPr>
        <w:t>。</w:t>
      </w:r>
    </w:p>
    <w:p>
      <w:pPr>
        <w:spacing w:line="240" w:lineRule="auto"/>
        <w:ind w:firstLine="480" w:firstLineChars="200"/>
        <w:rPr>
          <w:rFonts w:ascii="宋体" w:hAnsi="宋体" w:cs="宋体"/>
          <w:sz w:val="24"/>
        </w:rPr>
      </w:pPr>
      <w:bookmarkStart w:id="13" w:name="_Toc15867"/>
      <w:bookmarkStart w:id="14" w:name="_Toc455565644"/>
      <w:bookmarkStart w:id="15" w:name="_Toc432277440"/>
      <w:bookmarkStart w:id="16" w:name="_Toc432264368"/>
      <w:bookmarkStart w:id="17" w:name="_Toc10263"/>
      <w:r>
        <w:rPr>
          <w:rFonts w:hint="eastAsia" w:ascii="宋体" w:hAnsi="宋体" w:cs="宋体"/>
          <w:sz w:val="24"/>
        </w:rPr>
        <w:t>2、</w:t>
      </w:r>
      <w:r>
        <w:rPr>
          <w:rFonts w:hint="eastAsia" w:ascii="宋体" w:hAnsi="宋体" w:cs="宋体"/>
          <w:sz w:val="24"/>
          <w:lang w:eastAsia="zh-CN"/>
        </w:rPr>
        <w:t>供货</w:t>
      </w:r>
      <w:r>
        <w:rPr>
          <w:rFonts w:hint="eastAsia" w:ascii="宋体" w:hAnsi="宋体" w:cs="宋体"/>
          <w:sz w:val="24"/>
        </w:rPr>
        <w:t>地点：甲方指定地点。</w:t>
      </w:r>
    </w:p>
    <w:p>
      <w:pPr>
        <w:spacing w:line="24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rPr>
        <w:t>3、</w:t>
      </w:r>
      <w:r>
        <w:rPr>
          <w:rFonts w:hint="eastAsia" w:ascii="宋体" w:hAnsi="宋体" w:cs="宋体"/>
          <w:sz w:val="24"/>
          <w:highlight w:val="none"/>
          <w:lang w:eastAsia="zh-CN"/>
        </w:rPr>
        <w:t>供货</w:t>
      </w:r>
      <w:r>
        <w:rPr>
          <w:rFonts w:hint="eastAsia" w:ascii="宋体" w:hAnsi="宋体" w:cs="宋体"/>
          <w:sz w:val="24"/>
          <w:highlight w:val="none"/>
        </w:rPr>
        <w:t>期：</w:t>
      </w:r>
      <w:r>
        <w:rPr>
          <w:rFonts w:hint="eastAsia" w:ascii="宋体" w:hAnsi="宋体" w:cs="宋体"/>
          <w:sz w:val="24"/>
          <w:highlight w:val="none"/>
          <w:lang w:eastAsia="zh-CN"/>
        </w:rPr>
        <w:t>合同签订后</w:t>
      </w:r>
      <w:r>
        <w:rPr>
          <w:rFonts w:hint="eastAsia" w:ascii="宋体" w:hAnsi="宋体" w:cs="宋体"/>
          <w:sz w:val="24"/>
          <w:highlight w:val="none"/>
          <w:lang w:val="en-US" w:eastAsia="zh-CN"/>
        </w:rPr>
        <w:t>20</w:t>
      </w:r>
      <w:r>
        <w:rPr>
          <w:rFonts w:hint="eastAsia" w:ascii="宋体" w:hAnsi="宋体" w:cs="宋体"/>
          <w:sz w:val="24"/>
          <w:highlight w:val="none"/>
        </w:rPr>
        <w:t>日历</w:t>
      </w:r>
      <w:r>
        <w:rPr>
          <w:rFonts w:hint="eastAsia" w:ascii="宋体" w:hAnsi="宋体" w:cs="宋体"/>
          <w:sz w:val="24"/>
          <w:highlight w:val="none"/>
          <w:lang w:eastAsia="zh-CN"/>
        </w:rPr>
        <w:t>天</w:t>
      </w:r>
      <w:r>
        <w:rPr>
          <w:rFonts w:hint="eastAsia" w:ascii="宋体" w:hAnsi="宋体" w:cs="宋体"/>
          <w:sz w:val="24"/>
          <w:highlight w:val="none"/>
        </w:rPr>
        <w:t>内</w:t>
      </w:r>
      <w:r>
        <w:rPr>
          <w:rFonts w:hint="eastAsia" w:ascii="宋体" w:hAnsi="宋体" w:cs="宋体"/>
          <w:sz w:val="24"/>
          <w:highlight w:val="none"/>
          <w:lang w:eastAsia="zh-CN"/>
        </w:rPr>
        <w:t>完成</w:t>
      </w:r>
      <w:r>
        <w:rPr>
          <w:rFonts w:hint="eastAsia" w:ascii="宋体" w:hAnsi="宋体" w:cs="宋体"/>
          <w:sz w:val="24"/>
          <w:highlight w:val="none"/>
          <w:lang w:val="en-US" w:eastAsia="zh-CN"/>
        </w:rPr>
        <w:t>甲方指定地点全部供货。</w:t>
      </w:r>
    </w:p>
    <w:p>
      <w:pPr>
        <w:spacing w:line="24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4、</w:t>
      </w:r>
      <w:r>
        <w:rPr>
          <w:rFonts w:hint="eastAsia" w:cs="宋体"/>
          <w:b w:val="0"/>
          <w:bCs w:val="0"/>
          <w:sz w:val="24"/>
          <w:szCs w:val="24"/>
          <w:lang w:val="en-US" w:eastAsia="zh-CN"/>
        </w:rPr>
        <w:t>质保期：在商品自身质保期限后质保一年。</w:t>
      </w:r>
    </w:p>
    <w:p>
      <w:pPr>
        <w:numPr>
          <w:ilvl w:val="0"/>
          <w:numId w:val="0"/>
        </w:numPr>
        <w:spacing w:line="360" w:lineRule="exact"/>
        <w:rPr>
          <w:rFonts w:hint="eastAsia"/>
          <w:b/>
          <w:sz w:val="24"/>
        </w:rPr>
      </w:pPr>
      <w:r>
        <w:rPr>
          <w:rFonts w:hint="eastAsia" w:ascii="宋体" w:hAnsi="宋体" w:eastAsia="宋体" w:cs="宋体"/>
          <w:sz w:val="28"/>
          <w:szCs w:val="28"/>
        </w:rPr>
        <w:t>二、</w:t>
      </w:r>
      <w:bookmarkEnd w:id="13"/>
      <w:r>
        <w:rPr>
          <w:rFonts w:hint="eastAsia"/>
          <w:b/>
          <w:sz w:val="24"/>
        </w:rPr>
        <w:t>产品一览表</w:t>
      </w:r>
    </w:p>
    <w:tbl>
      <w:tblPr>
        <w:tblStyle w:val="49"/>
        <w:tblW w:w="9067" w:type="dxa"/>
        <w:jc w:val="center"/>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
      <w:tblGrid>
        <w:gridCol w:w="784"/>
        <w:gridCol w:w="1331"/>
        <w:gridCol w:w="4884"/>
        <w:gridCol w:w="728"/>
        <w:gridCol w:w="712"/>
        <w:gridCol w:w="628"/>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560" w:hRule="atLeast"/>
          <w:jc w:val="center"/>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1331" w:type="dxa"/>
            <w:tcBorders>
              <w:right w:val="doub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产品</w:t>
            </w:r>
            <w:r>
              <w:rPr>
                <w:rFonts w:hint="eastAsia" w:ascii="宋体" w:hAnsi="宋体" w:eastAsia="宋体" w:cs="宋体"/>
                <w:color w:val="000000"/>
                <w:sz w:val="24"/>
                <w:szCs w:val="24"/>
              </w:rPr>
              <w:t>名称</w:t>
            </w:r>
          </w:p>
        </w:tc>
        <w:tc>
          <w:tcPr>
            <w:tcW w:w="4884"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主要技术参数及标准性能、规格</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单位</w:t>
            </w:r>
          </w:p>
        </w:tc>
        <w:tc>
          <w:tcPr>
            <w:tcW w:w="71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数量</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备注</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332" w:hRule="atLeast"/>
          <w:jc w:val="center"/>
        </w:trPr>
        <w:tc>
          <w:tcPr>
            <w:tcW w:w="9067" w:type="dxa"/>
            <w:gridSpan w:val="6"/>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副食库</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四层平板货架</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1500*500*1550mm 采用国标38*38mm不锈钢方管为四周立柱，管壁厚度为1.0mm，中间采用国标优质不锈钢拉丝板为层板，板厚1.0mm，要求层板与立柱固定采用全包围立柱焊接，不得组装且不可拆卸。加强筋为0.8mm厚优质不锈钢板，每层承重量为120kg，下配可调子弹腿。</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米面架</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1500*500*300mm 采用厚度为1.0mm的国标优质不锈钢拉丝板做面板，国标38*38钢方管为四周立柱、管厚度为1.0mm，面板与立柱固定采用全包围焊接技术，承重量为200kg，下配可调子弹腿。</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331" w:type="dxa"/>
            <w:tcBorders>
              <w:right w:val="doub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四门风冷双温冷柜</w:t>
            </w:r>
          </w:p>
        </w:tc>
        <w:tc>
          <w:tcPr>
            <w:tcW w:w="488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1215*800*1980mm（±5%）</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1、有效容积：900L；</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2、温度范围：冷藏：+2~+8℃；冷冻：-18~-23℃</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3、不锈钢机身，使用寿命长，经久耐用，维修方便；</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4、大风扇智能温控，实现短时间内快速降温；</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5、通过70万次开关门试验，经久耐用；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6、45°内凭冰箱门的自重自动关门；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7、可拆卸门封条，拆装方便，清洁、替换都非常简单；</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8、门框内藏加热丝, 避免结露；</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9、箱体内圆弧形角落设计, 日常维护不留死角；</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10、无门把手突出，确保通道空间；</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11、制冷剂：冷藏：R134a；</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12、隔热材料发泡剂：环戊烷；</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13、功率：不小于548W/220V。</w:t>
            </w:r>
          </w:p>
        </w:tc>
        <w:tc>
          <w:tcPr>
            <w:tcW w:w="72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421" w:hRule="atLeast"/>
          <w:jc w:val="center"/>
        </w:trPr>
        <w:tc>
          <w:tcPr>
            <w:tcW w:w="9067" w:type="dxa"/>
            <w:gridSpan w:val="6"/>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主食库</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31" w:type="dxa"/>
            <w:tcBorders>
              <w:right w:val="doub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米面架</w:t>
            </w:r>
          </w:p>
        </w:tc>
        <w:tc>
          <w:tcPr>
            <w:tcW w:w="488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采用厚度为1.0mm的国标优质不锈钢拉丝板做面板，国标38*38钢方管为四周立柱、管厚度为1.0mm，面板与立柱固定采用全包围焊接技术，承重量为200kg，下配可调子弹腿。1500*500*300mm</w:t>
            </w:r>
          </w:p>
        </w:tc>
        <w:tc>
          <w:tcPr>
            <w:tcW w:w="72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7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474" w:hRule="atLeast"/>
          <w:jc w:val="center"/>
        </w:trPr>
        <w:tc>
          <w:tcPr>
            <w:tcW w:w="9067" w:type="dxa"/>
            <w:gridSpan w:val="6"/>
            <w:vAlign w:val="center"/>
          </w:tcPr>
          <w:p>
            <w:pPr>
              <w:keepNext w:val="0"/>
              <w:keepLines w:val="0"/>
              <w:pageBreakBefore w:val="0"/>
              <w:widowControl w:val="0"/>
              <w:tabs>
                <w:tab w:val="left" w:pos="2255"/>
              </w:tabs>
              <w:kinsoku/>
              <w:wordWrap/>
              <w:overflowPunct/>
              <w:topLinePunct w:val="0"/>
              <w:autoSpaceDE/>
              <w:autoSpaceDN/>
              <w:bidi w:val="0"/>
              <w:adjustRightInd/>
              <w:snapToGrid/>
              <w:spacing w:line="260" w:lineRule="exact"/>
              <w:jc w:val="left"/>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b/>
            </w:r>
            <w:r>
              <w:rPr>
                <w:rFonts w:hint="eastAsia" w:ascii="宋体" w:hAnsi="宋体" w:eastAsia="宋体" w:cs="宋体"/>
                <w:color w:val="000000"/>
                <w:sz w:val="24"/>
                <w:szCs w:val="24"/>
                <w:lang w:val="en-US" w:eastAsia="zh-CN"/>
              </w:rPr>
              <w:t xml:space="preserve">              蒸饭间</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竖插盘双门蒸饭柜（精工款）</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采用国标优质不锈钢拉丝板，面板为1.0mm不锈钢，及1.0mm不锈钢围身、背板、前板组成，隔热性能优良、保温时间长、整体不变形、节能环保；炉脚为底座直径50mm，厚度为1.0mm工业管及可调节子弹脚组成；可定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2、具有自动供水功能；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3、配置：配标准米饭盘及馒头盘（600*400mm）各12个。000*750*1690mm（±5%）</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深槽大单眼水池</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采用国标优质不锈钢拉丝板,槽体厚1.0mm,侧板厚0.8mm，槽深400mm，配厚1.0mm的38*38mm不锈钢管为可调节子弹腿，配直径114mm国标优质不锈钢下水器，负责连接上下水，上水软连接。1100*800*800mm</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高压冲地龙头</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1、材质：由表面静电喷涂优质钢主体+10米长耐压橡胶水管+黄铜泵体等配件组成；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2、配装10米长管和高压喷枪，喷枪喷射出的水距可达8米，且出水状态可根据需要调为线柱/花洒/雾状；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3、安装在墙壁上可节约空间，也可按场地大小自由拉伸管体长度定位并自动回收水管；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4、导向臂：可4个方向定位，可独立安装，容易调整，厚的不锈钢结构，加强筋提高强度；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5、管子：最大压力 300PSI，最大温度 80°C；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6、结实的铜制旋转接头：露在卷盘外，由丁纳橡胶和两个尼龙耐磨垫圈的O型圈保护；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7、可以调整软管止动块；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8、主弹簧：采用弹簧合金，超过25K的拉力测试，轻松及安全的服务；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9、卷盘和基座：不锈钢表面涂上粉末，厚的不锈钢结构，加强筋提高强度；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10、前振机水枪：强大的清洗功能，方便有效的控水能力，自动关闭，蓝色橡胶套。</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挂墙式热水器</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1、产品尺寸：φ465*995mm；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2、额定容量：100L；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3、加热温度范围：30℃-75℃；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4、内胆材质：蓝胆内钻，采用高强度低碳钢板、微粉搪瓷层、高温煅烧蓝涂层三重强化内胆保护，采用无氟聚氨酯整体发泡保护层，使整个内胆严密不留缝，保温效果好；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5、操作方式：机械式旋钮；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6、防水等级：IP*4；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7、加热功率：2.2KW/220V。</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不锈钢排烟罩</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1、材质：采用国标优质不锈钢拉丝板，板厚1.0mm；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2、配置：过滤油箅、白钢油盒、防爆灯罩。3800*1200*500mm</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4.6</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不锈钢排烟罩</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1、材质：采用国标优质不锈钢拉丝板，板厚1.0mm；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2、配置：过滤油箅、白钢油盒、防爆灯罩。1200*1200*500mm</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1.5</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7</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镀锌板管道及法兰</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若管道周长较长，须于管道中间增加支撑杆。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材质：采用国标镀锌板，板厚1.0mm。风管接缝处用密封胶条或防火密封垫,采用密封胶条的，管道接缝处内外两侧都用专用防火密封胶进行二次密封，并做防漏油、漏风处理。500*500mm</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50</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柜式风机</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1、材质：全钢板外壳，双层复式结构；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2、采用多翼式叶轮结构；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3、消声结构蜗舌，降低整机噪声；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4、功率：5.5KW/380V；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5、风量：12000m³/h。</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331" w:type="dxa"/>
            <w:tcBorders>
              <w:right w:val="doub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风机架</w:t>
            </w:r>
          </w:p>
        </w:tc>
        <w:tc>
          <w:tcPr>
            <w:tcW w:w="488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采用50*50国标喷漆角钢，减震底角采用阻尼减震器。与风机配套</w:t>
            </w:r>
          </w:p>
        </w:tc>
        <w:tc>
          <w:tcPr>
            <w:tcW w:w="72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401" w:hRule="atLeast"/>
          <w:jc w:val="center"/>
        </w:trPr>
        <w:tc>
          <w:tcPr>
            <w:tcW w:w="9067" w:type="dxa"/>
            <w:gridSpan w:val="6"/>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烹饪间</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b w:val="0"/>
                <w:bCs w:val="0"/>
                <w:i w:val="0"/>
                <w:iCs w:val="0"/>
                <w:color w:val="auto"/>
                <w:kern w:val="0"/>
                <w:sz w:val="22"/>
                <w:szCs w:val="22"/>
                <w:u w:val="none"/>
                <w:lang w:val="en-US" w:eastAsia="zh-CN" w:bidi="ar"/>
              </w:rPr>
              <w:t>凹面电磁炉（带支架）</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1、凹面电磁炉采用全铜线圈包裹，十一档火力定温，80~280℃温度调控，高强度黑晶面板，功率6kw/220V。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2、机身及支架采用国标优质不锈钢拉丝板,面板厚度为1.0mm，下层为整板，四周采用38*38不锈钢圆管连接，下配可调节子弹腿。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3、配直径50mm炒锅。500*600*800（±5%）</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双层平板工作台</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1800*800*800mm 采用国标优质不锈钢拉丝板,面板厚度为1.0mm，下砧30MM细木工板，四周采用38*38不锈钢方管连接。管厚度为0.8mm，下层为整板，板厚0.8mm，配加固带，能承重150kg物品，下配可调节子弹腿。</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高压冲地龙头</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1、材质：由表面静电喷涂优质钢主体+10米长耐压橡胶水管+黄铜泵体等配件组成；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2、配装10米长管和高压喷枪，喷枪喷射出的水距可达8米，且出水状态可根据需要调为线柱/花洒/雾状；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3、安装在墙壁上可节约空间，也可按场地大小自由拉伸管体长度定位并自动回收水管；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4、导向臂：可4个方向定位，可独立安装，容易调整，厚的不锈钢结构，加强筋提高强度；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5、管子：最大压力 300PSI，最大温度 80°C；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6、结实的铜制旋转接头：露在卷盘外，由丁纳橡胶和两个尼龙耐磨垫圈的O型圈保护；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7、可以调整软管止动块；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8、主弹簧：采用弹簧合金，超过25K的拉力测试，轻松及安全的服务；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9、卷盘和基座：不锈钢表面涂上粉末，厚的不锈钢结构，加强筋提高强度；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10、前振机水枪：强大的清洗功能，方便有效的控水能力，自动关闭，蓝色橡胶套。</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四层平板货架</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1500*500*1550mm 采用国标38*38mm不锈钢方管为四周立柱，管壁厚度为1.0mm，中间采用国标优质不锈钢拉丝板为层板，板厚1.0mm，要求层板与立柱固定采用全包围立柱焊接，不得组装且不可拆卸。加强筋为0.8mm厚优质不锈钢板，每层承重量为120kg，下配可调子弹腿。</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柜式风机</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1、材质：全钢板外壳，双层复式结构；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2、采用多翼式叶轮结构；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3、消声结构蜗舌，降低整机噪声；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4、功率：5.5KW/380V；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5、风量：16000m³/h。</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风机架</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采用50*50国标喷漆角钢，减震底角采用阻尼减震器。与风机配套</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7</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油烟净化器</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1、新型临界高压电源----自适应反馈高压电源，通过外设反馈电容，可分段逐级调压，达到与负载临界匹配状态；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2、利用无外电场核电粉尘平流吸附技术，对油烟分子净化效果达到95%以上；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3、芒刺电晕板和宽极距技术使分子、荷电能力更强，从而达到更好的效果；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4、功率：2KW/220V。16000风量</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油烟净化器支架</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采用50*50国标喷漆角钢，减震底角采用阻尼减震器。与油烟净化器配套</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401" w:hRule="atLeast"/>
          <w:jc w:val="center"/>
        </w:trPr>
        <w:tc>
          <w:tcPr>
            <w:tcW w:w="9067" w:type="dxa"/>
            <w:gridSpan w:val="6"/>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粗加工间</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四层平板货架</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1000*500*1550mm 采用国标38*38mm不锈钢方管为四周立柱，管壁厚度为1.0mm，中间采用国标优质不锈钢拉丝板为层板，板厚1.0mm，要求层板与立柱固定采用全包围立柱焊接，不得组装且不可拆卸。加强筋为0.8mm厚优质不锈钢板，每层承重量为120kg，下配可调子弹腿。</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三槽水池</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1800*700*800mm 采用国标优质不锈钢拉丝板,槽体厚1.0mm,侧板厚0.8mm，槽深250mm，配厚1.0mm的38*38mm不锈钢管为可调节子弹腿，配直径114mm国标优质不锈钢下水器，负责连接上下水，上水软连接。</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挂墙式热水器</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1、产品尺寸：φ465*995mm；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2、额定容量：100L；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3、加热温度范围：30℃-75℃；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4、内胆材质：蓝胆内钻，采用高强度低碳钢板、微粉搪瓷层、高温煅烧蓝涂层三重强化内胆保护，采用无氟聚氨酯整体发泡保护层，使整个内胆严密不留缝，保温效果好；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5、操作方式：机械式旋钮；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6、防水等级：IP*4；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7、加热功率：2.2KW/220V。</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高压冲地龙头</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1、材质：由表面静电喷涂优质钢主体+10米长耐压橡胶水管+黄铜泵体等配件组成；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2、配装10米长管和高压喷枪，喷枪喷射出的水距可达8米，且出水状态可根据需要调为线柱/花洒/雾状；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3、安装在墙壁上可节约空间，也可按场地大小自由拉伸管体长度定位并自动回收水管；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4、导向臂：可4个方向定位，可独立安装，容易调整，厚的不锈钢结构，加强筋提高强度；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5、管子：最大压力 300PSI，最大温度 80°C；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6、结实的铜制旋转接头：露在卷盘外，由丁纳橡胶和两个尼龙耐磨垫圈的O型圈保护；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7、可以调整软管止动块；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8、主弹簧：采用弹簧合金，超过25K的拉力测试，轻松及安全的服务；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9、卷盘和基座：不锈钢表面涂上粉末，厚的不锈钢结构，加强筋提高强度；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10、前振机水枪：强大的清洗功能，方便有效的控水能力，自动关闭，蓝色橡胶套。</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毛刷洗菜机</w:t>
            </w:r>
          </w:p>
        </w:tc>
        <w:tc>
          <w:tcPr>
            <w:tcW w:w="4884" w:type="dxa"/>
            <w:vAlign w:val="top"/>
          </w:tcPr>
          <w:p>
            <w:pPr>
              <w:keepNext w:val="0"/>
              <w:keepLines w:val="0"/>
              <w:widowControl/>
              <w:suppressLineNumbers w:val="0"/>
              <w:jc w:val="left"/>
              <w:textAlignment w:val="top"/>
              <w:rPr>
                <w:rFonts w:hint="default" w:ascii="宋体" w:hAnsi="宋体" w:eastAsia="宋体" w:cs="宋体"/>
                <w:color w:val="000000"/>
                <w:sz w:val="24"/>
                <w:szCs w:val="24"/>
                <w:lang w:val="en-US" w:eastAsia="zh-CN"/>
              </w:rPr>
            </w:pPr>
            <w:r>
              <w:rPr>
                <w:rFonts w:hint="default" w:ascii="Calibri" w:hAnsi="Calibri" w:eastAsia="宋体" w:cs="Calibri"/>
                <w:i w:val="0"/>
                <w:iCs w:val="0"/>
                <w:color w:val="000000"/>
                <w:kern w:val="0"/>
                <w:sz w:val="21"/>
                <w:szCs w:val="21"/>
                <w:u w:val="none"/>
                <w:lang w:val="en-US" w:eastAsia="zh-CN" w:bidi="ar"/>
              </w:rPr>
              <w:t>1270*740*1150mm（±5%）</w:t>
            </w:r>
            <w:r>
              <w:rPr>
                <w:rFonts w:hint="eastAsia" w:ascii="Calibri" w:hAnsi="Calibri" w:eastAsia="宋体" w:cs="Calibri"/>
                <w:i w:val="0"/>
                <w:iCs w:val="0"/>
                <w:color w:val="000000"/>
                <w:kern w:val="0"/>
                <w:sz w:val="21"/>
                <w:szCs w:val="21"/>
                <w:u w:val="none"/>
                <w:lang w:val="en-US" w:eastAsia="zh-CN" w:bidi="ar"/>
              </w:rPr>
              <w:t xml:space="preserve"> </w:t>
            </w:r>
            <w:r>
              <w:rPr>
                <w:rFonts w:hint="default"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、材质：整机采用国标优质不锈钢拉丝板。</w:t>
            </w:r>
            <w:r>
              <w:rPr>
                <w:rFonts w:hint="default" w:ascii="Calibri" w:hAnsi="Calibri" w:eastAsia="宋体" w:cs="Calibri"/>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、结构：整机由不锈钢洗菜槽，不锈钢机架，不锈钢沥渣篮，合资尼龙毛刷，翻转装置，过滤装置及给水部分组成。</w:t>
            </w:r>
            <w:r>
              <w:rPr>
                <w:rFonts w:hint="default" w:ascii="Calibri" w:hAnsi="Calibri" w:eastAsia="宋体" w:cs="Calibri"/>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、原理：物料通过毛刷转动，表面与毛刷充分摩擦，从而达到物料清洗、去皮、抛光等效果。</w:t>
            </w:r>
            <w:r>
              <w:rPr>
                <w:rFonts w:hint="default" w:ascii="Calibri" w:hAnsi="Calibri" w:eastAsia="宋体" w:cs="Calibri"/>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特点：机器底部加装废料收集盘，防止污水皮屑等污染地面。机器通过全新设计把整个机身抬高，电机放置底部，机器下方的废料收集区有足够的空间方便工人清除废料，而新增滤网，可以完全隔开废渣和废水，废渣在滤网上方轻易刮走，而废水在滤网下方自动排走。</w:t>
            </w:r>
            <w:r>
              <w:rPr>
                <w:rFonts w:hint="default" w:ascii="Calibri" w:hAnsi="Calibri" w:eastAsia="宋体" w:cs="Calibri"/>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、毛辊长度：</w:t>
            </w:r>
            <w:r>
              <w:rPr>
                <w:rFonts w:hint="default" w:ascii="Calibri" w:hAnsi="Calibri" w:eastAsia="宋体" w:cs="Calibri"/>
                <w:i w:val="0"/>
                <w:iCs w:val="0"/>
                <w:color w:val="000000"/>
                <w:kern w:val="0"/>
                <w:sz w:val="21"/>
                <w:szCs w:val="21"/>
                <w:u w:val="none"/>
                <w:lang w:val="en-US" w:eastAsia="zh-CN" w:bidi="ar"/>
              </w:rPr>
              <w:t>1000mm</w:t>
            </w:r>
            <w:r>
              <w:rPr>
                <w:rFonts w:hint="eastAsia" w:ascii="宋体" w:hAnsi="宋体" w:eastAsia="宋体" w:cs="宋体"/>
                <w:i w:val="0"/>
                <w:iCs w:val="0"/>
                <w:color w:val="000000"/>
                <w:kern w:val="0"/>
                <w:sz w:val="21"/>
                <w:szCs w:val="21"/>
                <w:u w:val="none"/>
                <w:lang w:val="en-US" w:eastAsia="zh-CN" w:bidi="ar"/>
              </w:rPr>
              <w:t>，毛棍数量：</w:t>
            </w:r>
            <w:r>
              <w:rPr>
                <w:rFonts w:hint="default" w:ascii="Calibri" w:hAnsi="Calibri" w:eastAsia="宋体" w:cs="Calibri"/>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个。</w:t>
            </w:r>
            <w:r>
              <w:rPr>
                <w:rFonts w:hint="default" w:ascii="Calibri" w:hAnsi="Calibri" w:eastAsia="宋体" w:cs="Calibri"/>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、功能：清洗各种根茎类蔬菜水果，如土豆、地瓜、胡萝卜、芋头等。</w:t>
            </w:r>
            <w:r>
              <w:rPr>
                <w:rFonts w:hint="default" w:ascii="Calibri" w:hAnsi="Calibri" w:eastAsia="宋体" w:cs="Calibri"/>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、加工能力：</w:t>
            </w:r>
            <w:r>
              <w:rPr>
                <w:rFonts w:hint="default" w:ascii="Calibri" w:hAnsi="Calibri" w:eastAsia="宋体" w:cs="Calibri"/>
                <w:i w:val="0"/>
                <w:iCs w:val="0"/>
                <w:color w:val="000000"/>
                <w:kern w:val="0"/>
                <w:sz w:val="21"/>
                <w:szCs w:val="21"/>
                <w:u w:val="none"/>
                <w:lang w:val="en-US" w:eastAsia="zh-CN" w:bidi="ar"/>
              </w:rPr>
              <w:t>300-500KG/h8</w:t>
            </w:r>
            <w:r>
              <w:rPr>
                <w:rFonts w:hint="eastAsia" w:ascii="宋体" w:hAnsi="宋体" w:eastAsia="宋体" w:cs="宋体"/>
                <w:i w:val="0"/>
                <w:iCs w:val="0"/>
                <w:color w:val="000000"/>
                <w:kern w:val="0"/>
                <w:sz w:val="21"/>
                <w:szCs w:val="21"/>
                <w:u w:val="none"/>
                <w:lang w:val="en-US" w:eastAsia="zh-CN" w:bidi="ar"/>
              </w:rPr>
              <w:t>、功率：</w:t>
            </w:r>
            <w:r>
              <w:rPr>
                <w:rFonts w:hint="default" w:ascii="Calibri" w:hAnsi="Calibri" w:eastAsia="宋体" w:cs="Calibri"/>
                <w:i w:val="0"/>
                <w:iCs w:val="0"/>
                <w:color w:val="000000"/>
                <w:kern w:val="0"/>
                <w:sz w:val="21"/>
                <w:szCs w:val="21"/>
                <w:u w:val="none"/>
                <w:lang w:val="en-US" w:eastAsia="zh-CN" w:bidi="ar"/>
              </w:rPr>
              <w:t>1.5KW/380V</w:t>
            </w:r>
            <w:r>
              <w:rPr>
                <w:rFonts w:hint="eastAsia" w:ascii="宋体" w:hAnsi="宋体" w:eastAsia="宋体" w:cs="宋体"/>
                <w:i w:val="0"/>
                <w:iCs w:val="0"/>
                <w:color w:val="000000"/>
                <w:kern w:val="0"/>
                <w:sz w:val="21"/>
                <w:szCs w:val="21"/>
                <w:u w:val="none"/>
                <w:lang w:val="en-US" w:eastAsia="zh-CN" w:bidi="ar"/>
              </w:rPr>
              <w:t>。</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双层平板工作台</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1500*800*800mm  采用国标优质不锈钢拉丝板,面板厚度为1.0mm，下砧30MM细木工板，四周采用38*38不锈钢方管连接。管厚度为0.8mm，下层为整板，板厚0.8mm，配加固带，能承重150kg物品，下配可调节子弹腿。</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453" w:hRule="atLeast"/>
          <w:jc w:val="center"/>
        </w:trPr>
        <w:tc>
          <w:tcPr>
            <w:tcW w:w="9067" w:type="dxa"/>
            <w:gridSpan w:val="6"/>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切配间</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双槽水池</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1200*700*800mm 采用国标优质不锈钢拉丝板,槽体厚1.0mm,侧板厚0.8mm，槽深250mm，配厚1.0mm的38*38mm不锈钢管为可调节子弹腿，配直径114mm国标优质不锈钢下水器，负责连接上下水，上水软连接。</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挂墙式热水器</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1、产品尺寸：φ465*995mm；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2、额定容量：100L；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3、加热温度范围：30℃-75℃；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4、内胆材质：蓝胆内钻，采用高强度低碳钢板、微粉搪瓷层、高温煅烧蓝涂层三重强化内胆保护，采用无氟聚氨酯整体发泡保护层，使整个内胆严密不留缝，保温效果好；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5、操作方式：机械式旋钮；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6、防水等级：IP*4；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7、加热功率：2.2KW/220V。</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高压冲地龙头</w:t>
            </w:r>
          </w:p>
        </w:tc>
        <w:tc>
          <w:tcPr>
            <w:tcW w:w="4884"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1、材质：由表面静电喷涂优质钢主体+10米长耐压橡胶水管+黄铜泵体等配件组成；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2、配装10米长管和高压喷枪，喷枪喷射出的水距可达8米，且出水状态可根据需要调为线柱/花洒/雾状；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3、安装在墙壁上可节约空间，也可按场地大小自由拉伸管体长度定位并自动回收水管；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4、导向臂：可4个方向定位，可独立安装，容易调整，厚的不锈钢结构，加强筋提高强度；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5、管子：最大压力 300PSI，最大温度 80°C；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6、结实的铜制旋转接头：露在卷盘外，由丁纳橡胶和两个尼龙耐磨垫圈的O型圈保护；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7、可以调整软管止动块；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8、主弹簧：采用弹簧合金，超过25K的拉力测试，轻松及安全的服务；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9、卷盘和基座：不锈钢表面涂上粉末，厚的不锈钢结构，加强筋提高强度；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10、前振机水枪：强大的清洗功能，方便有效的控水能力，自动关闭，蓝色橡胶套。</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球茎类切菜机</w:t>
            </w:r>
          </w:p>
        </w:tc>
        <w:tc>
          <w:tcPr>
            <w:tcW w:w="4884" w:type="dxa"/>
            <w:vAlign w:val="top"/>
          </w:tcPr>
          <w:p>
            <w:pPr>
              <w:keepNext w:val="0"/>
              <w:keepLines w:val="0"/>
              <w:widowControl/>
              <w:suppressLineNumbers w:val="0"/>
              <w:jc w:val="left"/>
              <w:textAlignment w:val="top"/>
              <w:rPr>
                <w:rFonts w:hint="default" w:ascii="宋体" w:hAnsi="宋体" w:eastAsia="宋体" w:cs="宋体"/>
                <w:color w:val="000000"/>
                <w:sz w:val="24"/>
                <w:szCs w:val="24"/>
                <w:lang w:val="en-US" w:eastAsia="zh-CN"/>
              </w:rPr>
            </w:pPr>
            <w:r>
              <w:rPr>
                <w:rFonts w:hint="default" w:ascii="Calibri" w:hAnsi="Calibri" w:eastAsia="宋体" w:cs="Calibri"/>
                <w:i w:val="0"/>
                <w:iCs w:val="0"/>
                <w:color w:val="000000"/>
                <w:kern w:val="0"/>
                <w:sz w:val="21"/>
                <w:szCs w:val="21"/>
                <w:u w:val="none"/>
                <w:lang w:val="en-US" w:eastAsia="zh-CN" w:bidi="ar"/>
              </w:rPr>
              <w:t>800*500*800mm（±5%）</w:t>
            </w:r>
            <w:r>
              <w:rPr>
                <w:rFonts w:hint="eastAsia" w:ascii="Calibri" w:hAnsi="Calibri" w:eastAsia="宋体" w:cs="Calibri"/>
                <w:i w:val="0"/>
                <w:iCs w:val="0"/>
                <w:color w:val="000000"/>
                <w:kern w:val="0"/>
                <w:sz w:val="21"/>
                <w:szCs w:val="21"/>
                <w:u w:val="none"/>
                <w:lang w:val="en-US" w:eastAsia="zh-CN" w:bidi="ar"/>
              </w:rPr>
              <w:t xml:space="preserve"> </w:t>
            </w:r>
            <w:r>
              <w:rPr>
                <w:rFonts w:hint="default"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、材质：整机采用国标不锈钢板；</w:t>
            </w:r>
            <w:r>
              <w:rPr>
                <w:rFonts w:hint="default" w:ascii="Calibri" w:hAnsi="Calibri" w:eastAsia="宋体" w:cs="Calibri"/>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、特性</w:t>
            </w:r>
            <w:r>
              <w:rPr>
                <w:rFonts w:hint="default" w:ascii="Calibri" w:hAnsi="Calibri" w:eastAsia="宋体" w:cs="Calibri"/>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适用于球茎类蔬菜的加工；</w:t>
            </w:r>
            <w:r>
              <w:rPr>
                <w:rFonts w:hint="default" w:ascii="Calibri" w:hAnsi="Calibri" w:eastAsia="宋体" w:cs="Calibri"/>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、加工能力：</w:t>
            </w:r>
            <w:r>
              <w:rPr>
                <w:rFonts w:hint="default" w:ascii="Calibri" w:hAnsi="Calibri" w:eastAsia="宋体" w:cs="Calibri"/>
                <w:i w:val="0"/>
                <w:iCs w:val="0"/>
                <w:color w:val="000000"/>
                <w:kern w:val="0"/>
                <w:sz w:val="21"/>
                <w:szCs w:val="21"/>
                <w:u w:val="none"/>
                <w:lang w:val="en-US" w:eastAsia="zh-CN" w:bidi="ar"/>
              </w:rPr>
              <w:t>300-500kg/h</w:t>
            </w:r>
            <w:r>
              <w:rPr>
                <w:rFonts w:hint="eastAsia" w:ascii="宋体" w:hAnsi="宋体" w:eastAsia="宋体" w:cs="宋体"/>
                <w:i w:val="0"/>
                <w:iCs w:val="0"/>
                <w:color w:val="000000"/>
                <w:kern w:val="0"/>
                <w:sz w:val="21"/>
                <w:szCs w:val="21"/>
                <w:u w:val="none"/>
                <w:lang w:val="en-US" w:eastAsia="zh-CN" w:bidi="ar"/>
              </w:rPr>
              <w:t>；</w:t>
            </w:r>
            <w:r>
              <w:rPr>
                <w:rFonts w:hint="default" w:ascii="Calibri" w:hAnsi="Calibri" w:eastAsia="宋体" w:cs="Calibri"/>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、产品功能：可切丁、丝、片、等多种花样；</w:t>
            </w:r>
            <w:r>
              <w:rPr>
                <w:rFonts w:hint="default" w:ascii="Calibri" w:hAnsi="Calibri" w:eastAsia="宋体" w:cs="Calibri"/>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、功率：</w:t>
            </w:r>
            <w:r>
              <w:rPr>
                <w:rFonts w:hint="default" w:ascii="Calibri" w:hAnsi="Calibri" w:eastAsia="宋体" w:cs="Calibri"/>
                <w:i w:val="0"/>
                <w:iCs w:val="0"/>
                <w:color w:val="000000"/>
                <w:kern w:val="0"/>
                <w:sz w:val="21"/>
                <w:szCs w:val="21"/>
                <w:u w:val="none"/>
                <w:lang w:val="en-US" w:eastAsia="zh-CN" w:bidi="ar"/>
              </w:rPr>
              <w:t>0.75KW/220V</w:t>
            </w:r>
            <w:r>
              <w:rPr>
                <w:rFonts w:hint="eastAsia" w:ascii="宋体" w:hAnsi="宋体" w:eastAsia="宋体" w:cs="宋体"/>
                <w:i w:val="0"/>
                <w:iCs w:val="0"/>
                <w:color w:val="000000"/>
                <w:kern w:val="0"/>
                <w:sz w:val="21"/>
                <w:szCs w:val="21"/>
                <w:u w:val="none"/>
                <w:lang w:val="en-US" w:eastAsia="zh-CN" w:bidi="ar"/>
              </w:rPr>
              <w:t>。</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331" w:type="dxa"/>
            <w:tcBorders>
              <w:right w:val="doub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叶菜类单切机</w:t>
            </w:r>
          </w:p>
        </w:tc>
        <w:tc>
          <w:tcPr>
            <w:tcW w:w="4884" w:type="dxa"/>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1"/>
                <w:szCs w:val="21"/>
                <w:u w:val="none"/>
                <w:lang w:val="en-US" w:eastAsia="zh-CN" w:bidi="ar"/>
              </w:rPr>
              <w:t>1160*530*1300mm（±5%）</w:t>
            </w:r>
            <w:r>
              <w:rPr>
                <w:rFonts w:hint="eastAsia" w:ascii="Calibri" w:hAnsi="Calibri" w:eastAsia="宋体" w:cs="Calibri"/>
                <w:i w:val="0"/>
                <w:iCs w:val="0"/>
                <w:color w:val="000000"/>
                <w:kern w:val="0"/>
                <w:sz w:val="21"/>
                <w:szCs w:val="21"/>
                <w:u w:val="none"/>
                <w:lang w:val="en-US" w:eastAsia="zh-CN" w:bidi="ar"/>
              </w:rPr>
              <w:t xml:space="preserve"> </w:t>
            </w:r>
            <w:r>
              <w:rPr>
                <w:rFonts w:hint="default"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、材质：整机采用国标不锈钢板；</w:t>
            </w:r>
            <w:r>
              <w:rPr>
                <w:rFonts w:hint="default" w:ascii="Calibri" w:hAnsi="Calibri" w:eastAsia="宋体" w:cs="Calibri"/>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、特性</w:t>
            </w:r>
            <w:r>
              <w:rPr>
                <w:rFonts w:hint="default" w:ascii="Calibri" w:hAnsi="Calibri" w:eastAsia="宋体" w:cs="Calibri"/>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适用于叶菜类蔬菜的加工；</w:t>
            </w:r>
            <w:r>
              <w:rPr>
                <w:rFonts w:hint="default" w:ascii="Calibri" w:hAnsi="Calibri" w:eastAsia="宋体" w:cs="Calibri"/>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、加工能力：</w:t>
            </w:r>
            <w:r>
              <w:rPr>
                <w:rFonts w:hint="default" w:ascii="Calibri" w:hAnsi="Calibri" w:eastAsia="宋体" w:cs="Calibri"/>
                <w:i w:val="0"/>
                <w:iCs w:val="0"/>
                <w:color w:val="000000"/>
                <w:kern w:val="0"/>
                <w:sz w:val="21"/>
                <w:szCs w:val="21"/>
                <w:u w:val="none"/>
                <w:lang w:val="en-US" w:eastAsia="zh-CN" w:bidi="ar"/>
              </w:rPr>
              <w:t>300-1000kg/h</w:t>
            </w:r>
            <w:r>
              <w:rPr>
                <w:rFonts w:hint="eastAsia" w:ascii="宋体" w:hAnsi="宋体" w:eastAsia="宋体" w:cs="宋体"/>
                <w:i w:val="0"/>
                <w:iCs w:val="0"/>
                <w:color w:val="000000"/>
                <w:kern w:val="0"/>
                <w:sz w:val="21"/>
                <w:szCs w:val="21"/>
                <w:u w:val="none"/>
                <w:lang w:val="en-US" w:eastAsia="zh-CN" w:bidi="ar"/>
              </w:rPr>
              <w:t>；</w:t>
            </w:r>
            <w:r>
              <w:rPr>
                <w:rFonts w:hint="default" w:ascii="Calibri" w:hAnsi="Calibri" w:eastAsia="宋体" w:cs="Calibri"/>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、产品功能：可切段、丝、切碎、等多种花样；</w:t>
            </w:r>
            <w:r>
              <w:rPr>
                <w:rFonts w:hint="default" w:ascii="Calibri" w:hAnsi="Calibri" w:eastAsia="宋体" w:cs="Calibri"/>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、功率：</w:t>
            </w:r>
            <w:r>
              <w:rPr>
                <w:rFonts w:hint="default" w:ascii="Calibri" w:hAnsi="Calibri" w:eastAsia="宋体" w:cs="Calibri"/>
                <w:i w:val="0"/>
                <w:iCs w:val="0"/>
                <w:color w:val="000000"/>
                <w:kern w:val="0"/>
                <w:sz w:val="21"/>
                <w:szCs w:val="21"/>
                <w:u w:val="none"/>
                <w:lang w:val="en-US" w:eastAsia="zh-CN" w:bidi="ar"/>
              </w:rPr>
              <w:t>2.22KW/220V</w:t>
            </w:r>
            <w:r>
              <w:rPr>
                <w:rFonts w:hint="eastAsia" w:ascii="宋体" w:hAnsi="宋体" w:eastAsia="宋体" w:cs="宋体"/>
                <w:i w:val="0"/>
                <w:iCs w:val="0"/>
                <w:color w:val="000000"/>
                <w:kern w:val="0"/>
                <w:sz w:val="21"/>
                <w:szCs w:val="21"/>
                <w:u w:val="none"/>
                <w:lang w:val="en-US" w:eastAsia="zh-CN" w:bidi="ar"/>
              </w:rPr>
              <w:t>。</w:t>
            </w:r>
          </w:p>
        </w:tc>
        <w:tc>
          <w:tcPr>
            <w:tcW w:w="72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331" w:type="dxa"/>
            <w:tcBorders>
              <w:right w:val="doub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双层平板工作台</w:t>
            </w:r>
          </w:p>
        </w:tc>
        <w:tc>
          <w:tcPr>
            <w:tcW w:w="488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1500*800*800mm 采用国标优质不锈钢拉丝板,面板厚度为1.0mm，下砧30MM细木工板，四周采用38*38不锈钢方管连接。管厚度为0.8mm，下层为整板，板厚0.8mm，配加固带，能承重150kg物品，下配可调节子弹腿。</w:t>
            </w:r>
          </w:p>
        </w:tc>
        <w:tc>
          <w:tcPr>
            <w:tcW w:w="72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331" w:type="dxa"/>
            <w:tcBorders>
              <w:right w:val="doub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一次性切肉丝机</w:t>
            </w:r>
          </w:p>
        </w:tc>
        <w:tc>
          <w:tcPr>
            <w:tcW w:w="4884" w:type="dxa"/>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1"/>
                <w:szCs w:val="21"/>
                <w:u w:val="none"/>
                <w:lang w:val="en-US" w:eastAsia="zh-CN" w:bidi="ar"/>
              </w:rPr>
              <w:t>690*690*910mm（±5%）</w:t>
            </w:r>
            <w:r>
              <w:rPr>
                <w:rFonts w:hint="eastAsia" w:ascii="Calibri" w:hAnsi="Calibri" w:eastAsia="宋体" w:cs="Calibri"/>
                <w:i w:val="0"/>
                <w:iCs w:val="0"/>
                <w:color w:val="000000"/>
                <w:kern w:val="0"/>
                <w:sz w:val="21"/>
                <w:szCs w:val="21"/>
                <w:u w:val="none"/>
                <w:lang w:val="en-US" w:eastAsia="zh-CN" w:bidi="ar"/>
              </w:rPr>
              <w:t xml:space="preserve"> </w:t>
            </w:r>
            <w:r>
              <w:rPr>
                <w:rFonts w:hint="default"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、材质：整机不锈钢；</w:t>
            </w:r>
            <w:r>
              <w:rPr>
                <w:rFonts w:hint="default" w:ascii="Calibri" w:hAnsi="Calibri" w:eastAsia="宋体" w:cs="Calibri"/>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、用途：一次性切成肉丝；</w:t>
            </w:r>
            <w:r>
              <w:rPr>
                <w:rFonts w:hint="default" w:ascii="Calibri" w:hAnsi="Calibri" w:eastAsia="宋体" w:cs="Calibri"/>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、切丝厚度：</w:t>
            </w:r>
            <w:r>
              <w:rPr>
                <w:rFonts w:hint="default" w:ascii="Calibri" w:hAnsi="Calibri" w:eastAsia="宋体" w:cs="Calibri"/>
                <w:i w:val="0"/>
                <w:iCs w:val="0"/>
                <w:color w:val="000000"/>
                <w:kern w:val="0"/>
                <w:sz w:val="21"/>
                <w:szCs w:val="21"/>
                <w:u w:val="none"/>
                <w:lang w:val="en-US" w:eastAsia="zh-CN" w:bidi="ar"/>
              </w:rPr>
              <w:t>3.5mm</w:t>
            </w:r>
            <w:r>
              <w:rPr>
                <w:rFonts w:hint="eastAsia" w:ascii="宋体" w:hAnsi="宋体" w:eastAsia="宋体" w:cs="宋体"/>
                <w:i w:val="0"/>
                <w:iCs w:val="0"/>
                <w:color w:val="000000"/>
                <w:kern w:val="0"/>
                <w:sz w:val="21"/>
                <w:szCs w:val="21"/>
                <w:u w:val="none"/>
                <w:lang w:val="en-US" w:eastAsia="zh-CN" w:bidi="ar"/>
              </w:rPr>
              <w:t>；</w:t>
            </w:r>
            <w:r>
              <w:rPr>
                <w:rFonts w:hint="default" w:ascii="Calibri" w:hAnsi="Calibri" w:eastAsia="宋体" w:cs="Calibri"/>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、加工量：</w:t>
            </w:r>
            <w:r>
              <w:rPr>
                <w:rFonts w:hint="default" w:ascii="Calibri" w:hAnsi="Calibri" w:eastAsia="宋体" w:cs="Calibri"/>
                <w:i w:val="0"/>
                <w:iCs w:val="0"/>
                <w:color w:val="000000"/>
                <w:kern w:val="0"/>
                <w:sz w:val="21"/>
                <w:szCs w:val="21"/>
                <w:u w:val="none"/>
                <w:lang w:val="en-US" w:eastAsia="zh-CN" w:bidi="ar"/>
              </w:rPr>
              <w:t>350KG/H</w:t>
            </w:r>
            <w:r>
              <w:rPr>
                <w:rFonts w:hint="eastAsia" w:ascii="宋体" w:hAnsi="宋体" w:eastAsia="宋体" w:cs="宋体"/>
                <w:i w:val="0"/>
                <w:iCs w:val="0"/>
                <w:color w:val="000000"/>
                <w:kern w:val="0"/>
                <w:sz w:val="21"/>
                <w:szCs w:val="21"/>
                <w:u w:val="none"/>
                <w:lang w:val="en-US" w:eastAsia="zh-CN" w:bidi="ar"/>
              </w:rPr>
              <w:t>；</w:t>
            </w:r>
            <w:r>
              <w:rPr>
                <w:rFonts w:hint="default" w:ascii="Calibri" w:hAnsi="Calibri" w:eastAsia="宋体" w:cs="Calibri"/>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、功率：</w:t>
            </w:r>
            <w:r>
              <w:rPr>
                <w:rFonts w:hint="default" w:ascii="Calibri" w:hAnsi="Calibri" w:eastAsia="宋体" w:cs="Calibri"/>
                <w:i w:val="0"/>
                <w:iCs w:val="0"/>
                <w:color w:val="000000"/>
                <w:kern w:val="0"/>
                <w:sz w:val="21"/>
                <w:szCs w:val="21"/>
                <w:u w:val="none"/>
                <w:lang w:val="en-US" w:eastAsia="zh-CN" w:bidi="ar"/>
              </w:rPr>
              <w:t>1.1KW/380V</w:t>
            </w:r>
            <w:r>
              <w:rPr>
                <w:rFonts w:hint="eastAsia" w:ascii="宋体" w:hAnsi="宋体" w:eastAsia="宋体" w:cs="宋体"/>
                <w:i w:val="0"/>
                <w:iCs w:val="0"/>
                <w:color w:val="000000"/>
                <w:kern w:val="0"/>
                <w:sz w:val="21"/>
                <w:szCs w:val="21"/>
                <w:u w:val="none"/>
                <w:lang w:val="en-US" w:eastAsia="zh-CN" w:bidi="ar"/>
              </w:rPr>
              <w:t>。</w:t>
            </w:r>
          </w:p>
        </w:tc>
        <w:tc>
          <w:tcPr>
            <w:tcW w:w="72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331" w:type="dxa"/>
            <w:tcBorders>
              <w:right w:val="doub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双层平板工作台</w:t>
            </w:r>
          </w:p>
        </w:tc>
        <w:tc>
          <w:tcPr>
            <w:tcW w:w="488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1800*700*800mm 采用国标优质不锈钢拉丝板,面板厚度为1.0mm，下砧30MM细木工板，四周采用38*38不锈钢方管连接。管厚度为0.8mm，下层为整板，板厚0.8mm，配加固带，能承重150kg物品，下配可调节子弹腿。</w:t>
            </w:r>
          </w:p>
        </w:tc>
        <w:tc>
          <w:tcPr>
            <w:tcW w:w="72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422" w:hRule="atLeast"/>
          <w:jc w:val="center"/>
        </w:trPr>
        <w:tc>
          <w:tcPr>
            <w:tcW w:w="9067" w:type="dxa"/>
            <w:gridSpan w:val="6"/>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备餐间</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双层平板工作台</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1800*800*800mm 采用国标优质不锈钢拉丝板,面板厚度为1.0mm，下砧30MM细木工板，四周采用38*38不锈钢方管连接。管厚度为0.8mm，下层为整板，板厚0.8mm，配加固带，能承重150kg物品，下配可调节子弹腿。</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双层平板工作台</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1400*800*800mm 采用国标优质不锈钢拉丝板,面板厚度为1.0mm，下砧30MM细木工板，四周采用38*38不锈钢方管连接。管厚度为0.8mm，下层为整板，板厚0.8mm，配加固带，能承重150kg物品，下配可调节子弹腿。</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单门留样柜</w:t>
            </w:r>
          </w:p>
        </w:tc>
        <w:tc>
          <w:tcPr>
            <w:tcW w:w="488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600*800*1980mm（±5%） </w:t>
            </w:r>
          </w:p>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1、有效容积：409L；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2、温度范围：冷藏：+2~+8℃；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3、不锈钢机身，使用寿命长，经久耐用，维修方便；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4、大风扇智能温控，实现短时间内快速降温；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5、通过70万次开关门试验，经久耐用；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6、45°内凭冰箱门的自重自动关门；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7、可拆卸门封条，拆装方便，清洁、替换都非常简单；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8、门框内藏加热丝, 避免结露；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9、箱体内圆弧形角落设计, 日常维护不留死角；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10、无门把手突出，确保通道空间；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11、制冷剂：冷藏：R134a；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12、隔热材料发泡剂：环戊烷；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13、功率：不小于180W/220V。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14、带双锁</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481" w:hRule="atLeast"/>
          <w:jc w:val="center"/>
        </w:trPr>
        <w:tc>
          <w:tcPr>
            <w:tcW w:w="9067" w:type="dxa"/>
            <w:gridSpan w:val="6"/>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储碗间</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31" w:type="dxa"/>
            <w:tcBorders>
              <w:right w:val="doub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四门碗柜</w:t>
            </w:r>
          </w:p>
        </w:tc>
        <w:tc>
          <w:tcPr>
            <w:tcW w:w="488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1200*530*1800mm 采用国标优质不锈钢拉丝板，门板厚1.0mm，侧板厚0.8mm,内侧横板厚1.0mm，后侧板厚0.8mm，拉门为无噪音无轨滑道的拉门,配四个门。</w:t>
            </w:r>
          </w:p>
        </w:tc>
        <w:tc>
          <w:tcPr>
            <w:tcW w:w="72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7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572" w:hRule="atLeast"/>
          <w:jc w:val="center"/>
        </w:trPr>
        <w:tc>
          <w:tcPr>
            <w:tcW w:w="9067" w:type="dxa"/>
            <w:gridSpan w:val="6"/>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洗碗间</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深槽大单眼水池</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1200*800*800mm 采用国标优质不锈钢拉丝板,槽体厚1.0mm,侧板厚0.8mm，槽深400mm，配厚1.0mm的38*38mm不锈钢管为可调节子弹腿，配直径114mm国标优质不锈钢下水器，负责连接上下水，上水软连接。</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挂墙式热水器</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1、产品尺寸：φ465*995mm；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2、额定容量：100L；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3、加热温度范围：30℃-75℃；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4、内胆材质：蓝胆内钻，采用高强度低碳钢板、微粉搪瓷层、高温煅烧蓝涂层三重强化内胆保护，采用无氟聚氨酯整体发泡保护层，使整个内胆严密不留缝，保温效果好；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5、操作方式：机械式旋钮；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6、防水等级：IP*4；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7、加热功率：2.2KW/220V。</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超声波洗碗机</w:t>
            </w:r>
          </w:p>
        </w:tc>
        <w:tc>
          <w:tcPr>
            <w:tcW w:w="4884" w:type="dxa"/>
            <w:vAlign w:val="top"/>
          </w:tcPr>
          <w:p>
            <w:pPr>
              <w:keepNext w:val="0"/>
              <w:keepLines w:val="0"/>
              <w:widowControl/>
              <w:suppressLineNumbers w:val="0"/>
              <w:jc w:val="left"/>
              <w:textAlignment w:val="top"/>
              <w:rPr>
                <w:rFonts w:hint="default" w:ascii="宋体" w:hAnsi="宋体" w:eastAsia="宋体" w:cs="宋体"/>
                <w:color w:val="000000"/>
                <w:sz w:val="24"/>
                <w:szCs w:val="24"/>
                <w:lang w:val="en-US" w:eastAsia="zh-CN"/>
              </w:rPr>
            </w:pPr>
            <w:r>
              <w:rPr>
                <w:rFonts w:hint="default" w:ascii="Calibri" w:hAnsi="Calibri" w:eastAsia="宋体" w:cs="Calibri"/>
                <w:i w:val="0"/>
                <w:iCs w:val="0"/>
                <w:color w:val="000000"/>
                <w:kern w:val="0"/>
                <w:sz w:val="21"/>
                <w:szCs w:val="21"/>
                <w:u w:val="none"/>
                <w:lang w:val="en-US" w:eastAsia="zh-CN" w:bidi="ar"/>
              </w:rPr>
              <w:t>1500*800*800mm（±5%）1</w:t>
            </w:r>
            <w:r>
              <w:rPr>
                <w:rFonts w:hint="eastAsia" w:ascii="宋体" w:hAnsi="宋体" w:eastAsia="宋体" w:cs="宋体"/>
                <w:i w:val="0"/>
                <w:iCs w:val="0"/>
                <w:color w:val="000000"/>
                <w:kern w:val="0"/>
                <w:sz w:val="21"/>
                <w:szCs w:val="21"/>
                <w:u w:val="none"/>
                <w:lang w:val="en-US" w:eastAsia="zh-CN" w:bidi="ar"/>
              </w:rPr>
              <w:t>、整机采用国标优质不锈钢制作。</w:t>
            </w:r>
            <w:r>
              <w:rPr>
                <w:rFonts w:hint="default" w:ascii="Calibri" w:hAnsi="Calibri" w:eastAsia="宋体" w:cs="Calibri"/>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、机械按键式控制面板，简单可靠，减少误操作。</w:t>
            </w:r>
            <w:r>
              <w:rPr>
                <w:rFonts w:hint="default" w:ascii="Calibri" w:hAnsi="Calibri" w:eastAsia="宋体" w:cs="Calibri"/>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、配加粗加厚加热管，可加热水温，宽频共振的振头能适应高温，电转声场高达</w:t>
            </w:r>
            <w:r>
              <w:rPr>
                <w:rFonts w:hint="default" w:ascii="Calibri" w:hAnsi="Calibri" w:eastAsia="宋体" w:cs="Calibri"/>
                <w:i w:val="0"/>
                <w:iCs w:val="0"/>
                <w:color w:val="000000"/>
                <w:kern w:val="0"/>
                <w:sz w:val="21"/>
                <w:szCs w:val="21"/>
                <w:u w:val="none"/>
                <w:lang w:val="en-US" w:eastAsia="zh-CN" w:bidi="ar"/>
              </w:rPr>
              <w:t>85%</w:t>
            </w:r>
            <w:r>
              <w:rPr>
                <w:rFonts w:hint="eastAsia" w:ascii="宋体" w:hAnsi="宋体" w:eastAsia="宋体" w:cs="宋体"/>
                <w:i w:val="0"/>
                <w:iCs w:val="0"/>
                <w:color w:val="000000"/>
                <w:kern w:val="0"/>
                <w:sz w:val="21"/>
                <w:szCs w:val="21"/>
                <w:u w:val="none"/>
                <w:lang w:val="en-US" w:eastAsia="zh-CN" w:bidi="ar"/>
              </w:rPr>
              <w:t>。</w:t>
            </w:r>
            <w:r>
              <w:rPr>
                <w:rFonts w:hint="default" w:ascii="Calibri" w:hAnsi="Calibri" w:eastAsia="宋体" w:cs="Calibri"/>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、高频超声波震头，清洗快，噪声低，超声波冲击，使油污分离，不留水印。</w:t>
            </w:r>
            <w:r>
              <w:rPr>
                <w:rFonts w:hint="default" w:ascii="Calibri" w:hAnsi="Calibri" w:eastAsia="宋体" w:cs="Calibri"/>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、具有频率自动跟踪扫描功能，与发生器、换成器电容阻抗频率相匹配，提高整机的稳定性。</w:t>
            </w:r>
            <w:r>
              <w:rPr>
                <w:rFonts w:hint="default" w:ascii="Calibri" w:hAnsi="Calibri" w:eastAsia="宋体" w:cs="Calibri"/>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、具有清洗消毒、除农药残留功能。</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高压冲地龙头</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1、材质：由表面静电喷涂优质钢主体+10米长耐压橡胶水管+黄铜泵体等配件组成；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2、配装10米长管和高压喷枪，喷枪喷射出的水距可达8米，且出水状态可根据需要调为线柱/花洒/雾状；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3、安装在墙壁上可节约空间，也可按场地大小自由拉伸管体长度定位并自动回收水管；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4、导向臂：可4个方向定位，可独立安装，容易调整，厚的不锈钢结构，加强筋提高强度；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5、管子：最大压力 300PSI，最大温度 80°C；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6、结实的铜制旋转接头：露在卷盘外，由丁纳橡胶和两个尼龙耐磨垫圈的O型圈保护；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7、可以调整软管止动块；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8、主弹簧：采用弹簧合金，超过25K的拉力测试，轻松及安全的服务；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9、卷盘和基座：不锈钢表面涂上粉末，厚的不锈钢结构，加强筋提高强度；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10、前振机水枪：强大的清洗功能，方便有效的控水能力，自动关闭，蓝色橡胶套。</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561" w:hRule="atLeast"/>
          <w:jc w:val="center"/>
        </w:trPr>
        <w:tc>
          <w:tcPr>
            <w:tcW w:w="9067" w:type="dxa"/>
            <w:gridSpan w:val="6"/>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消毒库</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31" w:type="dxa"/>
            <w:tcBorders>
              <w:right w:val="doub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高温消毒库</w:t>
            </w:r>
          </w:p>
        </w:tc>
        <w:tc>
          <w:tcPr>
            <w:tcW w:w="488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4500*4000*2500mm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1.库体双面采用厚为0.5mm的不锈钢板制作，库体100mm厚，保温板经复合压制而成拼接成形。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2.地板（面积：28.42㎡）加铺3.0厚铝板，防止湿滑，更加人性化。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3.库内配防水、防潮灯6个；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4.安装辅件：耐高温离心风机、加热管、配电箱、丝杆、花篮螺丝、高温硅胶等等。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5.控制箱面板上装有温度显示设定，消毒保温时间设定、及风机加热启动停止等操作按钮，操作方便；消毒温度、时间可控、数字显示、直观准确；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6.该设备利用循环热风对洗净的餐器具进行杀菌、消毒，循环热风使库体内的各点温度保持一致，该设备并具有烘干、贮存等功效；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7.此设备具备容量大、适用性强、升温快、造价低、体积可根据客户要求和实际空间而制作等优点；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8.消毒温度在100℃±5℃，消毒时间15分钟以上。6000人的餐具用此消毒设备一套即可达到消毒与存储一体功能；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9.安全保护：故障报警、超温保护、电源故障保护；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10.满足建设单位使用需求。</w:t>
            </w:r>
          </w:p>
        </w:tc>
        <w:tc>
          <w:tcPr>
            <w:tcW w:w="72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7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m³</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331" w:type="dxa"/>
            <w:tcBorders>
              <w:right w:val="doub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消毒车</w:t>
            </w:r>
          </w:p>
        </w:tc>
        <w:tc>
          <w:tcPr>
            <w:tcW w:w="488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850*600*1450mm 采用国标优质不锈钢拉丝板，厚度1.0mm，骨架1.5mm*38*38不锈钢拉丝管制作，前后轮为万向滑轮。</w:t>
            </w:r>
          </w:p>
        </w:tc>
        <w:tc>
          <w:tcPr>
            <w:tcW w:w="72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7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331" w:type="dxa"/>
            <w:tcBorders>
              <w:right w:val="doub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保温餐桶架</w:t>
            </w:r>
          </w:p>
        </w:tc>
        <w:tc>
          <w:tcPr>
            <w:tcW w:w="488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1500*600*1600mm 采用国标38*38mm不锈钢方管为四周立柱，管壁厚度为1.0mm，中间采用国标优质不锈钢拉丝板为层板，板厚1.0mm，要求层板与立柱固定采用全包围立柱焊接，不得组装且不可拆卸。加强筋为0.8mm厚优质不锈钢板，每层承重量为120kg，下配万向轮。</w:t>
            </w:r>
          </w:p>
        </w:tc>
        <w:tc>
          <w:tcPr>
            <w:tcW w:w="72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7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9067" w:type="dxa"/>
            <w:gridSpan w:val="6"/>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其他</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31" w:type="dxa"/>
            <w:tcBorders>
              <w:right w:val="doub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紫外线消毒灯</w:t>
            </w:r>
          </w:p>
        </w:tc>
        <w:tc>
          <w:tcPr>
            <w:tcW w:w="488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φ28*1198mm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1、高效率杀菌:紫外线对细菌、病毒的杀菌使用在一内即可达到99%－99.9%的杀菌率；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2、紫外线输出范围：200-275nm；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3、功率：100W/220V。</w:t>
            </w:r>
          </w:p>
        </w:tc>
        <w:tc>
          <w:tcPr>
            <w:tcW w:w="72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7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331" w:type="dxa"/>
            <w:tcBorders>
              <w:right w:val="doub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风淋室</w:t>
            </w:r>
          </w:p>
        </w:tc>
        <w:tc>
          <w:tcPr>
            <w:tcW w:w="488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1240*1000*2100mm（±5%） 采用国标优质不锈钢板，单人双吹，自动吹淋，双门互锁，配备红外感应器，不锈钢把手，内置式闭门器，智能控制面板，防腐耐用。功率：1.1KW/220V。</w:t>
            </w:r>
          </w:p>
        </w:tc>
        <w:tc>
          <w:tcPr>
            <w:tcW w:w="72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331" w:type="dxa"/>
            <w:tcBorders>
              <w:right w:val="doub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平板车</w:t>
            </w:r>
          </w:p>
        </w:tc>
        <w:tc>
          <w:tcPr>
            <w:tcW w:w="488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900*600*800mm 采用国标优质不锈钢拉丝板，板厚1.0mm，骨架38*38不锈钢管，管厚1.0mm，前后轮为万向滑轮，承重300kg以上。</w:t>
            </w:r>
          </w:p>
        </w:tc>
        <w:tc>
          <w:tcPr>
            <w:tcW w:w="72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7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331" w:type="dxa"/>
            <w:tcBorders>
              <w:right w:val="doub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地秤</w:t>
            </w:r>
          </w:p>
        </w:tc>
        <w:tc>
          <w:tcPr>
            <w:tcW w:w="488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1、秤台采用花纹钢制造，更牢固结实；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2、秤体可推动滑行，方便移动；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3、充电后电量可正常使用1-2个月；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4、仪表外壳密封性好，可防滴水，防护等级为IP63；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5、采用高分辨率之传感器制造，精确度高，最高可达1/15000；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6、称量分度：100kg/100g；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7、显示分度值可根据用户需要自行切换；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8、液晶电子秤具LED背光功能。</w:t>
            </w:r>
          </w:p>
        </w:tc>
        <w:tc>
          <w:tcPr>
            <w:tcW w:w="72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331" w:type="dxa"/>
            <w:tcBorders>
              <w:right w:val="doub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手持电动打蛋器</w:t>
            </w:r>
          </w:p>
        </w:tc>
        <w:tc>
          <w:tcPr>
            <w:tcW w:w="488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180*（95+168）mm 三档控速，大电池续航，无线便携，不锈钢材质不易生锈不脱落。</w:t>
            </w:r>
          </w:p>
        </w:tc>
        <w:tc>
          <w:tcPr>
            <w:tcW w:w="72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7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331" w:type="dxa"/>
            <w:tcBorders>
              <w:right w:val="doub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冷热水龙头</w:t>
            </w:r>
          </w:p>
        </w:tc>
        <w:tc>
          <w:tcPr>
            <w:tcW w:w="488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孔径：22mm*2，孔距203mm 台面立式，高度不小于300mm 出水孔高度195mm，出水孔中心距170mm，可360度旋转出水管，本体和起泡器采用精铜制造，高端陶瓷阀芯，表面镀铬，优质不锈钢编织软管。</w:t>
            </w:r>
          </w:p>
        </w:tc>
        <w:tc>
          <w:tcPr>
            <w:tcW w:w="72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7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542" w:hRule="atLeast"/>
          <w:jc w:val="center"/>
        </w:trPr>
        <w:tc>
          <w:tcPr>
            <w:tcW w:w="9067" w:type="dxa"/>
            <w:gridSpan w:val="6"/>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厨杂设备</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不锈钢餐盘</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四格方盘，3042B不锈钢材质，加厚。深不小于2.5CM。亚光。253*207mm</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3700</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不锈钢勺</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3042B不锈钢材质，长把加厚。长</w:t>
            </w:r>
            <w:r>
              <w:rPr>
                <w:rFonts w:hint="default" w:ascii="Arial" w:hAnsi="Arial" w:eastAsia="宋体" w:cs="Arial"/>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203mm</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3700</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675"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不锈钢手勺</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不锈钢材质，8两重。</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300</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把</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饭板子</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不锈钢材质，长把。220*90*4mm</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80</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30钢盆</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不锈钢，板厚1.0mm 直径300mm</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30</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40钢盆</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不锈钢，板厚1.0mm 直径400mm</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30</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7</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50钢盆</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不锈钢，板厚1.0mm 直径500mm</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30</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60钢盆</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不锈钢，板厚1.0mm 直径600mm</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9</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70钢盆</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不锈钢，板厚1.0mm 直径700mm</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30漏眼钢盆</w:t>
            </w:r>
          </w:p>
        </w:tc>
        <w:tc>
          <w:tcPr>
            <w:tcW w:w="4884" w:type="dxa"/>
            <w:vAlign w:val="center"/>
          </w:tcPr>
          <w:p>
            <w:pPr>
              <w:keepNext w:val="0"/>
              <w:keepLines w:val="0"/>
              <w:widowControl/>
              <w:suppressLineNumbers w:val="0"/>
              <w:jc w:val="left"/>
              <w:textAlignment w:val="center"/>
              <w:rPr>
                <w:rFonts w:hint="default" w:ascii="宋体" w:hAnsi="宋体" w:eastAsia="宋体" w:cs="宋体"/>
                <w:b/>
                <w:bCs/>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不锈钢，板厚1.0mm 直径300mm</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11</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40漏眼钢盆</w:t>
            </w:r>
          </w:p>
        </w:tc>
        <w:tc>
          <w:tcPr>
            <w:tcW w:w="4884" w:type="dxa"/>
            <w:vAlign w:val="center"/>
          </w:tcPr>
          <w:p>
            <w:pPr>
              <w:keepNext w:val="0"/>
              <w:keepLines w:val="0"/>
              <w:widowControl/>
              <w:suppressLineNumbers w:val="0"/>
              <w:jc w:val="left"/>
              <w:textAlignment w:val="center"/>
              <w:rPr>
                <w:rFonts w:hint="default" w:ascii="宋体" w:hAnsi="宋体" w:eastAsia="宋体" w:cs="宋体"/>
                <w:b/>
                <w:bCs/>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不锈钢，板厚1.0mm 直径400mm</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12</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50漏眼钢盆</w:t>
            </w:r>
          </w:p>
        </w:tc>
        <w:tc>
          <w:tcPr>
            <w:tcW w:w="4884" w:type="dxa"/>
            <w:vAlign w:val="center"/>
          </w:tcPr>
          <w:p>
            <w:pPr>
              <w:keepNext w:val="0"/>
              <w:keepLines w:val="0"/>
              <w:widowControl/>
              <w:suppressLineNumbers w:val="0"/>
              <w:jc w:val="left"/>
              <w:textAlignment w:val="center"/>
              <w:rPr>
                <w:rFonts w:hint="default" w:ascii="宋体" w:hAnsi="宋体" w:eastAsia="宋体" w:cs="宋体"/>
                <w:b/>
                <w:bCs/>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不锈钢，板厚1.0mm 直径500mm</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13</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60漏眼钢盆</w:t>
            </w:r>
          </w:p>
        </w:tc>
        <w:tc>
          <w:tcPr>
            <w:tcW w:w="4884" w:type="dxa"/>
            <w:vAlign w:val="center"/>
          </w:tcPr>
          <w:p>
            <w:pPr>
              <w:keepNext w:val="0"/>
              <w:keepLines w:val="0"/>
              <w:widowControl/>
              <w:suppressLineNumbers w:val="0"/>
              <w:jc w:val="left"/>
              <w:textAlignment w:val="center"/>
              <w:rPr>
                <w:rFonts w:hint="default" w:ascii="宋体" w:hAnsi="宋体" w:eastAsia="宋体" w:cs="宋体"/>
                <w:b/>
                <w:bCs/>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不锈钢，板厚1.0mm 直径600mm</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14</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70漏眼钢盆</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不锈钢，板厚1.0mm 直径700mm</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15</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桑刀</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优质烙钢，免磨 2号</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把</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16</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砍刀</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优质烙钢，免磨 3号</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把</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剔骨刀</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不锈钢材质，梨木手柄 长度</w:t>
            </w:r>
            <w:r>
              <w:rPr>
                <w:rFonts w:hint="default" w:ascii="Arial" w:hAnsi="Arial" w:eastAsia="宋体" w:cs="Arial"/>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310mm</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把</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18</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打皮刀</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不锈钢材质</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把</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19</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0"/>
                <w:szCs w:val="20"/>
                <w:u w:val="none"/>
                <w:lang w:val="en-US" w:eastAsia="zh-CN" w:bidi="ar"/>
              </w:rPr>
              <w:t>剪刀</w:t>
            </w:r>
          </w:p>
        </w:tc>
        <w:tc>
          <w:tcPr>
            <w:tcW w:w="4884" w:type="dxa"/>
            <w:vAlign w:val="center"/>
          </w:tcPr>
          <w:p>
            <w:pPr>
              <w:jc w:val="left"/>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2号</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把</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调料勺</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不锈钢材质，厚2.0mm。 长度</w:t>
            </w:r>
            <w:r>
              <w:rPr>
                <w:rFonts w:hint="default" w:ascii="Arial" w:hAnsi="Arial" w:eastAsia="宋体" w:cs="Arial"/>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200mm</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50</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把</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21</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调料缸</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不锈钢材质，加深加厚。直径200mm</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32</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22</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40大勺</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不锈钢材质，长把加厚。</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23</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不锈钢炒菜锹</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方形不锈钢大铲头，长20CM，款16CM，实木手柄。把手长1米</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把</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24</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菜墩1</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天然竹材质，无漆无蜡，双不锈钢提手。双圈防开裂。100mm高。切肉切菜各4，用颜色区分。直径500mm</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25</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菜墩2</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PE材质。共5层，2厘米一层，沿线可切割。直径500mm</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26</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铁笊篱</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带眼不锈钢带把（过油用）。直径300mm</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双</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27</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水瓢</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 xml:space="preserve">不锈钢材质，直径180mm </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28</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大号保鲜盒</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优质PP塑料材质， 无毒无味，耐腐蚀。450*320*160mm</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29</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中号保鲜盒</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优质PP塑料材质， 无毒无味，耐腐蚀。380*260*140mm</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79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30</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净菜大白筐</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优质PP塑料材质， 无毒无味，耐腐蚀，厚度3mm。670*460*350mm</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30</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746"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31</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毛菜大篮筐</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优质PP塑料材质， 无毒无味，耐腐蚀，厚度3mm。670*460*350mm</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30</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866"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32</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白色小方形密网筐</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优质PP塑料材质， 无毒无味，耐腐蚀，厚度3mm。520*420*190cm</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30</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33</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不锈钢锅架</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采用国标优质不锈钢材质，板厚1.0mm。300*300*50mm</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34</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整理箱</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优质PP塑料材质， 无毒无味，耐腐蚀。带盖。透明  660*470*400mm</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50</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35</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电子台秤</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1、机身采用ABS加厚材质，防摔防抖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2、配置防水罩，防水防尘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3、LCD清晰前后显示屏，背光显示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4、两种供电方式，内置锂电池/交流电电池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5、秤盘平滑设计、加粗加厚秤杆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6、最大称量：30kg，最小称量：200g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7、精度：1g</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36</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不锈钢带盖留样盒</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采用国标304不锈钢制做，一次性冲压成型，配不锈钢盒盖。125*125*45mm</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30</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37</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配餐桶</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18"/>
                <w:szCs w:val="18"/>
                <w:u w:val="none"/>
                <w:lang w:val="en-US" w:eastAsia="zh-CN" w:bidi="ar"/>
              </w:rPr>
              <w:t>桶式发泡夹层，全封闭式保温，三层结构。24小时锁温。304不锈钢内胆。双侧提手设计，防烫隔热。15L</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400</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1331" w:type="dxa"/>
            <w:tcBorders>
              <w:right w:val="doub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运餐车内装配餐桶的筐</w:t>
            </w:r>
          </w:p>
        </w:tc>
        <w:tc>
          <w:tcPr>
            <w:tcW w:w="488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加厚塑料材质，长方形，能收纳2个餐桶。两侧有提手。（与餐桶相匹配可改变参数）</w:t>
            </w:r>
            <w:r>
              <w:rPr>
                <w:rFonts w:hint="default" w:ascii="Arial" w:hAnsi="Arial" w:eastAsia="宋体" w:cs="Arial"/>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79*56*38CM</w:t>
            </w:r>
          </w:p>
        </w:tc>
        <w:tc>
          <w:tcPr>
            <w:tcW w:w="72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7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bl>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b/>
          <w:bCs w:val="0"/>
          <w:sz w:val="21"/>
          <w:szCs w:val="21"/>
          <w:highlight w:val="none"/>
        </w:rPr>
      </w:pPr>
      <w:r>
        <w:rPr>
          <w:rFonts w:hint="eastAsia" w:ascii="微软雅黑" w:hAnsi="微软雅黑" w:eastAsia="微软雅黑" w:cs="微软雅黑"/>
          <w:b/>
          <w:bCs w:val="0"/>
          <w:sz w:val="21"/>
          <w:szCs w:val="21"/>
          <w:highlight w:val="none"/>
          <w:lang w:eastAsia="zh-CN"/>
        </w:rPr>
        <w:t>★</w:t>
      </w:r>
      <w:r>
        <w:rPr>
          <w:rFonts w:hint="eastAsia"/>
          <w:b/>
          <w:bCs w:val="0"/>
          <w:sz w:val="21"/>
          <w:szCs w:val="21"/>
          <w:highlight w:val="none"/>
          <w:lang w:eastAsia="zh-CN"/>
        </w:rPr>
        <w:t>招标人要求：</w:t>
      </w:r>
    </w:p>
    <w:p>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b w:val="0"/>
          <w:bCs/>
          <w:sz w:val="21"/>
          <w:szCs w:val="21"/>
          <w:highlight w:val="none"/>
        </w:rPr>
      </w:pPr>
      <w:r>
        <w:rPr>
          <w:rFonts w:hint="eastAsia"/>
          <w:b w:val="0"/>
          <w:bCs/>
          <w:sz w:val="21"/>
          <w:szCs w:val="21"/>
          <w:highlight w:val="none"/>
        </w:rPr>
        <w:t>1、供货方须提供针对本项目的售后服务承诺书。</w:t>
      </w:r>
    </w:p>
    <w:p>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b w:val="0"/>
          <w:bCs/>
          <w:sz w:val="21"/>
          <w:szCs w:val="21"/>
          <w:highlight w:val="none"/>
        </w:rPr>
      </w:pPr>
      <w:r>
        <w:rPr>
          <w:rFonts w:hint="eastAsia"/>
          <w:b w:val="0"/>
          <w:bCs/>
          <w:sz w:val="21"/>
          <w:szCs w:val="21"/>
          <w:highlight w:val="none"/>
        </w:rPr>
        <w:t>2、若发现本次采购的产品本身存在的缺陷，供应商须无条件退货或更换同类产品。</w:t>
      </w:r>
    </w:p>
    <w:p>
      <w:pPr>
        <w:bidi w:val="0"/>
        <w:jc w:val="center"/>
        <w:rPr>
          <w:b/>
          <w:bCs/>
          <w:sz w:val="36"/>
          <w:szCs w:val="36"/>
          <w:highlight w:val="none"/>
        </w:rPr>
      </w:pPr>
      <w:r>
        <w:rPr>
          <w:rFonts w:hint="eastAsia"/>
          <w:b/>
          <w:sz w:val="36"/>
          <w:szCs w:val="36"/>
          <w:highlight w:val="none"/>
        </w:rPr>
        <w:t>第四章  评审方法</w:t>
      </w:r>
      <w:bookmarkEnd w:id="14"/>
      <w:bookmarkEnd w:id="15"/>
      <w:bookmarkEnd w:id="16"/>
    </w:p>
    <w:p>
      <w:pPr>
        <w:ind w:firstLine="241" w:firstLineChars="100"/>
        <w:outlineLvl w:val="1"/>
        <w:rPr>
          <w:rFonts w:hint="eastAsia" w:eastAsia="黑体"/>
          <w:b/>
          <w:bCs/>
          <w:kern w:val="44"/>
          <w:sz w:val="24"/>
          <w:highlight w:val="none"/>
        </w:rPr>
      </w:pPr>
      <w:r>
        <w:rPr>
          <w:rFonts w:hint="eastAsia" w:ascii="宋体" w:hAnsi="宋体"/>
          <w:b/>
          <w:sz w:val="24"/>
          <w:highlight w:val="none"/>
        </w:rPr>
        <w:t>（一）初步评审前附表</w:t>
      </w:r>
      <w:bookmarkEnd w:id="17"/>
    </w:p>
    <w:tbl>
      <w:tblPr>
        <w:tblStyle w:val="49"/>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912"/>
        <w:gridCol w:w="1550"/>
        <w:gridCol w:w="6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1676" w:type="dxa"/>
            <w:gridSpan w:val="2"/>
            <w:shd w:val="clear" w:color="auto" w:fill="D7D7D7"/>
            <w:vAlign w:val="center"/>
          </w:tcPr>
          <w:p>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条款号</w:t>
            </w:r>
          </w:p>
        </w:tc>
        <w:tc>
          <w:tcPr>
            <w:tcW w:w="1550" w:type="dxa"/>
            <w:shd w:val="clear" w:color="auto" w:fill="D7D7D7"/>
            <w:vAlign w:val="center"/>
          </w:tcPr>
          <w:p>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评审因素</w:t>
            </w:r>
          </w:p>
        </w:tc>
        <w:tc>
          <w:tcPr>
            <w:tcW w:w="6054" w:type="dxa"/>
            <w:shd w:val="clear" w:color="auto" w:fill="D7D7D7"/>
            <w:vAlign w:val="center"/>
          </w:tcPr>
          <w:p>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4"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p>
        </w:tc>
        <w:tc>
          <w:tcPr>
            <w:tcW w:w="912"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评标方法</w:t>
            </w:r>
          </w:p>
        </w:tc>
        <w:tc>
          <w:tcPr>
            <w:tcW w:w="1550"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中标候选人排序方法</w:t>
            </w:r>
          </w:p>
        </w:tc>
        <w:tc>
          <w:tcPr>
            <w:tcW w:w="6054" w:type="dxa"/>
            <w:vAlign w:val="center"/>
          </w:tcPr>
          <w:p>
            <w:pPr>
              <w:autoSpaceDE w:val="0"/>
              <w:autoSpaceDN w:val="0"/>
              <w:adjustRightInd w:val="0"/>
              <w:spacing w:line="400" w:lineRule="exact"/>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评标委员会将按下述标准评定中标候选人：按评审后</w:t>
            </w:r>
            <w:r>
              <w:rPr>
                <w:rFonts w:hint="eastAsia" w:ascii="宋体" w:hAnsi="宋体" w:cs="宋体"/>
                <w:bCs/>
                <w:sz w:val="21"/>
                <w:szCs w:val="21"/>
                <w:highlight w:val="none"/>
                <w:lang w:val="zh-CN"/>
              </w:rPr>
              <w:t>供应商</w:t>
            </w:r>
            <w:r>
              <w:rPr>
                <w:rFonts w:hint="eastAsia" w:ascii="宋体" w:hAnsi="宋体" w:eastAsia="宋体" w:cs="宋体"/>
                <w:bCs/>
                <w:sz w:val="21"/>
                <w:szCs w:val="21"/>
                <w:highlight w:val="none"/>
                <w:lang w:val="zh-CN"/>
              </w:rPr>
              <w:t>得分由高到低的顺序确定</w:t>
            </w:r>
            <w:r>
              <w:rPr>
                <w:rFonts w:hint="eastAsia" w:ascii="宋体" w:hAnsi="宋体" w:eastAsia="宋体" w:cs="宋体"/>
                <w:bCs/>
                <w:sz w:val="21"/>
                <w:szCs w:val="21"/>
                <w:highlight w:val="none"/>
              </w:rPr>
              <w:t>3</w:t>
            </w:r>
            <w:r>
              <w:rPr>
                <w:rFonts w:hint="eastAsia" w:ascii="宋体" w:hAnsi="宋体" w:eastAsia="宋体" w:cs="宋体"/>
                <w:bCs/>
                <w:sz w:val="21"/>
                <w:szCs w:val="21"/>
                <w:highlight w:val="none"/>
                <w:lang w:val="zh-CN"/>
              </w:rPr>
              <w:t>家中标候选人；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4" w:type="dxa"/>
            <w:vMerge w:val="restart"/>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2.1.1</w:t>
            </w:r>
          </w:p>
        </w:tc>
        <w:tc>
          <w:tcPr>
            <w:tcW w:w="912" w:type="dxa"/>
            <w:vMerge w:val="restart"/>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形式评</w:t>
            </w:r>
          </w:p>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审标准</w:t>
            </w:r>
          </w:p>
        </w:tc>
        <w:tc>
          <w:tcPr>
            <w:tcW w:w="1550"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供应商</w:t>
            </w:r>
            <w:r>
              <w:rPr>
                <w:rFonts w:hint="eastAsia" w:ascii="宋体" w:hAnsi="宋体" w:eastAsia="宋体" w:cs="宋体"/>
                <w:bCs/>
                <w:sz w:val="21"/>
                <w:szCs w:val="21"/>
                <w:highlight w:val="none"/>
                <w:lang w:val="zh-CN"/>
              </w:rPr>
              <w:t>名称</w:t>
            </w:r>
          </w:p>
        </w:tc>
        <w:tc>
          <w:tcPr>
            <w:tcW w:w="6054" w:type="dxa"/>
            <w:vAlign w:val="center"/>
          </w:tcPr>
          <w:p>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与营业执照一致</w:t>
            </w:r>
            <w:r>
              <w:rPr>
                <w:rFonts w:hint="eastAsia" w:ascii="宋体" w:hAnsi="宋体" w:eastAsia="宋体" w:cs="宋体"/>
                <w:bCs/>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4" w:type="dxa"/>
            <w:vMerge w:val="continue"/>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投标函签字盖章</w:t>
            </w:r>
          </w:p>
        </w:tc>
        <w:tc>
          <w:tcPr>
            <w:tcW w:w="6054" w:type="dxa"/>
            <w:vAlign w:val="center"/>
          </w:tcPr>
          <w:p>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有法定代表人（单位负责人）</w:t>
            </w:r>
            <w:r>
              <w:rPr>
                <w:rFonts w:hint="eastAsia" w:ascii="宋体" w:hAnsi="宋体" w:cs="宋体"/>
                <w:bCs/>
                <w:sz w:val="21"/>
                <w:szCs w:val="21"/>
                <w:highlight w:val="none"/>
                <w:lang w:val="zh-CN"/>
              </w:rPr>
              <w:t>和</w:t>
            </w:r>
            <w:r>
              <w:rPr>
                <w:rFonts w:hint="eastAsia" w:ascii="宋体" w:hAnsi="宋体" w:eastAsia="宋体" w:cs="宋体"/>
                <w:bCs/>
                <w:sz w:val="21"/>
                <w:szCs w:val="21"/>
                <w:highlight w:val="none"/>
                <w:lang w:val="zh-CN"/>
              </w:rPr>
              <w:t>其委托代理人签字</w:t>
            </w:r>
            <w:r>
              <w:rPr>
                <w:rFonts w:hint="eastAsia" w:ascii="宋体" w:hAnsi="宋体" w:cs="宋体"/>
                <w:bCs/>
                <w:sz w:val="21"/>
                <w:szCs w:val="21"/>
                <w:highlight w:val="none"/>
                <w:lang w:val="zh-CN"/>
              </w:rPr>
              <w:t>并</w:t>
            </w:r>
            <w:r>
              <w:rPr>
                <w:rFonts w:hint="eastAsia" w:ascii="宋体" w:hAnsi="宋体" w:eastAsia="宋体" w:cs="宋体"/>
                <w:bCs/>
                <w:sz w:val="21"/>
                <w:szCs w:val="21"/>
                <w:highlight w:val="none"/>
                <w:lang w:val="zh-CN"/>
              </w:rPr>
              <w:t>加盖公章。由法定代表人签字的，应附法定代表人身份证明，由代理人签字的，应附授权委托书，身份证明或授权委托书应符合第六章“</w:t>
            </w:r>
            <w:r>
              <w:rPr>
                <w:rFonts w:hint="eastAsia" w:ascii="宋体" w:hAnsi="宋体" w:cs="宋体"/>
                <w:bCs/>
                <w:sz w:val="21"/>
                <w:szCs w:val="21"/>
                <w:highlight w:val="none"/>
                <w:lang w:val="zh-CN"/>
              </w:rPr>
              <w:t>响应</w:t>
            </w:r>
            <w:r>
              <w:rPr>
                <w:rFonts w:hint="eastAsia" w:ascii="宋体" w:hAnsi="宋体" w:eastAsia="宋体" w:cs="宋体"/>
                <w:bCs/>
                <w:sz w:val="21"/>
                <w:szCs w:val="21"/>
                <w:highlight w:val="none"/>
                <w:lang w:val="zh-CN"/>
              </w:rPr>
              <w:t>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4" w:type="dxa"/>
            <w:vMerge w:val="continue"/>
            <w:tcBorders>
              <w:bottom w:val="single" w:color="auto" w:sz="4" w:space="0"/>
            </w:tcBorders>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tcBorders>
              <w:bottom w:val="single" w:color="auto" w:sz="4" w:space="0"/>
            </w:tcBorders>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tcBorders>
              <w:bottom w:val="single" w:color="auto" w:sz="4" w:space="0"/>
            </w:tcBorders>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投标文件格式</w:t>
            </w:r>
          </w:p>
        </w:tc>
        <w:tc>
          <w:tcPr>
            <w:tcW w:w="6054" w:type="dxa"/>
            <w:tcBorders>
              <w:bottom w:val="single" w:color="auto" w:sz="4" w:space="0"/>
            </w:tcBorders>
            <w:vAlign w:val="center"/>
          </w:tcPr>
          <w:p>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w:t>
            </w:r>
            <w:r>
              <w:rPr>
                <w:rFonts w:hint="eastAsia" w:ascii="宋体" w:hAnsi="宋体" w:cs="宋体"/>
                <w:bCs/>
                <w:sz w:val="21"/>
                <w:szCs w:val="21"/>
                <w:highlight w:val="none"/>
                <w:lang w:val="zh-CN"/>
              </w:rPr>
              <w:t>响应</w:t>
            </w:r>
            <w:r>
              <w:rPr>
                <w:rFonts w:hint="eastAsia" w:ascii="宋体" w:hAnsi="宋体" w:eastAsia="宋体" w:cs="宋体"/>
                <w:bCs/>
                <w:sz w:val="21"/>
                <w:szCs w:val="21"/>
                <w:highlight w:val="none"/>
                <w:lang w:val="zh-CN"/>
              </w:rPr>
              <w:t>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4" w:type="dxa"/>
            <w:vMerge w:val="continue"/>
            <w:tcBorders>
              <w:bottom w:val="single" w:color="auto" w:sz="4" w:space="0"/>
            </w:tcBorders>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tcBorders>
              <w:bottom w:val="single" w:color="auto" w:sz="4" w:space="0"/>
            </w:tcBorders>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tcBorders>
              <w:bottom w:val="single" w:color="auto" w:sz="4" w:space="0"/>
            </w:tcBorders>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报价唯一</w:t>
            </w:r>
          </w:p>
        </w:tc>
        <w:tc>
          <w:tcPr>
            <w:tcW w:w="6054" w:type="dxa"/>
            <w:tcBorders>
              <w:bottom w:val="single" w:color="auto" w:sz="4" w:space="0"/>
            </w:tcBorders>
            <w:vAlign w:val="center"/>
          </w:tcPr>
          <w:p>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4" w:type="dxa"/>
            <w:vMerge w:val="restart"/>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2.1.2</w:t>
            </w:r>
          </w:p>
        </w:tc>
        <w:tc>
          <w:tcPr>
            <w:tcW w:w="912" w:type="dxa"/>
            <w:vMerge w:val="restart"/>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资格评</w:t>
            </w:r>
          </w:p>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审标准</w:t>
            </w:r>
          </w:p>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50"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营业执照</w:t>
            </w:r>
          </w:p>
        </w:tc>
        <w:tc>
          <w:tcPr>
            <w:tcW w:w="605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rPr>
              <w:t>具备有效的营业执照</w:t>
            </w:r>
            <w:r>
              <w:rPr>
                <w:rFonts w:hint="eastAsia" w:ascii="宋体" w:hAnsi="宋体" w:eastAsia="宋体" w:cs="宋体"/>
                <w:bCs/>
                <w:sz w:val="21"/>
                <w:szCs w:val="21"/>
                <w:highlight w:val="none"/>
                <w:lang w:val="zh-CN" w:eastAsia="zh-CN"/>
              </w:rPr>
              <w:t>；</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eastAsia="zh-CN"/>
              </w:rPr>
              <w:t>响应</w:t>
            </w:r>
            <w:r>
              <w:rPr>
                <w:rFonts w:hint="eastAsia" w:ascii="宋体" w:hAnsi="宋体" w:eastAsia="宋体" w:cs="宋体"/>
                <w:bCs/>
                <w:sz w:val="21"/>
                <w:szCs w:val="21"/>
                <w:highlight w:val="none"/>
                <w:lang w:val="zh-CN"/>
              </w:rPr>
              <w:t>文件内附营业执照（副本）复印件并附加盖公章的国家企业信用信息公示系统</w:t>
            </w:r>
            <w:r>
              <w:rPr>
                <w:rFonts w:hint="eastAsia" w:ascii="宋体" w:hAnsi="宋体" w:cs="宋体"/>
                <w:bCs/>
                <w:sz w:val="21"/>
                <w:szCs w:val="21"/>
                <w:highlight w:val="none"/>
                <w:lang w:val="zh-CN"/>
              </w:rPr>
              <w:t>基础信息、</w:t>
            </w:r>
            <w:r>
              <w:rPr>
                <w:rFonts w:hint="eastAsia" w:ascii="宋体" w:hAnsi="宋体" w:cs="宋体"/>
                <w:bCs/>
                <w:sz w:val="21"/>
                <w:szCs w:val="21"/>
                <w:highlight w:val="none"/>
                <w:lang w:val="zh-CN" w:eastAsia="zh-CN"/>
              </w:rPr>
              <w:t>经营异常名录</w:t>
            </w:r>
            <w:r>
              <w:rPr>
                <w:rFonts w:hint="eastAsia" w:ascii="宋体" w:hAnsi="宋体" w:eastAsia="宋体" w:cs="宋体"/>
                <w:bCs/>
                <w:sz w:val="21"/>
                <w:szCs w:val="21"/>
                <w:highlight w:val="none"/>
                <w:lang w:val="zh-CN"/>
              </w:rPr>
              <w:t>查询截图加盖投标单位公章</w:t>
            </w:r>
            <w:r>
              <w:rPr>
                <w:rFonts w:hint="eastAsia" w:ascii="宋体" w:hAnsi="宋体" w:eastAsia="宋体" w:cs="宋体"/>
                <w:bCs/>
                <w:sz w:val="21"/>
                <w:szCs w:val="21"/>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5" w:hRule="atLeast"/>
          <w:jc w:val="center"/>
        </w:trPr>
        <w:tc>
          <w:tcPr>
            <w:tcW w:w="764" w:type="dxa"/>
            <w:vMerge w:val="continue"/>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50"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cs="宋体"/>
                <w:bCs/>
                <w:sz w:val="21"/>
                <w:szCs w:val="21"/>
                <w:highlight w:val="none"/>
                <w:lang w:val="zh-CN"/>
              </w:rPr>
            </w:pPr>
            <w:r>
              <w:rPr>
                <w:rFonts w:hint="eastAsia" w:ascii="宋体" w:hAnsi="宋体" w:cs="宋体"/>
                <w:bCs/>
                <w:sz w:val="21"/>
                <w:szCs w:val="21"/>
                <w:highlight w:val="none"/>
                <w:lang w:val="zh-CN"/>
              </w:rPr>
              <w:t>资格条件</w:t>
            </w:r>
          </w:p>
        </w:tc>
        <w:tc>
          <w:tcPr>
            <w:tcW w:w="6054" w:type="dxa"/>
            <w:vAlign w:val="center"/>
          </w:tcPr>
          <w:p>
            <w:pPr>
              <w:pageBreakBefore w:val="0"/>
              <w:widowControl/>
              <w:kinsoku/>
              <w:wordWrap/>
              <w:overflowPunct/>
              <w:topLinePunct w:val="0"/>
              <w:autoSpaceDE/>
              <w:autoSpaceDN/>
              <w:bidi w:val="0"/>
              <w:snapToGrid/>
              <w:spacing w:line="360" w:lineRule="auto"/>
              <w:textAlignment w:val="auto"/>
              <w:rPr>
                <w:rFonts w:hint="eastAsia" w:ascii="宋体" w:hAnsi="宋体" w:cs="宋体"/>
                <w:bCs/>
                <w:sz w:val="21"/>
                <w:szCs w:val="21"/>
                <w:highlight w:val="none"/>
                <w:lang w:val="zh-CN"/>
              </w:rPr>
            </w:pPr>
            <w:r>
              <w:rPr>
                <w:rFonts w:hint="default" w:ascii="宋体" w:hAnsi="宋体" w:eastAsia="宋体" w:cs="宋体"/>
                <w:bCs/>
                <w:snapToGrid w:val="0"/>
                <w:sz w:val="21"/>
                <w:szCs w:val="21"/>
                <w:highlight w:val="none"/>
              </w:rPr>
              <w:t>①</w:t>
            </w:r>
            <w:r>
              <w:rPr>
                <w:rFonts w:hint="eastAsia" w:ascii="宋体" w:hAnsi="宋体" w:cs="宋体"/>
                <w:bCs/>
                <w:snapToGrid w:val="0"/>
                <w:szCs w:val="21"/>
                <w:highlight w:val="none"/>
                <w:lang w:val="en-US" w:eastAsia="zh-CN"/>
              </w:rPr>
              <w:t>供应商</w:t>
            </w:r>
            <w:r>
              <w:rPr>
                <w:rFonts w:hint="eastAsia" w:ascii="宋体" w:hAnsi="宋体" w:cs="宋体"/>
                <w:bCs/>
                <w:snapToGrid w:val="0"/>
                <w:szCs w:val="21"/>
                <w:highlight w:val="none"/>
              </w:rPr>
              <w:t>须是在中华人民共和国境内注册，能够独立承担民事责任的法人或其他组织形式，具备承揽本次招标范围相应的有效的营业执照；②供应商参加采购活动应当提供反映其财务状况、依法缴纳税收和社会保障金的资格条件承诺函；③具有履行合同所必需的设备和专业技术能力；④参加政府采购活动前三年内，在经营活动中没有重大违法记</w:t>
            </w:r>
            <w:r>
              <w:rPr>
                <w:rFonts w:hint="eastAsia" w:ascii="Times New Roman" w:hAnsi="Times New Roman" w:eastAsia="宋体" w:cs="Times New Roman"/>
                <w:bCs/>
                <w:snapToGrid w:val="0"/>
                <w:szCs w:val="21"/>
                <w:highlight w:val="none"/>
              </w:rPr>
              <w:t>录。⑤法律、行政法规规定的其他条件。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4" w:type="dxa"/>
            <w:vMerge w:val="continue"/>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pPr>
              <w:keepLines w:val="0"/>
              <w:widowControl w:val="0"/>
              <w:snapToGrid/>
              <w:spacing w:before="0" w:beforeAutospacing="0" w:after="0" w:afterAutospacing="0" w:line="360" w:lineRule="auto"/>
              <w:jc w:val="center"/>
              <w:textAlignment w:val="baseline"/>
              <w:rPr>
                <w:rFonts w:hint="eastAsia" w:ascii="宋体" w:hAnsi="宋体" w:eastAsia="宋体" w:cs="宋体"/>
                <w:sz w:val="21"/>
                <w:szCs w:val="21"/>
                <w:highlight w:val="none"/>
                <w:lang w:val="zh-CN"/>
              </w:rPr>
            </w:pPr>
            <w:r>
              <w:rPr>
                <w:rFonts w:hint="eastAsia" w:ascii="宋体" w:hAnsi="宋体" w:cs="宋体"/>
                <w:b w:val="0"/>
                <w:bCs/>
                <w:i w:val="0"/>
                <w:caps w:val="0"/>
                <w:spacing w:val="0"/>
                <w:w w:val="100"/>
                <w:sz w:val="21"/>
                <w:szCs w:val="21"/>
                <w:lang w:val="zh-CN"/>
              </w:rPr>
              <w:t>财务要求</w:t>
            </w:r>
          </w:p>
        </w:tc>
        <w:tc>
          <w:tcPr>
            <w:tcW w:w="6054" w:type="dxa"/>
            <w:vAlign w:val="center"/>
          </w:tcPr>
          <w:p>
            <w:pPr>
              <w:keepLines w:val="0"/>
              <w:widowControl w:val="0"/>
              <w:snapToGrid/>
              <w:spacing w:before="0" w:beforeAutospacing="0" w:after="0" w:afterAutospacing="0" w:line="360" w:lineRule="auto"/>
              <w:jc w:val="left"/>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供应商参加采购活动应当提供反映其财务状况、依法缴纳税收和社会保障金的资格条件承诺函</w:t>
            </w:r>
            <w:r>
              <w:rPr>
                <w:rFonts w:hint="eastAsia" w:ascii="宋体" w:hAnsi="宋体" w:cs="宋体"/>
                <w:sz w:val="21"/>
                <w:szCs w:val="21"/>
                <w:highlight w:val="none"/>
                <w:lang w:eastAsia="zh-CN"/>
              </w:rPr>
              <w:t>。（《长春市财政局关于加强政府采购信用体系建设简化供应商资格条件有关事项的通知》（长财采购〔2022〕2066号））。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4" w:type="dxa"/>
            <w:vMerge w:val="continue"/>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pPr>
              <w:keepLines w:val="0"/>
              <w:widowControl w:val="0"/>
              <w:snapToGrid/>
              <w:spacing w:before="0" w:beforeAutospacing="0" w:after="0" w:afterAutospacing="0" w:line="360" w:lineRule="auto"/>
              <w:jc w:val="center"/>
              <w:textAlignment w:val="baseline"/>
              <w:rPr>
                <w:rFonts w:hint="eastAsia" w:ascii="宋体" w:hAnsi="宋体" w:cs="宋体"/>
                <w:b w:val="0"/>
                <w:bCs/>
                <w:i w:val="0"/>
                <w:caps w:val="0"/>
                <w:spacing w:val="0"/>
                <w:w w:val="100"/>
                <w:sz w:val="21"/>
                <w:szCs w:val="21"/>
                <w:lang w:val="zh-CN"/>
              </w:rPr>
            </w:pPr>
            <w:r>
              <w:rPr>
                <w:rFonts w:hint="eastAsia" w:ascii="宋体" w:hAnsi="宋体" w:cs="宋体"/>
                <w:b w:val="0"/>
                <w:bCs/>
                <w:i w:val="0"/>
                <w:caps w:val="0"/>
                <w:spacing w:val="0"/>
                <w:w w:val="100"/>
                <w:sz w:val="21"/>
                <w:szCs w:val="21"/>
                <w:lang w:val="zh-CN"/>
              </w:rPr>
              <w:t>信誉要求</w:t>
            </w:r>
          </w:p>
        </w:tc>
        <w:tc>
          <w:tcPr>
            <w:tcW w:w="6054" w:type="dxa"/>
            <w:vAlign w:val="center"/>
          </w:tcPr>
          <w:p>
            <w:pPr>
              <w:keepLines w:val="0"/>
              <w:widowControl w:val="0"/>
              <w:snapToGrid/>
              <w:spacing w:before="0" w:beforeAutospacing="0" w:after="0" w:afterAutospacing="0" w:line="360" w:lineRule="auto"/>
              <w:jc w:val="left"/>
              <w:textAlignment w:val="baseline"/>
              <w:rPr>
                <w:rFonts w:hint="eastAsia" w:ascii="宋体" w:hAnsi="宋体" w:cs="宋体"/>
                <w:b w:val="0"/>
                <w:bCs/>
                <w:i w:val="0"/>
                <w:caps w:val="0"/>
                <w:spacing w:val="0"/>
                <w:w w:val="100"/>
                <w:sz w:val="21"/>
                <w:szCs w:val="21"/>
              </w:rPr>
            </w:pPr>
            <w:r>
              <w:rPr>
                <w:rFonts w:hint="eastAsia" w:ascii="宋体" w:hAnsi="宋体" w:cs="宋体"/>
                <w:b w:val="0"/>
                <w:bCs/>
                <w:i w:val="0"/>
                <w:caps w:val="0"/>
                <w:spacing w:val="0"/>
                <w:w w:val="100"/>
                <w:sz w:val="21"/>
                <w:szCs w:val="21"/>
                <w:lang w:val="en-US" w:eastAsia="zh-CN"/>
              </w:rPr>
              <w:t>1.</w:t>
            </w:r>
            <w:r>
              <w:rPr>
                <w:rFonts w:hint="eastAsia" w:ascii="宋体" w:hAnsi="宋体" w:cs="宋体"/>
                <w:b w:val="0"/>
                <w:bCs/>
                <w:i w:val="0"/>
                <w:caps w:val="0"/>
                <w:spacing w:val="0"/>
                <w:w w:val="100"/>
                <w:sz w:val="21"/>
                <w:szCs w:val="21"/>
              </w:rPr>
              <w:t>拒绝列入政府不良行为记录期间的企业或个人投标（</w:t>
            </w:r>
            <w:r>
              <w:rPr>
                <w:rFonts w:hint="eastAsia" w:ascii="宋体" w:hAnsi="宋体" w:cs="宋体"/>
                <w:b w:val="0"/>
                <w:bCs/>
                <w:i w:val="0"/>
                <w:caps w:val="0"/>
                <w:spacing w:val="0"/>
                <w:w w:val="100"/>
                <w:sz w:val="21"/>
                <w:szCs w:val="21"/>
                <w:lang w:val="zh-CN"/>
              </w:rPr>
              <w:t>响应文件内附承诺书，格式自拟</w:t>
            </w:r>
            <w:r>
              <w:rPr>
                <w:rFonts w:hint="eastAsia" w:ascii="宋体" w:hAnsi="宋体" w:cs="宋体"/>
                <w:b w:val="0"/>
                <w:bCs/>
                <w:i w:val="0"/>
                <w:caps w:val="0"/>
                <w:spacing w:val="0"/>
                <w:w w:val="100"/>
                <w:sz w:val="21"/>
                <w:szCs w:val="21"/>
              </w:rPr>
              <w:t>）。</w:t>
            </w:r>
          </w:p>
          <w:p>
            <w:pPr>
              <w:pStyle w:val="33"/>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sz w:val="21"/>
                <w:szCs w:val="21"/>
                <w:highlight w:val="none"/>
                <w:lang w:val="zh-CN"/>
              </w:rPr>
            </w:pPr>
            <w:r>
              <w:rPr>
                <w:rFonts w:hint="eastAsia" w:ascii="宋体" w:hAnsi="宋体" w:cs="宋体"/>
                <w:b w:val="0"/>
                <w:bCs/>
                <w:i w:val="0"/>
                <w:caps w:val="0"/>
                <w:spacing w:val="0"/>
                <w:w w:val="100"/>
                <w:sz w:val="21"/>
                <w:szCs w:val="21"/>
                <w:lang w:val="en-US" w:eastAsia="zh-CN"/>
              </w:rPr>
              <w:t>2.</w:t>
            </w:r>
            <w:r>
              <w:rPr>
                <w:rFonts w:hint="eastAsia" w:ascii="宋体" w:hAnsi="宋体" w:eastAsia="宋体" w:cs="宋体"/>
                <w:sz w:val="21"/>
                <w:szCs w:val="21"/>
                <w:highlight w:val="none"/>
                <w:lang w:val="zh-CN"/>
              </w:rPr>
              <w:t>未被工商行政管理机关在全国企业信用信息公示系统（www.gsxt.gov.cn）中列入严重违法失信企业名单。</w:t>
            </w:r>
          </w:p>
          <w:p>
            <w:pPr>
              <w:keepLines w:val="0"/>
              <w:widowControl w:val="0"/>
              <w:snapToGrid/>
              <w:spacing w:before="0" w:beforeAutospacing="0" w:after="0" w:afterAutospacing="0" w:line="360" w:lineRule="auto"/>
              <w:jc w:val="left"/>
              <w:textAlignment w:val="baseline"/>
              <w:rPr>
                <w:rFonts w:hint="eastAsia" w:ascii="宋体" w:hAnsi="宋体" w:eastAsia="宋体" w:cs="宋体"/>
                <w:sz w:val="21"/>
                <w:szCs w:val="21"/>
                <w:highlight w:val="none"/>
                <w:lang w:eastAsia="zh-CN"/>
              </w:rPr>
            </w:pPr>
            <w:r>
              <w:rPr>
                <w:rFonts w:hint="eastAsia" w:ascii="宋体" w:hAnsi="宋体" w:cs="宋体"/>
                <w:b w:val="0"/>
                <w:bCs/>
                <w:i w:val="0"/>
                <w:caps w:val="0"/>
                <w:spacing w:val="0"/>
                <w:w w:val="100"/>
                <w:sz w:val="21"/>
                <w:szCs w:val="21"/>
                <w:highlight w:val="none"/>
              </w:rPr>
              <w:t>不接受被列入失信被执行人、重大税收违法案件当事人名单、政府采购严重违法失信行为记录名单</w:t>
            </w:r>
            <w:r>
              <w:rPr>
                <w:rFonts w:hint="eastAsia" w:ascii="宋体" w:hAnsi="宋体" w:cs="宋体"/>
                <w:b w:val="0"/>
                <w:bCs/>
                <w:i w:val="0"/>
                <w:caps w:val="0"/>
                <w:spacing w:val="0"/>
                <w:w w:val="100"/>
                <w:sz w:val="21"/>
                <w:szCs w:val="21"/>
                <w:highlight w:val="none"/>
                <w:lang w:eastAsia="zh-CN"/>
              </w:rPr>
              <w:t>、严重失信主体名单等</w:t>
            </w:r>
            <w:r>
              <w:rPr>
                <w:rFonts w:hint="eastAsia" w:ascii="宋体" w:hAnsi="宋体" w:cs="宋体"/>
                <w:b w:val="0"/>
                <w:bCs/>
                <w:i w:val="0"/>
                <w:caps w:val="0"/>
                <w:spacing w:val="0"/>
                <w:w w:val="100"/>
                <w:sz w:val="21"/>
                <w:szCs w:val="21"/>
                <w:highlight w:val="none"/>
              </w:rPr>
              <w:t>的供应商参与投标，在“信用中国”网站（www.creditchina.gov.cn）、中国政府采购网（www.ccgp.gov.cn）上进行查询失信记录；</w:t>
            </w:r>
            <w:r>
              <w:rPr>
                <w:rFonts w:hint="eastAsia" w:ascii="宋体" w:hAnsi="宋体" w:cs="宋体"/>
                <w:b w:val="0"/>
                <w:bCs/>
                <w:i w:val="0"/>
                <w:caps w:val="0"/>
                <w:spacing w:val="0"/>
                <w:w w:val="100"/>
                <w:sz w:val="21"/>
                <w:szCs w:val="21"/>
                <w:highlight w:val="none"/>
                <w:lang w:eastAsia="zh-CN"/>
              </w:rPr>
              <w:t>供应商及其法定代表人</w:t>
            </w:r>
            <w:r>
              <w:rPr>
                <w:rFonts w:hint="eastAsia" w:ascii="宋体" w:hAnsi="宋体" w:cs="宋体"/>
                <w:b w:val="0"/>
                <w:bCs/>
                <w:i w:val="0"/>
                <w:caps w:val="0"/>
                <w:spacing w:val="0"/>
                <w:w w:val="100"/>
                <w:sz w:val="21"/>
                <w:szCs w:val="21"/>
                <w:highlight w:val="none"/>
              </w:rPr>
              <w:t>不得存在行贿犯罪记录，在中国裁判文书（http://wenshu.court.gov.cn/）进行查询</w:t>
            </w:r>
            <w:r>
              <w:rPr>
                <w:rFonts w:hint="eastAsia" w:ascii="宋体" w:hAnsi="宋体" w:cs="宋体"/>
                <w:b w:val="0"/>
                <w:bCs/>
                <w:i w:val="0"/>
                <w:caps w:val="0"/>
                <w:spacing w:val="0"/>
                <w:w w:val="100"/>
                <w:sz w:val="21"/>
                <w:szCs w:val="21"/>
                <w:highlight w:val="none"/>
                <w:lang w:eastAsia="zh-CN"/>
              </w:rPr>
              <w:t>供应商</w:t>
            </w:r>
            <w:r>
              <w:rPr>
                <w:rFonts w:hint="eastAsia" w:ascii="宋体" w:hAnsi="宋体" w:cs="宋体"/>
                <w:b w:val="0"/>
                <w:bCs/>
                <w:i w:val="0"/>
                <w:caps w:val="0"/>
                <w:spacing w:val="0"/>
                <w:w w:val="100"/>
                <w:sz w:val="21"/>
                <w:szCs w:val="21"/>
                <w:highlight w:val="none"/>
              </w:rPr>
              <w:t>行贿犯罪</w:t>
            </w:r>
            <w:r>
              <w:rPr>
                <w:rFonts w:hint="eastAsia" w:ascii="宋体" w:hAnsi="宋体" w:cs="宋体"/>
                <w:b w:val="0"/>
                <w:bCs/>
                <w:i w:val="0"/>
                <w:caps w:val="0"/>
                <w:spacing w:val="0"/>
                <w:w w:val="100"/>
                <w:sz w:val="21"/>
                <w:szCs w:val="21"/>
              </w:rPr>
              <w:t>记录(信用信息截止时点为</w:t>
            </w:r>
            <w:r>
              <w:rPr>
                <w:rFonts w:hint="eastAsia" w:ascii="宋体" w:hAnsi="宋体" w:cs="宋体"/>
                <w:b w:val="0"/>
                <w:bCs/>
                <w:i w:val="0"/>
                <w:caps w:val="0"/>
                <w:spacing w:val="0"/>
                <w:w w:val="100"/>
                <w:sz w:val="21"/>
                <w:szCs w:val="21"/>
                <w:lang w:val="en-US" w:eastAsia="zh-CN"/>
              </w:rPr>
              <w:t>2022年01月01日至</w:t>
            </w:r>
            <w:r>
              <w:rPr>
                <w:rFonts w:hint="eastAsia" w:ascii="宋体" w:hAnsi="宋体" w:cs="宋体"/>
                <w:b w:val="0"/>
                <w:bCs/>
                <w:i w:val="0"/>
                <w:caps w:val="0"/>
                <w:spacing w:val="0"/>
                <w:w w:val="100"/>
                <w:sz w:val="21"/>
                <w:szCs w:val="21"/>
              </w:rPr>
              <w:t>投标截止时间)；</w:t>
            </w:r>
            <w:r>
              <w:rPr>
                <w:rFonts w:hint="eastAsia" w:ascii="宋体" w:hAnsi="宋体" w:cs="宋体"/>
                <w:b w:val="0"/>
                <w:bCs/>
                <w:i w:val="0"/>
                <w:caps w:val="0"/>
                <w:spacing w:val="0"/>
                <w:w w:val="100"/>
                <w:sz w:val="21"/>
                <w:szCs w:val="21"/>
                <w:lang w:val="en-US" w:eastAsia="zh-CN"/>
              </w:rPr>
              <w:t>标书内附加盖公章复印件。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4" w:type="dxa"/>
            <w:vMerge w:val="continue"/>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pPr>
              <w:pStyle w:val="18"/>
              <w:tabs>
                <w:tab w:val="left" w:pos="200"/>
              </w:tabs>
              <w:spacing w:line="360" w:lineRule="exact"/>
              <w:jc w:val="center"/>
              <w:rPr>
                <w:rFonts w:hint="eastAsia" w:ascii="宋体" w:hAnsi="宋体" w:cs="宋体"/>
                <w:b w:val="0"/>
                <w:bCs/>
                <w:i w:val="0"/>
                <w:caps w:val="0"/>
                <w:spacing w:val="0"/>
                <w:w w:val="100"/>
                <w:sz w:val="21"/>
                <w:szCs w:val="21"/>
                <w:lang w:val="zh-CN"/>
              </w:rPr>
            </w:pPr>
            <w:r>
              <w:rPr>
                <w:rFonts w:hint="eastAsia" w:hAnsi="宋体" w:cs="宋体"/>
                <w:b w:val="0"/>
                <w:szCs w:val="21"/>
                <w:lang w:val="zh-CN" w:eastAsia="zh-CN"/>
              </w:rPr>
              <w:t>不存在禁止投标的情形</w:t>
            </w:r>
          </w:p>
        </w:tc>
        <w:tc>
          <w:tcPr>
            <w:tcW w:w="6054" w:type="dxa"/>
            <w:vAlign w:val="center"/>
          </w:tcPr>
          <w:p>
            <w:pPr>
              <w:autoSpaceDE w:val="0"/>
              <w:autoSpaceDN w:val="0"/>
              <w:adjustRightInd w:val="0"/>
              <w:spacing w:line="360" w:lineRule="exact"/>
              <w:rPr>
                <w:rFonts w:hint="eastAsia" w:ascii="宋体" w:hAnsi="宋体" w:cs="宋体"/>
                <w:szCs w:val="21"/>
                <w:lang w:val="zh-CN"/>
              </w:rPr>
            </w:pPr>
            <w:r>
              <w:rPr>
                <w:rFonts w:hint="eastAsia" w:ascii="宋体" w:hAnsi="宋体" w:cs="宋体"/>
                <w:szCs w:val="21"/>
                <w:lang w:val="zh-CN"/>
              </w:rPr>
              <w:t xml:space="preserve">不存在第二章“投标人须知”第 </w:t>
            </w:r>
            <w:r>
              <w:rPr>
                <w:rFonts w:hint="eastAsia" w:ascii="宋体" w:hAnsi="宋体" w:cs="宋体"/>
                <w:szCs w:val="21"/>
                <w:lang w:val="en-US" w:eastAsia="zh-CN"/>
              </w:rPr>
              <w:t>8.5.3</w:t>
            </w:r>
            <w:r>
              <w:rPr>
                <w:rFonts w:hint="eastAsia" w:ascii="宋体" w:hAnsi="宋体" w:cs="宋体"/>
                <w:szCs w:val="21"/>
                <w:lang w:val="zh-CN"/>
              </w:rPr>
              <w:t>项规定的任何一种情形</w:t>
            </w:r>
            <w:r>
              <w:rPr>
                <w:rFonts w:hint="eastAsia" w:ascii="宋体" w:hAnsi="宋体" w:cs="宋体"/>
                <w:szCs w:val="21"/>
              </w:rPr>
              <w:t>及</w:t>
            </w:r>
            <w:r>
              <w:rPr>
                <w:rFonts w:hint="eastAsia" w:ascii="宋体" w:hAnsi="宋体" w:cs="宋体"/>
                <w:szCs w:val="21"/>
                <w:lang w:eastAsia="zh-CN"/>
              </w:rPr>
              <w:t>谈判</w:t>
            </w:r>
            <w:r>
              <w:rPr>
                <w:rFonts w:hint="eastAsia" w:ascii="宋体" w:hAnsi="宋体" w:cs="宋体"/>
                <w:szCs w:val="21"/>
              </w:rPr>
              <w:t>文件所规定的其他条款</w:t>
            </w:r>
            <w:r>
              <w:rPr>
                <w:rFonts w:hint="eastAsia" w:ascii="宋体" w:hAnsi="宋体" w:cs="宋体"/>
                <w:szCs w:val="21"/>
                <w:lang w:val="zh-CN"/>
              </w:rPr>
              <w:t>。</w:t>
            </w:r>
          </w:p>
          <w:p>
            <w:pPr>
              <w:pStyle w:val="18"/>
              <w:spacing w:line="360" w:lineRule="exact"/>
              <w:rPr>
                <w:rFonts w:hint="eastAsia" w:ascii="宋体" w:hAnsi="宋体" w:cs="宋体"/>
                <w:b w:val="0"/>
                <w:bCs/>
                <w:i w:val="0"/>
                <w:caps w:val="0"/>
                <w:spacing w:val="0"/>
                <w:w w:val="100"/>
                <w:sz w:val="21"/>
                <w:szCs w:val="21"/>
              </w:rPr>
            </w:pPr>
            <w:r>
              <w:rPr>
                <w:rFonts w:hint="eastAsia" w:hAnsi="宋体" w:cs="宋体"/>
                <w:b w:val="0"/>
                <w:szCs w:val="21"/>
                <w:lang w:val="en-US" w:eastAsia="zh-CN"/>
              </w:rPr>
              <w:t>响应文件</w:t>
            </w:r>
            <w:r>
              <w:rPr>
                <w:rFonts w:hint="eastAsia" w:hAnsi="宋体" w:cs="宋体"/>
                <w:b w:val="0"/>
                <w:szCs w:val="21"/>
                <w:lang w:val="zh-CN" w:eastAsia="zh-CN"/>
              </w:rPr>
              <w:t>内</w:t>
            </w:r>
            <w:r>
              <w:rPr>
                <w:rFonts w:hint="eastAsia" w:hAnsi="宋体" w:cs="宋体"/>
                <w:b w:val="0"/>
                <w:szCs w:val="21"/>
                <w:lang w:val="en-US" w:eastAsia="zh-CN"/>
              </w:rPr>
              <w:t>附由法定代表人或其委托代理人签字并加盖投标单位公章的承诺书。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764" w:type="dxa"/>
            <w:vMerge w:val="continue"/>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lang w:val="zh-CN"/>
              </w:rPr>
              <w:t>其它要求</w:t>
            </w:r>
          </w:p>
        </w:tc>
        <w:tc>
          <w:tcPr>
            <w:tcW w:w="6054"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sz w:val="21"/>
                <w:szCs w:val="21"/>
                <w:lang w:val="zh-CN" w:eastAsia="zh-CN"/>
              </w:rPr>
            </w:pPr>
            <w:r>
              <w:rPr>
                <w:rFonts w:hint="eastAsia" w:ascii="宋体" w:hAnsi="宋体" w:eastAsia="宋体" w:cs="宋体"/>
                <w:bCs/>
                <w:sz w:val="21"/>
                <w:szCs w:val="21"/>
                <w:lang w:val="en-US" w:eastAsia="zh-CN"/>
              </w:rPr>
              <w:t>1、</w:t>
            </w:r>
            <w:r>
              <w:rPr>
                <w:rFonts w:hint="eastAsia" w:ascii="宋体" w:hAnsi="宋体" w:eastAsia="宋体" w:cs="宋体"/>
                <w:snapToGrid w:val="0"/>
                <w:szCs w:val="21"/>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宋体" w:hAnsi="宋体" w:eastAsia="宋体" w:cs="宋体"/>
                <w:snapToGrid w:val="0"/>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2、</w:t>
            </w:r>
            <w:r>
              <w:rPr>
                <w:rFonts w:hint="eastAsia" w:ascii="宋体" w:hAnsi="宋体" w:eastAsia="宋体" w:cs="宋体"/>
                <w:snapToGrid w:val="0"/>
                <w:sz w:val="21"/>
                <w:szCs w:val="21"/>
                <w:highlight w:val="none"/>
              </w:rPr>
              <w:t>企业名称不同但法定代表人为同一个自然人的两个或者两个以上的投标人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r>
              <w:rPr>
                <w:rFonts w:hint="eastAsia" w:ascii="宋体" w:hAnsi="宋体" w:eastAsia="宋体" w:cs="宋体"/>
                <w:bCs/>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rPr>
              <w:t>（</w:t>
            </w:r>
            <w:r>
              <w:rPr>
                <w:rFonts w:hint="eastAsia" w:ascii="宋体" w:hAnsi="宋体" w:eastAsia="宋体" w:cs="宋体"/>
                <w:bCs/>
                <w:sz w:val="21"/>
                <w:szCs w:val="21"/>
                <w:lang w:val="en-US" w:eastAsia="zh-CN"/>
              </w:rPr>
              <w:t>投标</w:t>
            </w:r>
            <w:r>
              <w:rPr>
                <w:rFonts w:hint="eastAsia" w:ascii="宋体" w:hAnsi="宋体" w:eastAsia="宋体" w:cs="宋体"/>
                <w:bCs/>
                <w:sz w:val="21"/>
                <w:szCs w:val="21"/>
              </w:rPr>
              <w:t>文件内附承诺书</w:t>
            </w:r>
            <w:r>
              <w:rPr>
                <w:rFonts w:hint="eastAsia" w:ascii="宋体" w:hAnsi="宋体" w:cs="宋体"/>
                <w:bCs/>
                <w:sz w:val="21"/>
                <w:szCs w:val="21"/>
                <w:lang w:eastAsia="zh-CN"/>
              </w:rPr>
              <w:t>，格式自拟</w:t>
            </w:r>
            <w:r>
              <w:rPr>
                <w:rFonts w:hint="eastAsia" w:ascii="宋体" w:hAnsi="宋体" w:eastAsia="宋体" w:cs="宋体"/>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4" w:type="dxa"/>
            <w:vMerge w:val="restart"/>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2.1.3</w:t>
            </w:r>
          </w:p>
        </w:tc>
        <w:tc>
          <w:tcPr>
            <w:tcW w:w="912" w:type="dxa"/>
            <w:vMerge w:val="restart"/>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响应性</w:t>
            </w:r>
          </w:p>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评审</w:t>
            </w:r>
          </w:p>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标准</w:t>
            </w:r>
          </w:p>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50" w:type="dxa"/>
            <w:vAlign w:val="center"/>
          </w:tcPr>
          <w:p>
            <w:pPr>
              <w:autoSpaceDE w:val="0"/>
              <w:autoSpaceDN w:val="0"/>
              <w:adjustRightInd w:val="0"/>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投标内容</w:t>
            </w:r>
          </w:p>
        </w:tc>
        <w:tc>
          <w:tcPr>
            <w:tcW w:w="6054" w:type="dxa"/>
            <w:vAlign w:val="center"/>
          </w:tcPr>
          <w:p>
            <w:pPr>
              <w:autoSpaceDE w:val="0"/>
              <w:autoSpaceDN w:val="0"/>
              <w:adjustRightInd w:val="0"/>
              <w:spacing w:line="400" w:lineRule="exact"/>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符合</w:t>
            </w:r>
            <w:r>
              <w:rPr>
                <w:rFonts w:hint="eastAsia" w:ascii="宋体" w:hAnsi="宋体" w:cs="宋体"/>
                <w:bCs/>
                <w:kern w:val="2"/>
                <w:sz w:val="21"/>
                <w:szCs w:val="21"/>
                <w:highlight w:val="none"/>
                <w:lang w:val="zh-CN" w:eastAsia="zh-CN" w:bidi="ar-SA"/>
              </w:rPr>
              <w:t>谈判</w:t>
            </w:r>
            <w:r>
              <w:rPr>
                <w:rFonts w:hint="eastAsia" w:ascii="宋体" w:hAnsi="宋体" w:eastAsia="宋体" w:cs="宋体"/>
                <w:bCs/>
                <w:kern w:val="2"/>
                <w:sz w:val="21"/>
                <w:szCs w:val="21"/>
                <w:highlight w:val="none"/>
                <w:lang w:val="zh-CN" w:eastAsia="zh-CN" w:bidi="ar-SA"/>
              </w:rPr>
              <w:t>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764"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pPr>
              <w:pStyle w:val="22"/>
              <w:tabs>
                <w:tab w:val="clear" w:pos="4153"/>
                <w:tab w:val="clear" w:pos="8306"/>
              </w:tabs>
              <w:autoSpaceDE w:val="0"/>
              <w:autoSpaceDN w:val="0"/>
              <w:adjustRightInd w:val="0"/>
              <w:snapToGrid/>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cs="宋体"/>
                <w:bCs/>
                <w:kern w:val="2"/>
                <w:sz w:val="21"/>
                <w:szCs w:val="21"/>
                <w:highlight w:val="none"/>
                <w:lang w:val="zh-CN" w:eastAsia="zh-CN" w:bidi="ar-SA"/>
              </w:rPr>
              <w:t>供</w:t>
            </w:r>
            <w:r>
              <w:rPr>
                <w:rFonts w:hint="eastAsia" w:ascii="宋体" w:hAnsi="宋体" w:cs="宋体"/>
                <w:bCs/>
                <w:kern w:val="2"/>
                <w:sz w:val="21"/>
                <w:szCs w:val="21"/>
                <w:highlight w:val="none"/>
                <w:lang w:val="en-US" w:eastAsia="zh-CN" w:bidi="ar-SA"/>
              </w:rPr>
              <w:t xml:space="preserve"> </w:t>
            </w:r>
            <w:r>
              <w:rPr>
                <w:rFonts w:hint="eastAsia" w:ascii="宋体" w:hAnsi="宋体" w:cs="宋体"/>
                <w:bCs/>
                <w:kern w:val="2"/>
                <w:sz w:val="21"/>
                <w:szCs w:val="21"/>
                <w:highlight w:val="none"/>
                <w:lang w:val="zh-CN" w:eastAsia="zh-CN" w:bidi="ar-SA"/>
              </w:rPr>
              <w:t>货</w:t>
            </w:r>
            <w:r>
              <w:rPr>
                <w:rFonts w:hint="eastAsia" w:ascii="宋体" w:hAnsi="宋体" w:eastAsia="宋体" w:cs="宋体"/>
                <w:bCs/>
                <w:kern w:val="2"/>
                <w:sz w:val="21"/>
                <w:szCs w:val="21"/>
                <w:highlight w:val="none"/>
                <w:lang w:val="en-US" w:eastAsia="zh-CN" w:bidi="ar-SA"/>
              </w:rPr>
              <w:t xml:space="preserve"> </w:t>
            </w:r>
            <w:r>
              <w:rPr>
                <w:rFonts w:hint="eastAsia" w:ascii="宋体" w:hAnsi="宋体" w:eastAsia="宋体" w:cs="宋体"/>
                <w:bCs/>
                <w:kern w:val="2"/>
                <w:sz w:val="21"/>
                <w:szCs w:val="21"/>
                <w:highlight w:val="none"/>
                <w:lang w:val="zh-CN" w:eastAsia="zh-CN" w:bidi="ar-SA"/>
              </w:rPr>
              <w:t>期</w:t>
            </w:r>
          </w:p>
        </w:tc>
        <w:tc>
          <w:tcPr>
            <w:tcW w:w="6054" w:type="dxa"/>
            <w:vAlign w:val="center"/>
          </w:tcPr>
          <w:p>
            <w:pPr>
              <w:autoSpaceDE w:val="0"/>
              <w:autoSpaceDN w:val="0"/>
              <w:adjustRightInd w:val="0"/>
              <w:spacing w:line="400" w:lineRule="exact"/>
              <w:rPr>
                <w:rFonts w:hint="eastAsia" w:ascii="宋体" w:hAnsi="宋体" w:eastAsia="宋体" w:cs="宋体"/>
                <w:bCs/>
                <w:kern w:val="2"/>
                <w:sz w:val="21"/>
                <w:szCs w:val="21"/>
                <w:highlight w:val="none"/>
                <w:lang w:val="en-US" w:eastAsia="zh-CN" w:bidi="ar-SA"/>
              </w:rPr>
            </w:pPr>
            <w:r>
              <w:rPr>
                <w:rFonts w:hint="eastAsia" w:ascii="宋体" w:hAnsi="宋体" w:cs="宋体"/>
                <w:bCs/>
                <w:kern w:val="2"/>
                <w:sz w:val="21"/>
                <w:szCs w:val="21"/>
                <w:highlight w:val="none"/>
                <w:lang w:val="en-US" w:eastAsia="zh-CN" w:bidi="ar-SA"/>
              </w:rPr>
              <w:t>合同签订</w:t>
            </w:r>
            <w:r>
              <w:rPr>
                <w:rFonts w:hint="eastAsia" w:ascii="宋体" w:hAnsi="宋体" w:eastAsia="宋体" w:cs="宋体"/>
                <w:bCs/>
                <w:kern w:val="2"/>
                <w:sz w:val="21"/>
                <w:szCs w:val="21"/>
                <w:highlight w:val="none"/>
                <w:lang w:val="en-US" w:eastAsia="zh-CN" w:bidi="ar-SA"/>
              </w:rPr>
              <w:t>后</w:t>
            </w:r>
            <w:r>
              <w:rPr>
                <w:rFonts w:hint="eastAsia" w:ascii="宋体" w:hAnsi="宋体" w:cs="宋体"/>
                <w:bCs/>
                <w:kern w:val="2"/>
                <w:sz w:val="21"/>
                <w:szCs w:val="21"/>
                <w:highlight w:val="none"/>
                <w:lang w:val="en-US" w:eastAsia="zh-CN" w:bidi="ar-SA"/>
              </w:rPr>
              <w:t>20</w:t>
            </w:r>
            <w:r>
              <w:rPr>
                <w:rFonts w:hint="eastAsia" w:ascii="宋体" w:hAnsi="宋体" w:eastAsia="宋体" w:cs="宋体"/>
                <w:bCs/>
                <w:kern w:val="2"/>
                <w:sz w:val="21"/>
                <w:szCs w:val="21"/>
                <w:highlight w:val="none"/>
                <w:lang w:val="en-US" w:eastAsia="zh-CN" w:bidi="ar-SA"/>
              </w:rPr>
              <w:t>日历天内完成甲方指定地点供货完成</w:t>
            </w:r>
            <w:r>
              <w:rPr>
                <w:rFonts w:hint="eastAsia" w:ascii="宋体" w:hAnsi="宋体" w:cs="宋体"/>
                <w:bCs/>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4"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pPr>
              <w:pStyle w:val="22"/>
              <w:tabs>
                <w:tab w:val="clear" w:pos="4153"/>
                <w:tab w:val="clear" w:pos="8306"/>
              </w:tabs>
              <w:autoSpaceDE w:val="0"/>
              <w:autoSpaceDN w:val="0"/>
              <w:adjustRightInd w:val="0"/>
              <w:snapToGrid/>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cs="宋体"/>
                <w:bCs/>
                <w:kern w:val="2"/>
                <w:sz w:val="21"/>
                <w:szCs w:val="21"/>
                <w:highlight w:val="none"/>
                <w:lang w:val="zh-CN" w:eastAsia="zh-CN" w:bidi="ar-SA"/>
              </w:rPr>
              <w:t>供货</w:t>
            </w:r>
            <w:r>
              <w:rPr>
                <w:rFonts w:hint="eastAsia" w:ascii="宋体" w:hAnsi="宋体" w:eastAsia="宋体" w:cs="宋体"/>
                <w:bCs/>
                <w:kern w:val="2"/>
                <w:sz w:val="21"/>
                <w:szCs w:val="21"/>
                <w:highlight w:val="none"/>
                <w:lang w:val="zh-CN" w:eastAsia="zh-CN" w:bidi="ar-SA"/>
              </w:rPr>
              <w:t>地点</w:t>
            </w:r>
          </w:p>
        </w:tc>
        <w:tc>
          <w:tcPr>
            <w:tcW w:w="6054" w:type="dxa"/>
            <w:vAlign w:val="center"/>
          </w:tcPr>
          <w:p>
            <w:pPr>
              <w:pStyle w:val="22"/>
              <w:tabs>
                <w:tab w:val="clear" w:pos="4153"/>
                <w:tab w:val="clear" w:pos="8306"/>
              </w:tabs>
              <w:autoSpaceDE w:val="0"/>
              <w:autoSpaceDN w:val="0"/>
              <w:adjustRightInd w:val="0"/>
              <w:snapToGrid/>
              <w:spacing w:line="400" w:lineRule="exact"/>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甲方指定地点</w:t>
            </w:r>
            <w:r>
              <w:rPr>
                <w:rFonts w:hint="eastAsia" w:ascii="宋体" w:hAnsi="宋体" w:cs="宋体"/>
                <w:bCs/>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4"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pPr>
              <w:autoSpaceDE w:val="0"/>
              <w:autoSpaceDN w:val="0"/>
              <w:adjustRightInd w:val="0"/>
              <w:spacing w:line="400" w:lineRule="exact"/>
              <w:jc w:val="center"/>
              <w:rPr>
                <w:rFonts w:hint="eastAsia" w:ascii="宋体" w:hAnsi="宋体" w:cs="宋体"/>
                <w:bCs/>
                <w:kern w:val="2"/>
                <w:sz w:val="21"/>
                <w:szCs w:val="21"/>
                <w:highlight w:val="none"/>
                <w:lang w:val="zh-CN" w:eastAsia="zh-CN" w:bidi="ar-SA"/>
              </w:rPr>
            </w:pPr>
            <w:r>
              <w:rPr>
                <w:rFonts w:hint="eastAsia" w:ascii="宋体" w:hAnsi="宋体" w:cs="宋体"/>
                <w:bCs/>
                <w:sz w:val="21"/>
                <w:szCs w:val="21"/>
                <w:highlight w:val="none"/>
                <w:lang w:eastAsia="zh-CN"/>
              </w:rPr>
              <w:t>质保期</w:t>
            </w:r>
          </w:p>
        </w:tc>
        <w:tc>
          <w:tcPr>
            <w:tcW w:w="6054" w:type="dxa"/>
            <w:vAlign w:val="center"/>
          </w:tcPr>
          <w:p>
            <w:pPr>
              <w:autoSpaceDE w:val="0"/>
              <w:autoSpaceDN w:val="0"/>
              <w:adjustRightInd w:val="0"/>
              <w:spacing w:line="400" w:lineRule="exact"/>
              <w:rPr>
                <w:rFonts w:hint="eastAsia" w:ascii="宋体" w:hAnsi="宋体" w:eastAsia="宋体" w:cs="宋体"/>
                <w:bCs/>
                <w:kern w:val="2"/>
                <w:sz w:val="21"/>
                <w:szCs w:val="21"/>
                <w:highlight w:val="none"/>
                <w:lang w:val="en-US" w:eastAsia="zh-CN" w:bidi="ar-SA"/>
              </w:rPr>
            </w:pPr>
            <w:r>
              <w:rPr>
                <w:rFonts w:hint="eastAsia" w:cs="宋体"/>
                <w:b w:val="0"/>
                <w:bCs w:val="0"/>
                <w:sz w:val="22"/>
                <w:szCs w:val="22"/>
                <w:lang w:val="en-US" w:eastAsia="zh-CN"/>
              </w:rPr>
              <w:t>在商品自身质保期限后质保一年。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4"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pPr>
              <w:pStyle w:val="22"/>
              <w:tabs>
                <w:tab w:val="clear" w:pos="4153"/>
                <w:tab w:val="clear" w:pos="8306"/>
              </w:tabs>
              <w:autoSpaceDE w:val="0"/>
              <w:autoSpaceDN w:val="0"/>
              <w:adjustRightInd w:val="0"/>
              <w:snapToGrid/>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cs="宋体"/>
                <w:bCs/>
                <w:kern w:val="2"/>
                <w:sz w:val="21"/>
                <w:szCs w:val="21"/>
                <w:highlight w:val="none"/>
                <w:lang w:val="zh-CN" w:eastAsia="zh-CN" w:bidi="ar-SA"/>
              </w:rPr>
              <w:t>质量要求</w:t>
            </w:r>
          </w:p>
        </w:tc>
        <w:tc>
          <w:tcPr>
            <w:tcW w:w="6054" w:type="dxa"/>
            <w:vAlign w:val="center"/>
          </w:tcPr>
          <w:p>
            <w:pPr>
              <w:pStyle w:val="22"/>
              <w:tabs>
                <w:tab w:val="clear" w:pos="4153"/>
                <w:tab w:val="clear" w:pos="8306"/>
              </w:tabs>
              <w:autoSpaceDE w:val="0"/>
              <w:autoSpaceDN w:val="0"/>
              <w:adjustRightInd w:val="0"/>
              <w:snapToGrid/>
              <w:spacing w:line="400" w:lineRule="exact"/>
              <w:jc w:val="both"/>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符合国家、省市相关行业标准，优质产品。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4"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投标有效期</w:t>
            </w:r>
          </w:p>
        </w:tc>
        <w:tc>
          <w:tcPr>
            <w:tcW w:w="6054" w:type="dxa"/>
            <w:vAlign w:val="center"/>
          </w:tcPr>
          <w:p>
            <w:pPr>
              <w:autoSpaceDE w:val="0"/>
              <w:autoSpaceDN w:val="0"/>
              <w:adjustRightInd w:val="0"/>
              <w:spacing w:line="400" w:lineRule="exact"/>
              <w:rPr>
                <w:rFonts w:hint="eastAsia" w:ascii="宋体" w:hAnsi="宋体" w:eastAsia="宋体" w:cs="宋体"/>
                <w:bCs/>
                <w:sz w:val="21"/>
                <w:szCs w:val="21"/>
                <w:highlight w:val="none"/>
                <w:lang w:eastAsia="zh-CN"/>
              </w:rPr>
            </w:pPr>
            <w:r>
              <w:rPr>
                <w:rFonts w:hint="eastAsia" w:ascii="宋体" w:hAnsi="宋体" w:eastAsia="宋体" w:cs="宋体"/>
                <w:sz w:val="21"/>
                <w:szCs w:val="21"/>
                <w:highlight w:val="none"/>
              </w:rPr>
              <w:t>自</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提交投标文件截止之日起计</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0日历天</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4"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商务条件</w:t>
            </w:r>
          </w:p>
        </w:tc>
        <w:tc>
          <w:tcPr>
            <w:tcW w:w="6054" w:type="dxa"/>
            <w:vAlign w:val="center"/>
          </w:tcPr>
          <w:p>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符合招标文件相关商务规定，无重大偏离。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764"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技术条件</w:t>
            </w:r>
          </w:p>
        </w:tc>
        <w:tc>
          <w:tcPr>
            <w:tcW w:w="6054" w:type="dxa"/>
            <w:vAlign w:val="center"/>
          </w:tcPr>
          <w:p>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符合第</w:t>
            </w:r>
            <w:r>
              <w:rPr>
                <w:rFonts w:hint="eastAsia" w:ascii="宋体" w:hAnsi="宋体" w:cs="宋体"/>
                <w:bCs/>
                <w:sz w:val="21"/>
                <w:szCs w:val="21"/>
                <w:highlight w:val="none"/>
                <w:lang w:val="zh-CN"/>
              </w:rPr>
              <w:t>三</w:t>
            </w:r>
            <w:r>
              <w:rPr>
                <w:rFonts w:hint="eastAsia" w:ascii="宋体" w:hAnsi="宋体" w:eastAsia="宋体" w:cs="宋体"/>
                <w:bCs/>
                <w:sz w:val="21"/>
                <w:szCs w:val="21"/>
                <w:highlight w:val="none"/>
                <w:lang w:val="zh-CN"/>
              </w:rPr>
              <w:t>章“</w:t>
            </w:r>
            <w:r>
              <w:rPr>
                <w:rFonts w:hint="eastAsia" w:ascii="宋体" w:hAnsi="宋体" w:cs="宋体"/>
                <w:bCs/>
                <w:sz w:val="21"/>
                <w:szCs w:val="21"/>
                <w:highlight w:val="none"/>
                <w:lang w:val="zh-CN"/>
              </w:rPr>
              <w:t>货物采购需求表</w:t>
            </w:r>
            <w:r>
              <w:rPr>
                <w:rFonts w:hint="eastAsia" w:ascii="宋体" w:hAnsi="宋体" w:eastAsia="宋体" w:cs="宋体"/>
                <w:bCs/>
                <w:sz w:val="21"/>
                <w:szCs w:val="21"/>
                <w:highlight w:val="none"/>
                <w:lang w:val="zh-CN"/>
              </w:rPr>
              <w:t>”，条款、技术规格相符。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4"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投标价格</w:t>
            </w:r>
          </w:p>
        </w:tc>
        <w:tc>
          <w:tcPr>
            <w:tcW w:w="6054" w:type="dxa"/>
            <w:vAlign w:val="center"/>
          </w:tcPr>
          <w:p>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投标总价不高于招标控制价，且不低于成本。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4"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eastAsia="zh-CN"/>
              </w:rPr>
              <w:t>供货合同签订要求</w:t>
            </w:r>
          </w:p>
        </w:tc>
        <w:tc>
          <w:tcPr>
            <w:tcW w:w="6054" w:type="dxa"/>
            <w:vAlign w:val="center"/>
          </w:tcPr>
          <w:p>
            <w:pPr>
              <w:autoSpaceDE w:val="0"/>
              <w:autoSpaceDN w:val="0"/>
              <w:adjustRightInd w:val="0"/>
              <w:spacing w:line="400" w:lineRule="exact"/>
              <w:rPr>
                <w:rFonts w:hint="eastAsia" w:ascii="宋体" w:hAnsi="宋体" w:cs="宋体"/>
                <w:bCs/>
                <w:sz w:val="21"/>
                <w:szCs w:val="21"/>
                <w:highlight w:val="none"/>
                <w:lang w:val="zh-CN"/>
              </w:rPr>
            </w:pPr>
            <w:r>
              <w:rPr>
                <w:rFonts w:hint="eastAsia" w:ascii="宋体" w:hAnsi="宋体" w:cs="Times New Roman"/>
                <w:szCs w:val="21"/>
                <w:highlight w:val="none"/>
                <w:lang w:val="en-US" w:eastAsia="zh-CN"/>
              </w:rPr>
              <w:t>自中标（成交）结果公告发布之日起7日内中标单位携带履约保证金缴纳证明与采购人签订供货合同。</w:t>
            </w:r>
          </w:p>
        </w:tc>
      </w:tr>
    </w:tbl>
    <w:p>
      <w:pPr>
        <w:rPr>
          <w:rFonts w:hint="eastAsia" w:ascii="宋体" w:hAnsi="宋体"/>
          <w:sz w:val="18"/>
          <w:szCs w:val="18"/>
          <w:highlight w:val="none"/>
        </w:rPr>
      </w:pPr>
      <w:r>
        <w:rPr>
          <w:rFonts w:hint="eastAsia" w:ascii="宋体" w:hAnsi="宋体"/>
          <w:sz w:val="18"/>
          <w:szCs w:val="18"/>
          <w:highlight w:val="none"/>
        </w:rPr>
        <w:t>注：评标委员会将依据上表标准对投标文件进行初步评审。有一项不符合评审标准的，评标委员会应当否决其投标。</w:t>
      </w:r>
    </w:p>
    <w:p>
      <w:pPr>
        <w:pStyle w:val="18"/>
        <w:spacing w:line="380" w:lineRule="exact"/>
        <w:rPr>
          <w:rFonts w:hint="eastAsia" w:hAnsi="宋体"/>
          <w:b/>
          <w:bCs/>
          <w:szCs w:val="21"/>
          <w:highlight w:val="none"/>
        </w:rPr>
      </w:pPr>
      <w:r>
        <w:rPr>
          <w:rFonts w:hint="eastAsia" w:hAnsi="宋体"/>
          <w:b/>
          <w:bCs/>
          <w:szCs w:val="21"/>
          <w:highlight w:val="none"/>
        </w:rPr>
        <w:t>一、评审依据</w:t>
      </w:r>
    </w:p>
    <w:p>
      <w:pPr>
        <w:pStyle w:val="18"/>
        <w:spacing w:line="380" w:lineRule="exact"/>
        <w:ind w:firstLine="420" w:firstLineChars="200"/>
        <w:rPr>
          <w:rFonts w:hint="eastAsia" w:hAnsi="宋体"/>
          <w:bCs/>
          <w:highlight w:val="none"/>
        </w:rPr>
      </w:pPr>
      <w:r>
        <w:rPr>
          <w:rFonts w:hint="eastAsia" w:hAnsi="宋体"/>
          <w:bCs/>
          <w:highlight w:val="none"/>
        </w:rPr>
        <w:t>1. 评审依据：谈判小组以谈判文件和响应文件为评审依据。</w:t>
      </w:r>
    </w:p>
    <w:p>
      <w:pPr>
        <w:pStyle w:val="18"/>
        <w:spacing w:line="380" w:lineRule="exact"/>
        <w:ind w:firstLine="420" w:firstLineChars="200"/>
        <w:rPr>
          <w:rFonts w:hint="eastAsia" w:hAnsi="宋体"/>
          <w:bCs/>
          <w:highlight w:val="none"/>
        </w:rPr>
      </w:pPr>
      <w:r>
        <w:rPr>
          <w:rFonts w:hint="eastAsia" w:hAnsi="宋体"/>
          <w:bCs/>
          <w:highlight w:val="none"/>
        </w:rPr>
        <w:t>2. 根据财库〔2012〕69号文规定，采购人和采购代理机构、竞争性谈判小组成员要严格遵守政府采购相关法律制度，依法履行各自职责，公正、客观、审慎地组织和参与评审工作。</w:t>
      </w:r>
    </w:p>
    <w:p>
      <w:pPr>
        <w:pStyle w:val="18"/>
        <w:spacing w:line="380" w:lineRule="exact"/>
        <w:ind w:firstLine="422" w:firstLineChars="200"/>
        <w:rPr>
          <w:rFonts w:hint="eastAsia" w:hAnsi="宋体"/>
          <w:b/>
          <w:bCs/>
          <w:szCs w:val="21"/>
          <w:highlight w:val="none"/>
        </w:rPr>
      </w:pPr>
      <w:r>
        <w:rPr>
          <w:rFonts w:hint="eastAsia" w:hAnsi="宋体"/>
          <w:b/>
          <w:bCs/>
          <w:szCs w:val="21"/>
          <w:highlight w:val="none"/>
        </w:rPr>
        <w:t>二、评审办法</w:t>
      </w:r>
    </w:p>
    <w:p>
      <w:pPr>
        <w:pStyle w:val="18"/>
        <w:spacing w:line="380" w:lineRule="exact"/>
        <w:ind w:firstLine="420"/>
        <w:rPr>
          <w:rFonts w:hint="eastAsia" w:hAnsi="宋体" w:cs="Arial"/>
          <w:kern w:val="0"/>
          <w:szCs w:val="21"/>
          <w:highlight w:val="none"/>
        </w:rPr>
      </w:pPr>
      <w:r>
        <w:rPr>
          <w:rFonts w:hint="eastAsia" w:hAnsi="宋体" w:cs="Arial"/>
          <w:kern w:val="0"/>
          <w:szCs w:val="21"/>
          <w:highlight w:val="none"/>
        </w:rPr>
        <w:t>1. 谈判小组应当从质量和服务均能满足竞争性谈判文件全部实质性响应要求的供应商中，按照评审第二次有效报价由低到高顺序提出3名以上（含3名）成交候选人。</w:t>
      </w:r>
    </w:p>
    <w:p>
      <w:pPr>
        <w:pStyle w:val="18"/>
        <w:spacing w:line="380" w:lineRule="exact"/>
        <w:ind w:firstLine="420" w:firstLineChars="200"/>
        <w:rPr>
          <w:rFonts w:hint="eastAsia" w:hAnsi="宋体" w:cs="Arial"/>
          <w:kern w:val="0"/>
          <w:szCs w:val="21"/>
          <w:highlight w:val="none"/>
        </w:rPr>
      </w:pPr>
      <w:r>
        <w:rPr>
          <w:rFonts w:hint="eastAsia" w:hAnsi="宋体" w:cs="Arial"/>
          <w:kern w:val="0"/>
          <w:szCs w:val="21"/>
          <w:highlight w:val="none"/>
        </w:rPr>
        <w:t>2. 按照《政府采购促进中小企业发展</w:t>
      </w:r>
      <w:r>
        <w:rPr>
          <w:rFonts w:hint="eastAsia" w:hAnsi="宋体" w:cs="Arial"/>
          <w:kern w:val="0"/>
          <w:szCs w:val="21"/>
          <w:highlight w:val="none"/>
          <w:lang w:val="en-US" w:eastAsia="zh-CN"/>
        </w:rPr>
        <w:t>管理</w:t>
      </w:r>
      <w:r>
        <w:rPr>
          <w:rFonts w:hint="eastAsia" w:hAnsi="宋体" w:cs="Arial"/>
          <w:kern w:val="0"/>
          <w:szCs w:val="21"/>
          <w:highlight w:val="none"/>
        </w:rPr>
        <w:t>办法》（财库[20</w:t>
      </w:r>
      <w:r>
        <w:rPr>
          <w:rFonts w:hint="eastAsia" w:hAnsi="宋体" w:cs="Arial"/>
          <w:kern w:val="0"/>
          <w:szCs w:val="21"/>
          <w:highlight w:val="none"/>
          <w:lang w:val="en-US" w:eastAsia="zh-CN"/>
        </w:rPr>
        <w:t>20</w:t>
      </w:r>
      <w:r>
        <w:rPr>
          <w:rFonts w:hint="eastAsia" w:hAnsi="宋体" w:cs="Arial"/>
          <w:kern w:val="0"/>
          <w:szCs w:val="21"/>
          <w:highlight w:val="none"/>
        </w:rPr>
        <w:t>]</w:t>
      </w:r>
      <w:r>
        <w:rPr>
          <w:rFonts w:hint="eastAsia" w:hAnsi="宋体" w:cs="Arial"/>
          <w:kern w:val="0"/>
          <w:szCs w:val="21"/>
          <w:highlight w:val="none"/>
          <w:lang w:val="en-US" w:eastAsia="zh-CN"/>
        </w:rPr>
        <w:t>46</w:t>
      </w:r>
      <w:r>
        <w:rPr>
          <w:rFonts w:hint="eastAsia" w:hAnsi="宋体" w:cs="Arial"/>
          <w:kern w:val="0"/>
          <w:szCs w:val="21"/>
          <w:highlight w:val="none"/>
        </w:rPr>
        <w:t>号）</w:t>
      </w:r>
      <w:r>
        <w:rPr>
          <w:rFonts w:hint="eastAsia" w:hAnsi="宋体" w:cs="Arial"/>
          <w:kern w:val="0"/>
          <w:szCs w:val="21"/>
          <w:highlight w:val="none"/>
          <w:lang w:eastAsia="zh-CN"/>
        </w:rPr>
        <w:t>、《关于进一步加大政府采购支持中小企业力度的通知》（财库[2022] 19号）、《关于政府采购支持监狱企业发展有关问题的通知》（财库[2014] 68号）、《关于促进残疾人就业政府采购政策的通知》（财库[2017] 141号）等国家</w:t>
      </w:r>
      <w:r>
        <w:rPr>
          <w:rFonts w:hint="eastAsia" w:hAnsi="宋体" w:cs="Arial"/>
          <w:kern w:val="0"/>
          <w:szCs w:val="21"/>
          <w:highlight w:val="none"/>
          <w:lang w:val="en-US" w:eastAsia="zh-CN"/>
        </w:rPr>
        <w:t>文件最新</w:t>
      </w:r>
      <w:r>
        <w:rPr>
          <w:rFonts w:hint="eastAsia" w:hAnsi="宋体" w:cs="Arial"/>
          <w:kern w:val="0"/>
          <w:szCs w:val="21"/>
          <w:highlight w:val="none"/>
        </w:rPr>
        <w:t>规定：</w:t>
      </w:r>
    </w:p>
    <w:p>
      <w:pPr>
        <w:pStyle w:val="18"/>
        <w:spacing w:line="380" w:lineRule="exact"/>
        <w:ind w:firstLine="420" w:firstLineChars="200"/>
        <w:rPr>
          <w:rFonts w:hint="eastAsia" w:hAnsi="宋体"/>
          <w:highlight w:val="none"/>
        </w:rPr>
      </w:pPr>
      <w:r>
        <w:rPr>
          <w:rFonts w:hint="eastAsia" w:hAnsi="宋体"/>
          <w:highlight w:val="none"/>
        </w:rPr>
        <w:t>（</w:t>
      </w:r>
      <w:r>
        <w:rPr>
          <w:rFonts w:hint="eastAsia" w:hAnsi="宋体"/>
          <w:highlight w:val="none"/>
          <w:lang w:val="en-US" w:eastAsia="zh-CN"/>
        </w:rPr>
        <w:t>1</w:t>
      </w:r>
      <w:r>
        <w:rPr>
          <w:rFonts w:hint="eastAsia" w:hAnsi="宋体"/>
          <w:highlight w:val="none"/>
        </w:rPr>
        <w:t>）评审报价=最后报价</w:t>
      </w:r>
      <w:r>
        <w:rPr>
          <w:rFonts w:hint="eastAsia" w:hAnsi="宋体"/>
          <w:highlight w:val="none"/>
          <w:lang w:eastAsia="zh-CN"/>
        </w:rPr>
        <w:t>（</w:t>
      </w:r>
      <w:r>
        <w:rPr>
          <w:rFonts w:hint="eastAsia" w:hAnsi="宋体"/>
          <w:highlight w:val="none"/>
          <w:lang w:val="en-US" w:eastAsia="zh-CN"/>
        </w:rPr>
        <w:t>第二次有效报价</w:t>
      </w:r>
      <w:r>
        <w:rPr>
          <w:rFonts w:hint="eastAsia" w:hAnsi="宋体"/>
          <w:highlight w:val="none"/>
          <w:lang w:eastAsia="zh-CN"/>
        </w:rPr>
        <w:t>）</w:t>
      </w:r>
      <w:r>
        <w:rPr>
          <w:rFonts w:hint="eastAsia" w:hAnsi="宋体"/>
          <w:highlight w:val="none"/>
        </w:rPr>
        <w:t>。</w:t>
      </w:r>
    </w:p>
    <w:p>
      <w:pPr>
        <w:pStyle w:val="18"/>
        <w:spacing w:line="380" w:lineRule="exact"/>
        <w:ind w:firstLine="420" w:firstLineChars="200"/>
        <w:rPr>
          <w:rFonts w:hint="eastAsia" w:hAnsi="宋体"/>
          <w:bCs/>
          <w:highlight w:val="none"/>
        </w:rPr>
      </w:pPr>
      <w:r>
        <w:rPr>
          <w:rFonts w:hint="eastAsia" w:hAnsi="宋体"/>
          <w:bCs/>
          <w:color w:val="auto"/>
          <w:highlight w:val="none"/>
        </w:rPr>
        <w:t>注：①供应商未小型、微型企业的，视同为中型企业。</w:t>
      </w:r>
      <w:r>
        <w:rPr>
          <w:rFonts w:hint="eastAsia" w:hAnsi="宋体"/>
          <w:bCs/>
          <w:highlight w:val="none"/>
        </w:rPr>
        <w:t>②</w:t>
      </w:r>
      <w:r>
        <w:rPr>
          <w:rFonts w:hint="eastAsia" w:hAnsi="宋体" w:cs="Arial"/>
          <w:bCs/>
          <w:kern w:val="0"/>
          <w:szCs w:val="21"/>
          <w:highlight w:val="none"/>
        </w:rPr>
        <w:t>谈判小组应当按扣除后的报价由低到高进行排序，该扣除后报价仅作为评审报价排序，不作为合同签订报价，合同将按实际最后报价签订</w:t>
      </w:r>
      <w:r>
        <w:rPr>
          <w:rFonts w:hint="eastAsia" w:hAnsi="宋体"/>
          <w:bCs/>
          <w:highlight w:val="none"/>
        </w:rPr>
        <w:t>。</w:t>
      </w:r>
    </w:p>
    <w:p>
      <w:pPr>
        <w:pStyle w:val="18"/>
        <w:spacing w:line="380" w:lineRule="exact"/>
        <w:ind w:firstLine="420" w:firstLineChars="200"/>
        <w:rPr>
          <w:rFonts w:hint="eastAsia" w:hAnsi="宋体" w:cs="Arial"/>
          <w:bCs/>
          <w:kern w:val="0"/>
          <w:szCs w:val="21"/>
          <w:highlight w:val="none"/>
        </w:rPr>
      </w:pPr>
      <w:r>
        <w:rPr>
          <w:rFonts w:hint="eastAsia" w:hAnsi="宋体" w:cs="Arial"/>
          <w:bCs/>
          <w:kern w:val="0"/>
          <w:szCs w:val="21"/>
          <w:highlight w:val="none"/>
        </w:rPr>
        <w:t>3. 根据财政部、司法部关于政府采购支持监狱企业发展有关问题的通知（财库[2014]68号），监狱企业视同小型、微型企业，享受小型、微型企业评审中价格扣除的政府采购政策。</w:t>
      </w:r>
    </w:p>
    <w:p>
      <w:pPr>
        <w:pStyle w:val="18"/>
        <w:spacing w:line="380" w:lineRule="exact"/>
        <w:ind w:firstLine="411" w:firstLineChars="196"/>
        <w:rPr>
          <w:rFonts w:hint="eastAsia" w:hAnsi="宋体"/>
          <w:bCs/>
          <w:highlight w:val="none"/>
        </w:rPr>
      </w:pPr>
      <w:r>
        <w:rPr>
          <w:rFonts w:hint="eastAsia" w:hAnsi="宋体"/>
          <w:bCs/>
          <w:szCs w:val="21"/>
          <w:highlight w:val="none"/>
        </w:rPr>
        <w:t>4. 评审时，</w:t>
      </w:r>
      <w:r>
        <w:rPr>
          <w:rFonts w:hint="eastAsia" w:hAnsi="宋体"/>
          <w:bCs/>
          <w:highlight w:val="none"/>
        </w:rPr>
        <w:t>应当将通过资格性审查和符合性审查各供应商的评审报价，按照</w:t>
      </w:r>
      <w:r>
        <w:rPr>
          <w:rFonts w:hint="eastAsia" w:hAnsi="宋体" w:cs="Arial"/>
          <w:bCs/>
          <w:kern w:val="0"/>
          <w:szCs w:val="21"/>
          <w:highlight w:val="none"/>
        </w:rPr>
        <w:t>由低到高顺序排序，</w:t>
      </w:r>
      <w:r>
        <w:rPr>
          <w:rFonts w:hint="eastAsia" w:hAnsi="宋体"/>
          <w:bCs/>
          <w:highlight w:val="none"/>
        </w:rPr>
        <w:t>当评审报价相同时，以最后第二次报价低的优先排序；当最后报价相同时，采用抽签方式决定排序。</w:t>
      </w:r>
    </w:p>
    <w:p>
      <w:pPr>
        <w:pStyle w:val="18"/>
        <w:spacing w:line="380" w:lineRule="exact"/>
        <w:ind w:firstLine="411" w:firstLineChars="196"/>
        <w:rPr>
          <w:rFonts w:hint="eastAsia" w:eastAsia="宋体"/>
          <w:highlight w:val="none"/>
          <w:lang w:val="en-US" w:eastAsia="zh-CN"/>
        </w:rPr>
      </w:pPr>
      <w:r>
        <w:rPr>
          <w:rFonts w:hint="eastAsia" w:hAnsi="宋体"/>
          <w:bCs/>
          <w:highlight w:val="none"/>
          <w:lang w:val="en-US" w:eastAsia="zh-CN"/>
        </w:rPr>
        <w:t>5、中华人民共和国财政部令第87号《政府采购货物和服务招标投标管理办法》，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w:t>
      </w:r>
    </w:p>
    <w:p>
      <w:pPr>
        <w:pStyle w:val="1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bCs/>
          <w:szCs w:val="21"/>
          <w:highlight w:val="none"/>
        </w:rPr>
      </w:pPr>
      <w:r>
        <w:rPr>
          <w:rFonts w:hint="eastAsia" w:hAnsi="宋体"/>
          <w:bCs/>
          <w:szCs w:val="21"/>
          <w:highlight w:val="none"/>
        </w:rPr>
        <w:t>三、成交候选人推荐原则</w:t>
      </w:r>
    </w:p>
    <w:p>
      <w:pPr>
        <w:pStyle w:val="18"/>
        <w:keepNext w:val="0"/>
        <w:keepLines w:val="0"/>
        <w:pageBreakBefore w:val="0"/>
        <w:widowControl w:val="0"/>
        <w:tabs>
          <w:tab w:val="left" w:pos="4214"/>
        </w:tabs>
        <w:kinsoku/>
        <w:wordWrap/>
        <w:overflowPunct/>
        <w:topLinePunct w:val="0"/>
        <w:autoSpaceDE/>
        <w:autoSpaceDN/>
        <w:bidi w:val="0"/>
        <w:adjustRightInd/>
        <w:snapToGrid/>
        <w:spacing w:line="400" w:lineRule="exact"/>
        <w:ind w:firstLine="420" w:firstLineChars="200"/>
        <w:textAlignment w:val="auto"/>
        <w:rPr>
          <w:rFonts w:hint="eastAsia" w:hAnsi="宋体"/>
          <w:szCs w:val="21"/>
          <w:highlight w:val="none"/>
        </w:rPr>
      </w:pPr>
      <w:r>
        <w:rPr>
          <w:rFonts w:hint="eastAsia" w:hAnsi="宋体"/>
          <w:szCs w:val="21"/>
          <w:highlight w:val="none"/>
        </w:rPr>
        <w:t>（1）采购单位应当确定谈判小组推荐排名第一的成交候选人为成交供应商。</w:t>
      </w:r>
    </w:p>
    <w:p>
      <w:pPr>
        <w:pStyle w:val="18"/>
        <w:keepNext w:val="0"/>
        <w:keepLines w:val="0"/>
        <w:pageBreakBefore w:val="0"/>
        <w:widowControl w:val="0"/>
        <w:kinsoku/>
        <w:wordWrap/>
        <w:overflowPunct/>
        <w:topLinePunct w:val="0"/>
        <w:autoSpaceDE/>
        <w:autoSpaceDN/>
        <w:bidi w:val="0"/>
        <w:adjustRightInd/>
        <w:snapToGrid/>
        <w:spacing w:line="400" w:lineRule="exact"/>
        <w:ind w:firstLine="447" w:firstLineChars="213"/>
        <w:textAlignment w:val="auto"/>
        <w:rPr>
          <w:rFonts w:hint="eastAsia" w:hAnsi="宋体"/>
          <w:szCs w:val="21"/>
          <w:highlight w:val="none"/>
        </w:rPr>
      </w:pPr>
      <w:r>
        <w:rPr>
          <w:rFonts w:hint="eastAsia" w:hAnsi="宋体"/>
          <w:szCs w:val="21"/>
          <w:highlight w:val="none"/>
        </w:rPr>
        <w:t>（2）排名第一的成交候选人放弃成交、因不可抗力提出不能履行合同，或者竞争性谈判文件规定应当提交履约保证金而在规定的期限内未能提交的，采购单位可以确定排名第二的成交候选人为成交供应商。</w:t>
      </w:r>
    </w:p>
    <w:p>
      <w:pPr>
        <w:pStyle w:val="1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szCs w:val="21"/>
          <w:highlight w:val="none"/>
        </w:rPr>
      </w:pPr>
      <w:r>
        <w:rPr>
          <w:rFonts w:hint="eastAsia" w:hAnsi="宋体"/>
          <w:szCs w:val="21"/>
          <w:highlight w:val="none"/>
        </w:rPr>
        <w:t>（3</w:t>
      </w:r>
      <w:r>
        <w:rPr>
          <w:rFonts w:hAnsi="宋体"/>
          <w:szCs w:val="21"/>
          <w:highlight w:val="none"/>
        </w:rPr>
        <w:t>）</w:t>
      </w:r>
      <w:r>
        <w:rPr>
          <w:rFonts w:hint="eastAsia" w:hAnsi="宋体"/>
          <w:szCs w:val="21"/>
          <w:highlight w:val="none"/>
        </w:rPr>
        <w:t>排名第二的成交候选人因前款规定的同样原因不能签订合同的，采购单位可以确定排名第三的成交候选人为成交供应商。</w:t>
      </w:r>
    </w:p>
    <w:p>
      <w:pPr>
        <w:pStyle w:val="1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hAnsi="宋体"/>
          <w:szCs w:val="21"/>
          <w:highlight w:val="none"/>
          <w:lang w:val="en-US" w:eastAsia="zh-CN"/>
        </w:rPr>
      </w:pPr>
      <w:r>
        <w:rPr>
          <w:rFonts w:hint="eastAsia" w:hAnsi="宋体"/>
          <w:szCs w:val="21"/>
          <w:highlight w:val="none"/>
          <w:lang w:val="en-US" w:eastAsia="zh-CN"/>
        </w:rPr>
        <w:t xml:space="preserve">     （4）采购人也可重新招标。</w:t>
      </w:r>
    </w:p>
    <w:p>
      <w:pPr>
        <w:pStyle w:val="18"/>
        <w:spacing w:line="380" w:lineRule="exact"/>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lang w:eastAsia="zh-CN"/>
        </w:rPr>
        <w:t>三、</w:t>
      </w:r>
      <w:r>
        <w:rPr>
          <w:rFonts w:hint="eastAsia" w:ascii="宋体" w:hAnsi="宋体" w:eastAsia="宋体" w:cs="Times New Roman"/>
          <w:b/>
          <w:bCs/>
          <w:szCs w:val="21"/>
          <w:highlight w:val="none"/>
        </w:rPr>
        <w:t>否绝投标</w:t>
      </w:r>
      <w:bookmarkStart w:id="18" w:name="_Toc252705915"/>
      <w:bookmarkStart w:id="19" w:name="_Toc231873587"/>
      <w:r>
        <w:rPr>
          <w:rFonts w:hint="eastAsia" w:ascii="宋体" w:hAnsi="宋体" w:eastAsia="宋体" w:cs="Times New Roman"/>
          <w:b/>
          <w:bCs/>
          <w:szCs w:val="21"/>
          <w:highlight w:val="none"/>
        </w:rPr>
        <w:t>情形</w:t>
      </w:r>
    </w:p>
    <w:bookmarkEnd w:id="18"/>
    <w:bookmarkEnd w:id="19"/>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3.1除</w:t>
      </w:r>
      <w:r>
        <w:rPr>
          <w:rFonts w:hint="eastAsia" w:ascii="宋体" w:hAnsi="宋体" w:cs="宋体"/>
          <w:szCs w:val="28"/>
          <w:highlight w:val="none"/>
          <w:lang w:eastAsia="zh-CN"/>
        </w:rPr>
        <w:t>谈判</w:t>
      </w:r>
      <w:r>
        <w:rPr>
          <w:rFonts w:hint="eastAsia" w:ascii="宋体" w:hAnsi="宋体" w:eastAsia="宋体" w:cs="宋体"/>
          <w:szCs w:val="28"/>
          <w:highlight w:val="none"/>
        </w:rPr>
        <w:t>文件另有规定，供应商存在下列情况之一的，投标无效：</w:t>
      </w:r>
    </w:p>
    <w:p>
      <w:pPr>
        <w:numPr>
          <w:ilvl w:val="0"/>
          <w:numId w:val="5"/>
        </w:num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lang w:val="en-US" w:eastAsia="zh-CN"/>
        </w:rPr>
        <w:t>未按谈判文件编制要求进行编制响应文件</w:t>
      </w:r>
      <w:r>
        <w:rPr>
          <w:rFonts w:hint="eastAsia" w:ascii="宋体" w:hAnsi="宋体" w:cs="宋体"/>
          <w:szCs w:val="28"/>
          <w:highlight w:val="none"/>
          <w:lang w:val="en-US" w:eastAsia="zh-CN"/>
        </w:rPr>
        <w:t>和</w:t>
      </w:r>
      <w:r>
        <w:rPr>
          <w:rFonts w:hint="eastAsia" w:ascii="宋体" w:hAnsi="宋体" w:eastAsia="宋体" w:cs="宋体"/>
          <w:szCs w:val="28"/>
          <w:highlight w:val="none"/>
        </w:rPr>
        <w:t>签字</w:t>
      </w:r>
      <w:r>
        <w:rPr>
          <w:rFonts w:hint="eastAsia" w:ascii="宋体" w:hAnsi="宋体" w:cs="宋体"/>
          <w:szCs w:val="28"/>
          <w:highlight w:val="none"/>
          <w:lang w:eastAsia="zh-CN"/>
        </w:rPr>
        <w:t>、</w:t>
      </w:r>
      <w:r>
        <w:rPr>
          <w:rFonts w:hint="eastAsia" w:ascii="宋体" w:hAnsi="宋体" w:eastAsia="宋体" w:cs="宋体"/>
          <w:szCs w:val="28"/>
          <w:highlight w:val="none"/>
        </w:rPr>
        <w:t>盖章的；</w:t>
      </w:r>
    </w:p>
    <w:p>
      <w:pPr>
        <w:shd w:val="clear" w:color="auto" w:fill="auto"/>
        <w:spacing w:line="360" w:lineRule="auto"/>
        <w:ind w:firstLine="420" w:firstLineChars="200"/>
        <w:rPr>
          <w:rFonts w:hint="eastAsia" w:ascii="宋体" w:hAnsi="宋体" w:eastAsia="宋体" w:cs="宋体"/>
          <w:szCs w:val="28"/>
          <w:highlight w:val="none"/>
          <w:lang w:eastAsia="zh-CN"/>
        </w:rPr>
      </w:pPr>
      <w:r>
        <w:rPr>
          <w:rFonts w:hint="eastAsia" w:ascii="宋体" w:hAnsi="宋体" w:eastAsia="宋体" w:cs="宋体"/>
          <w:szCs w:val="28"/>
          <w:highlight w:val="none"/>
        </w:rPr>
        <w:t>（2）响应文件未按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文件要求编制填写</w:t>
      </w:r>
      <w:r>
        <w:rPr>
          <w:rFonts w:hint="eastAsia" w:ascii="宋体" w:hAnsi="宋体" w:eastAsia="宋体" w:cs="宋体"/>
          <w:szCs w:val="28"/>
          <w:highlight w:val="none"/>
          <w:lang w:eastAsia="zh-CN"/>
        </w:rPr>
        <w:t>、</w:t>
      </w:r>
      <w:r>
        <w:rPr>
          <w:rFonts w:hint="eastAsia" w:ascii="宋体" w:hAnsi="宋体" w:eastAsia="宋体" w:cs="宋体"/>
          <w:szCs w:val="28"/>
          <w:highlight w:val="none"/>
          <w:lang w:val="en-US" w:eastAsia="zh-CN"/>
        </w:rPr>
        <w:t>签字盖章</w:t>
      </w:r>
      <w:r>
        <w:rPr>
          <w:rFonts w:hint="eastAsia" w:ascii="宋体" w:hAnsi="宋体" w:eastAsia="宋体" w:cs="宋体"/>
          <w:szCs w:val="28"/>
          <w:highlight w:val="none"/>
        </w:rPr>
        <w:t>，或内容不全、字迹模糊、难以辨认的</w:t>
      </w:r>
      <w:r>
        <w:rPr>
          <w:rFonts w:hint="eastAsia" w:ascii="宋体" w:hAnsi="宋体" w:cs="宋体"/>
          <w:szCs w:val="28"/>
          <w:highlight w:val="none"/>
          <w:lang w:eastAsia="zh-CN"/>
        </w:rPr>
        <w:t>；</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3</w:t>
      </w:r>
      <w:r>
        <w:rPr>
          <w:rFonts w:hint="eastAsia" w:ascii="宋体" w:hAnsi="宋体" w:eastAsia="宋体" w:cs="宋体"/>
          <w:szCs w:val="28"/>
          <w:highlight w:val="none"/>
        </w:rPr>
        <w:t>）供应商不符合资格条件或未按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文件规定提供资格证明文件的；</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4</w:t>
      </w:r>
      <w:r>
        <w:rPr>
          <w:rFonts w:hint="eastAsia" w:ascii="宋体" w:hAnsi="宋体" w:eastAsia="宋体" w:cs="宋体"/>
          <w:szCs w:val="28"/>
          <w:highlight w:val="none"/>
        </w:rPr>
        <w:t>）未能实质性响应</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文件商务和技术要求的；</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5</w:t>
      </w:r>
      <w:r>
        <w:rPr>
          <w:rFonts w:hint="eastAsia" w:ascii="宋体" w:hAnsi="宋体" w:eastAsia="宋体" w:cs="宋体"/>
          <w:szCs w:val="28"/>
          <w:highlight w:val="none"/>
        </w:rPr>
        <w:t>）投标有效期不足的</w:t>
      </w:r>
      <w:r>
        <w:rPr>
          <w:rFonts w:hint="eastAsia" w:ascii="宋体" w:hAnsi="宋体" w:eastAsia="宋体" w:cs="宋体"/>
          <w:szCs w:val="28"/>
          <w:highlight w:val="none"/>
          <w:lang w:val="en-US" w:eastAsia="zh-CN"/>
        </w:rPr>
        <w:t>或未响应的</w:t>
      </w:r>
      <w:r>
        <w:rPr>
          <w:rFonts w:hint="eastAsia" w:ascii="宋体" w:hAnsi="宋体" w:eastAsia="宋体" w:cs="宋体"/>
          <w:szCs w:val="28"/>
          <w:highlight w:val="none"/>
        </w:rPr>
        <w:t>；</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6</w:t>
      </w:r>
      <w:r>
        <w:rPr>
          <w:rFonts w:hint="eastAsia" w:ascii="宋体" w:hAnsi="宋体" w:eastAsia="宋体" w:cs="宋体"/>
          <w:szCs w:val="28"/>
          <w:highlight w:val="none"/>
        </w:rPr>
        <w:t>）报价货币不是人民币的;</w:t>
      </w:r>
    </w:p>
    <w:p>
      <w:pPr>
        <w:shd w:val="clear" w:color="auto" w:fill="auto"/>
        <w:spacing w:line="360" w:lineRule="auto"/>
        <w:ind w:firstLine="420" w:firstLineChars="200"/>
        <w:rPr>
          <w:rFonts w:hint="default" w:ascii="宋体" w:hAnsi="宋体" w:eastAsia="宋体" w:cs="宋体"/>
          <w:szCs w:val="28"/>
          <w:highlight w:val="none"/>
          <w:lang w:val="en-US" w:eastAsia="zh-CN"/>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7</w:t>
      </w:r>
      <w:r>
        <w:rPr>
          <w:rFonts w:hint="eastAsia" w:ascii="宋体" w:hAnsi="宋体" w:eastAsia="宋体" w:cs="宋体"/>
          <w:szCs w:val="28"/>
          <w:highlight w:val="none"/>
        </w:rPr>
        <w:t>）报价超过</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文件中规定的预算金额或者最高限价的；</w:t>
      </w:r>
      <w:r>
        <w:rPr>
          <w:rFonts w:hint="eastAsia" w:ascii="宋体" w:hAnsi="宋体" w:eastAsia="宋体" w:cs="宋体"/>
          <w:szCs w:val="28"/>
          <w:highlight w:val="none"/>
          <w:lang w:val="en-US" w:eastAsia="zh-CN"/>
        </w:rPr>
        <w:t>低于供应商成本价格；在规定时间内未作出说明和递交证明材料的；</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cs="宋体"/>
          <w:szCs w:val="28"/>
          <w:highlight w:val="none"/>
          <w:lang w:val="en-US" w:eastAsia="zh-CN"/>
        </w:rPr>
        <w:t>8</w:t>
      </w:r>
      <w:r>
        <w:rPr>
          <w:rFonts w:hint="eastAsia" w:ascii="宋体" w:hAnsi="宋体" w:eastAsia="宋体" w:cs="宋体"/>
          <w:szCs w:val="28"/>
          <w:highlight w:val="none"/>
        </w:rPr>
        <w:t>）串通投标或弄虚作假或有其他违法行为的；</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cs="宋体"/>
          <w:szCs w:val="28"/>
          <w:highlight w:val="none"/>
          <w:lang w:val="en-US" w:eastAsia="zh-CN"/>
        </w:rPr>
        <w:t>9</w:t>
      </w:r>
      <w:r>
        <w:rPr>
          <w:rFonts w:hint="eastAsia" w:ascii="宋体" w:hAnsi="宋体" w:eastAsia="宋体" w:cs="宋体"/>
          <w:szCs w:val="28"/>
          <w:highlight w:val="none"/>
        </w:rPr>
        <w:t>）未按磋商小组要求澄清、说明或补正的；</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0</w:t>
      </w:r>
      <w:r>
        <w:rPr>
          <w:rFonts w:hint="eastAsia" w:ascii="宋体" w:hAnsi="宋体" w:eastAsia="宋体" w:cs="宋体"/>
          <w:szCs w:val="28"/>
          <w:highlight w:val="none"/>
        </w:rPr>
        <w:t>）未按谈判小组的要求在评审现场合理的时间内提供书面说明（必要时提交相关证明材料），或不能证明其报价合理性的；</w:t>
      </w:r>
    </w:p>
    <w:p>
      <w:pPr>
        <w:shd w:val="clear" w:color="auto" w:fill="auto"/>
        <w:spacing w:line="360" w:lineRule="auto"/>
        <w:ind w:firstLine="420" w:firstLineChars="200"/>
        <w:rPr>
          <w:rFonts w:hint="default" w:ascii="宋体" w:hAnsi="宋体" w:eastAsia="宋体" w:cs="宋体"/>
          <w:szCs w:val="28"/>
          <w:highlight w:val="none"/>
          <w:lang w:val="en-US" w:eastAsia="zh-CN"/>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1</w:t>
      </w:r>
      <w:r>
        <w:rPr>
          <w:rFonts w:hint="eastAsia" w:ascii="宋体" w:hAnsi="宋体" w:eastAsia="宋体" w:cs="宋体"/>
          <w:szCs w:val="28"/>
          <w:highlight w:val="none"/>
        </w:rPr>
        <w:t>）未按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小组的要求确认修正后的报价的；</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2</w:t>
      </w:r>
      <w:r>
        <w:rPr>
          <w:rFonts w:hint="eastAsia" w:ascii="宋体" w:hAnsi="宋体" w:eastAsia="宋体" w:cs="宋体"/>
          <w:szCs w:val="28"/>
          <w:highlight w:val="none"/>
        </w:rPr>
        <w:t>）供应商符合第二章《供应商须知》第</w:t>
      </w:r>
      <w:r>
        <w:rPr>
          <w:rFonts w:hint="eastAsia" w:ascii="宋体" w:hAnsi="宋体" w:cs="宋体"/>
          <w:szCs w:val="28"/>
          <w:highlight w:val="none"/>
          <w:lang w:val="en-US" w:eastAsia="zh-CN"/>
        </w:rPr>
        <w:t>8.5.3</w:t>
      </w:r>
      <w:r>
        <w:rPr>
          <w:rFonts w:hint="eastAsia" w:ascii="宋体" w:hAnsi="宋体" w:eastAsia="宋体" w:cs="宋体"/>
          <w:szCs w:val="28"/>
          <w:highlight w:val="none"/>
        </w:rPr>
        <w:t>条任何一种情形的；</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3</w:t>
      </w:r>
      <w:r>
        <w:rPr>
          <w:rFonts w:hint="eastAsia" w:ascii="宋体" w:hAnsi="宋体" w:eastAsia="宋体" w:cs="宋体"/>
          <w:szCs w:val="28"/>
          <w:highlight w:val="none"/>
        </w:rPr>
        <w:t>）响应文件含有采购人不能接受的附加条件的；</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4</w:t>
      </w:r>
      <w:r>
        <w:rPr>
          <w:rFonts w:hint="eastAsia" w:ascii="宋体" w:hAnsi="宋体" w:eastAsia="宋体" w:cs="宋体"/>
          <w:szCs w:val="28"/>
          <w:highlight w:val="none"/>
        </w:rPr>
        <w:t>）违反国家法律、法规和</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文件规定的其他无效情形。</w:t>
      </w:r>
    </w:p>
    <w:p>
      <w:pPr>
        <w:pStyle w:val="98"/>
        <w:rPr>
          <w:rFonts w:hint="eastAsia" w:eastAsia="宋体"/>
          <w:lang w:eastAsia="zh-CN"/>
        </w:rPr>
      </w:pPr>
      <w:r>
        <w:rPr>
          <w:rFonts w:hint="eastAsia" w:ascii="宋体" w:hAnsi="宋体" w:cs="宋体"/>
          <w:szCs w:val="28"/>
          <w:highlight w:val="none"/>
          <w:lang w:eastAsia="zh-CN"/>
        </w:rPr>
        <w:t>（</w:t>
      </w:r>
      <w:r>
        <w:rPr>
          <w:rFonts w:hint="eastAsia" w:ascii="宋体" w:hAnsi="宋体" w:cs="宋体"/>
          <w:szCs w:val="28"/>
          <w:highlight w:val="none"/>
          <w:lang w:val="en-US" w:eastAsia="zh-CN"/>
        </w:rPr>
        <w:t>15</w:t>
      </w:r>
      <w:r>
        <w:rPr>
          <w:rFonts w:hint="eastAsia" w:ascii="宋体" w:hAnsi="宋体" w:cs="宋体"/>
          <w:szCs w:val="28"/>
          <w:highlight w:val="none"/>
          <w:lang w:eastAsia="zh-CN"/>
        </w:rPr>
        <w:t>）谈判文件给出的“响应文件格式”中要求签字或盖章未响应的或随意更改响应文件格式的（包含签字处不允许盖章或盖章处不允许签字的情形）。</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3.2有下列情形之一的，视为供应商串通投标，其投标无效：</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（1）不同供应商的响应文件由同一单位或者个人编制；</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（2）不同供应商委托同一单位或者个人办理投标事宜；</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（3）不同供应商的响应文件载明的项目管理成员或者联系人员为同一人；</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（4）不同供应商的响应文件异常一致</w:t>
      </w:r>
      <w:r>
        <w:rPr>
          <w:rFonts w:hint="eastAsia" w:ascii="宋体" w:hAnsi="宋体" w:cs="宋体"/>
          <w:szCs w:val="28"/>
          <w:highlight w:val="none"/>
          <w:lang w:eastAsia="zh-CN"/>
        </w:rPr>
        <w:t>或</w:t>
      </w:r>
      <w:r>
        <w:rPr>
          <w:rFonts w:hint="eastAsia" w:ascii="宋体" w:hAnsi="宋体" w:eastAsia="宋体" w:cs="宋体"/>
          <w:szCs w:val="28"/>
          <w:highlight w:val="none"/>
          <w:lang w:val="en-US" w:eastAsia="zh-CN"/>
        </w:rPr>
        <w:t>出现相同打印IP地址或</w:t>
      </w:r>
      <w:r>
        <w:rPr>
          <w:rFonts w:hint="eastAsia" w:ascii="宋体" w:hAnsi="宋体" w:eastAsia="宋体" w:cs="宋体"/>
          <w:szCs w:val="28"/>
          <w:highlight w:val="none"/>
        </w:rPr>
        <w:t>报价呈规律性差异；</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（5）不同供应商的响应文件相互混装；</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（6）不同供应商的</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保证金从同一单位或者个人的账户转出。</w:t>
      </w:r>
    </w:p>
    <w:p>
      <w:pPr>
        <w:rPr>
          <w:rFonts w:hint="default"/>
          <w:lang w:val="en-US" w:eastAsia="zh-CN"/>
        </w:rPr>
      </w:pPr>
    </w:p>
    <w:p>
      <w:pPr>
        <w:pStyle w:val="18"/>
        <w:spacing w:line="360" w:lineRule="exact"/>
        <w:ind w:firstLine="420" w:firstLineChars="200"/>
        <w:rPr>
          <w:rFonts w:hint="eastAsia" w:hAnsi="宋体"/>
          <w:szCs w:val="21"/>
          <w:highlight w:val="none"/>
        </w:rPr>
      </w:pPr>
    </w:p>
    <w:p>
      <w:pPr>
        <w:pStyle w:val="18"/>
        <w:spacing w:line="400" w:lineRule="exact"/>
        <w:ind w:left="309" w:leftChars="147"/>
        <w:rPr>
          <w:rFonts w:hint="eastAsia" w:hAnsi="宋体"/>
          <w:highlight w:val="none"/>
        </w:rPr>
      </w:pPr>
    </w:p>
    <w:p>
      <w:pPr>
        <w:pStyle w:val="2"/>
        <w:spacing w:line="0" w:lineRule="atLeast"/>
        <w:jc w:val="center"/>
        <w:rPr>
          <w:rFonts w:hint="eastAsia"/>
          <w:sz w:val="28"/>
          <w:szCs w:val="28"/>
          <w:highlight w:val="none"/>
          <w:lang w:eastAsia="zh-CN"/>
        </w:rPr>
      </w:pPr>
      <w:bookmarkStart w:id="20" w:name="_Toc432277441"/>
      <w:bookmarkStart w:id="21" w:name="_Toc432264369"/>
      <w:r>
        <w:rPr>
          <w:sz w:val="28"/>
          <w:szCs w:val="28"/>
          <w:highlight w:val="none"/>
        </w:rPr>
        <w:br w:type="page"/>
      </w:r>
      <w:bookmarkStart w:id="22" w:name="_Toc455565645"/>
      <w:r>
        <w:rPr>
          <w:rFonts w:hint="eastAsia"/>
          <w:sz w:val="28"/>
          <w:szCs w:val="28"/>
          <w:highlight w:val="none"/>
        </w:rPr>
        <w:t>第五章  合同主要条款及格式</w:t>
      </w:r>
      <w:bookmarkEnd w:id="20"/>
      <w:bookmarkEnd w:id="21"/>
      <w:bookmarkEnd w:id="22"/>
      <w:r>
        <w:rPr>
          <w:rFonts w:hint="eastAsia"/>
          <w:sz w:val="28"/>
          <w:szCs w:val="28"/>
          <w:highlight w:val="none"/>
          <w:lang w:eastAsia="zh-CN"/>
        </w:rPr>
        <w:t>（仅供参考）</w:t>
      </w:r>
    </w:p>
    <w:p>
      <w:pPr>
        <w:pStyle w:val="12"/>
        <w:spacing w:after="0"/>
        <w:jc w:val="center"/>
        <w:rPr>
          <w:rFonts w:ascii="宋体" w:hAnsi="宋体" w:cs="宋体"/>
          <w:b/>
          <w:bCs/>
          <w:spacing w:val="-20"/>
          <w:kern w:val="44"/>
          <w:sz w:val="48"/>
          <w:szCs w:val="48"/>
        </w:rPr>
      </w:pPr>
      <w:bookmarkStart w:id="23" w:name="_Toc3995"/>
    </w:p>
    <w:p>
      <w:pPr>
        <w:pStyle w:val="12"/>
        <w:spacing w:after="0"/>
        <w:jc w:val="center"/>
        <w:rPr>
          <w:rFonts w:ascii="宋体" w:hAnsi="宋体" w:cs="宋体"/>
          <w:b/>
          <w:bCs/>
          <w:spacing w:val="-20"/>
          <w:kern w:val="44"/>
          <w:sz w:val="48"/>
          <w:szCs w:val="48"/>
        </w:rPr>
      </w:pPr>
    </w:p>
    <w:p>
      <w:pPr>
        <w:pStyle w:val="12"/>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pPr>
        <w:pStyle w:val="12"/>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pPr>
        <w:rPr>
          <w:rFonts w:ascii="宋体" w:hAnsi="宋体" w:cs="宋体"/>
          <w:b/>
          <w:bCs/>
          <w:spacing w:val="-20"/>
          <w:kern w:val="44"/>
          <w:sz w:val="40"/>
          <w:szCs w:val="40"/>
        </w:rPr>
      </w:pPr>
    </w:p>
    <w:p>
      <w:pPr>
        <w:rPr>
          <w:rFonts w:ascii="宋体" w:hAnsi="宋体" w:cs="宋体"/>
          <w:b/>
          <w:bCs/>
          <w:spacing w:val="-20"/>
          <w:kern w:val="44"/>
          <w:sz w:val="40"/>
          <w:szCs w:val="40"/>
        </w:rPr>
      </w:pPr>
    </w:p>
    <w:p>
      <w:pPr>
        <w:rPr>
          <w:rFonts w:ascii="宋体" w:hAnsi="宋体" w:cs="宋体"/>
          <w:b/>
          <w:bCs/>
          <w:spacing w:val="-20"/>
          <w:kern w:val="44"/>
          <w:sz w:val="40"/>
          <w:szCs w:val="40"/>
        </w:rPr>
      </w:pPr>
    </w:p>
    <w:p>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p>
      <w:pPr>
        <w:rPr>
          <w:rFonts w:eastAsia="黑体"/>
          <w:sz w:val="44"/>
          <w:szCs w:val="44"/>
        </w:rPr>
      </w:pPr>
      <w:r>
        <w:rPr>
          <w:rFonts w:eastAsia="黑体"/>
          <w:sz w:val="44"/>
          <w:szCs w:val="44"/>
        </w:rPr>
        <w:br w:type="page"/>
      </w:r>
    </w:p>
    <w:p>
      <w:pPr>
        <w:rPr>
          <w:rFonts w:eastAsia="黑体"/>
          <w:sz w:val="44"/>
          <w:szCs w:val="44"/>
        </w:rPr>
      </w:pPr>
    </w:p>
    <w:p>
      <w:pPr>
        <w:rPr>
          <w:rFonts w:eastAsia="黑体"/>
          <w:sz w:val="44"/>
          <w:szCs w:val="44"/>
        </w:rPr>
      </w:pPr>
    </w:p>
    <w:p>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pPr>
        <w:ind w:firstLine="880" w:firstLineChars="200"/>
        <w:jc w:val="both"/>
        <w:rPr>
          <w:rFonts w:eastAsia="黑体"/>
          <w:sz w:val="44"/>
          <w:szCs w:val="44"/>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23"/>
    <w:p>
      <w:pPr>
        <w:pStyle w:val="3"/>
        <w:adjustRightInd w:val="0"/>
        <w:snapToGrid w:val="0"/>
        <w:spacing w:beforeLines="0" w:line="400" w:lineRule="exact"/>
        <w:jc w:val="center"/>
        <w:rPr>
          <w:rFonts w:hint="eastAsia" w:ascii="黑体" w:hAnsi="华文中宋" w:eastAsia="黑体"/>
          <w:b w:val="0"/>
          <w:bCs w:val="0"/>
          <w:sz w:val="28"/>
          <w:szCs w:val="28"/>
        </w:rPr>
      </w:pPr>
      <w:bookmarkStart w:id="24" w:name="_Toc22209"/>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24"/>
    </w:p>
    <w:p>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pPr>
        <w:spacing w:beforeLines="0" w:line="400" w:lineRule="exact"/>
        <w:rPr>
          <w:rFonts w:hint="default" w:eastAsia="宋体"/>
          <w:lang w:val="en-US" w:eastAsia="zh-CN"/>
        </w:rPr>
      </w:pPr>
    </w:p>
    <w:p>
      <w:pPr>
        <w:pStyle w:val="15"/>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pPr>
        <w:numPr>
          <w:ilvl w:val="0"/>
          <w:numId w:val="6"/>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pPr>
        <w:pStyle w:val="15"/>
        <w:numPr>
          <w:ilvl w:val="0"/>
          <w:numId w:val="7"/>
        </w:numPr>
        <w:adjustRightInd w:val="0"/>
        <w:snapToGrid w:val="0"/>
        <w:spacing w:before="0" w:beforeLines="0" w:after="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pPr>
        <w:pStyle w:val="15"/>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pPr>
        <w:pStyle w:val="15"/>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pPr>
        <w:pStyle w:val="51"/>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pPr>
        <w:pStyle w:val="51"/>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pPr>
        <w:pStyle w:val="51"/>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pPr>
        <w:pStyle w:val="51"/>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pPr>
        <w:pStyle w:val="51"/>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pPr>
        <w:pStyle w:val="51"/>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pPr>
        <w:pStyle w:val="51"/>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pPr>
        <w:pStyle w:val="51"/>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pPr>
        <w:pStyle w:val="51"/>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pPr>
        <w:pStyle w:val="51"/>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pPr>
        <w:pStyle w:val="51"/>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pPr>
        <w:pStyle w:val="51"/>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pStyle w:val="51"/>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pPr>
        <w:pStyle w:val="51"/>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pStyle w:val="51"/>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pPr>
        <w:numPr>
          <w:ilvl w:val="0"/>
          <w:numId w:val="6"/>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pPr>
        <w:pStyle w:val="80"/>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pPr>
        <w:numPr>
          <w:ilvl w:val="0"/>
          <w:numId w:val="6"/>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pPr>
        <w:pStyle w:val="51"/>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pPr>
        <w:pStyle w:val="51"/>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pPr>
        <w:numPr>
          <w:ilvl w:val="0"/>
          <w:numId w:val="6"/>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pPr>
        <w:numPr>
          <w:ilvl w:val="0"/>
          <w:numId w:val="8"/>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pPr>
        <w:pStyle w:val="51"/>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pPr>
        <w:numPr>
          <w:ilvl w:val="0"/>
          <w:numId w:val="6"/>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pPr>
        <w:pStyle w:val="51"/>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pPr>
        <w:numPr>
          <w:ilvl w:val="0"/>
          <w:numId w:val="6"/>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pPr>
        <w:numPr>
          <w:ilvl w:val="0"/>
          <w:numId w:val="6"/>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pPr>
        <w:pStyle w:val="80"/>
        <w:spacing w:beforeLines="0" w:line="400" w:lineRule="exact"/>
      </w:pPr>
    </w:p>
    <w:p>
      <w:pPr>
        <w:pStyle w:val="3"/>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pPr>
        <w:rPr>
          <w:rFonts w:hint="eastAsia"/>
        </w:rPr>
      </w:pPr>
      <w:r>
        <w:rPr>
          <w:rFonts w:hint="eastAsia"/>
        </w:rPr>
        <w:br w:type="page"/>
      </w:r>
    </w:p>
    <w:p>
      <w:pPr>
        <w:pStyle w:val="80"/>
        <w:rPr>
          <w:rFonts w:hint="eastAsia"/>
        </w:rPr>
      </w:pPr>
    </w:p>
    <w:tbl>
      <w:tblPr>
        <w:tblStyle w:val="49"/>
        <w:tblW w:w="9032"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034"/>
        <w:gridCol w:w="2594"/>
        <w:gridCol w:w="2128"/>
        <w:gridCol w:w="227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90" w:hRule="atLeast"/>
        </w:trPr>
        <w:tc>
          <w:tcPr>
            <w:tcW w:w="4628" w:type="dxa"/>
            <w:gridSpan w:val="2"/>
            <w:tcBorders>
              <w:bottom w:val="single" w:color="auto" w:sz="2" w:space="0"/>
              <w:right w:val="single" w:color="auto" w:sz="2" w:space="0"/>
            </w:tcBorders>
            <w:vAlign w:val="center"/>
          </w:tcPr>
          <w:p>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4404" w:type="dxa"/>
            <w:gridSpan w:val="2"/>
            <w:tcBorders>
              <w:left w:val="single" w:color="auto" w:sz="2" w:space="0"/>
              <w:bottom w:val="single" w:color="auto" w:sz="2" w:space="0"/>
            </w:tcBorders>
            <w:vAlign w:val="center"/>
          </w:tcPr>
          <w:p>
            <w:pPr>
              <w:adjustRightInd w:val="0"/>
              <w:snapToGrid w:val="0"/>
              <w:spacing w:line="300" w:lineRule="exact"/>
              <w:jc w:val="center"/>
            </w:pPr>
            <w:r>
              <w:rPr>
                <w:szCs w:val="21"/>
              </w:rPr>
              <w:t>乙方</w:t>
            </w:r>
            <w:r>
              <w:rPr>
                <w:rFonts w:hint="eastAsia"/>
                <w:szCs w:val="21"/>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917" w:hRule="atLeast"/>
        </w:trPr>
        <w:tc>
          <w:tcPr>
            <w:tcW w:w="2034"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59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27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1171" w:hRule="atLeast"/>
        </w:trPr>
        <w:tc>
          <w:tcPr>
            <w:tcW w:w="2034" w:type="dxa"/>
            <w:vMerge w:val="restart"/>
            <w:tcBorders>
              <w:top w:val="single" w:color="auto" w:sz="2" w:space="0"/>
              <w:right w:val="single" w:color="auto" w:sz="2" w:space="0"/>
            </w:tcBorders>
            <w:vAlign w:val="center"/>
          </w:tcPr>
          <w:p>
            <w:pPr>
              <w:adjustRightInd w:val="0"/>
              <w:snapToGrid w:val="0"/>
              <w:spacing w:line="300" w:lineRule="exact"/>
              <w:jc w:val="center"/>
              <w:rPr>
                <w:szCs w:val="21"/>
              </w:rPr>
            </w:pPr>
            <w:r>
              <w:rPr>
                <w:szCs w:val="21"/>
              </w:rPr>
              <w:t>法定代表人</w:t>
            </w:r>
          </w:p>
          <w:p>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2594" w:type="dxa"/>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szCs w:val="21"/>
              </w:rPr>
            </w:pPr>
          </w:p>
        </w:tc>
        <w:tc>
          <w:tcPr>
            <w:tcW w:w="2128" w:type="dxa"/>
            <w:tcBorders>
              <w:top w:val="single" w:color="auto" w:sz="2" w:space="0"/>
              <w:left w:val="single" w:color="auto" w:sz="2" w:space="0"/>
              <w:right w:val="single" w:color="auto" w:sz="2" w:space="0"/>
            </w:tcBorders>
            <w:vAlign w:val="center"/>
          </w:tcPr>
          <w:p>
            <w:pPr>
              <w:adjustRightInd w:val="0"/>
              <w:snapToGrid w:val="0"/>
              <w:spacing w:line="300" w:lineRule="exact"/>
              <w:jc w:val="center"/>
              <w:rPr>
                <w:szCs w:val="21"/>
              </w:rPr>
            </w:pPr>
            <w:r>
              <w:rPr>
                <w:szCs w:val="21"/>
              </w:rPr>
              <w:t>法定代表人</w:t>
            </w:r>
          </w:p>
          <w:p>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227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034" w:type="dxa"/>
            <w:vMerge w:val="continue"/>
            <w:tcBorders>
              <w:bottom w:val="single" w:color="auto" w:sz="2" w:space="0"/>
              <w:right w:val="single" w:color="auto" w:sz="2" w:space="0"/>
            </w:tcBorders>
            <w:vAlign w:val="center"/>
          </w:tcPr>
          <w:p>
            <w:pPr>
              <w:adjustRightInd w:val="0"/>
              <w:snapToGrid w:val="0"/>
              <w:spacing w:line="300" w:lineRule="exact"/>
              <w:jc w:val="center"/>
              <w:rPr>
                <w:szCs w:val="21"/>
              </w:rPr>
            </w:pPr>
          </w:p>
        </w:tc>
        <w:tc>
          <w:tcPr>
            <w:tcW w:w="2594" w:type="dxa"/>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227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59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27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 系 人</w:t>
            </w:r>
          </w:p>
        </w:tc>
        <w:tc>
          <w:tcPr>
            <w:tcW w:w="259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 系 人</w:t>
            </w:r>
          </w:p>
        </w:tc>
        <w:tc>
          <w:tcPr>
            <w:tcW w:w="227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联系电话</w:t>
            </w:r>
          </w:p>
        </w:tc>
        <w:tc>
          <w:tcPr>
            <w:tcW w:w="259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联系电话</w:t>
            </w:r>
          </w:p>
        </w:tc>
        <w:tc>
          <w:tcPr>
            <w:tcW w:w="227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259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lang w:eastAsia="zh-CN"/>
              </w:rPr>
              <w:t>通信地址</w:t>
            </w:r>
          </w:p>
        </w:tc>
        <w:tc>
          <w:tcPr>
            <w:tcW w:w="227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邮政编码</w:t>
            </w:r>
          </w:p>
        </w:tc>
        <w:tc>
          <w:tcPr>
            <w:tcW w:w="259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邮政编码</w:t>
            </w:r>
          </w:p>
        </w:tc>
        <w:tc>
          <w:tcPr>
            <w:tcW w:w="227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电子邮箱</w:t>
            </w:r>
          </w:p>
        </w:tc>
        <w:tc>
          <w:tcPr>
            <w:tcW w:w="259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电子邮箱</w:t>
            </w:r>
          </w:p>
        </w:tc>
        <w:tc>
          <w:tcPr>
            <w:tcW w:w="227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统一社会信用代码</w:t>
            </w:r>
          </w:p>
        </w:tc>
        <w:tc>
          <w:tcPr>
            <w:tcW w:w="259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统一社会信用代码</w:t>
            </w:r>
          </w:p>
        </w:tc>
        <w:tc>
          <w:tcPr>
            <w:tcW w:w="227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59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开户名称</w:t>
            </w:r>
          </w:p>
        </w:tc>
        <w:tc>
          <w:tcPr>
            <w:tcW w:w="227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59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开户银行</w:t>
            </w:r>
          </w:p>
        </w:tc>
        <w:tc>
          <w:tcPr>
            <w:tcW w:w="227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59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银行账号</w:t>
            </w:r>
          </w:p>
        </w:tc>
        <w:tc>
          <w:tcPr>
            <w:tcW w:w="227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86" w:hRule="atLeast"/>
        </w:trPr>
        <w:tc>
          <w:tcPr>
            <w:tcW w:w="9032" w:type="dxa"/>
            <w:gridSpan w:val="4"/>
            <w:tcBorders>
              <w:top w:val="single" w:color="auto" w:sz="2" w:space="0"/>
            </w:tcBorders>
            <w:vAlign w:val="center"/>
          </w:tcPr>
          <w:p>
            <w:pPr>
              <w:pStyle w:val="15"/>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pPr>
        <w:pStyle w:val="3"/>
        <w:adjustRightInd w:val="0"/>
        <w:snapToGrid w:val="0"/>
        <w:spacing w:before="156" w:beforeLines="50" w:line="240" w:lineRule="auto"/>
        <w:jc w:val="center"/>
        <w:rPr>
          <w:rFonts w:ascii="黑体" w:hAnsi="黑体" w:eastAsia="黑体"/>
          <w:sz w:val="28"/>
          <w:szCs w:val="28"/>
        </w:rPr>
      </w:pPr>
      <w:r>
        <w:rPr>
          <w:rFonts w:ascii="宋体" w:hAnsi="宋体"/>
          <w:sz w:val="21"/>
          <w:szCs w:val="21"/>
          <w:u w:val="single"/>
        </w:rPr>
        <w:br w:type="page"/>
      </w:r>
      <w:bookmarkStart w:id="25" w:name="_Toc27624"/>
      <w:r>
        <w:rPr>
          <w:rFonts w:hint="eastAsia" w:ascii="黑体" w:hAnsi="黑体" w:eastAsia="黑体"/>
          <w:b w:val="0"/>
          <w:bCs w:val="0"/>
          <w:sz w:val="28"/>
          <w:szCs w:val="28"/>
        </w:rPr>
        <w:t>第二节 政府采购合同通用条款</w:t>
      </w:r>
      <w:bookmarkEnd w:id="25"/>
    </w:p>
    <w:p>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pPr>
        <w:numPr>
          <w:ilvl w:val="0"/>
          <w:numId w:val="9"/>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pPr>
        <w:pStyle w:val="12"/>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pPr>
        <w:pStyle w:val="12"/>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pPr>
        <w:numPr>
          <w:ilvl w:val="0"/>
          <w:numId w:val="10"/>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pPr>
        <w:pStyle w:val="51"/>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pPr>
        <w:pStyle w:val="18"/>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pPr>
        <w:pStyle w:val="18"/>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26"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26"/>
      <w:r>
        <w:rPr>
          <w:rFonts w:hint="eastAsia" w:ascii="宋体" w:hAnsi="宋体"/>
          <w:color w:val="auto"/>
          <w:szCs w:val="21"/>
          <w:highlight w:val="none"/>
        </w:rPr>
        <w:t>。</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pPr>
        <w:pStyle w:val="3"/>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pPr>
        <w:pStyle w:val="12"/>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pPr>
        <w:pStyle w:val="51"/>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pPr>
        <w:numPr>
          <w:ilvl w:val="0"/>
          <w:numId w:val="11"/>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pPr>
        <w:pStyle w:val="51"/>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pPr>
        <w:pStyle w:val="51"/>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pPr>
        <w:pStyle w:val="51"/>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pPr>
        <w:pStyle w:val="51"/>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pPr>
        <w:pStyle w:val="51"/>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pPr>
        <w:pStyle w:val="51"/>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pPr>
        <w:pStyle w:val="12"/>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pPr>
        <w:pStyle w:val="51"/>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pPr>
        <w:pStyle w:val="51"/>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pPr>
        <w:pStyle w:val="51"/>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pPr>
        <w:pStyle w:val="51"/>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pPr>
        <w:numPr>
          <w:ilvl w:val="0"/>
          <w:numId w:val="12"/>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27" w:name="_Toc20313"/>
    </w:p>
    <w:p>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pPr>
        <w:pStyle w:val="3"/>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27"/>
    </w:p>
    <w:tbl>
      <w:tblPr>
        <w:tblStyle w:val="49"/>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04"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szCs w:val="21"/>
                <w:lang w:eastAsia="zh-CN"/>
              </w:rPr>
            </w:pPr>
            <w:r>
              <w:rPr>
                <w:rFonts w:hint="eastAsia" w:ascii="宋体" w:hAnsi="宋体"/>
                <w:szCs w:val="21"/>
                <w:lang w:eastAsia="zh-CN"/>
              </w:rPr>
              <w:t>第二节</w:t>
            </w:r>
          </w:p>
          <w:p>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szCs w:val="21"/>
                <w:lang w:eastAsia="zh-CN"/>
              </w:rPr>
            </w:pPr>
            <w:r>
              <w:rPr>
                <w:rFonts w:hint="eastAsia" w:ascii="宋体" w:hAnsi="宋体"/>
                <w:szCs w:val="21"/>
                <w:lang w:eastAsia="zh-CN"/>
              </w:rPr>
              <w:t>第二节</w:t>
            </w:r>
          </w:p>
          <w:p>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7" w:hRule="atLeast"/>
        </w:trPr>
        <w:tc>
          <w:tcPr>
            <w:tcW w:w="1607" w:type="dxa"/>
            <w:vMerge w:val="restart"/>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7" w:hRule="atLeast"/>
        </w:trPr>
        <w:tc>
          <w:tcPr>
            <w:tcW w:w="1607" w:type="dxa"/>
            <w:vMerge w:val="continue"/>
            <w:vAlign w:val="center"/>
          </w:tcPr>
          <w:p>
            <w:pPr>
              <w:adjustRightInd w:val="0"/>
              <w:snapToGrid w:val="0"/>
              <w:jc w:val="center"/>
              <w:rPr>
                <w:rFonts w:hint="eastAsia" w:ascii="宋体" w:hAnsi="宋体"/>
                <w:szCs w:val="21"/>
              </w:rPr>
            </w:pP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pPr>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72"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pPr>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7"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pPr>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pPr>
              <w:autoSpaceDE w:val="0"/>
              <w:autoSpaceDN w:val="0"/>
              <w:adjustRightInd w:val="0"/>
              <w:snapToGrid w:val="0"/>
              <w:ind w:firstLine="420" w:firstLineChars="20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pPr>
              <w:pStyle w:val="51"/>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70"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pPr>
              <w:adjustRightInd w:val="0"/>
              <w:snapToGrid w:val="0"/>
              <w:jc w:val="left"/>
              <w:rPr>
                <w:rFonts w:hint="default" w:ascii="宋体" w:hAnsi="宋体" w:eastAsia="宋体"/>
                <w:szCs w:val="21"/>
                <w:lang w:val="en-US" w:eastAsia="zh-CN"/>
              </w:rPr>
            </w:pPr>
          </w:p>
        </w:tc>
      </w:tr>
    </w:tbl>
    <w:p/>
    <w:p>
      <w:pPr>
        <w:spacing w:before="1" w:line="180" w:lineRule="exact"/>
        <w:ind w:left="935"/>
        <w:jc w:val="left"/>
        <w:rPr>
          <w:rFonts w:hint="eastAsia"/>
          <w:highlight w:val="none"/>
        </w:rPr>
      </w:pPr>
      <w:r>
        <w:rPr>
          <w:rStyle w:val="93"/>
          <w:rFonts w:ascii="宋体" w:hAnsi="宋体" w:cs="宋体"/>
          <w:bCs/>
          <w:sz w:val="48"/>
          <w:szCs w:val="48"/>
          <w:highlight w:val="none"/>
        </w:rPr>
        <w:br w:type="page"/>
      </w:r>
      <w:bookmarkStart w:id="28" w:name="_Toc432264370"/>
      <w:bookmarkStart w:id="29" w:name="_Toc455565646"/>
      <w:bookmarkStart w:id="30" w:name="_Toc432277442"/>
    </w:p>
    <w:p>
      <w:pPr>
        <w:pStyle w:val="2"/>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b w:val="0"/>
          <w:sz w:val="32"/>
          <w:szCs w:val="32"/>
          <w:highlight w:val="none"/>
        </w:rPr>
      </w:pPr>
      <w:r>
        <w:rPr>
          <w:rFonts w:hint="eastAsia"/>
          <w:sz w:val="32"/>
          <w:szCs w:val="32"/>
          <w:highlight w:val="none"/>
        </w:rPr>
        <w:t>第六章  响应文件格式</w:t>
      </w:r>
      <w:bookmarkEnd w:id="28"/>
      <w:bookmarkEnd w:id="29"/>
      <w:bookmarkEnd w:id="30"/>
    </w:p>
    <w:p>
      <w:pPr>
        <w:pStyle w:val="18"/>
        <w:pageBreakBefore w:val="0"/>
        <w:widowControl w:val="0"/>
        <w:kinsoku/>
        <w:wordWrap/>
        <w:overflowPunct/>
        <w:topLinePunct w:val="0"/>
        <w:autoSpaceDE/>
        <w:autoSpaceDN/>
        <w:bidi w:val="0"/>
        <w:adjustRightInd/>
        <w:snapToGrid/>
        <w:spacing w:line="360" w:lineRule="auto"/>
        <w:ind w:firstLine="3915" w:firstLineChars="1300"/>
        <w:textAlignment w:val="auto"/>
        <w:rPr>
          <w:rFonts w:hint="eastAsia"/>
          <w:b/>
          <w:sz w:val="30"/>
          <w:szCs w:val="30"/>
          <w:highlight w:val="none"/>
        </w:rPr>
      </w:pPr>
      <w:r>
        <w:rPr>
          <w:rFonts w:hint="eastAsia"/>
          <w:b/>
          <w:sz w:val="30"/>
          <w:szCs w:val="30"/>
          <w:highlight w:val="none"/>
        </w:rPr>
        <w:t xml:space="preserve">一、响 应 函 </w:t>
      </w:r>
    </w:p>
    <w:p>
      <w:pPr>
        <w:pStyle w:val="18"/>
        <w:snapToGrid w:val="0"/>
        <w:spacing w:line="360" w:lineRule="auto"/>
        <w:rPr>
          <w:rFonts w:hAnsi="宋体"/>
          <w:highlight w:val="none"/>
        </w:rPr>
      </w:pPr>
      <w:r>
        <w:rPr>
          <w:rFonts w:hint="eastAsia" w:hAnsi="宋体"/>
          <w:highlight w:val="none"/>
          <w:u w:val="single"/>
        </w:rPr>
        <w:t xml:space="preserve">               </w:t>
      </w:r>
      <w:r>
        <w:rPr>
          <w:rFonts w:hint="eastAsia" w:hAnsi="宋体"/>
          <w:highlight w:val="none"/>
        </w:rPr>
        <w:t>（</w:t>
      </w:r>
      <w:r>
        <w:rPr>
          <w:rFonts w:hint="eastAsia" w:hAnsi="宋体"/>
          <w:highlight w:val="none"/>
          <w:lang w:val="en-US" w:eastAsia="zh-CN"/>
        </w:rPr>
        <w:t>采购</w:t>
      </w:r>
      <w:r>
        <w:rPr>
          <w:rFonts w:hint="eastAsia" w:hAnsi="宋体"/>
          <w:highlight w:val="none"/>
        </w:rPr>
        <w:t>人名称</w:t>
      </w:r>
      <w:r>
        <w:rPr>
          <w:rFonts w:hAnsi="宋体"/>
          <w:highlight w:val="none"/>
        </w:rPr>
        <w:t>）</w:t>
      </w:r>
      <w:r>
        <w:rPr>
          <w:rFonts w:hint="eastAsia" w:hAnsi="宋体"/>
          <w:highlight w:val="none"/>
        </w:rPr>
        <w:t>：</w:t>
      </w:r>
    </w:p>
    <w:p>
      <w:pPr>
        <w:pStyle w:val="18"/>
        <w:snapToGrid w:val="0"/>
        <w:spacing w:line="360" w:lineRule="auto"/>
        <w:ind w:firstLine="420"/>
        <w:rPr>
          <w:rFonts w:hAnsi="宋体"/>
          <w:highlight w:val="none"/>
        </w:rPr>
      </w:pPr>
      <w:r>
        <w:rPr>
          <w:rFonts w:hint="eastAsia" w:hAnsi="宋体"/>
          <w:highlight w:val="none"/>
          <w:lang w:val="en-US" w:eastAsia="zh-CN"/>
        </w:rPr>
        <w:t>1.</w:t>
      </w:r>
      <w:r>
        <w:rPr>
          <w:rFonts w:hAnsi="宋体"/>
          <w:highlight w:val="none"/>
        </w:rPr>
        <w:t>我方已仔</w:t>
      </w:r>
      <w:r>
        <w:rPr>
          <w:rFonts w:hint="eastAsia" w:hAnsi="宋体"/>
          <w:highlight w:val="none"/>
        </w:rPr>
        <w:t>研究了</w:t>
      </w:r>
      <w:r>
        <w:rPr>
          <w:rFonts w:hint="eastAsia" w:hAnsi="宋体"/>
          <w:highlight w:val="none"/>
          <w:u w:val="single"/>
        </w:rPr>
        <w:t xml:space="preserve">                             </w:t>
      </w:r>
      <w:r>
        <w:rPr>
          <w:rFonts w:hint="eastAsia" w:hAnsi="宋体"/>
          <w:highlight w:val="none"/>
        </w:rPr>
        <w:t>（项目名称）</w:t>
      </w:r>
      <w:r>
        <w:rPr>
          <w:rFonts w:hint="eastAsia" w:hAnsi="宋体"/>
          <w:highlight w:val="none"/>
          <w:lang w:val="en-US" w:eastAsia="zh-CN"/>
        </w:rPr>
        <w:t>谈判</w:t>
      </w:r>
      <w:r>
        <w:rPr>
          <w:rFonts w:hAnsi="宋体"/>
          <w:highlight w:val="none"/>
        </w:rPr>
        <w:t>文件</w:t>
      </w:r>
      <w:r>
        <w:rPr>
          <w:rFonts w:hint="eastAsia" w:hAnsi="宋体"/>
          <w:highlight w:val="none"/>
        </w:rPr>
        <w:t>的全部内容，</w:t>
      </w:r>
      <w:r>
        <w:rPr>
          <w:rFonts w:hAnsi="宋体"/>
          <w:highlight w:val="none"/>
        </w:rPr>
        <w:t>愿</w:t>
      </w:r>
      <w:r>
        <w:rPr>
          <w:rFonts w:hint="eastAsia" w:hAnsi="宋体"/>
          <w:highlight w:val="none"/>
        </w:rPr>
        <w:t>以人民币（大写）</w:t>
      </w:r>
      <w:r>
        <w:rPr>
          <w:rFonts w:hAnsi="宋体"/>
          <w:highlight w:val="none"/>
          <w:u w:val="single"/>
        </w:rPr>
        <w:t xml:space="preserve"> </w:t>
      </w:r>
      <w:r>
        <w:rPr>
          <w:rFonts w:hint="eastAsia" w:hAnsi="宋体"/>
          <w:highlight w:val="none"/>
          <w:u w:val="single"/>
        </w:rPr>
        <w:t xml:space="preserve">         </w:t>
      </w:r>
      <w:r>
        <w:rPr>
          <w:rFonts w:hAnsi="宋体"/>
          <w:highlight w:val="none"/>
        </w:rPr>
        <w:t>（</w:t>
      </w:r>
      <w:r>
        <w:rPr>
          <w:rFonts w:hint="eastAsia" w:hAnsi="宋体"/>
          <w:highlight w:val="none"/>
        </w:rPr>
        <w:t>￥</w:t>
      </w:r>
      <w:r>
        <w:rPr>
          <w:rFonts w:hint="eastAsia" w:hAnsi="宋体"/>
          <w:highlight w:val="none"/>
          <w:u w:val="single"/>
        </w:rPr>
        <w:t xml:space="preserve">           </w:t>
      </w:r>
      <w:r>
        <w:rPr>
          <w:rFonts w:hAnsi="宋体"/>
          <w:highlight w:val="none"/>
        </w:rPr>
        <w:t>）的投标</w:t>
      </w:r>
      <w:r>
        <w:rPr>
          <w:rFonts w:hint="eastAsia" w:hAnsi="宋体"/>
          <w:highlight w:val="none"/>
        </w:rPr>
        <w:t>总报价</w:t>
      </w:r>
      <w:r>
        <w:rPr>
          <w:rFonts w:hint="eastAsia" w:hAnsi="宋体"/>
          <w:highlight w:val="none"/>
          <w:lang w:eastAsia="zh-CN"/>
        </w:rPr>
        <w:t>，供</w:t>
      </w:r>
      <w:r>
        <w:rPr>
          <w:rFonts w:hint="eastAsia" w:hAnsi="宋体"/>
          <w:highlight w:val="none"/>
          <w:lang w:val="en-US" w:eastAsia="zh-CN"/>
        </w:rPr>
        <w:t xml:space="preserve"> </w:t>
      </w:r>
      <w:r>
        <w:rPr>
          <w:rFonts w:hint="eastAsia" w:hAnsi="宋体"/>
          <w:highlight w:val="none"/>
          <w:lang w:eastAsia="zh-CN"/>
        </w:rPr>
        <w:t>货</w:t>
      </w:r>
      <w:r>
        <w:rPr>
          <w:rFonts w:hint="eastAsia" w:hAnsi="宋体"/>
          <w:highlight w:val="none"/>
          <w:lang w:val="en-US" w:eastAsia="zh-CN"/>
        </w:rPr>
        <w:t xml:space="preserve"> </w:t>
      </w:r>
      <w:r>
        <w:rPr>
          <w:rFonts w:hint="eastAsia" w:hAnsi="宋体"/>
          <w:highlight w:val="none"/>
          <w:lang w:eastAsia="zh-CN"/>
        </w:rPr>
        <w:t>期：</w:t>
      </w:r>
      <w:r>
        <w:rPr>
          <w:rFonts w:hint="eastAsia" w:hAnsi="宋体"/>
          <w:highlight w:val="none"/>
          <w:u w:val="single"/>
          <w:lang w:val="en-US" w:eastAsia="zh-CN"/>
        </w:rPr>
        <w:t xml:space="preserve">        </w:t>
      </w:r>
      <w:r>
        <w:rPr>
          <w:rFonts w:hint="eastAsia" w:hAnsi="宋体"/>
          <w:highlight w:val="none"/>
          <w:lang w:val="en-US" w:eastAsia="zh-CN"/>
        </w:rPr>
        <w:t xml:space="preserve"> </w:t>
      </w:r>
      <w:r>
        <w:rPr>
          <w:rFonts w:hint="eastAsia" w:hAnsi="宋体"/>
          <w:highlight w:val="none"/>
        </w:rPr>
        <w:t>，并按合同约定履行义务</w:t>
      </w:r>
      <w:r>
        <w:rPr>
          <w:rFonts w:hAnsi="宋体"/>
          <w:highlight w:val="none"/>
        </w:rPr>
        <w:t>。</w:t>
      </w:r>
    </w:p>
    <w:p>
      <w:pPr>
        <w:numPr>
          <w:ilvl w:val="0"/>
          <w:numId w:val="13"/>
        </w:num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我方的投标文件包括下列内容：</w:t>
      </w:r>
    </w:p>
    <w:p>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（1）投标函；</w:t>
      </w:r>
    </w:p>
    <w:p>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（2）法定代表人身份证明或授权委托书；</w:t>
      </w:r>
    </w:p>
    <w:p>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（3）联合体协议书（如有）；</w:t>
      </w:r>
    </w:p>
    <w:p>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4</w:t>
      </w:r>
      <w:r>
        <w:rPr>
          <w:rFonts w:hint="eastAsia" w:ascii="宋体" w:hAnsi="宋体"/>
          <w:color w:val="000000"/>
          <w:szCs w:val="21"/>
          <w:highlight w:val="none"/>
        </w:rPr>
        <w:t>）</w:t>
      </w:r>
      <w:r>
        <w:rPr>
          <w:rFonts w:ascii="宋体" w:hAnsi="宋体" w:cs="Arial"/>
          <w:color w:val="000000"/>
          <w:szCs w:val="21"/>
          <w:highlight w:val="none"/>
        </w:rPr>
        <w:t>………</w:t>
      </w:r>
    </w:p>
    <w:p>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响应</w:t>
      </w:r>
      <w:r>
        <w:rPr>
          <w:rFonts w:hint="eastAsia" w:ascii="宋体" w:hAnsi="宋体"/>
          <w:color w:val="000000"/>
          <w:szCs w:val="21"/>
          <w:highlight w:val="none"/>
        </w:rPr>
        <w:t>文件的上述组成部分如存在内容不一致的，以投标函为准。</w:t>
      </w:r>
    </w:p>
    <w:p>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3．我方承诺除商务和技术偏差表列出的偏差外，我方响应</w:t>
      </w:r>
      <w:r>
        <w:rPr>
          <w:rFonts w:hint="eastAsia" w:ascii="宋体" w:hAnsi="宋体"/>
          <w:color w:val="000000"/>
          <w:szCs w:val="21"/>
          <w:highlight w:val="none"/>
          <w:lang w:val="en-US" w:eastAsia="zh-CN"/>
        </w:rPr>
        <w:t>谈判</w:t>
      </w:r>
      <w:r>
        <w:rPr>
          <w:rFonts w:hint="eastAsia" w:ascii="宋体" w:hAnsi="宋体"/>
          <w:color w:val="000000"/>
          <w:szCs w:val="21"/>
          <w:highlight w:val="none"/>
        </w:rPr>
        <w:t>文件的全部要求。</w:t>
      </w:r>
    </w:p>
    <w:p>
      <w:pPr>
        <w:pStyle w:val="18"/>
        <w:numPr>
          <w:ilvl w:val="0"/>
          <w:numId w:val="14"/>
        </w:numPr>
        <w:snapToGrid w:val="0"/>
        <w:spacing w:line="360" w:lineRule="auto"/>
        <w:ind w:firstLine="420"/>
        <w:rPr>
          <w:rFonts w:hint="eastAsia" w:hAnsi="宋体"/>
          <w:color w:val="000000"/>
          <w:highlight w:val="none"/>
        </w:rPr>
      </w:pPr>
      <w:r>
        <w:rPr>
          <w:rFonts w:hint="eastAsia" w:hAnsi="宋体"/>
          <w:color w:val="000000"/>
          <w:highlight w:val="none"/>
        </w:rPr>
        <w:t>我方承诺在</w:t>
      </w:r>
      <w:r>
        <w:rPr>
          <w:rFonts w:hint="eastAsia" w:hAnsi="宋体"/>
          <w:color w:val="000000"/>
          <w:highlight w:val="none"/>
          <w:lang w:val="en-US" w:eastAsia="zh-CN"/>
        </w:rPr>
        <w:t>谈判</w:t>
      </w:r>
      <w:r>
        <w:rPr>
          <w:rFonts w:hint="eastAsia" w:hAnsi="宋体"/>
          <w:color w:val="000000"/>
          <w:highlight w:val="none"/>
        </w:rPr>
        <w:t>文件规定的投标有效期内不撤销</w:t>
      </w:r>
      <w:r>
        <w:rPr>
          <w:rFonts w:hint="eastAsia" w:hAnsi="宋体"/>
          <w:color w:val="000000"/>
          <w:highlight w:val="none"/>
          <w:lang w:val="en-US" w:eastAsia="zh-CN"/>
        </w:rPr>
        <w:t>响应</w:t>
      </w:r>
      <w:r>
        <w:rPr>
          <w:rFonts w:hint="eastAsia" w:hAnsi="宋体"/>
          <w:color w:val="000000"/>
          <w:highlight w:val="none"/>
        </w:rPr>
        <w:t>文件。</w:t>
      </w:r>
    </w:p>
    <w:p>
      <w:pPr>
        <w:numPr>
          <w:ilvl w:val="0"/>
          <w:numId w:val="14"/>
        </w:num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如我方中标，我方承诺：</w:t>
      </w:r>
    </w:p>
    <w:p>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（1）在收到中标通知书后，在中标通知书规定的期限内与你方签订合同；</w:t>
      </w:r>
    </w:p>
    <w:p>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（2）在签订合同时不向你方提出附加条件；</w:t>
      </w:r>
    </w:p>
    <w:p>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（3）按照招标文件要求提交履约保证金；</w:t>
      </w:r>
    </w:p>
    <w:p>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（4）在合同约定的期限内完成合同规定的全部义务。</w:t>
      </w:r>
    </w:p>
    <w:p>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6．我方在此声明，所递交的</w:t>
      </w:r>
      <w:r>
        <w:rPr>
          <w:rFonts w:hint="eastAsia" w:ascii="宋体" w:hAnsi="宋体"/>
          <w:color w:val="000000"/>
          <w:szCs w:val="21"/>
          <w:highlight w:val="none"/>
          <w:lang w:val="en-US" w:eastAsia="zh-CN"/>
        </w:rPr>
        <w:t>响应</w:t>
      </w:r>
      <w:r>
        <w:rPr>
          <w:rFonts w:hint="eastAsia" w:ascii="宋体" w:hAnsi="宋体"/>
          <w:color w:val="000000"/>
          <w:szCs w:val="21"/>
          <w:highlight w:val="none"/>
        </w:rPr>
        <w:t>文件及有关资料内容完整、真实和准确，且不存在第二章“</w:t>
      </w:r>
      <w:r>
        <w:rPr>
          <w:rFonts w:hint="eastAsia" w:ascii="宋体" w:hAnsi="宋体"/>
          <w:color w:val="000000"/>
          <w:szCs w:val="21"/>
          <w:highlight w:val="none"/>
          <w:lang w:eastAsia="zh-CN"/>
        </w:rPr>
        <w:t>供应商</w:t>
      </w:r>
      <w:r>
        <w:rPr>
          <w:rFonts w:hint="eastAsia" w:ascii="宋体" w:hAnsi="宋体"/>
          <w:color w:val="000000"/>
          <w:szCs w:val="21"/>
          <w:highlight w:val="none"/>
        </w:rPr>
        <w:t>须知”第</w:t>
      </w:r>
      <w:r>
        <w:rPr>
          <w:rFonts w:hint="eastAsia" w:ascii="宋体" w:hAnsi="宋体"/>
          <w:color w:val="000000"/>
          <w:szCs w:val="21"/>
          <w:highlight w:val="none"/>
          <w:lang w:val="en-US" w:eastAsia="zh-CN"/>
        </w:rPr>
        <w:t>8.5.3</w:t>
      </w:r>
      <w:r>
        <w:rPr>
          <w:rFonts w:hint="eastAsia" w:ascii="宋体" w:hAnsi="宋体"/>
          <w:color w:val="000000"/>
          <w:szCs w:val="21"/>
          <w:highlight w:val="none"/>
        </w:rPr>
        <w:t xml:space="preserve"> 项规定的任何一种情形。</w:t>
      </w:r>
    </w:p>
    <w:p>
      <w:pPr>
        <w:spacing w:line="360" w:lineRule="auto"/>
        <w:ind w:firstLine="420" w:firstLineChars="200"/>
        <w:jc w:val="left"/>
        <w:rPr>
          <w:rFonts w:hint="eastAsia" w:ascii="宋体" w:hAnsi="宋体" w:eastAsia="宋体"/>
          <w:color w:val="000000"/>
          <w:szCs w:val="21"/>
          <w:highlight w:val="none"/>
          <w:lang w:eastAsia="zh-CN"/>
        </w:rPr>
      </w:pPr>
      <w:r>
        <w:rPr>
          <w:rFonts w:hint="eastAsia" w:ascii="宋体" w:hAnsi="宋体"/>
          <w:color w:val="000000"/>
          <w:szCs w:val="21"/>
          <w:highlight w:val="none"/>
        </w:rPr>
        <w:t>7.</w:t>
      </w:r>
      <w:r>
        <w:rPr>
          <w:rFonts w:hint="eastAsia" w:ascii="宋体" w:hAnsi="宋体"/>
          <w:color w:val="000000"/>
          <w:szCs w:val="21"/>
          <w:highlight w:val="none"/>
          <w:u w:val="single"/>
        </w:rPr>
        <w:t xml:space="preserve">                            （其他补充说明）</w:t>
      </w:r>
      <w:r>
        <w:rPr>
          <w:rFonts w:hint="eastAsia" w:ascii="宋体" w:hAnsi="宋体"/>
          <w:color w:val="000000"/>
          <w:szCs w:val="21"/>
          <w:highlight w:val="none"/>
          <w:u w:val="none"/>
          <w:lang w:eastAsia="zh-CN"/>
        </w:rPr>
        <w:t>。</w:t>
      </w:r>
    </w:p>
    <w:p>
      <w:pPr>
        <w:pStyle w:val="18"/>
        <w:snapToGrid w:val="0"/>
        <w:spacing w:line="360" w:lineRule="auto"/>
        <w:ind w:firstLine="420"/>
        <w:rPr>
          <w:rFonts w:hAnsi="宋体"/>
          <w:highlight w:val="none"/>
        </w:rPr>
      </w:pPr>
    </w:p>
    <w:p>
      <w:pPr>
        <w:pStyle w:val="18"/>
        <w:snapToGrid w:val="0"/>
        <w:spacing w:line="360" w:lineRule="auto"/>
        <w:ind w:firstLine="3578" w:firstLineChars="1704"/>
        <w:rPr>
          <w:rFonts w:hint="eastAsia" w:hAnsi="宋体"/>
          <w:highlight w:val="none"/>
          <w:u w:val="single"/>
        </w:rPr>
      </w:pPr>
      <w:r>
        <w:rPr>
          <w:rFonts w:hint="eastAsia" w:hAnsi="宋体"/>
          <w:highlight w:val="none"/>
          <w:lang w:val="en-US" w:eastAsia="zh-CN"/>
        </w:rPr>
        <w:t>供应商</w:t>
      </w:r>
      <w:r>
        <w:rPr>
          <w:rFonts w:hAnsi="宋体"/>
          <w:highlight w:val="none"/>
        </w:rPr>
        <w:t>：</w:t>
      </w:r>
      <w:r>
        <w:rPr>
          <w:rFonts w:hint="eastAsia" w:hAnsi="宋体"/>
          <w:highlight w:val="none"/>
          <w:u w:val="single"/>
        </w:rPr>
        <w:t xml:space="preserve">                      </w:t>
      </w:r>
      <w:r>
        <w:rPr>
          <w:rFonts w:hAnsi="宋体"/>
          <w:highlight w:val="none"/>
        </w:rPr>
        <w:t>（</w:t>
      </w:r>
      <w:r>
        <w:rPr>
          <w:rFonts w:hint="eastAsia" w:hAnsi="宋体"/>
          <w:highlight w:val="none"/>
        </w:rPr>
        <w:t>盖单位章</w:t>
      </w:r>
      <w:r>
        <w:rPr>
          <w:rFonts w:hAnsi="宋体"/>
          <w:highlight w:val="none"/>
        </w:rPr>
        <w:t>）</w:t>
      </w:r>
    </w:p>
    <w:p>
      <w:pPr>
        <w:pStyle w:val="18"/>
        <w:wordWrap w:val="0"/>
        <w:snapToGrid w:val="0"/>
        <w:spacing w:line="360" w:lineRule="auto"/>
        <w:ind w:firstLine="3578" w:firstLineChars="1704"/>
        <w:rPr>
          <w:rFonts w:hint="eastAsia" w:hAnsi="宋体"/>
          <w:highlight w:val="none"/>
          <w:u w:val="single"/>
        </w:rPr>
      </w:pPr>
      <w:r>
        <w:rPr>
          <w:rFonts w:hAnsi="宋体"/>
          <w:highlight w:val="none"/>
        </w:rPr>
        <w:t>法定代表人</w:t>
      </w:r>
      <w:r>
        <w:rPr>
          <w:rFonts w:hint="eastAsia" w:hAnsi="宋体"/>
          <w:highlight w:val="none"/>
          <w:lang w:eastAsia="zh-CN"/>
        </w:rPr>
        <w:t>和</w:t>
      </w:r>
      <w:r>
        <w:rPr>
          <w:rFonts w:hint="eastAsia" w:hAnsi="宋体"/>
          <w:highlight w:val="none"/>
        </w:rPr>
        <w:t>其</w:t>
      </w:r>
      <w:r>
        <w:rPr>
          <w:rFonts w:hAnsi="宋体"/>
          <w:highlight w:val="none"/>
        </w:rPr>
        <w:t>授权代理人：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rPr>
        <w:t>）</w:t>
      </w:r>
    </w:p>
    <w:p>
      <w:pPr>
        <w:pStyle w:val="18"/>
        <w:wordWrap w:val="0"/>
        <w:snapToGrid w:val="0"/>
        <w:spacing w:line="360" w:lineRule="auto"/>
        <w:ind w:firstLine="3578" w:firstLineChars="1704"/>
        <w:rPr>
          <w:rFonts w:hint="eastAsia" w:hAnsi="宋体"/>
          <w:highlight w:val="none"/>
          <w:u w:val="single"/>
        </w:rPr>
      </w:pPr>
      <w:r>
        <w:rPr>
          <w:rFonts w:hint="eastAsia" w:hAnsi="宋体"/>
          <w:highlight w:val="none"/>
        </w:rPr>
        <w:t xml:space="preserve">地  址： </w:t>
      </w:r>
      <w:r>
        <w:rPr>
          <w:rFonts w:hint="eastAsia" w:hAnsi="宋体"/>
          <w:highlight w:val="none"/>
          <w:u w:val="single"/>
        </w:rPr>
        <w:t xml:space="preserve">                          </w:t>
      </w:r>
    </w:p>
    <w:p>
      <w:pPr>
        <w:pStyle w:val="18"/>
        <w:wordWrap w:val="0"/>
        <w:snapToGrid w:val="0"/>
        <w:spacing w:line="360" w:lineRule="auto"/>
        <w:ind w:firstLine="3578" w:firstLineChars="1704"/>
        <w:rPr>
          <w:rFonts w:hint="eastAsia" w:hAnsi="宋体"/>
          <w:highlight w:val="none"/>
          <w:u w:val="single"/>
        </w:rPr>
      </w:pPr>
      <w:r>
        <w:rPr>
          <w:rFonts w:hint="eastAsia" w:hAnsi="宋体"/>
          <w:highlight w:val="none"/>
        </w:rPr>
        <w:t xml:space="preserve">网  址： </w:t>
      </w:r>
      <w:r>
        <w:rPr>
          <w:rFonts w:hint="eastAsia" w:hAnsi="宋体"/>
          <w:highlight w:val="none"/>
          <w:u w:val="single"/>
        </w:rPr>
        <w:t xml:space="preserve">                          </w:t>
      </w:r>
    </w:p>
    <w:p>
      <w:pPr>
        <w:pStyle w:val="18"/>
        <w:wordWrap w:val="0"/>
        <w:snapToGrid w:val="0"/>
        <w:spacing w:line="360" w:lineRule="auto"/>
        <w:ind w:firstLine="3578" w:firstLineChars="1704"/>
        <w:rPr>
          <w:rFonts w:hint="eastAsia" w:hAnsi="宋体"/>
          <w:highlight w:val="none"/>
          <w:u w:val="single"/>
        </w:rPr>
      </w:pPr>
      <w:r>
        <w:rPr>
          <w:rFonts w:hint="eastAsia" w:hAnsi="宋体"/>
          <w:highlight w:val="none"/>
        </w:rPr>
        <w:t>电  话：</w:t>
      </w:r>
      <w:r>
        <w:rPr>
          <w:rFonts w:hint="eastAsia" w:hAnsi="宋体"/>
          <w:highlight w:val="none"/>
          <w:u w:val="single"/>
        </w:rPr>
        <w:t xml:space="preserve">                           </w:t>
      </w:r>
    </w:p>
    <w:p>
      <w:pPr>
        <w:pStyle w:val="18"/>
        <w:wordWrap w:val="0"/>
        <w:snapToGrid w:val="0"/>
        <w:spacing w:line="360" w:lineRule="auto"/>
        <w:ind w:firstLine="3578" w:firstLineChars="1704"/>
        <w:rPr>
          <w:rFonts w:hint="eastAsia" w:hAnsi="宋体"/>
          <w:highlight w:val="none"/>
          <w:u w:val="single"/>
        </w:rPr>
      </w:pPr>
      <w:r>
        <w:rPr>
          <w:rFonts w:hint="eastAsia" w:hAnsi="宋体"/>
          <w:highlight w:val="none"/>
        </w:rPr>
        <w:t>传  真：</w:t>
      </w:r>
      <w:r>
        <w:rPr>
          <w:rFonts w:hint="eastAsia" w:hAnsi="宋体"/>
          <w:highlight w:val="none"/>
          <w:u w:val="single"/>
        </w:rPr>
        <w:t xml:space="preserve">                           </w:t>
      </w:r>
    </w:p>
    <w:p>
      <w:pPr>
        <w:pStyle w:val="18"/>
        <w:wordWrap w:val="0"/>
        <w:snapToGrid w:val="0"/>
        <w:spacing w:line="360" w:lineRule="auto"/>
        <w:ind w:firstLine="3578" w:firstLineChars="1704"/>
        <w:rPr>
          <w:rFonts w:hint="eastAsia" w:hAnsi="宋体"/>
          <w:highlight w:val="none"/>
          <w:u w:val="single"/>
        </w:rPr>
      </w:pPr>
      <w:r>
        <w:rPr>
          <w:rFonts w:hint="eastAsia" w:hAnsi="宋体"/>
          <w:highlight w:val="none"/>
        </w:rPr>
        <w:t>邮  编：</w:t>
      </w:r>
      <w:r>
        <w:rPr>
          <w:rFonts w:hint="eastAsia" w:hAnsi="宋体"/>
          <w:highlight w:val="none"/>
          <w:u w:val="single"/>
        </w:rPr>
        <w:t xml:space="preserve">                           </w:t>
      </w:r>
    </w:p>
    <w:p>
      <w:pPr>
        <w:pStyle w:val="18"/>
        <w:wordWrap w:val="0"/>
        <w:snapToGrid w:val="0"/>
        <w:spacing w:line="360" w:lineRule="auto"/>
        <w:ind w:firstLine="4200" w:firstLineChars="2000"/>
        <w:jc w:val="left"/>
        <w:rPr>
          <w:rFonts w:hAnsi="宋体"/>
          <w:highlight w:val="none"/>
        </w:rPr>
      </w:pP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 xml:space="preserve"> 年</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月</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日</w:t>
      </w:r>
    </w:p>
    <w:p>
      <w:pPr>
        <w:spacing w:line="360" w:lineRule="auto"/>
        <w:rPr>
          <w:rFonts w:hint="eastAsia"/>
          <w:szCs w:val="21"/>
          <w:highlight w:val="none"/>
        </w:rPr>
      </w:pPr>
      <w:bookmarkStart w:id="31" w:name="_Toc152042580"/>
      <w:bookmarkStart w:id="32" w:name="_Toc144974860"/>
      <w:bookmarkStart w:id="33" w:name="_Toc238797663"/>
      <w:bookmarkStart w:id="34" w:name="_Toc152045791"/>
      <w:bookmarkStart w:id="35" w:name="_Toc238552301"/>
      <w:bookmarkStart w:id="36" w:name="_Toc262740154"/>
      <w:bookmarkStart w:id="37" w:name="_Toc285981645"/>
    </w:p>
    <w:p>
      <w:pPr>
        <w:pStyle w:val="3"/>
        <w:jc w:val="center"/>
        <w:rPr>
          <w:rFonts w:hint="eastAsia" w:ascii="宋体" w:hAnsi="宋体" w:cs="宋体"/>
          <w:highlight w:val="none"/>
          <w:lang w:eastAsia="zh-CN"/>
        </w:rPr>
      </w:pPr>
      <w:bookmarkStart w:id="38" w:name="_Toc26075"/>
      <w:bookmarkStart w:id="39" w:name="_Toc435802466"/>
      <w:bookmarkStart w:id="40" w:name="_Toc28397"/>
      <w:r>
        <w:rPr>
          <w:rFonts w:hint="eastAsia" w:ascii="宋体" w:hAnsi="宋体" w:cs="宋体"/>
          <w:highlight w:val="none"/>
          <w:lang w:eastAsia="zh-CN"/>
        </w:rPr>
        <w:t>二、法定代表人身份证明</w:t>
      </w:r>
      <w:bookmarkEnd w:id="31"/>
      <w:bookmarkEnd w:id="32"/>
      <w:bookmarkEnd w:id="33"/>
      <w:bookmarkEnd w:id="34"/>
      <w:bookmarkEnd w:id="35"/>
      <w:bookmarkEnd w:id="36"/>
      <w:bookmarkEnd w:id="37"/>
      <w:bookmarkEnd w:id="38"/>
      <w:bookmarkEnd w:id="39"/>
      <w:bookmarkEnd w:id="40"/>
    </w:p>
    <w:p>
      <w:pPr>
        <w:spacing w:line="480" w:lineRule="auto"/>
        <w:ind w:firstLine="420" w:firstLineChars="200"/>
        <w:rPr>
          <w:rFonts w:ascii="宋体" w:hAnsi="宋体"/>
          <w:szCs w:val="21"/>
          <w:highlight w:val="none"/>
          <w:u w:val="single"/>
        </w:rPr>
      </w:pPr>
      <w:r>
        <w:rPr>
          <w:rFonts w:hint="eastAsia" w:ascii="宋体" w:hAnsi="宋体"/>
          <w:szCs w:val="21"/>
          <w:highlight w:val="none"/>
          <w:lang w:val="en-US" w:eastAsia="zh-CN"/>
        </w:rPr>
        <w:t>供应商</w:t>
      </w:r>
      <w:r>
        <w:rPr>
          <w:rFonts w:ascii="宋体" w:hAnsi="宋体"/>
          <w:szCs w:val="21"/>
          <w:highlight w:val="none"/>
        </w:rPr>
        <w:t>名称：</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p>
    <w:p>
      <w:pPr>
        <w:spacing w:line="480" w:lineRule="auto"/>
        <w:ind w:firstLine="420" w:firstLineChars="200"/>
        <w:rPr>
          <w:rFonts w:ascii="宋体" w:hAnsi="宋体"/>
          <w:szCs w:val="21"/>
          <w:highlight w:val="none"/>
          <w:u w:val="single"/>
        </w:rPr>
      </w:pPr>
      <w:r>
        <w:rPr>
          <w:rFonts w:ascii="宋体" w:hAnsi="宋体"/>
          <w:szCs w:val="21"/>
          <w:highlight w:val="none"/>
        </w:rPr>
        <w:t>姓名：</w:t>
      </w:r>
      <w:r>
        <w:rPr>
          <w:rFonts w:ascii="宋体" w:hAnsi="宋体"/>
          <w:szCs w:val="21"/>
          <w:highlight w:val="none"/>
          <w:u w:val="single"/>
        </w:rPr>
        <w:t xml:space="preserve">        </w:t>
      </w:r>
      <w:r>
        <w:rPr>
          <w:rFonts w:ascii="宋体" w:hAnsi="宋体"/>
          <w:szCs w:val="21"/>
          <w:highlight w:val="none"/>
        </w:rPr>
        <w:t xml:space="preserve"> 性别：</w:t>
      </w:r>
      <w:r>
        <w:rPr>
          <w:rFonts w:ascii="宋体" w:hAnsi="宋体"/>
          <w:szCs w:val="21"/>
          <w:highlight w:val="none"/>
          <w:u w:val="single"/>
        </w:rPr>
        <w:t xml:space="preserve">         </w:t>
      </w:r>
      <w:r>
        <w:rPr>
          <w:rFonts w:ascii="宋体" w:hAnsi="宋体"/>
          <w:szCs w:val="21"/>
          <w:highlight w:val="none"/>
        </w:rPr>
        <w:t xml:space="preserve"> 年龄：</w:t>
      </w:r>
      <w:r>
        <w:rPr>
          <w:rFonts w:ascii="宋体" w:hAnsi="宋体"/>
          <w:szCs w:val="21"/>
          <w:highlight w:val="none"/>
          <w:u w:val="single"/>
        </w:rPr>
        <w:t xml:space="preserve">        </w:t>
      </w:r>
      <w:r>
        <w:rPr>
          <w:rFonts w:ascii="宋体" w:hAnsi="宋体"/>
          <w:szCs w:val="21"/>
          <w:highlight w:val="none"/>
        </w:rPr>
        <w:t>职务：</w:t>
      </w:r>
      <w:r>
        <w:rPr>
          <w:rFonts w:ascii="宋体" w:hAnsi="宋体"/>
          <w:szCs w:val="21"/>
          <w:highlight w:val="none"/>
          <w:u w:val="single"/>
        </w:rPr>
        <w:t xml:space="preserve">        </w:t>
      </w:r>
    </w:p>
    <w:p>
      <w:pPr>
        <w:spacing w:line="480" w:lineRule="auto"/>
        <w:ind w:firstLine="420" w:firstLineChars="200"/>
        <w:rPr>
          <w:rFonts w:ascii="宋体" w:hAnsi="宋体"/>
          <w:szCs w:val="21"/>
          <w:highlight w:val="none"/>
        </w:rPr>
      </w:pPr>
      <w:r>
        <w:rPr>
          <w:rFonts w:ascii="宋体" w:hAnsi="宋体"/>
          <w:szCs w:val="21"/>
          <w:highlight w:val="none"/>
        </w:rPr>
        <w:t>系</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w:t>
      </w:r>
      <w:r>
        <w:rPr>
          <w:rFonts w:hint="eastAsia" w:ascii="宋体" w:hAnsi="宋体"/>
          <w:szCs w:val="21"/>
          <w:highlight w:val="none"/>
          <w:lang w:eastAsia="zh-CN"/>
        </w:rPr>
        <w:t>供应商</w:t>
      </w:r>
      <w:r>
        <w:rPr>
          <w:rFonts w:ascii="宋体" w:hAnsi="宋体"/>
          <w:szCs w:val="21"/>
          <w:highlight w:val="none"/>
        </w:rPr>
        <w:t>名称</w:t>
      </w:r>
      <w:r>
        <w:rPr>
          <w:rFonts w:hint="eastAsia" w:ascii="宋体" w:hAnsi="宋体"/>
          <w:szCs w:val="21"/>
          <w:highlight w:val="none"/>
        </w:rPr>
        <w:t>）</w:t>
      </w:r>
      <w:r>
        <w:rPr>
          <w:rFonts w:ascii="宋体" w:hAnsi="宋体"/>
          <w:szCs w:val="21"/>
          <w:highlight w:val="none"/>
        </w:rPr>
        <w:t>的法定代表人。</w:t>
      </w:r>
    </w:p>
    <w:p>
      <w:pPr>
        <w:spacing w:line="480" w:lineRule="auto"/>
        <w:ind w:firstLine="420" w:firstLineChars="200"/>
        <w:rPr>
          <w:rFonts w:ascii="宋体" w:hAnsi="宋体"/>
          <w:szCs w:val="21"/>
          <w:highlight w:val="none"/>
        </w:rPr>
      </w:pPr>
      <w:r>
        <w:rPr>
          <w:rFonts w:ascii="宋体" w:hAnsi="宋体"/>
          <w:szCs w:val="21"/>
          <w:highlight w:val="none"/>
        </w:rPr>
        <w:t>特此证明。</w:t>
      </w:r>
    </w:p>
    <w:p>
      <w:pPr>
        <w:spacing w:line="480" w:lineRule="auto"/>
        <w:ind w:firstLine="420" w:firstLineChars="200"/>
        <w:rPr>
          <w:rFonts w:hint="eastAsia" w:ascii="宋体" w:hAnsi="宋体"/>
          <w:szCs w:val="21"/>
          <w:highlight w:val="none"/>
        </w:rPr>
      </w:pPr>
      <w:r>
        <w:rPr>
          <w:rFonts w:hint="eastAsia" w:ascii="宋体" w:hAnsi="宋体"/>
          <w:szCs w:val="21"/>
          <w:highlight w:val="none"/>
        </w:rPr>
        <w:t>附：法定代表人身份证明</w:t>
      </w:r>
    </w:p>
    <w:p>
      <w:pPr>
        <w:spacing w:line="480" w:lineRule="auto"/>
        <w:ind w:firstLine="420" w:firstLineChars="200"/>
        <w:rPr>
          <w:rFonts w:hint="eastAsia" w:ascii="宋体" w:hAnsi="宋体"/>
          <w:szCs w:val="21"/>
          <w:highlight w:val="none"/>
        </w:rPr>
      </w:pPr>
      <w:r>
        <w:rPr>
          <w:rFonts w:hint="eastAsia" w:ascii="宋体" w:hAnsi="宋体"/>
          <w:szCs w:val="21"/>
          <w:highlight w:val="none"/>
        </w:rPr>
        <w:t>注：本身份证明需由</w:t>
      </w:r>
      <w:r>
        <w:rPr>
          <w:rFonts w:hint="eastAsia" w:ascii="宋体" w:hAnsi="宋体"/>
          <w:szCs w:val="21"/>
          <w:highlight w:val="none"/>
          <w:lang w:val="en-US" w:eastAsia="zh-CN"/>
        </w:rPr>
        <w:t>供应商</w:t>
      </w:r>
      <w:r>
        <w:rPr>
          <w:rFonts w:hint="eastAsia" w:ascii="宋体" w:hAnsi="宋体"/>
          <w:szCs w:val="21"/>
          <w:highlight w:val="none"/>
        </w:rPr>
        <w:t>加盖单位公章。</w:t>
      </w:r>
    </w:p>
    <w:p>
      <w:pPr>
        <w:spacing w:line="440" w:lineRule="exact"/>
        <w:rPr>
          <w:rFonts w:hint="eastAsia" w:ascii="宋体" w:hAnsi="宋体"/>
          <w:szCs w:val="21"/>
          <w:highlight w:val="none"/>
        </w:rPr>
      </w:pPr>
    </w:p>
    <w:p>
      <w:pPr>
        <w:spacing w:line="440" w:lineRule="exact"/>
        <w:rPr>
          <w:rFonts w:hint="eastAsia" w:ascii="宋体" w:hAnsi="宋体"/>
          <w:szCs w:val="21"/>
          <w:highlight w:val="none"/>
        </w:rPr>
      </w:pPr>
    </w:p>
    <w:p>
      <w:pPr>
        <w:spacing w:line="440" w:lineRule="exact"/>
        <w:rPr>
          <w:rFonts w:hint="eastAsia" w:ascii="宋体" w:hAnsi="宋体"/>
          <w:szCs w:val="21"/>
          <w:highlight w:val="none"/>
        </w:rPr>
      </w:pPr>
    </w:p>
    <w:p>
      <w:pPr>
        <w:spacing w:line="440" w:lineRule="exac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lang w:val="en-US" w:eastAsia="zh-CN"/>
        </w:rPr>
        <w:t>供应商</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（盖单位章）</w:t>
      </w:r>
    </w:p>
    <w:p>
      <w:pPr>
        <w:spacing w:line="440" w:lineRule="exact"/>
        <w:rPr>
          <w:rFonts w:ascii="宋体" w:hAnsi="宋体"/>
          <w:szCs w:val="21"/>
          <w:highlight w:val="none"/>
        </w:rPr>
      </w:pPr>
    </w:p>
    <w:p>
      <w:pPr>
        <w:spacing w:line="440" w:lineRule="exac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 xml:space="preserve">日 </w:t>
      </w:r>
    </w:p>
    <w:p>
      <w:pPr>
        <w:spacing w:line="440" w:lineRule="exact"/>
        <w:rPr>
          <w:rFonts w:ascii="宋体" w:hAnsi="宋体"/>
          <w:sz w:val="20"/>
          <w:szCs w:val="20"/>
          <w:highlight w:val="none"/>
        </w:rPr>
      </w:pPr>
    </w:p>
    <w:p>
      <w:pPr>
        <w:jc w:val="center"/>
        <w:rPr>
          <w:rFonts w:hint="eastAsia"/>
          <w:highlight w:val="none"/>
        </w:rPr>
      </w:pPr>
      <w:bookmarkStart w:id="41" w:name="_Toc144974861"/>
      <w:bookmarkStart w:id="42" w:name="_Toc262740155"/>
      <w:bookmarkStart w:id="43" w:name="_Toc152045792"/>
      <w:bookmarkStart w:id="44" w:name="_Toc238797664"/>
      <w:bookmarkStart w:id="45" w:name="_Toc238552302"/>
      <w:bookmarkStart w:id="46" w:name="_Toc152042581"/>
      <w:r>
        <w:rPr>
          <w:highlight w:val="none"/>
        </w:rPr>
        <w:br w:type="page"/>
      </w:r>
      <w:bookmarkStart w:id="47" w:name="_Toc285981646"/>
    </w:p>
    <w:p>
      <w:pPr>
        <w:pStyle w:val="3"/>
        <w:jc w:val="center"/>
        <w:rPr>
          <w:rFonts w:hint="eastAsia" w:ascii="宋体" w:hAnsi="宋体" w:cs="宋体"/>
          <w:highlight w:val="none"/>
          <w:lang w:eastAsia="zh-CN"/>
        </w:rPr>
      </w:pPr>
      <w:bookmarkStart w:id="48" w:name="_Toc25608"/>
      <w:bookmarkStart w:id="49" w:name="_Toc6778"/>
      <w:bookmarkStart w:id="50" w:name="_Toc435802467"/>
      <w:r>
        <w:rPr>
          <w:rFonts w:hint="eastAsia" w:ascii="宋体" w:hAnsi="宋体" w:cs="宋体"/>
          <w:highlight w:val="none"/>
          <w:lang w:val="en-US" w:eastAsia="zh-CN"/>
        </w:rPr>
        <w:t>三</w:t>
      </w:r>
      <w:r>
        <w:rPr>
          <w:rFonts w:hint="eastAsia" w:ascii="宋体" w:hAnsi="宋体" w:cs="宋体"/>
          <w:highlight w:val="none"/>
          <w:lang w:eastAsia="zh-CN"/>
        </w:rPr>
        <w:t>、授权委托书</w:t>
      </w:r>
      <w:bookmarkEnd w:id="41"/>
      <w:bookmarkEnd w:id="42"/>
      <w:bookmarkEnd w:id="43"/>
      <w:bookmarkEnd w:id="44"/>
      <w:bookmarkEnd w:id="45"/>
      <w:bookmarkEnd w:id="46"/>
      <w:bookmarkEnd w:id="47"/>
      <w:bookmarkEnd w:id="48"/>
      <w:bookmarkEnd w:id="49"/>
      <w:bookmarkEnd w:id="50"/>
    </w:p>
    <w:p>
      <w:pPr>
        <w:pStyle w:val="18"/>
        <w:snapToGrid w:val="0"/>
        <w:spacing w:line="480" w:lineRule="auto"/>
        <w:ind w:firstLine="840" w:firstLineChars="400"/>
        <w:rPr>
          <w:rFonts w:hint="eastAsia" w:hAnsi="宋体"/>
          <w:highlight w:val="none"/>
        </w:rPr>
      </w:pPr>
      <w:r>
        <w:rPr>
          <w:rFonts w:hint="eastAsia" w:hAnsi="宋体"/>
          <w:highlight w:val="none"/>
        </w:rPr>
        <w:t xml:space="preserve">本人 </w:t>
      </w:r>
      <w:r>
        <w:rPr>
          <w:rFonts w:hint="eastAsia" w:hAnsi="宋体"/>
          <w:highlight w:val="none"/>
          <w:u w:val="single"/>
        </w:rPr>
        <w:t xml:space="preserve">          </w:t>
      </w:r>
      <w:r>
        <w:rPr>
          <w:rFonts w:hint="eastAsia" w:hAnsi="宋体"/>
          <w:highlight w:val="none"/>
        </w:rPr>
        <w:t>（姓名）系</w:t>
      </w:r>
      <w:r>
        <w:rPr>
          <w:rFonts w:hint="eastAsia" w:hAnsi="宋体"/>
          <w:highlight w:val="none"/>
          <w:u w:val="single"/>
        </w:rPr>
        <w:t xml:space="preserve">                    </w:t>
      </w:r>
      <w:r>
        <w:rPr>
          <w:rFonts w:hint="eastAsia" w:hAnsi="宋体"/>
          <w:highlight w:val="none"/>
        </w:rPr>
        <w:t>（</w:t>
      </w:r>
      <w:r>
        <w:rPr>
          <w:rFonts w:hint="eastAsia" w:ascii="宋体" w:hAnsi="宋体"/>
          <w:szCs w:val="21"/>
          <w:highlight w:val="none"/>
          <w:lang w:val="en-US" w:eastAsia="zh-CN"/>
        </w:rPr>
        <w:t>供应商</w:t>
      </w:r>
      <w:r>
        <w:rPr>
          <w:rFonts w:hint="eastAsia" w:hAnsi="宋体"/>
          <w:highlight w:val="none"/>
        </w:rPr>
        <w:t>名称）的法定代表人，现委托</w:t>
      </w:r>
      <w:r>
        <w:rPr>
          <w:rFonts w:hint="eastAsia" w:hAnsi="宋体"/>
          <w:highlight w:val="none"/>
          <w:u w:val="single"/>
        </w:rPr>
        <w:t xml:space="preserve">           </w:t>
      </w:r>
      <w:r>
        <w:rPr>
          <w:rFonts w:hint="eastAsia" w:hAnsi="宋体"/>
          <w:highlight w:val="none"/>
        </w:rPr>
        <w:t>（姓名）为我方代理人。代理人根据授权，以我方名义签署、澄清确认、递交、撤回、修改</w:t>
      </w:r>
      <w:r>
        <w:rPr>
          <w:rFonts w:hint="eastAsia" w:hAnsi="宋体"/>
          <w:highlight w:val="none"/>
          <w:u w:val="single"/>
          <w:lang w:eastAsia="zh-CN"/>
        </w:rPr>
        <w:t>（项目名称）</w:t>
      </w:r>
      <w:r>
        <w:rPr>
          <w:rFonts w:hint="eastAsia" w:hAnsi="宋体"/>
          <w:highlight w:val="none"/>
        </w:rPr>
        <w:t>招标项目</w:t>
      </w:r>
      <w:r>
        <w:rPr>
          <w:rFonts w:hint="eastAsia" w:hAnsi="宋体"/>
          <w:highlight w:val="none"/>
          <w:lang w:val="en-US" w:eastAsia="zh-CN"/>
        </w:rPr>
        <w:t>响应</w:t>
      </w:r>
      <w:r>
        <w:rPr>
          <w:rFonts w:hint="eastAsia" w:hAnsi="宋体"/>
          <w:highlight w:val="none"/>
        </w:rPr>
        <w:t>文件、签订合同和处理有关事宜，其法律后果由我方承担。</w:t>
      </w:r>
    </w:p>
    <w:p>
      <w:pPr>
        <w:pStyle w:val="18"/>
        <w:snapToGrid w:val="0"/>
        <w:spacing w:line="480" w:lineRule="auto"/>
        <w:ind w:firstLine="420"/>
        <w:rPr>
          <w:rFonts w:hint="eastAsia" w:hAnsi="宋体"/>
          <w:highlight w:val="none"/>
        </w:rPr>
      </w:pPr>
      <w:r>
        <w:rPr>
          <w:rFonts w:hint="eastAsia" w:hAnsi="宋体"/>
          <w:highlight w:val="none"/>
        </w:rPr>
        <w:t>委托期限：</w:t>
      </w:r>
      <w:r>
        <w:rPr>
          <w:rFonts w:hint="eastAsia" w:hAnsi="宋体"/>
          <w:highlight w:val="none"/>
          <w:u w:val="single"/>
        </w:rPr>
        <w:t xml:space="preserve">                     </w:t>
      </w:r>
      <w:r>
        <w:rPr>
          <w:rFonts w:hint="eastAsia" w:hAnsi="宋体"/>
          <w:highlight w:val="none"/>
        </w:rPr>
        <w:t xml:space="preserve"> </w:t>
      </w:r>
    </w:p>
    <w:p>
      <w:pPr>
        <w:pStyle w:val="18"/>
        <w:snapToGrid w:val="0"/>
        <w:spacing w:line="480" w:lineRule="auto"/>
        <w:ind w:firstLine="420"/>
        <w:rPr>
          <w:rFonts w:hint="eastAsia" w:hAnsi="宋体"/>
          <w:highlight w:val="none"/>
        </w:rPr>
      </w:pPr>
      <w:r>
        <w:rPr>
          <w:rFonts w:hint="eastAsia" w:hAnsi="宋体"/>
          <w:highlight w:val="none"/>
        </w:rPr>
        <w:t>代理人无转委托权。</w:t>
      </w:r>
    </w:p>
    <w:p>
      <w:pPr>
        <w:pStyle w:val="18"/>
        <w:snapToGrid w:val="0"/>
        <w:spacing w:line="480" w:lineRule="auto"/>
        <w:ind w:firstLine="420"/>
        <w:rPr>
          <w:rFonts w:hint="eastAsia" w:hAnsi="宋体" w:eastAsia="宋体"/>
          <w:highlight w:val="none"/>
          <w:lang w:eastAsia="zh-CN"/>
        </w:rPr>
      </w:pPr>
      <w:r>
        <w:rPr>
          <w:rFonts w:hint="eastAsia" w:hAnsi="宋体"/>
          <w:highlight w:val="none"/>
        </w:rPr>
        <w:t>附：法定代表人身份证复印件及委托代理人身份证复印件</w:t>
      </w:r>
      <w:r>
        <w:rPr>
          <w:rFonts w:hint="eastAsia" w:hAnsi="宋体"/>
          <w:highlight w:val="none"/>
          <w:lang w:eastAsia="zh-CN"/>
        </w:rPr>
        <w:t>并加盖公章</w:t>
      </w:r>
    </w:p>
    <w:p>
      <w:pPr>
        <w:pStyle w:val="18"/>
        <w:snapToGrid w:val="0"/>
        <w:spacing w:line="480" w:lineRule="auto"/>
        <w:ind w:firstLine="420"/>
        <w:rPr>
          <w:rFonts w:hint="eastAsia" w:hAnsi="宋体"/>
          <w:highlight w:val="none"/>
        </w:rPr>
      </w:pPr>
      <w:r>
        <w:rPr>
          <w:rFonts w:hint="eastAsia" w:hAnsi="宋体"/>
          <w:highlight w:val="none"/>
        </w:rPr>
        <w:t>注：本授权委托书需由</w:t>
      </w:r>
      <w:r>
        <w:rPr>
          <w:rFonts w:hint="eastAsia" w:hAnsi="宋体"/>
          <w:highlight w:val="none"/>
          <w:lang w:val="en-US" w:eastAsia="zh-CN"/>
        </w:rPr>
        <w:t>供应商</w:t>
      </w:r>
      <w:r>
        <w:rPr>
          <w:rFonts w:hint="eastAsia" w:hAnsi="宋体"/>
          <w:highlight w:val="none"/>
        </w:rPr>
        <w:t>加盖单位公章并由其法定代表人</w:t>
      </w:r>
      <w:r>
        <w:rPr>
          <w:rFonts w:hint="eastAsia" w:hAnsi="宋体"/>
          <w:highlight w:val="none"/>
          <w:lang w:eastAsia="zh-CN"/>
        </w:rPr>
        <w:t>签字盖章</w:t>
      </w:r>
      <w:r>
        <w:rPr>
          <w:rFonts w:hint="eastAsia" w:hAnsi="宋体"/>
          <w:highlight w:val="none"/>
        </w:rPr>
        <w:t>和委托代理人签字</w:t>
      </w:r>
    </w:p>
    <w:p>
      <w:pPr>
        <w:pStyle w:val="18"/>
        <w:snapToGrid w:val="0"/>
        <w:spacing w:line="360" w:lineRule="auto"/>
        <w:ind w:firstLine="400"/>
        <w:rPr>
          <w:rFonts w:hint="eastAsia" w:hAnsi="宋体"/>
          <w:highlight w:val="none"/>
        </w:rPr>
      </w:pPr>
    </w:p>
    <w:p>
      <w:pPr>
        <w:pStyle w:val="18"/>
        <w:snapToGrid w:val="0"/>
        <w:spacing w:line="360" w:lineRule="auto"/>
        <w:ind w:firstLine="400"/>
        <w:rPr>
          <w:rFonts w:hint="eastAsia" w:hAnsi="宋体"/>
          <w:highlight w:val="none"/>
        </w:rPr>
      </w:pPr>
    </w:p>
    <w:p>
      <w:pPr>
        <w:pStyle w:val="18"/>
        <w:snapToGrid w:val="0"/>
        <w:spacing w:line="360" w:lineRule="auto"/>
        <w:ind w:firstLine="400"/>
        <w:rPr>
          <w:rFonts w:hint="eastAsia" w:hAnsi="宋体"/>
          <w:highlight w:val="none"/>
        </w:rPr>
      </w:pPr>
    </w:p>
    <w:p>
      <w:pPr>
        <w:pStyle w:val="18"/>
        <w:snapToGrid w:val="0"/>
        <w:spacing w:line="720" w:lineRule="auto"/>
        <w:ind w:firstLine="3158" w:firstLineChars="1504"/>
        <w:rPr>
          <w:rFonts w:hint="eastAsia" w:hAnsi="宋体"/>
          <w:highlight w:val="none"/>
        </w:rPr>
      </w:pPr>
      <w:r>
        <w:rPr>
          <w:rFonts w:hint="eastAsia" w:ascii="宋体" w:hAnsi="宋体"/>
          <w:szCs w:val="21"/>
          <w:highlight w:val="none"/>
          <w:lang w:val="en-US" w:eastAsia="zh-CN"/>
        </w:rPr>
        <w:t>供</w:t>
      </w:r>
      <w:r>
        <w:rPr>
          <w:rFonts w:hint="eastAsia" w:hAnsi="宋体"/>
          <w:szCs w:val="21"/>
          <w:highlight w:val="none"/>
          <w:lang w:val="en-US" w:eastAsia="zh-CN"/>
        </w:rPr>
        <w:t xml:space="preserve">  </w:t>
      </w:r>
      <w:r>
        <w:rPr>
          <w:rFonts w:hint="eastAsia" w:ascii="宋体" w:hAnsi="宋体"/>
          <w:szCs w:val="21"/>
          <w:highlight w:val="none"/>
          <w:lang w:val="en-US" w:eastAsia="zh-CN"/>
        </w:rPr>
        <w:t>应</w:t>
      </w:r>
      <w:r>
        <w:rPr>
          <w:rFonts w:hint="eastAsia" w:hAnsi="宋体"/>
          <w:szCs w:val="21"/>
          <w:highlight w:val="none"/>
          <w:lang w:val="en-US" w:eastAsia="zh-CN"/>
        </w:rPr>
        <w:t xml:space="preserve">  </w:t>
      </w:r>
      <w:r>
        <w:rPr>
          <w:rFonts w:hint="eastAsia" w:ascii="宋体" w:hAnsi="宋体"/>
          <w:szCs w:val="21"/>
          <w:highlight w:val="none"/>
          <w:lang w:val="en-US" w:eastAsia="zh-CN"/>
        </w:rPr>
        <w:t>商</w:t>
      </w:r>
      <w:r>
        <w:rPr>
          <w:rFonts w:hint="eastAsia" w:hAnsi="宋体"/>
          <w:highlight w:val="none"/>
        </w:rPr>
        <w:t>：</w:t>
      </w:r>
      <w:r>
        <w:rPr>
          <w:rFonts w:hint="eastAsia" w:hAnsi="宋体"/>
          <w:highlight w:val="none"/>
          <w:u w:val="single"/>
        </w:rPr>
        <w:t xml:space="preserve">                      </w:t>
      </w:r>
      <w:r>
        <w:rPr>
          <w:rFonts w:hint="eastAsia" w:hAnsi="宋体"/>
          <w:highlight w:val="none"/>
        </w:rPr>
        <w:t>（盖单位章）</w:t>
      </w:r>
    </w:p>
    <w:p>
      <w:pPr>
        <w:pStyle w:val="18"/>
        <w:snapToGrid w:val="0"/>
        <w:spacing w:line="720" w:lineRule="auto"/>
        <w:ind w:firstLine="3158" w:firstLineChars="1504"/>
        <w:rPr>
          <w:rFonts w:hint="eastAsia" w:hAnsi="宋体"/>
          <w:highlight w:val="none"/>
        </w:rPr>
      </w:pPr>
      <w:r>
        <w:rPr>
          <w:rFonts w:hAnsi="宋体"/>
          <w:highlight w:val="none"/>
        </w:rPr>
        <w:t>法定代表人：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lang w:eastAsia="zh-CN"/>
        </w:rPr>
        <w:t>盖章</w:t>
      </w:r>
      <w:r>
        <w:rPr>
          <w:rFonts w:hint="eastAsia" w:hAnsi="宋体"/>
          <w:highlight w:val="none"/>
        </w:rPr>
        <w:t>）</w:t>
      </w:r>
    </w:p>
    <w:p>
      <w:pPr>
        <w:pStyle w:val="18"/>
        <w:snapToGrid w:val="0"/>
        <w:spacing w:line="720" w:lineRule="auto"/>
        <w:ind w:firstLine="3158" w:firstLineChars="1504"/>
        <w:rPr>
          <w:rFonts w:hint="eastAsia" w:hAnsi="宋体"/>
          <w:highlight w:val="none"/>
          <w:u w:val="single"/>
        </w:rPr>
      </w:pPr>
      <w:r>
        <w:rPr>
          <w:rFonts w:hint="eastAsia" w:hAnsi="宋体"/>
          <w:highlight w:val="none"/>
        </w:rPr>
        <w:t>身份证号码：</w:t>
      </w:r>
      <w:r>
        <w:rPr>
          <w:rFonts w:hint="eastAsia" w:hAnsi="宋体"/>
          <w:highlight w:val="none"/>
          <w:u w:val="single"/>
        </w:rPr>
        <w:t xml:space="preserve">                      </w:t>
      </w:r>
    </w:p>
    <w:p>
      <w:pPr>
        <w:pStyle w:val="18"/>
        <w:snapToGrid w:val="0"/>
        <w:spacing w:line="720" w:lineRule="auto"/>
        <w:ind w:firstLine="3158" w:firstLineChars="1504"/>
        <w:rPr>
          <w:rFonts w:hint="eastAsia" w:hAnsi="宋体"/>
          <w:highlight w:val="none"/>
        </w:rPr>
      </w:pPr>
      <w:r>
        <w:rPr>
          <w:rFonts w:hint="eastAsia" w:hAnsi="宋体"/>
          <w:highlight w:val="none"/>
        </w:rPr>
        <w:t>授权</w:t>
      </w:r>
      <w:r>
        <w:rPr>
          <w:rFonts w:hAnsi="宋体"/>
          <w:highlight w:val="none"/>
        </w:rPr>
        <w:t>代理人：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rPr>
        <w:t>）</w:t>
      </w:r>
    </w:p>
    <w:p>
      <w:pPr>
        <w:pStyle w:val="18"/>
        <w:snapToGrid w:val="0"/>
        <w:spacing w:line="720" w:lineRule="auto"/>
        <w:ind w:firstLine="3158" w:firstLineChars="1504"/>
        <w:rPr>
          <w:rFonts w:hint="eastAsia" w:hAnsi="宋体"/>
          <w:highlight w:val="none"/>
          <w:u w:val="single"/>
        </w:rPr>
      </w:pPr>
      <w:r>
        <w:rPr>
          <w:rFonts w:hint="eastAsia" w:hAnsi="宋体"/>
          <w:highlight w:val="none"/>
        </w:rPr>
        <w:t>身份证号码：</w:t>
      </w:r>
      <w:r>
        <w:rPr>
          <w:rFonts w:hint="eastAsia" w:hAnsi="宋体"/>
          <w:highlight w:val="none"/>
          <w:u w:val="single"/>
        </w:rPr>
        <w:t xml:space="preserve">                      </w:t>
      </w:r>
    </w:p>
    <w:p>
      <w:pPr>
        <w:spacing w:line="360" w:lineRule="auto"/>
        <w:ind w:firstLine="3998" w:firstLineChars="1904"/>
        <w:rPr>
          <w:rFonts w:hint="eastAsia" w:ascii="宋体" w:hAnsi="宋体"/>
          <w:szCs w:val="21"/>
          <w:highlight w:val="none"/>
        </w:rPr>
      </w:pP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日</w:t>
      </w:r>
    </w:p>
    <w:p>
      <w:pPr>
        <w:spacing w:line="319" w:lineRule="exact"/>
        <w:rPr>
          <w:rFonts w:hint="eastAsia" w:ascii="Microsoft YaHei UI" w:hAnsi="Microsoft YaHei UI" w:eastAsia="Microsoft YaHei UI"/>
          <w:color w:val="000000"/>
          <w:sz w:val="30"/>
          <w:highlight w:val="none"/>
        </w:rPr>
      </w:pPr>
    </w:p>
    <w:p>
      <w:pPr>
        <w:spacing w:line="319" w:lineRule="exact"/>
        <w:rPr>
          <w:rFonts w:hint="eastAsia" w:ascii="Microsoft YaHei UI" w:hAnsi="Microsoft YaHei UI" w:eastAsia="Microsoft YaHei UI"/>
          <w:color w:val="000000"/>
          <w:sz w:val="30"/>
          <w:highlight w:val="none"/>
        </w:rPr>
      </w:pPr>
    </w:p>
    <w:p>
      <w:pPr>
        <w:spacing w:line="319" w:lineRule="exact"/>
        <w:rPr>
          <w:rFonts w:hint="eastAsia" w:ascii="Microsoft YaHei UI" w:hAnsi="Microsoft YaHei UI" w:eastAsia="Microsoft YaHei UI"/>
          <w:color w:val="000000"/>
          <w:sz w:val="30"/>
          <w:highlight w:val="none"/>
        </w:rPr>
      </w:pPr>
    </w:p>
    <w:p>
      <w:pPr>
        <w:spacing w:line="319" w:lineRule="exact"/>
        <w:rPr>
          <w:rFonts w:hint="eastAsia" w:ascii="Microsoft YaHei UI" w:hAnsi="Microsoft YaHei UI" w:eastAsia="Microsoft YaHei UI"/>
          <w:color w:val="000000"/>
          <w:sz w:val="30"/>
          <w:highlight w:val="none"/>
        </w:rPr>
      </w:pPr>
    </w:p>
    <w:p>
      <w:pPr>
        <w:spacing w:line="319" w:lineRule="exact"/>
        <w:rPr>
          <w:rFonts w:hint="eastAsia" w:ascii="Microsoft YaHei UI" w:hAnsi="Microsoft YaHei UI" w:eastAsia="Microsoft YaHei UI"/>
          <w:color w:val="000000"/>
          <w:sz w:val="30"/>
          <w:highlight w:val="none"/>
        </w:rPr>
      </w:pPr>
    </w:p>
    <w:p>
      <w:pPr>
        <w:spacing w:line="319" w:lineRule="exact"/>
        <w:rPr>
          <w:rFonts w:hint="eastAsia" w:ascii="Microsoft YaHei UI" w:hAnsi="Microsoft YaHei UI" w:eastAsia="Microsoft YaHei UI"/>
          <w:color w:val="000000"/>
          <w:sz w:val="30"/>
          <w:highlight w:val="none"/>
        </w:rPr>
      </w:pPr>
    </w:p>
    <w:p>
      <w:pPr>
        <w:spacing w:line="319" w:lineRule="exact"/>
        <w:rPr>
          <w:rFonts w:hint="eastAsia" w:ascii="Microsoft YaHei UI" w:hAnsi="Microsoft YaHei UI" w:eastAsia="Microsoft YaHei UI"/>
          <w:color w:val="000000"/>
          <w:sz w:val="30"/>
          <w:highlight w:val="none"/>
        </w:rPr>
      </w:pPr>
    </w:p>
    <w:p>
      <w:pPr>
        <w:pStyle w:val="13"/>
        <w:ind w:left="2940"/>
        <w:rPr>
          <w:highlight w:val="none"/>
        </w:rPr>
      </w:pPr>
    </w:p>
    <w:p>
      <w:pPr>
        <w:rPr>
          <w:highlight w:val="none"/>
        </w:rPr>
      </w:pPr>
    </w:p>
    <w:p>
      <w:pPr>
        <w:pStyle w:val="54"/>
        <w:rPr>
          <w:highlight w:val="none"/>
        </w:rPr>
      </w:pPr>
    </w:p>
    <w:p>
      <w:pPr>
        <w:pStyle w:val="53"/>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b/>
          <w:bCs/>
          <w:sz w:val="32"/>
          <w:szCs w:val="32"/>
          <w:highlight w:val="none"/>
          <w:lang w:val="en-US" w:eastAsia="zh-CN"/>
        </w:rPr>
      </w:pPr>
      <w:bookmarkStart w:id="51" w:name="_Toc24063"/>
      <w:bookmarkStart w:id="52" w:name="_Toc435802476"/>
      <w:bookmarkStart w:id="53" w:name="_Toc3586"/>
      <w:r>
        <w:rPr>
          <w:rFonts w:hint="eastAsia"/>
          <w:b/>
          <w:bCs/>
          <w:sz w:val="32"/>
          <w:szCs w:val="32"/>
          <w:highlight w:val="none"/>
          <w:lang w:val="en-US" w:eastAsia="zh-CN"/>
        </w:rPr>
        <w:t>四、供应商参加政府采购活动前3年内在经营活动中没有重大违法记录的书面声明</w:t>
      </w:r>
    </w:p>
    <w:p>
      <w:pPr>
        <w:pStyle w:val="53"/>
        <w:keepNext w:val="0"/>
        <w:keepLines w:val="0"/>
        <w:pageBreakBefore w:val="0"/>
        <w:widowControl w:val="0"/>
        <w:kinsoku/>
        <w:wordWrap/>
        <w:overflowPunct/>
        <w:topLinePunct w:val="0"/>
        <w:autoSpaceDE w:val="0"/>
        <w:autoSpaceDN w:val="0"/>
        <w:bidi w:val="0"/>
        <w:adjustRightInd w:val="0"/>
        <w:snapToGrid/>
        <w:spacing w:line="480" w:lineRule="auto"/>
        <w:ind w:left="1200" w:hanging="1200" w:hangingChars="500"/>
        <w:jc w:val="left"/>
        <w:textAlignment w:val="auto"/>
        <w:rPr>
          <w:rFonts w:hint="eastAsia" w:hAnsi="宋体"/>
          <w:color w:val="000000"/>
          <w:szCs w:val="21"/>
          <w:highlight w:val="none"/>
          <w:lang w:val="en-US" w:eastAsia="zh-CN"/>
        </w:rPr>
      </w:pPr>
      <w:r>
        <w:rPr>
          <w:rFonts w:hint="eastAsia" w:hAnsi="宋体"/>
          <w:color w:val="000000"/>
          <w:szCs w:val="21"/>
          <w:highlight w:val="none"/>
          <w:lang w:val="en-US" w:eastAsia="zh-CN"/>
        </w:rPr>
        <w:t xml:space="preserve">    </w:t>
      </w:r>
    </w:p>
    <w:p>
      <w:pPr>
        <w:pStyle w:val="53"/>
        <w:keepNext w:val="0"/>
        <w:keepLines w:val="0"/>
        <w:pageBreakBefore w:val="0"/>
        <w:widowControl w:val="0"/>
        <w:kinsoku/>
        <w:wordWrap/>
        <w:overflowPunct/>
        <w:topLinePunct w:val="0"/>
        <w:autoSpaceDE w:val="0"/>
        <w:autoSpaceDN w:val="0"/>
        <w:bidi w:val="0"/>
        <w:adjustRightInd w:val="0"/>
        <w:snapToGrid/>
        <w:spacing w:line="480" w:lineRule="auto"/>
        <w:ind w:left="1050" w:leftChars="200" w:hanging="630" w:hangingChars="300"/>
        <w:jc w:val="both"/>
        <w:textAlignment w:val="auto"/>
        <w:rPr>
          <w:rFonts w:hint="eastAsia"/>
          <w:b/>
          <w:bCs/>
          <w:sz w:val="32"/>
          <w:szCs w:val="32"/>
          <w:highlight w:val="none"/>
          <w:lang w:val="en-US" w:eastAsia="zh-CN"/>
        </w:rPr>
      </w:pPr>
      <w:r>
        <w:rPr>
          <w:rFonts w:hint="eastAsia" w:hAnsi="宋体"/>
          <w:color w:val="000000"/>
          <w:sz w:val="21"/>
          <w:szCs w:val="21"/>
          <w:highlight w:val="none"/>
          <w:lang w:val="en-US" w:eastAsia="zh-CN"/>
        </w:rPr>
        <w:t xml:space="preserve"> </w:t>
      </w:r>
      <w:r>
        <w:rPr>
          <w:rFonts w:hint="eastAsia" w:ascii="宋体" w:hAnsi="宋体"/>
          <w:color w:val="000000"/>
          <w:sz w:val="21"/>
          <w:szCs w:val="21"/>
          <w:highlight w:val="none"/>
        </w:rPr>
        <w:t>注：</w:t>
      </w:r>
      <w:r>
        <w:rPr>
          <w:rFonts w:hint="eastAsia" w:ascii="宋体" w:hAnsi="宋体"/>
          <w:color w:val="000000"/>
          <w:sz w:val="21"/>
          <w:szCs w:val="21"/>
          <w:highlight w:val="none"/>
          <w:lang w:eastAsia="zh-CN"/>
        </w:rPr>
        <w:t>供应商</w:t>
      </w:r>
      <w:r>
        <w:rPr>
          <w:rFonts w:hint="eastAsia" w:ascii="宋体" w:hAnsi="宋体"/>
          <w:color w:val="000000"/>
          <w:sz w:val="21"/>
          <w:szCs w:val="21"/>
          <w:highlight w:val="none"/>
        </w:rPr>
        <w:t>应根据</w:t>
      </w:r>
      <w:r>
        <w:rPr>
          <w:rFonts w:hint="eastAsia" w:ascii="宋体" w:hAnsi="宋体"/>
          <w:color w:val="000000"/>
          <w:sz w:val="21"/>
          <w:szCs w:val="21"/>
          <w:highlight w:val="none"/>
          <w:lang w:eastAsia="zh-CN"/>
        </w:rPr>
        <w:t>供应商</w:t>
      </w:r>
      <w:r>
        <w:rPr>
          <w:rFonts w:hint="eastAsia" w:ascii="宋体" w:hAnsi="宋体"/>
          <w:color w:val="000000"/>
          <w:sz w:val="21"/>
          <w:szCs w:val="21"/>
          <w:highlight w:val="none"/>
        </w:rPr>
        <w:t>须知第</w:t>
      </w:r>
      <w:r>
        <w:rPr>
          <w:rFonts w:hint="eastAsia" w:ascii="宋体" w:hAnsi="宋体"/>
          <w:color w:val="000000"/>
          <w:sz w:val="21"/>
          <w:szCs w:val="21"/>
          <w:highlight w:val="none"/>
          <w:lang w:val="en-US" w:eastAsia="zh-CN"/>
        </w:rPr>
        <w:t>11.1</w:t>
      </w:r>
      <w:r>
        <w:rPr>
          <w:rFonts w:hint="eastAsia" w:ascii="宋体" w:hAnsi="宋体"/>
          <w:color w:val="000000"/>
          <w:sz w:val="21"/>
          <w:szCs w:val="21"/>
          <w:highlight w:val="none"/>
        </w:rPr>
        <w:t>项</w:t>
      </w:r>
      <w:r>
        <w:rPr>
          <w:rFonts w:hint="eastAsia" w:ascii="宋体" w:hAnsi="宋体"/>
          <w:color w:val="000000"/>
          <w:sz w:val="21"/>
          <w:szCs w:val="21"/>
          <w:highlight w:val="none"/>
          <w:lang w:val="en-US" w:eastAsia="zh-CN"/>
        </w:rPr>
        <w:t>中</w:t>
      </w:r>
      <w:r>
        <w:rPr>
          <w:rFonts w:hint="eastAsia" w:ascii="宋体" w:hAnsi="宋体"/>
          <w:color w:val="000000"/>
          <w:sz w:val="21"/>
          <w:szCs w:val="21"/>
          <w:highlight w:val="none"/>
        </w:rPr>
        <w:t>的要求附相关证明材料</w:t>
      </w:r>
      <w:r>
        <w:rPr>
          <w:rFonts w:hint="eastAsia" w:ascii="宋体" w:hAnsi="宋体"/>
          <w:color w:val="000000"/>
          <w:sz w:val="21"/>
          <w:szCs w:val="21"/>
          <w:highlight w:val="none"/>
          <w:lang w:eastAsia="zh-CN"/>
        </w:rPr>
        <w:t>。</w:t>
      </w:r>
    </w:p>
    <w:p>
      <w:pPr>
        <w:pStyle w:val="53"/>
        <w:jc w:val="center"/>
        <w:rPr>
          <w:rFonts w:hint="eastAsia"/>
          <w:b w:val="0"/>
          <w:bCs w:val="0"/>
          <w:sz w:val="28"/>
          <w:szCs w:val="28"/>
          <w:highlight w:val="none"/>
          <w:lang w:val="en-US" w:eastAsia="zh-CN"/>
        </w:rPr>
      </w:pPr>
    </w:p>
    <w:p>
      <w:pPr>
        <w:pStyle w:val="53"/>
        <w:jc w:val="center"/>
        <w:rPr>
          <w:rFonts w:hint="eastAsia"/>
          <w:b w:val="0"/>
          <w:bCs w:val="0"/>
          <w:sz w:val="24"/>
          <w:szCs w:val="24"/>
          <w:highlight w:val="none"/>
          <w:lang w:val="en-US" w:eastAsia="zh-CN"/>
        </w:rPr>
      </w:pPr>
      <w:r>
        <w:rPr>
          <w:rFonts w:hint="eastAsia"/>
          <w:b w:val="0"/>
          <w:bCs w:val="0"/>
          <w:sz w:val="24"/>
          <w:szCs w:val="24"/>
          <w:highlight w:val="none"/>
          <w:lang w:val="en-US" w:eastAsia="zh-CN"/>
        </w:rPr>
        <w:t>格式自拟</w:t>
      </w: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bookmarkEnd w:id="51"/>
    <w:bookmarkEnd w:id="52"/>
    <w:bookmarkEnd w:id="53"/>
    <w:p>
      <w:pPr>
        <w:pStyle w:val="53"/>
        <w:numPr>
          <w:ilvl w:val="0"/>
          <w:numId w:val="0"/>
        </w:numPr>
        <w:ind w:leftChars="200" w:firstLine="643" w:firstLineChars="200"/>
        <w:jc w:val="both"/>
        <w:rPr>
          <w:rFonts w:hint="eastAsia"/>
          <w:b/>
          <w:bCs/>
          <w:sz w:val="32"/>
          <w:szCs w:val="32"/>
          <w:highlight w:val="none"/>
          <w:lang w:val="en-US" w:eastAsia="zh-CN"/>
        </w:rPr>
      </w:pPr>
    </w:p>
    <w:p>
      <w:pPr>
        <w:pStyle w:val="53"/>
        <w:numPr>
          <w:ilvl w:val="0"/>
          <w:numId w:val="0"/>
        </w:numPr>
        <w:ind w:leftChars="200" w:firstLine="643" w:firstLineChars="200"/>
        <w:jc w:val="both"/>
        <w:rPr>
          <w:rFonts w:hint="eastAsia"/>
          <w:b/>
          <w:bCs/>
          <w:sz w:val="32"/>
          <w:szCs w:val="32"/>
          <w:highlight w:val="none"/>
          <w:lang w:val="en-US" w:eastAsia="zh-CN"/>
        </w:rPr>
      </w:pPr>
    </w:p>
    <w:p>
      <w:pPr>
        <w:pStyle w:val="53"/>
        <w:numPr>
          <w:ilvl w:val="0"/>
          <w:numId w:val="0"/>
        </w:numPr>
        <w:ind w:leftChars="200" w:firstLine="643" w:firstLineChars="200"/>
        <w:jc w:val="both"/>
        <w:rPr>
          <w:rFonts w:hint="eastAsia"/>
          <w:b/>
          <w:bCs/>
          <w:sz w:val="32"/>
          <w:szCs w:val="32"/>
          <w:highlight w:val="none"/>
          <w:lang w:val="en-US" w:eastAsia="zh-CN"/>
        </w:rPr>
      </w:pPr>
      <w:r>
        <w:rPr>
          <w:rFonts w:hint="eastAsia"/>
          <w:b/>
          <w:bCs/>
          <w:sz w:val="32"/>
          <w:szCs w:val="32"/>
          <w:highlight w:val="none"/>
          <w:lang w:val="en-US" w:eastAsia="zh-CN"/>
        </w:rPr>
        <w:t>五、关于政府采购活动中信用信息记录的书面声明</w:t>
      </w: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ind w:firstLine="2310" w:firstLineChars="1100"/>
        <w:jc w:val="both"/>
        <w:rPr>
          <w:rFonts w:hint="default"/>
          <w:b/>
          <w:bCs/>
          <w:sz w:val="32"/>
          <w:szCs w:val="32"/>
          <w:highlight w:val="none"/>
          <w:lang w:val="en-US" w:eastAsia="zh-CN"/>
        </w:rPr>
      </w:pPr>
      <w:r>
        <w:rPr>
          <w:rFonts w:hint="eastAsia" w:ascii="宋体" w:hAnsi="宋体"/>
          <w:color w:val="000000"/>
          <w:sz w:val="21"/>
          <w:szCs w:val="21"/>
          <w:highlight w:val="none"/>
        </w:rPr>
        <w:t>注：</w:t>
      </w:r>
      <w:r>
        <w:rPr>
          <w:rFonts w:hint="eastAsia" w:hAnsi="宋体"/>
          <w:color w:val="000000"/>
          <w:sz w:val="21"/>
          <w:szCs w:val="21"/>
          <w:highlight w:val="none"/>
          <w:lang w:val="en-US" w:eastAsia="zh-CN"/>
        </w:rPr>
        <w:t>供应商</w:t>
      </w:r>
      <w:r>
        <w:rPr>
          <w:rFonts w:hint="eastAsia" w:ascii="宋体" w:hAnsi="宋体"/>
          <w:color w:val="000000"/>
          <w:sz w:val="21"/>
          <w:szCs w:val="21"/>
          <w:highlight w:val="none"/>
        </w:rPr>
        <w:t>应根据</w:t>
      </w:r>
      <w:r>
        <w:rPr>
          <w:rFonts w:hint="eastAsia" w:hAnsi="宋体"/>
          <w:color w:val="000000"/>
          <w:sz w:val="21"/>
          <w:szCs w:val="21"/>
          <w:highlight w:val="none"/>
          <w:lang w:eastAsia="zh-CN"/>
        </w:rPr>
        <w:t>供应商</w:t>
      </w:r>
      <w:r>
        <w:rPr>
          <w:rFonts w:hint="eastAsia" w:ascii="宋体" w:hAnsi="宋体"/>
          <w:color w:val="000000"/>
          <w:sz w:val="21"/>
          <w:szCs w:val="21"/>
          <w:highlight w:val="none"/>
        </w:rPr>
        <w:t>须知要求附相关证明材料。</w:t>
      </w: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center"/>
        <w:rPr>
          <w:rFonts w:hint="default"/>
          <w:b/>
          <w:bCs/>
          <w:sz w:val="32"/>
          <w:szCs w:val="32"/>
          <w:highlight w:val="none"/>
          <w:lang w:val="en-US" w:eastAsia="zh-CN"/>
        </w:rPr>
      </w:pPr>
      <w:r>
        <w:rPr>
          <w:rFonts w:hint="eastAsia"/>
          <w:b/>
          <w:bCs/>
          <w:sz w:val="32"/>
          <w:szCs w:val="32"/>
          <w:highlight w:val="none"/>
          <w:lang w:val="en-US" w:eastAsia="zh-CN"/>
        </w:rPr>
        <w:t>六、供应商服务情况声明函</w:t>
      </w: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jc w:val="center"/>
        <w:rPr>
          <w:rFonts w:hint="eastAsia"/>
          <w:b w:val="0"/>
          <w:bCs w:val="0"/>
          <w:sz w:val="24"/>
          <w:szCs w:val="24"/>
          <w:highlight w:val="none"/>
          <w:lang w:val="en-US" w:eastAsia="zh-CN"/>
        </w:rPr>
      </w:pPr>
      <w:r>
        <w:rPr>
          <w:rFonts w:hint="eastAsia"/>
          <w:b w:val="0"/>
          <w:bCs w:val="0"/>
          <w:sz w:val="24"/>
          <w:szCs w:val="24"/>
          <w:highlight w:val="none"/>
          <w:lang w:val="en-US" w:eastAsia="zh-CN"/>
        </w:rPr>
        <w:t>格式自拟</w:t>
      </w: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keepNext w:val="0"/>
        <w:keepLines w:val="0"/>
        <w:pageBreakBefore w:val="0"/>
        <w:widowControl w:val="0"/>
        <w:kinsoku/>
        <w:wordWrap/>
        <w:overflowPunct/>
        <w:topLinePunct w:val="0"/>
        <w:bidi w:val="0"/>
        <w:snapToGrid/>
        <w:spacing w:line="360" w:lineRule="auto"/>
        <w:jc w:val="center"/>
        <w:textAlignment w:val="auto"/>
        <w:rPr>
          <w:rFonts w:hint="eastAsia"/>
          <w:b/>
          <w:bCs/>
          <w:sz w:val="32"/>
          <w:szCs w:val="32"/>
          <w:highlight w:val="none"/>
          <w:lang w:val="en-US" w:eastAsia="zh-CN"/>
        </w:rPr>
      </w:pPr>
    </w:p>
    <w:p>
      <w:pPr>
        <w:pStyle w:val="53"/>
        <w:keepNext w:val="0"/>
        <w:keepLines w:val="0"/>
        <w:pageBreakBefore w:val="0"/>
        <w:widowControl w:val="0"/>
        <w:kinsoku/>
        <w:wordWrap/>
        <w:overflowPunct/>
        <w:topLinePunct w:val="0"/>
        <w:bidi w:val="0"/>
        <w:snapToGrid/>
        <w:spacing w:line="360" w:lineRule="auto"/>
        <w:jc w:val="center"/>
        <w:textAlignment w:val="auto"/>
        <w:rPr>
          <w:rFonts w:hint="eastAsia"/>
          <w:b/>
          <w:bCs/>
          <w:sz w:val="32"/>
          <w:szCs w:val="32"/>
          <w:highlight w:val="none"/>
          <w:lang w:val="en-US" w:eastAsia="zh-CN"/>
        </w:rPr>
      </w:pPr>
    </w:p>
    <w:p>
      <w:pPr>
        <w:pStyle w:val="53"/>
        <w:keepNext w:val="0"/>
        <w:keepLines w:val="0"/>
        <w:pageBreakBefore w:val="0"/>
        <w:widowControl w:val="0"/>
        <w:kinsoku/>
        <w:wordWrap/>
        <w:overflowPunct/>
        <w:topLinePunct w:val="0"/>
        <w:bidi w:val="0"/>
        <w:snapToGrid/>
        <w:spacing w:line="360" w:lineRule="auto"/>
        <w:jc w:val="center"/>
        <w:textAlignment w:val="auto"/>
        <w:rPr>
          <w:rFonts w:hint="default"/>
          <w:b/>
          <w:bCs/>
          <w:sz w:val="32"/>
          <w:szCs w:val="32"/>
          <w:highlight w:val="none"/>
          <w:lang w:val="en-US" w:eastAsia="zh-CN"/>
        </w:rPr>
      </w:pPr>
      <w:r>
        <w:rPr>
          <w:rFonts w:hint="eastAsia"/>
          <w:b/>
          <w:bCs/>
          <w:sz w:val="32"/>
          <w:szCs w:val="32"/>
          <w:highlight w:val="none"/>
          <w:lang w:val="en-US" w:eastAsia="zh-CN"/>
        </w:rPr>
        <w:t>七、资格评审文件</w:t>
      </w:r>
    </w:p>
    <w:p>
      <w:pPr>
        <w:keepNext w:val="0"/>
        <w:keepLines w:val="0"/>
        <w:pageBreakBefore w:val="0"/>
        <w:widowControl w:val="0"/>
        <w:kinsoku/>
        <w:wordWrap/>
        <w:overflowPunct/>
        <w:topLinePunct w:val="0"/>
        <w:bidi w:val="0"/>
        <w:snapToGrid/>
        <w:spacing w:line="360" w:lineRule="auto"/>
        <w:jc w:val="center"/>
        <w:textAlignment w:val="auto"/>
        <w:outlineLvl w:val="2"/>
        <w:rPr>
          <w:rStyle w:val="65"/>
          <w:rFonts w:hint="eastAsia" w:ascii="宋体" w:hAnsi="宋体" w:eastAsia="宋体" w:cs="宋体"/>
          <w:sz w:val="28"/>
          <w:szCs w:val="28"/>
          <w:highlight w:val="none"/>
        </w:rPr>
      </w:pPr>
      <w:bookmarkStart w:id="54" w:name="_Toc16599"/>
      <w:bookmarkStart w:id="55" w:name="_Toc10874"/>
      <w:r>
        <w:rPr>
          <w:rStyle w:val="65"/>
          <w:rFonts w:hint="eastAsia" w:ascii="宋体" w:hAnsi="宋体" w:eastAsia="宋体" w:cs="宋体"/>
          <w:sz w:val="28"/>
          <w:szCs w:val="28"/>
          <w:highlight w:val="none"/>
        </w:rPr>
        <w:t>（一）</w:t>
      </w:r>
      <w:r>
        <w:rPr>
          <w:rStyle w:val="65"/>
          <w:rFonts w:hint="eastAsia" w:ascii="宋体" w:hAnsi="宋体" w:eastAsia="宋体" w:cs="宋体"/>
          <w:sz w:val="28"/>
          <w:szCs w:val="28"/>
          <w:highlight w:val="none"/>
          <w:lang w:val="en-US" w:eastAsia="zh-CN"/>
        </w:rPr>
        <w:t>供应商</w:t>
      </w:r>
      <w:r>
        <w:rPr>
          <w:rStyle w:val="65"/>
          <w:rFonts w:hint="eastAsia" w:ascii="宋体" w:hAnsi="宋体" w:eastAsia="宋体" w:cs="宋体"/>
          <w:sz w:val="28"/>
          <w:szCs w:val="28"/>
          <w:highlight w:val="none"/>
        </w:rPr>
        <w:t>基本情况表</w:t>
      </w:r>
      <w:bookmarkEnd w:id="54"/>
    </w:p>
    <w:bookmarkEnd w:id="55"/>
    <w:tbl>
      <w:tblPr>
        <w:tblStyle w:val="49"/>
        <w:tblW w:w="9419" w:type="dxa"/>
        <w:tblInd w:w="0" w:type="dxa"/>
        <w:tblLayout w:type="fixed"/>
        <w:tblCellMar>
          <w:top w:w="0" w:type="dxa"/>
          <w:left w:w="108" w:type="dxa"/>
          <w:bottom w:w="0" w:type="dxa"/>
          <w:right w:w="108" w:type="dxa"/>
        </w:tblCellMar>
      </w:tblPr>
      <w:tblGrid>
        <w:gridCol w:w="2578"/>
        <w:gridCol w:w="1582"/>
        <w:gridCol w:w="1635"/>
        <w:gridCol w:w="1683"/>
        <w:gridCol w:w="1941"/>
      </w:tblGrid>
      <w:tr>
        <w:tblPrEx>
          <w:tblLayout w:type="fixed"/>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lang w:val="en-US" w:eastAsia="zh-CN"/>
              </w:rPr>
              <w:t>供应商</w:t>
            </w:r>
            <w:r>
              <w:rPr>
                <w:rFonts w:hint="eastAsia" w:ascii="宋体" w:hAnsi="宋体"/>
                <w:color w:val="000000"/>
                <w:szCs w:val="21"/>
                <w:highlight w:val="none"/>
              </w:rPr>
              <w:t>名称</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r>
        <w:tblPrEx>
          <w:tblLayout w:type="fixed"/>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注册资金</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成立时间</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r>
        <w:tblPrEx>
          <w:tblLayout w:type="fixed"/>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注册地址</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r>
        <w:tblPrEx>
          <w:tblLayout w:type="fixed"/>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邮政编码</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员工总数</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r>
        <w:tblPrEx>
          <w:tblLayout w:type="fixed"/>
          <w:tblCellMar>
            <w:top w:w="0" w:type="dxa"/>
            <w:left w:w="108" w:type="dxa"/>
            <w:bottom w:w="0" w:type="dxa"/>
            <w:right w:w="108" w:type="dxa"/>
          </w:tblCellMar>
        </w:tblPrEx>
        <w:trPr>
          <w:trHeight w:val="764" w:hRule="exact"/>
        </w:trPr>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联系人</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r>
        <w:tblPrEx>
          <w:tblLayout w:type="fixed"/>
          <w:tblCellMar>
            <w:top w:w="0" w:type="dxa"/>
            <w:left w:w="108" w:type="dxa"/>
            <w:bottom w:w="0" w:type="dxa"/>
            <w:right w:w="108" w:type="dxa"/>
          </w:tblCellMar>
        </w:tblPrEx>
        <w:trPr>
          <w:trHeight w:val="761" w:hRule="exact"/>
        </w:trPr>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网址</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传真</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r>
        <w:tblPrEx>
          <w:tblLayout w:type="fixed"/>
          <w:tblCellMar>
            <w:top w:w="0" w:type="dxa"/>
            <w:left w:w="108" w:type="dxa"/>
            <w:bottom w:w="0" w:type="dxa"/>
            <w:right w:w="108" w:type="dxa"/>
          </w:tblCellMar>
        </w:tblPrEx>
        <w:trPr>
          <w:trHeight w:val="1508"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法定代表人</w:t>
            </w:r>
          </w:p>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（单位负责人）</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姓名</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r>
        <w:tblPrEx>
          <w:tblLayout w:type="fixed"/>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olor w:val="000000"/>
                <w:szCs w:val="21"/>
                <w:highlight w:val="none"/>
                <w:lang w:eastAsia="zh-CN"/>
              </w:rPr>
            </w:pPr>
            <w:r>
              <w:rPr>
                <w:rFonts w:hint="eastAsia" w:ascii="宋体" w:hAnsi="宋体"/>
                <w:color w:val="000000"/>
                <w:szCs w:val="21"/>
                <w:highlight w:val="none"/>
                <w:lang w:eastAsia="zh-CN"/>
              </w:rPr>
              <w:t>经营范围</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r>
        <w:tblPrEx>
          <w:tblLayout w:type="fixed"/>
          <w:tblCellMar>
            <w:top w:w="0" w:type="dxa"/>
            <w:left w:w="108" w:type="dxa"/>
            <w:bottom w:w="0" w:type="dxa"/>
            <w:right w:w="108" w:type="dxa"/>
          </w:tblCellMar>
        </w:tblPrEx>
        <w:trPr>
          <w:trHeight w:val="3172"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szCs w:val="21"/>
                <w:highlight w:val="none"/>
                <w:lang w:val="en-US" w:eastAsia="zh-CN"/>
              </w:rPr>
              <w:t>供应商</w:t>
            </w:r>
            <w:r>
              <w:rPr>
                <w:rFonts w:hint="eastAsia" w:ascii="宋体" w:hAnsi="宋体"/>
                <w:color w:val="000000"/>
                <w:szCs w:val="21"/>
                <w:highlight w:val="none"/>
              </w:rPr>
              <w:t>关联企业情况（包括但不限于与</w:t>
            </w:r>
            <w:r>
              <w:rPr>
                <w:rFonts w:hint="eastAsia" w:ascii="宋体" w:hAnsi="宋体"/>
                <w:szCs w:val="21"/>
                <w:highlight w:val="none"/>
                <w:lang w:val="en-US" w:eastAsia="zh-CN"/>
              </w:rPr>
              <w:t>供应商</w:t>
            </w:r>
            <w:r>
              <w:rPr>
                <w:rFonts w:hint="eastAsia" w:ascii="宋体" w:hAnsi="宋体"/>
                <w:color w:val="000000"/>
                <w:szCs w:val="21"/>
                <w:highlight w:val="none"/>
              </w:rPr>
              <w:t>法定代表人（单位负责人）为同一人或者存在控股、管理关系的不同单位）</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r>
        <w:tblPrEx>
          <w:tblLayout w:type="fixed"/>
          <w:tblCellMar>
            <w:top w:w="0" w:type="dxa"/>
            <w:left w:w="108" w:type="dxa"/>
            <w:bottom w:w="0" w:type="dxa"/>
            <w:right w:w="108" w:type="dxa"/>
          </w:tblCellMar>
        </w:tblPrEx>
        <w:trPr>
          <w:trHeight w:val="809"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备注</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bl>
    <w:p>
      <w:pPr>
        <w:jc w:val="left"/>
        <w:rPr>
          <w:rFonts w:hint="eastAsia" w:ascii="宋体" w:hAnsi="宋体"/>
          <w:color w:val="000000"/>
          <w:szCs w:val="21"/>
          <w:highlight w:val="none"/>
        </w:rPr>
      </w:pPr>
      <w:r>
        <w:rPr>
          <w:rFonts w:hint="eastAsia" w:ascii="宋体" w:hAnsi="宋体"/>
          <w:color w:val="000000"/>
          <w:szCs w:val="21"/>
          <w:highlight w:val="none"/>
        </w:rPr>
        <w:t>注：1.</w:t>
      </w:r>
      <w:r>
        <w:rPr>
          <w:rFonts w:hint="eastAsia" w:ascii="宋体" w:hAnsi="宋体"/>
          <w:color w:val="000000"/>
          <w:szCs w:val="21"/>
          <w:highlight w:val="none"/>
          <w:lang w:eastAsia="zh-CN"/>
        </w:rPr>
        <w:t>附营业执照副本、开户许可证等资料</w:t>
      </w:r>
      <w:r>
        <w:rPr>
          <w:rFonts w:hint="eastAsia" w:ascii="宋体" w:hAnsi="宋体"/>
          <w:color w:val="000000"/>
          <w:szCs w:val="21"/>
          <w:highlight w:val="none"/>
        </w:rPr>
        <w:t>复印件</w:t>
      </w:r>
      <w:r>
        <w:rPr>
          <w:rFonts w:hint="eastAsia" w:ascii="宋体" w:hAnsi="宋体"/>
          <w:color w:val="000000"/>
          <w:szCs w:val="21"/>
          <w:highlight w:val="none"/>
          <w:lang w:eastAsia="zh-CN"/>
        </w:rPr>
        <w:t>加盖公章。</w:t>
      </w:r>
    </w:p>
    <w:p>
      <w:pPr>
        <w:ind w:firstLine="420" w:firstLineChars="200"/>
        <w:jc w:val="left"/>
        <w:rPr>
          <w:rFonts w:hint="eastAsia" w:ascii="宋体" w:hAnsi="宋体"/>
          <w:color w:val="000000"/>
          <w:szCs w:val="21"/>
          <w:highlight w:val="none"/>
        </w:rPr>
      </w:pPr>
    </w:p>
    <w:p>
      <w:pPr>
        <w:pStyle w:val="53"/>
        <w:jc w:val="center"/>
        <w:rPr>
          <w:rFonts w:hint="eastAsia"/>
          <w:b/>
          <w:bCs/>
          <w:sz w:val="32"/>
          <w:szCs w:val="32"/>
          <w:highlight w:val="none"/>
          <w:lang w:val="en-US" w:eastAsia="zh-CN"/>
        </w:rPr>
        <w:sectPr>
          <w:footerReference r:id="rId9" w:type="default"/>
          <w:pgSz w:w="11910" w:h="16840"/>
          <w:pgMar w:top="1500" w:right="1380" w:bottom="1780" w:left="1580" w:header="0" w:footer="1595" w:gutter="0"/>
          <w:pgNumType w:fmt="decimal"/>
          <w:cols w:space="720" w:num="1"/>
        </w:sectPr>
      </w:pPr>
    </w:p>
    <w:p>
      <w:pPr>
        <w:numPr>
          <w:ilvl w:val="0"/>
          <w:numId w:val="15"/>
        </w:numPr>
        <w:shd w:val="clear" w:color="auto" w:fill="auto"/>
        <w:spacing w:line="360" w:lineRule="auto"/>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财务状况表</w:t>
      </w:r>
    </w:p>
    <w:p>
      <w:pPr>
        <w:numPr>
          <w:ilvl w:val="0"/>
          <w:numId w:val="0"/>
        </w:numPr>
        <w:shd w:val="clear" w:color="auto" w:fill="auto"/>
        <w:spacing w:line="360" w:lineRule="auto"/>
        <w:jc w:val="both"/>
        <w:rPr>
          <w:rFonts w:hint="eastAsia" w:ascii="宋体" w:hAnsi="宋体" w:eastAsia="宋体" w:cs="宋体"/>
          <w:b/>
          <w:sz w:val="30"/>
          <w:szCs w:val="30"/>
          <w:highlight w:val="none"/>
        </w:rPr>
      </w:pPr>
      <w:r>
        <w:rPr>
          <w:rFonts w:hint="eastAsia" w:ascii="宋体" w:hAnsi="宋体" w:eastAsia="宋体" w:cs="宋体"/>
          <w:szCs w:val="21"/>
          <w:highlight w:val="none"/>
        </w:rPr>
        <w:t>注：</w:t>
      </w:r>
      <w:r>
        <w:rPr>
          <w:rFonts w:hint="eastAsia" w:ascii="宋体" w:hAnsi="宋体" w:cs="宋体"/>
          <w:bCs/>
          <w:snapToGrid w:val="0"/>
          <w:szCs w:val="21"/>
          <w:highlight w:val="none"/>
        </w:rPr>
        <w:t>供应商参加采购活动应当提供反映其财务状况、依法缴纳税收和社会保障金的资格条件承诺函</w:t>
      </w:r>
      <w:r>
        <w:rPr>
          <w:rFonts w:hint="eastAsia" w:ascii="宋体" w:hAnsi="宋体" w:cs="宋体"/>
          <w:bCs/>
          <w:sz w:val="21"/>
          <w:szCs w:val="21"/>
          <w:lang w:val="zh-CN"/>
        </w:rPr>
        <w:t>。</w:t>
      </w:r>
    </w:p>
    <w:p>
      <w:pPr>
        <w:spacing w:before="137" w:line="219" w:lineRule="auto"/>
        <w:ind w:left="0" w:leftChars="0" w:firstLine="0" w:firstLineChars="0"/>
        <w:jc w:val="center"/>
        <w:rPr>
          <w:rFonts w:hint="eastAsia" w:ascii="宋体" w:hAnsi="宋体" w:eastAsia="宋体" w:cs="宋体"/>
          <w:sz w:val="21"/>
          <w:szCs w:val="21"/>
        </w:rPr>
      </w:pPr>
      <w:r>
        <w:rPr>
          <w:rFonts w:hint="eastAsia" w:ascii="宋体" w:hAnsi="宋体" w:eastAsia="宋体" w:cs="宋体"/>
          <w:b/>
          <w:bCs/>
          <w:spacing w:val="-9"/>
          <w:sz w:val="32"/>
          <w:szCs w:val="32"/>
          <w:lang w:val="en-US" w:eastAsia="zh-CN"/>
        </w:rPr>
        <w:t xml:space="preserve">   </w:t>
      </w:r>
      <w:r>
        <w:rPr>
          <w:rFonts w:hint="eastAsia" w:ascii="宋体" w:hAnsi="宋体" w:eastAsia="宋体" w:cs="宋体"/>
          <w:b/>
          <w:bCs/>
          <w:spacing w:val="-9"/>
          <w:sz w:val="32"/>
          <w:szCs w:val="32"/>
        </w:rPr>
        <w:t>资格条件承诺函</w:t>
      </w:r>
    </w:p>
    <w:p>
      <w:pPr>
        <w:spacing w:line="272" w:lineRule="auto"/>
        <w:rPr>
          <w:rFonts w:hint="eastAsia" w:ascii="宋体" w:hAnsi="宋体" w:eastAsia="宋体" w:cs="宋体"/>
          <w:sz w:val="21"/>
          <w:szCs w:val="21"/>
        </w:rPr>
      </w:pPr>
    </w:p>
    <w:p>
      <w:pPr>
        <w:spacing w:line="273" w:lineRule="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sz w:val="21"/>
          <w:szCs w:val="21"/>
        </w:rPr>
      </w:pPr>
      <w:r>
        <w:rPr>
          <w:rFonts w:hint="eastAsia" w:ascii="宋体" w:hAnsi="宋体" w:eastAsia="宋体" w:cs="宋体"/>
          <w:spacing w:val="29"/>
          <w:sz w:val="21"/>
          <w:szCs w:val="21"/>
        </w:rPr>
        <w:t>致：</w:t>
      </w:r>
      <w:r>
        <w:rPr>
          <w:rFonts w:hint="eastAsia" w:ascii="宋体" w:hAnsi="宋体" w:eastAsia="宋体" w:cs="宋体"/>
          <w:spacing w:val="129"/>
          <w:sz w:val="21"/>
          <w:szCs w:val="21"/>
          <w:u w:val="single" w:color="auto"/>
        </w:rPr>
        <w:t xml:space="preserve"> </w:t>
      </w:r>
      <w:r>
        <w:rPr>
          <w:rFonts w:hint="eastAsia" w:ascii="宋体" w:hAnsi="宋体" w:eastAsia="宋体" w:cs="宋体"/>
          <w:spacing w:val="29"/>
          <w:sz w:val="21"/>
          <w:szCs w:val="21"/>
          <w:u w:val="single" w:color="auto"/>
        </w:rPr>
        <w:t>(采购人、采购代理机构)</w:t>
      </w:r>
      <w:r>
        <w:rPr>
          <w:rFonts w:hint="eastAsia" w:ascii="宋体" w:hAnsi="宋体" w:eastAsia="宋体" w:cs="宋体"/>
          <w:spacing w:val="66"/>
          <w:sz w:val="21"/>
          <w:szCs w:val="21"/>
          <w:u w:val="single" w:color="auto"/>
        </w:rPr>
        <w:t xml:space="preserve">  </w:t>
      </w:r>
      <w:r>
        <w:rPr>
          <w:rFonts w:hint="eastAsia" w:ascii="宋体" w:hAnsi="宋体" w:eastAsia="宋体" w:cs="宋体"/>
          <w:spacing w:val="-121"/>
          <w:sz w:val="21"/>
          <w:szCs w:val="21"/>
        </w:rPr>
        <w:t xml:space="preserve"> </w:t>
      </w:r>
      <w:r>
        <w:rPr>
          <w:rFonts w:hint="eastAsia" w:ascii="宋体" w:hAnsi="宋体" w:eastAsia="宋体" w:cs="宋体"/>
          <w:spacing w:val="29"/>
          <w:sz w:val="21"/>
          <w:szCs w:val="21"/>
        </w:rPr>
        <w:t>:</w:t>
      </w:r>
    </w:p>
    <w:p>
      <w:pPr>
        <w:keepNext w:val="0"/>
        <w:keepLines w:val="0"/>
        <w:pageBreakBefore w:val="0"/>
        <w:widowControl w:val="0"/>
        <w:kinsoku/>
        <w:wordWrap/>
        <w:overflowPunct/>
        <w:topLinePunct w:val="0"/>
        <w:autoSpaceDE/>
        <w:autoSpaceDN/>
        <w:bidi w:val="0"/>
        <w:adjustRightInd/>
        <w:snapToGrid/>
        <w:spacing w:line="480" w:lineRule="auto"/>
        <w:ind w:firstLine="400" w:firstLineChars="200"/>
        <w:textAlignment w:val="auto"/>
        <w:rPr>
          <w:rFonts w:hint="eastAsia" w:ascii="宋体" w:hAnsi="宋体" w:eastAsia="宋体" w:cs="宋体"/>
          <w:sz w:val="21"/>
          <w:szCs w:val="21"/>
        </w:rPr>
      </w:pPr>
      <w:r>
        <w:rPr>
          <w:rFonts w:hint="eastAsia" w:ascii="宋体" w:hAnsi="宋体" w:eastAsia="宋体" w:cs="宋体"/>
          <w:spacing w:val="-5"/>
          <w:sz w:val="21"/>
          <w:szCs w:val="21"/>
        </w:rPr>
        <w:t>我单位(</w:t>
      </w:r>
      <w:r>
        <w:rPr>
          <w:rFonts w:hint="eastAsia" w:ascii="宋体" w:hAnsi="宋体" w:eastAsia="宋体" w:cs="宋体"/>
          <w:spacing w:val="-5"/>
          <w:sz w:val="21"/>
          <w:szCs w:val="21"/>
          <w:u w:val="single"/>
        </w:rPr>
        <w:t>公司</w:t>
      </w:r>
      <w:r>
        <w:rPr>
          <w:rFonts w:hint="eastAsia" w:ascii="宋体" w:hAnsi="宋体" w:eastAsia="宋体" w:cs="宋体"/>
          <w:spacing w:val="-5"/>
          <w:sz w:val="21"/>
          <w:szCs w:val="21"/>
        </w:rPr>
        <w:t>)参与</w:t>
      </w:r>
      <w:r>
        <w:rPr>
          <w:rFonts w:hint="eastAsia" w:ascii="宋体" w:hAnsi="宋体" w:eastAsia="宋体" w:cs="宋体"/>
          <w:spacing w:val="-89"/>
          <w:sz w:val="21"/>
          <w:szCs w:val="21"/>
        </w:rPr>
        <w:t xml:space="preserve"> </w:t>
      </w:r>
      <w:r>
        <w:rPr>
          <w:rFonts w:hint="eastAsia" w:ascii="宋体" w:hAnsi="宋体" w:eastAsia="宋体" w:cs="宋体"/>
          <w:spacing w:val="21"/>
          <w:sz w:val="21"/>
          <w:szCs w:val="21"/>
          <w:u w:val="single" w:color="auto"/>
        </w:rPr>
        <w:t xml:space="preserve">   </w:t>
      </w:r>
      <w:r>
        <w:rPr>
          <w:rFonts w:hint="eastAsia" w:ascii="宋体" w:hAnsi="宋体" w:eastAsia="宋体" w:cs="宋体"/>
          <w:spacing w:val="-5"/>
          <w:sz w:val="21"/>
          <w:szCs w:val="21"/>
          <w:u w:val="single" w:color="auto"/>
        </w:rPr>
        <w:t>(</w:t>
      </w:r>
      <w:r>
        <w:rPr>
          <w:rFonts w:hint="eastAsia" w:ascii="宋体" w:hAnsi="宋体" w:eastAsia="宋体" w:cs="宋体"/>
          <w:spacing w:val="-52"/>
          <w:sz w:val="21"/>
          <w:szCs w:val="21"/>
          <w:u w:val="single" w:color="auto"/>
        </w:rPr>
        <w:t xml:space="preserve"> </w:t>
      </w:r>
      <w:r>
        <w:rPr>
          <w:rFonts w:hint="eastAsia" w:ascii="宋体" w:hAnsi="宋体" w:eastAsia="宋体" w:cs="宋体"/>
          <w:spacing w:val="-5"/>
          <w:sz w:val="21"/>
          <w:szCs w:val="21"/>
          <w:highlight w:val="none"/>
          <w:u w:val="single" w:color="auto"/>
        </w:rPr>
        <w:t>采</w:t>
      </w:r>
      <w:r>
        <w:rPr>
          <w:rFonts w:hint="eastAsia" w:ascii="宋体" w:hAnsi="宋体" w:eastAsia="宋体" w:cs="宋体"/>
          <w:spacing w:val="-55"/>
          <w:sz w:val="21"/>
          <w:szCs w:val="21"/>
          <w:highlight w:val="none"/>
          <w:u w:val="single" w:color="auto"/>
        </w:rPr>
        <w:t xml:space="preserve"> </w:t>
      </w:r>
      <w:r>
        <w:rPr>
          <w:rFonts w:hint="eastAsia" w:ascii="宋体" w:hAnsi="宋体" w:eastAsia="宋体" w:cs="宋体"/>
          <w:spacing w:val="-5"/>
          <w:sz w:val="21"/>
          <w:szCs w:val="21"/>
          <w:highlight w:val="none"/>
          <w:u w:val="single" w:color="auto"/>
        </w:rPr>
        <w:t>购</w:t>
      </w:r>
      <w:r>
        <w:rPr>
          <w:rFonts w:hint="eastAsia" w:ascii="宋体" w:hAnsi="宋体" w:eastAsia="宋体" w:cs="宋体"/>
          <w:spacing w:val="-54"/>
          <w:sz w:val="21"/>
          <w:szCs w:val="21"/>
          <w:highlight w:val="none"/>
          <w:u w:val="single" w:color="auto"/>
        </w:rPr>
        <w:t xml:space="preserve"> </w:t>
      </w:r>
      <w:r>
        <w:rPr>
          <w:rFonts w:hint="eastAsia" w:ascii="宋体" w:hAnsi="宋体" w:eastAsia="宋体" w:cs="宋体"/>
          <w:spacing w:val="-5"/>
          <w:sz w:val="21"/>
          <w:szCs w:val="21"/>
          <w:highlight w:val="none"/>
          <w:u w:val="single" w:color="auto"/>
        </w:rPr>
        <w:t>项目</w:t>
      </w:r>
      <w:r>
        <w:rPr>
          <w:rFonts w:hint="eastAsia" w:ascii="宋体" w:hAnsi="宋体" w:eastAsia="宋体" w:cs="宋体"/>
          <w:spacing w:val="-54"/>
          <w:sz w:val="21"/>
          <w:szCs w:val="21"/>
          <w:highlight w:val="none"/>
          <w:u w:val="single" w:color="auto"/>
        </w:rPr>
        <w:t xml:space="preserve"> </w:t>
      </w:r>
      <w:r>
        <w:rPr>
          <w:rFonts w:hint="eastAsia" w:ascii="宋体" w:hAnsi="宋体" w:eastAsia="宋体" w:cs="宋体"/>
          <w:spacing w:val="-5"/>
          <w:sz w:val="21"/>
          <w:szCs w:val="21"/>
          <w:highlight w:val="none"/>
          <w:u w:val="single" w:color="auto"/>
        </w:rPr>
        <w:t>名</w:t>
      </w:r>
      <w:r>
        <w:rPr>
          <w:rFonts w:hint="eastAsia" w:ascii="宋体" w:hAnsi="宋体" w:eastAsia="宋体" w:cs="宋体"/>
          <w:spacing w:val="-55"/>
          <w:sz w:val="21"/>
          <w:szCs w:val="21"/>
          <w:highlight w:val="none"/>
          <w:u w:val="single" w:color="auto"/>
        </w:rPr>
        <w:t xml:space="preserve"> </w:t>
      </w:r>
      <w:r>
        <w:rPr>
          <w:rFonts w:hint="eastAsia" w:ascii="宋体" w:hAnsi="宋体" w:eastAsia="宋体" w:cs="宋体"/>
          <w:spacing w:val="-5"/>
          <w:sz w:val="21"/>
          <w:szCs w:val="21"/>
          <w:highlight w:val="none"/>
          <w:u w:val="single" w:color="auto"/>
        </w:rPr>
        <w:t>称</w:t>
      </w:r>
      <w:r>
        <w:rPr>
          <w:rFonts w:hint="eastAsia" w:ascii="宋体" w:hAnsi="宋体" w:eastAsia="宋体" w:cs="宋体"/>
          <w:spacing w:val="-5"/>
          <w:sz w:val="21"/>
          <w:szCs w:val="21"/>
          <w:highlight w:val="none"/>
          <w:u w:val="single" w:color="auto"/>
          <w:lang w:eastAsia="zh-CN"/>
        </w:rPr>
        <w:t>、</w:t>
      </w:r>
      <w:r>
        <w:rPr>
          <w:rFonts w:hint="eastAsia" w:ascii="宋体" w:hAnsi="宋体" w:eastAsia="宋体" w:cs="宋体"/>
          <w:spacing w:val="-54"/>
          <w:sz w:val="21"/>
          <w:szCs w:val="21"/>
          <w:highlight w:val="none"/>
          <w:u w:val="single" w:color="auto"/>
        </w:rPr>
        <w:t xml:space="preserve"> </w:t>
      </w:r>
      <w:r>
        <w:rPr>
          <w:rFonts w:hint="eastAsia" w:ascii="宋体" w:hAnsi="宋体" w:eastAsia="宋体" w:cs="宋体"/>
          <w:spacing w:val="-5"/>
          <w:sz w:val="21"/>
          <w:szCs w:val="21"/>
          <w:u w:val="single" w:color="auto"/>
        </w:rPr>
        <w:t>项目</w:t>
      </w:r>
      <w:r>
        <w:rPr>
          <w:rFonts w:hint="eastAsia" w:ascii="宋体" w:hAnsi="宋体" w:eastAsia="宋体" w:cs="宋体"/>
          <w:spacing w:val="-53"/>
          <w:sz w:val="21"/>
          <w:szCs w:val="21"/>
          <w:u w:val="single" w:color="auto"/>
        </w:rPr>
        <w:t xml:space="preserve"> </w:t>
      </w:r>
      <w:r>
        <w:rPr>
          <w:rFonts w:hint="eastAsia" w:ascii="宋体" w:hAnsi="宋体" w:eastAsia="宋体" w:cs="宋体"/>
          <w:spacing w:val="-5"/>
          <w:sz w:val="21"/>
          <w:szCs w:val="21"/>
          <w:u w:val="single" w:color="auto"/>
        </w:rPr>
        <w:t>编</w:t>
      </w:r>
      <w:r>
        <w:rPr>
          <w:rFonts w:hint="eastAsia" w:ascii="宋体" w:hAnsi="宋体" w:eastAsia="宋体" w:cs="宋体"/>
          <w:spacing w:val="-48"/>
          <w:sz w:val="21"/>
          <w:szCs w:val="21"/>
          <w:u w:val="single" w:color="auto"/>
        </w:rPr>
        <w:t xml:space="preserve"> </w:t>
      </w:r>
      <w:r>
        <w:rPr>
          <w:rFonts w:hint="eastAsia" w:ascii="宋体" w:hAnsi="宋体" w:eastAsia="宋体" w:cs="宋体"/>
          <w:spacing w:val="-5"/>
          <w:sz w:val="21"/>
          <w:szCs w:val="21"/>
          <w:u w:val="single" w:color="auto"/>
        </w:rPr>
        <w:t>号</w:t>
      </w:r>
      <w:r>
        <w:rPr>
          <w:rFonts w:hint="eastAsia" w:ascii="宋体" w:hAnsi="宋体" w:eastAsia="宋体" w:cs="宋体"/>
          <w:spacing w:val="-63"/>
          <w:sz w:val="21"/>
          <w:szCs w:val="21"/>
          <w:u w:val="single" w:color="auto"/>
        </w:rPr>
        <w:t xml:space="preserve"> </w:t>
      </w:r>
      <w:r>
        <w:rPr>
          <w:rFonts w:hint="eastAsia" w:ascii="宋体" w:hAnsi="宋体" w:eastAsia="宋体" w:cs="宋体"/>
          <w:spacing w:val="-5"/>
          <w:sz w:val="21"/>
          <w:szCs w:val="21"/>
          <w:u w:val="single" w:color="auto"/>
        </w:rPr>
        <w:t>)</w:t>
      </w:r>
    </w:p>
    <w:p>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sz w:val="21"/>
          <w:szCs w:val="21"/>
        </w:rPr>
      </w:pPr>
      <w:r>
        <w:rPr>
          <w:rFonts w:hint="eastAsia" w:ascii="宋体" w:hAnsi="宋体" w:eastAsia="宋体" w:cs="宋体"/>
          <w:spacing w:val="-5"/>
          <w:sz w:val="21"/>
          <w:szCs w:val="21"/>
        </w:rPr>
        <w:t>采购项目的政府采购活动，现承诺如下：</w:t>
      </w:r>
    </w:p>
    <w:p>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4"/>
          <w:sz w:val="21"/>
          <w:szCs w:val="21"/>
        </w:rPr>
        <w:t>1.</w:t>
      </w:r>
      <w:r>
        <w:rPr>
          <w:rFonts w:hint="eastAsia" w:ascii="宋体" w:hAnsi="宋体" w:eastAsia="宋体" w:cs="宋体"/>
          <w:spacing w:val="-31"/>
          <w:sz w:val="21"/>
          <w:szCs w:val="21"/>
        </w:rPr>
        <w:t xml:space="preserve"> </w:t>
      </w:r>
      <w:r>
        <w:rPr>
          <w:rFonts w:hint="eastAsia" w:ascii="宋体" w:hAnsi="宋体" w:eastAsia="宋体" w:cs="宋体"/>
          <w:spacing w:val="-4"/>
          <w:sz w:val="21"/>
          <w:szCs w:val="21"/>
        </w:rPr>
        <w:t>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5"/>
          <w:sz w:val="21"/>
          <w:szCs w:val="21"/>
        </w:rPr>
        <w:t>2.</w:t>
      </w:r>
      <w:r>
        <w:rPr>
          <w:rFonts w:hint="eastAsia" w:ascii="宋体" w:hAnsi="宋体" w:eastAsia="宋体" w:cs="宋体"/>
          <w:spacing w:val="-57"/>
          <w:sz w:val="21"/>
          <w:szCs w:val="21"/>
        </w:rPr>
        <w:t xml:space="preserve"> </w:t>
      </w:r>
      <w:r>
        <w:rPr>
          <w:rFonts w:hint="eastAsia" w:ascii="宋体" w:hAnsi="宋体" w:eastAsia="宋体" w:cs="宋体"/>
          <w:spacing w:val="-5"/>
          <w:sz w:val="21"/>
          <w:szCs w:val="21"/>
        </w:rPr>
        <w:t>具有依法缴纳税收的良好记录；</w:t>
      </w:r>
    </w:p>
    <w:p>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5"/>
          <w:sz w:val="21"/>
          <w:szCs w:val="21"/>
        </w:rPr>
        <w:t>3.具有依法缴纳社会保障金的良好记录。</w:t>
      </w:r>
    </w:p>
    <w:p>
      <w:pPr>
        <w:keepNext w:val="0"/>
        <w:keepLines w:val="0"/>
        <w:pageBreakBefore w:val="0"/>
        <w:widowControl w:val="0"/>
        <w:kinsoku/>
        <w:wordWrap/>
        <w:overflowPunct/>
        <w:topLinePunct w:val="0"/>
        <w:autoSpaceDE/>
        <w:autoSpaceDN/>
        <w:bidi w:val="0"/>
        <w:adjustRightInd/>
        <w:snapToGrid/>
        <w:spacing w:line="480" w:lineRule="auto"/>
        <w:ind w:left="363" w:right="192" w:firstLine="600"/>
        <w:textAlignment w:val="auto"/>
        <w:rPr>
          <w:rFonts w:hint="eastAsia" w:ascii="宋体" w:hAnsi="宋体" w:eastAsia="宋体" w:cs="宋体"/>
          <w:sz w:val="21"/>
          <w:szCs w:val="21"/>
        </w:rPr>
      </w:pPr>
      <w:r>
        <w:rPr>
          <w:rFonts w:hint="eastAsia" w:ascii="宋体" w:hAnsi="宋体" w:eastAsia="宋体" w:cs="宋体"/>
          <w:spacing w:val="11"/>
          <w:sz w:val="21"/>
          <w:szCs w:val="21"/>
        </w:rPr>
        <w:t>我方在采购项目评审(评标)环节结束后，随时接受采</w:t>
      </w:r>
      <w:r>
        <w:rPr>
          <w:rFonts w:hint="eastAsia" w:ascii="宋体" w:hAnsi="宋体" w:eastAsia="宋体" w:cs="宋体"/>
          <w:spacing w:val="-3"/>
          <w:sz w:val="21"/>
          <w:szCs w:val="21"/>
        </w:rPr>
        <w:t>购人、采购代理机构的检查验证，配合提供相关证</w:t>
      </w:r>
      <w:r>
        <w:rPr>
          <w:rFonts w:hint="eastAsia" w:ascii="宋体" w:hAnsi="宋体" w:eastAsia="宋体" w:cs="宋体"/>
          <w:spacing w:val="-4"/>
          <w:sz w:val="21"/>
          <w:szCs w:val="21"/>
        </w:rPr>
        <w:t>明材料，</w:t>
      </w:r>
      <w:r>
        <w:rPr>
          <w:rFonts w:hint="eastAsia" w:ascii="宋体" w:hAnsi="宋体" w:eastAsia="宋体" w:cs="宋体"/>
          <w:sz w:val="21"/>
          <w:szCs w:val="21"/>
        </w:rPr>
        <w:t xml:space="preserve"> </w:t>
      </w:r>
      <w:r>
        <w:rPr>
          <w:rFonts w:hint="eastAsia" w:ascii="宋体" w:hAnsi="宋体" w:eastAsia="宋体" w:cs="宋体"/>
          <w:spacing w:val="-1"/>
          <w:sz w:val="21"/>
          <w:szCs w:val="21"/>
        </w:rPr>
        <w:t>证明符合《中华人民共和国政府采购法》规定的供应商基本</w:t>
      </w:r>
      <w:r>
        <w:rPr>
          <w:rFonts w:hint="eastAsia" w:ascii="宋体" w:hAnsi="宋体" w:eastAsia="宋体" w:cs="宋体"/>
          <w:spacing w:val="-9"/>
          <w:sz w:val="21"/>
          <w:szCs w:val="21"/>
        </w:rPr>
        <w:t>资格条件。</w:t>
      </w:r>
    </w:p>
    <w:p>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9"/>
          <w:position w:val="23"/>
          <w:sz w:val="21"/>
          <w:szCs w:val="21"/>
        </w:rPr>
        <w:t>我单位(</w:t>
      </w:r>
      <w:r>
        <w:rPr>
          <w:rFonts w:hint="eastAsia" w:ascii="宋体" w:hAnsi="宋体" w:eastAsia="宋体" w:cs="宋体"/>
          <w:spacing w:val="9"/>
          <w:position w:val="23"/>
          <w:sz w:val="21"/>
          <w:szCs w:val="21"/>
          <w:u w:val="single"/>
        </w:rPr>
        <w:t>公司</w:t>
      </w:r>
      <w:r>
        <w:rPr>
          <w:rFonts w:hint="eastAsia" w:ascii="宋体" w:hAnsi="宋体" w:eastAsia="宋体" w:cs="宋体"/>
          <w:spacing w:val="9"/>
          <w:position w:val="23"/>
          <w:sz w:val="21"/>
          <w:szCs w:val="21"/>
        </w:rPr>
        <w:t>)对上述承诺的真实性负责。如有虚假，</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1"/>
          <w:szCs w:val="21"/>
        </w:rPr>
      </w:pPr>
      <w:r>
        <w:rPr>
          <w:rFonts w:hint="eastAsia" w:ascii="宋体" w:hAnsi="宋体" w:eastAsia="宋体" w:cs="宋体"/>
          <w:spacing w:val="-6"/>
          <w:sz w:val="21"/>
          <w:szCs w:val="21"/>
        </w:rPr>
        <w:t>将依法承担相应责任。</w:t>
      </w:r>
    </w:p>
    <w:p>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10"/>
          <w:sz w:val="21"/>
          <w:szCs w:val="21"/>
        </w:rPr>
        <w:t>特此承诺。</w:t>
      </w:r>
    </w:p>
    <w:p>
      <w:pPr>
        <w:spacing w:line="356" w:lineRule="auto"/>
        <w:rPr>
          <w:rFonts w:hint="eastAsia" w:ascii="宋体" w:hAnsi="宋体" w:eastAsia="宋体" w:cs="宋体"/>
          <w:sz w:val="21"/>
          <w:szCs w:val="21"/>
        </w:rPr>
      </w:pPr>
    </w:p>
    <w:p>
      <w:pPr>
        <w:spacing w:line="356" w:lineRule="auto"/>
        <w:rPr>
          <w:rFonts w:hint="eastAsia" w:ascii="宋体" w:hAnsi="宋体" w:eastAsia="宋体" w:cs="宋体"/>
          <w:sz w:val="21"/>
          <w:szCs w:val="21"/>
        </w:rPr>
      </w:pPr>
    </w:p>
    <w:p>
      <w:pPr>
        <w:spacing w:before="98" w:line="594" w:lineRule="exact"/>
        <w:ind w:left="5013"/>
        <w:rPr>
          <w:rFonts w:hint="eastAsia" w:ascii="宋体" w:hAnsi="宋体" w:eastAsia="宋体" w:cs="宋体"/>
          <w:sz w:val="21"/>
          <w:szCs w:val="21"/>
        </w:rPr>
      </w:pPr>
      <w:r>
        <w:rPr>
          <w:rFonts w:hint="eastAsia" w:ascii="宋体" w:hAnsi="宋体" w:eastAsia="宋体" w:cs="宋体"/>
          <w:spacing w:val="-21"/>
          <w:position w:val="21"/>
          <w:sz w:val="21"/>
          <w:szCs w:val="21"/>
        </w:rPr>
        <w:t>盖章：</w:t>
      </w:r>
    </w:p>
    <w:p>
      <w:pPr>
        <w:spacing w:line="224" w:lineRule="auto"/>
        <w:ind w:left="0" w:leftChars="0" w:firstLine="5019" w:firstLineChars="2758"/>
        <w:rPr>
          <w:rFonts w:hint="eastAsia" w:ascii="宋体" w:hAnsi="宋体" w:eastAsia="宋体" w:cs="宋体"/>
          <w:sz w:val="21"/>
          <w:szCs w:val="21"/>
        </w:rPr>
      </w:pPr>
      <w:r>
        <w:rPr>
          <w:rFonts w:hint="eastAsia" w:ascii="宋体" w:hAnsi="宋体" w:eastAsia="宋体" w:cs="宋体"/>
          <w:spacing w:val="-14"/>
          <w:sz w:val="21"/>
          <w:szCs w:val="21"/>
        </w:rPr>
        <w:t>签字：</w:t>
      </w:r>
    </w:p>
    <w:p>
      <w:pPr>
        <w:spacing w:before="224" w:line="223" w:lineRule="auto"/>
        <w:ind w:left="5023"/>
        <w:rPr>
          <w:rFonts w:hint="eastAsia" w:ascii="宋体" w:hAnsi="宋体" w:eastAsia="宋体" w:cs="宋体"/>
          <w:sz w:val="21"/>
          <w:szCs w:val="21"/>
        </w:rPr>
      </w:pPr>
      <w:r>
        <w:rPr>
          <w:rFonts w:hint="eastAsia" w:ascii="宋体" w:hAnsi="宋体" w:eastAsia="宋体" w:cs="宋体"/>
          <w:spacing w:val="-23"/>
          <w:sz w:val="21"/>
          <w:szCs w:val="21"/>
        </w:rPr>
        <w:t>日期：</w:t>
      </w: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b/>
          <w:bCs/>
          <w:sz w:val="32"/>
          <w:szCs w:val="32"/>
          <w:highlight w:val="none"/>
        </w:rPr>
      </w:pPr>
      <w:r>
        <w:rPr>
          <w:rFonts w:hint="eastAsia"/>
          <w:b/>
          <w:bCs/>
          <w:sz w:val="32"/>
          <w:szCs w:val="32"/>
          <w:highlight w:val="none"/>
          <w:lang w:val="en-US" w:eastAsia="zh-CN"/>
        </w:rPr>
        <w:t>八</w:t>
      </w:r>
      <w:r>
        <w:rPr>
          <w:rFonts w:hint="eastAsia"/>
          <w:b/>
          <w:bCs/>
          <w:sz w:val="32"/>
          <w:szCs w:val="32"/>
          <w:highlight w:val="none"/>
        </w:rPr>
        <w:t>、谈判报价一览表</w:t>
      </w:r>
    </w:p>
    <w:p>
      <w:pPr>
        <w:pStyle w:val="18"/>
        <w:spacing w:line="300" w:lineRule="exact"/>
        <w:ind w:left="420"/>
        <w:jc w:val="left"/>
        <w:rPr>
          <w:rFonts w:hint="eastAsia" w:hAnsi="宋体" w:cs="宋体"/>
          <w:b/>
          <w:sz w:val="24"/>
          <w:szCs w:val="24"/>
          <w:highlight w:val="none"/>
        </w:rPr>
      </w:pPr>
    </w:p>
    <w:tbl>
      <w:tblPr>
        <w:tblStyle w:val="49"/>
        <w:tblW w:w="9118" w:type="dxa"/>
        <w:jc w:val="center"/>
        <w:tblInd w:w="0" w:type="dxa"/>
        <w:tblLayout w:type="fixed"/>
        <w:tblCellMar>
          <w:top w:w="0" w:type="dxa"/>
          <w:left w:w="108" w:type="dxa"/>
          <w:bottom w:w="0" w:type="dxa"/>
          <w:right w:w="108" w:type="dxa"/>
        </w:tblCellMar>
      </w:tblPr>
      <w:tblGrid>
        <w:gridCol w:w="658"/>
        <w:gridCol w:w="2105"/>
        <w:gridCol w:w="4559"/>
        <w:gridCol w:w="1796"/>
      </w:tblGrid>
      <w:tr>
        <w:tblPrEx>
          <w:tblLayout w:type="fixed"/>
          <w:tblCellMar>
            <w:top w:w="0" w:type="dxa"/>
            <w:left w:w="108" w:type="dxa"/>
            <w:bottom w:w="0" w:type="dxa"/>
            <w:right w:w="108" w:type="dxa"/>
          </w:tblCellMar>
        </w:tblPrEx>
        <w:trPr>
          <w:trHeight w:val="1528"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hAnsi="宋体"/>
                <w:b/>
                <w:bCs/>
                <w:highlight w:val="none"/>
              </w:rPr>
            </w:pPr>
            <w:r>
              <w:rPr>
                <w:rFonts w:hint="eastAsia" w:hAnsi="宋体"/>
                <w:b/>
                <w:bCs/>
                <w:highlight w:val="none"/>
              </w:rPr>
              <w:t>项号</w:t>
            </w:r>
          </w:p>
        </w:tc>
        <w:tc>
          <w:tcPr>
            <w:tcW w:w="21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hAnsi="宋体"/>
                <w:b/>
                <w:bCs/>
                <w:highlight w:val="none"/>
              </w:rPr>
            </w:pPr>
            <w:r>
              <w:rPr>
                <w:rFonts w:hint="eastAsia" w:hAnsi="宋体"/>
                <w:b/>
                <w:bCs/>
                <w:highlight w:val="none"/>
              </w:rPr>
              <w:t>供应商名称</w:t>
            </w:r>
          </w:p>
        </w:tc>
        <w:tc>
          <w:tcPr>
            <w:tcW w:w="4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highlight w:val="none"/>
              </w:rPr>
            </w:pPr>
            <w:r>
              <w:rPr>
                <w:rFonts w:hint="eastAsia" w:hAnsi="宋体"/>
                <w:b/>
                <w:bCs/>
                <w:highlight w:val="none"/>
              </w:rPr>
              <w:t>谈判总报价</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hAnsi="宋体"/>
                <w:b/>
                <w:bCs/>
                <w:highlight w:val="none"/>
              </w:rPr>
            </w:pPr>
            <w:r>
              <w:rPr>
                <w:rFonts w:hint="eastAsia" w:hAnsi="宋体"/>
                <w:b/>
                <w:bCs/>
                <w:highlight w:val="none"/>
              </w:rPr>
              <w:t>谈判保证金</w:t>
            </w:r>
          </w:p>
          <w:p>
            <w:pPr>
              <w:spacing w:line="300" w:lineRule="exact"/>
              <w:jc w:val="center"/>
              <w:rPr>
                <w:rFonts w:hAnsi="宋体"/>
                <w:b/>
                <w:bCs/>
                <w:highlight w:val="none"/>
              </w:rPr>
            </w:pPr>
            <w:r>
              <w:rPr>
                <w:rFonts w:hint="eastAsia" w:hAnsi="宋体"/>
                <w:b/>
                <w:bCs/>
                <w:highlight w:val="none"/>
              </w:rPr>
              <w:t>（有/无）</w:t>
            </w:r>
          </w:p>
        </w:tc>
      </w:tr>
      <w:tr>
        <w:tblPrEx>
          <w:tblLayout w:type="fixed"/>
          <w:tblCellMar>
            <w:top w:w="0" w:type="dxa"/>
            <w:left w:w="108" w:type="dxa"/>
            <w:bottom w:w="0" w:type="dxa"/>
            <w:right w:w="108" w:type="dxa"/>
          </w:tblCellMar>
        </w:tblPrEx>
        <w:trPr>
          <w:trHeight w:val="2074"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highlight w:val="none"/>
              </w:rPr>
            </w:pPr>
            <w:r>
              <w:rPr>
                <w:rFonts w:ascii="宋体" w:hAnsi="宋体"/>
                <w:highlight w:val="none"/>
              </w:rPr>
              <w:t>1</w:t>
            </w:r>
          </w:p>
        </w:tc>
        <w:tc>
          <w:tcPr>
            <w:tcW w:w="21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highlight w:val="none"/>
              </w:rPr>
            </w:pPr>
          </w:p>
        </w:tc>
        <w:tc>
          <w:tcPr>
            <w:tcW w:w="45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pacing w:val="-6"/>
                <w:highlight w:val="none"/>
              </w:rPr>
            </w:pPr>
            <w:r>
              <w:rPr>
                <w:rFonts w:hint="eastAsia" w:ascii="宋体" w:hAnsi="宋体"/>
                <w:spacing w:val="-6"/>
                <w:highlight w:val="none"/>
              </w:rPr>
              <w:t>一次投标总</w:t>
            </w:r>
            <w:r>
              <w:rPr>
                <w:rFonts w:ascii="宋体" w:hAnsi="宋体"/>
                <w:spacing w:val="-6"/>
                <w:highlight w:val="none"/>
              </w:rPr>
              <w:t>报价</w:t>
            </w:r>
            <w:r>
              <w:rPr>
                <w:rFonts w:hint="eastAsia" w:ascii="宋体" w:hAnsi="宋体"/>
                <w:spacing w:val="-6"/>
                <w:highlight w:val="none"/>
              </w:rPr>
              <w:t>（大写）人民币：            元</w:t>
            </w:r>
          </w:p>
          <w:p>
            <w:pPr>
              <w:jc w:val="center"/>
              <w:rPr>
                <w:rFonts w:hint="eastAsia" w:ascii="宋体" w:hAnsi="宋体"/>
                <w:spacing w:val="-6"/>
                <w:highlight w:val="none"/>
              </w:rPr>
            </w:pPr>
          </w:p>
          <w:p>
            <w:pPr>
              <w:jc w:val="center"/>
              <w:rPr>
                <w:rFonts w:hint="eastAsia" w:ascii="宋体" w:hAnsi="宋体"/>
                <w:spacing w:val="-6"/>
                <w:highlight w:val="none"/>
              </w:rPr>
            </w:pPr>
            <w:r>
              <w:rPr>
                <w:rFonts w:hint="eastAsia" w:ascii="宋体" w:hAnsi="宋体"/>
                <w:spacing w:val="-6"/>
                <w:highlight w:val="none"/>
              </w:rPr>
              <w:t>（小写）￥：                 元</w:t>
            </w:r>
          </w:p>
          <w:p>
            <w:pPr>
              <w:jc w:val="center"/>
              <w:rPr>
                <w:rFonts w:hint="eastAsia" w:ascii="宋体" w:hAnsi="宋体"/>
                <w:spacing w:val="-6"/>
                <w:highlight w:val="none"/>
              </w:rPr>
            </w:pPr>
          </w:p>
          <w:p>
            <w:pPr>
              <w:pStyle w:val="51"/>
              <w:rPr>
                <w:rFonts w:hint="eastAsia"/>
              </w:rPr>
            </w:pP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highlight w:val="none"/>
                <w:lang w:val="en-US" w:eastAsia="zh-CN"/>
              </w:rPr>
            </w:pPr>
          </w:p>
        </w:tc>
      </w:tr>
      <w:tr>
        <w:tblPrEx>
          <w:tblLayout w:type="fixed"/>
          <w:tblCellMar>
            <w:top w:w="0" w:type="dxa"/>
            <w:left w:w="108" w:type="dxa"/>
            <w:bottom w:w="0" w:type="dxa"/>
            <w:right w:w="108" w:type="dxa"/>
          </w:tblCellMar>
        </w:tblPrEx>
        <w:trPr>
          <w:trHeight w:val="2282" w:hRule="atLeast"/>
          <w:jc w:val="center"/>
        </w:trPr>
        <w:tc>
          <w:tcPr>
            <w:tcW w:w="9118"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highlight w:val="none"/>
              </w:rPr>
              <w:t>说明：谈判报价指本次采购范围相关费用</w:t>
            </w:r>
            <w:r>
              <w:rPr>
                <w:rFonts w:hint="eastAsia"/>
                <w:highlight w:val="none"/>
                <w:lang w:eastAsia="zh-CN"/>
              </w:rPr>
              <w:t>的</w:t>
            </w:r>
            <w:r>
              <w:rPr>
                <w:rFonts w:hint="eastAsia"/>
                <w:highlight w:val="none"/>
              </w:rPr>
              <w:t>全部费用，</w:t>
            </w:r>
            <w:r>
              <w:rPr>
                <w:rFonts w:hint="eastAsia"/>
                <w:highlight w:val="none"/>
                <w:lang w:val="en-US" w:eastAsia="zh-CN"/>
              </w:rPr>
              <w:t>采购人不再另行支付任何费用，</w:t>
            </w:r>
            <w:r>
              <w:rPr>
                <w:rFonts w:hint="eastAsia"/>
                <w:highlight w:val="none"/>
              </w:rPr>
              <w:t>供应商应综合考虑在报价中。</w:t>
            </w:r>
          </w:p>
        </w:tc>
      </w:tr>
    </w:tbl>
    <w:p>
      <w:pPr>
        <w:spacing w:line="340" w:lineRule="exact"/>
        <w:rPr>
          <w:rFonts w:hint="eastAsia" w:ascii="宋体" w:hAnsi="宋体" w:cs="宋体"/>
          <w:szCs w:val="21"/>
          <w:highlight w:val="none"/>
        </w:rPr>
      </w:pPr>
    </w:p>
    <w:p>
      <w:pPr>
        <w:pStyle w:val="18"/>
        <w:snapToGrid w:val="0"/>
        <w:spacing w:line="360" w:lineRule="exact"/>
        <w:ind w:firstLine="4418" w:firstLineChars="2104"/>
        <w:rPr>
          <w:rFonts w:hAnsi="宋体"/>
          <w:highlight w:val="none"/>
        </w:rPr>
      </w:pPr>
    </w:p>
    <w:p>
      <w:pPr>
        <w:pStyle w:val="18"/>
        <w:snapToGrid w:val="0"/>
        <w:spacing w:line="360" w:lineRule="exact"/>
        <w:ind w:firstLine="4418" w:firstLineChars="2104"/>
        <w:rPr>
          <w:rFonts w:hAnsi="宋体"/>
          <w:highlight w:val="none"/>
        </w:rPr>
      </w:pPr>
    </w:p>
    <w:p>
      <w:pPr>
        <w:pStyle w:val="18"/>
        <w:snapToGrid w:val="0"/>
        <w:spacing w:line="360" w:lineRule="exact"/>
        <w:ind w:firstLine="4418" w:firstLineChars="2104"/>
        <w:rPr>
          <w:rFonts w:hAnsi="宋体"/>
          <w:highlight w:val="none"/>
        </w:rPr>
      </w:pPr>
      <w:r>
        <w:rPr>
          <w:rFonts w:hint="eastAsia" w:ascii="宋体" w:hAnsi="宋体"/>
          <w:szCs w:val="21"/>
          <w:highlight w:val="none"/>
          <w:lang w:val="en-US" w:eastAsia="zh-CN"/>
        </w:rPr>
        <w:t>供应商</w:t>
      </w:r>
      <w:r>
        <w:rPr>
          <w:rFonts w:hAnsi="宋体"/>
          <w:highlight w:val="none"/>
        </w:rPr>
        <w:t>：</w:t>
      </w:r>
      <w:r>
        <w:rPr>
          <w:rFonts w:hint="eastAsia" w:hAnsi="宋体"/>
          <w:highlight w:val="none"/>
          <w:u w:val="single"/>
        </w:rPr>
        <w:t xml:space="preserve">                       </w:t>
      </w:r>
      <w:r>
        <w:rPr>
          <w:rFonts w:hAnsi="宋体"/>
          <w:highlight w:val="none"/>
        </w:rPr>
        <w:t>（</w:t>
      </w:r>
      <w:r>
        <w:rPr>
          <w:rFonts w:hint="eastAsia" w:hAnsi="宋体"/>
          <w:highlight w:val="none"/>
        </w:rPr>
        <w:t>盖单位章</w:t>
      </w:r>
      <w:r>
        <w:rPr>
          <w:rFonts w:hAnsi="宋体"/>
          <w:highlight w:val="none"/>
        </w:rPr>
        <w:t>）</w:t>
      </w:r>
    </w:p>
    <w:p>
      <w:pPr>
        <w:pStyle w:val="18"/>
        <w:snapToGrid w:val="0"/>
        <w:spacing w:line="360" w:lineRule="exact"/>
        <w:ind w:firstLine="3578" w:firstLineChars="1704"/>
        <w:rPr>
          <w:rFonts w:hint="eastAsia" w:hAnsi="宋体"/>
          <w:highlight w:val="none"/>
        </w:rPr>
      </w:pPr>
    </w:p>
    <w:p>
      <w:pPr>
        <w:pStyle w:val="18"/>
        <w:wordWrap w:val="0"/>
        <w:snapToGrid w:val="0"/>
        <w:spacing w:line="360" w:lineRule="exact"/>
        <w:ind w:firstLine="4418" w:firstLineChars="2104"/>
        <w:rPr>
          <w:rFonts w:hint="eastAsia" w:hAnsi="宋体"/>
          <w:highlight w:val="none"/>
        </w:rPr>
      </w:pPr>
      <w:r>
        <w:rPr>
          <w:rFonts w:hAnsi="宋体"/>
          <w:highlight w:val="none"/>
        </w:rPr>
        <w:t>法定代表人：</w:t>
      </w:r>
      <w:r>
        <w:rPr>
          <w:rFonts w:hint="eastAsia" w:hAnsi="宋体"/>
          <w:highlight w:val="none"/>
          <w:u w:val="single"/>
        </w:rPr>
        <w:t xml:space="preserve">    </w:t>
      </w:r>
      <w:r>
        <w:rPr>
          <w:rFonts w:hint="eastAsia" w:hAnsi="宋体"/>
          <w:highlight w:val="none"/>
          <w:u w:val="single"/>
          <w:lang w:val="en-US" w:eastAsia="zh-CN"/>
        </w:rPr>
        <w:t xml:space="preserve">           </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lang w:eastAsia="zh-CN"/>
        </w:rPr>
        <w:t>或盖章</w:t>
      </w:r>
      <w:r>
        <w:rPr>
          <w:rFonts w:hint="eastAsia" w:hAnsi="宋体"/>
          <w:highlight w:val="none"/>
        </w:rPr>
        <w:t>）</w:t>
      </w:r>
    </w:p>
    <w:p>
      <w:pPr>
        <w:pStyle w:val="18"/>
        <w:wordWrap w:val="0"/>
        <w:snapToGrid w:val="0"/>
        <w:spacing w:line="360" w:lineRule="exact"/>
        <w:ind w:firstLine="3578" w:firstLineChars="1704"/>
        <w:rPr>
          <w:rFonts w:hint="eastAsia" w:hAnsi="宋体"/>
          <w:highlight w:val="none"/>
        </w:rPr>
      </w:pPr>
    </w:p>
    <w:p>
      <w:pPr>
        <w:tabs>
          <w:tab w:val="left" w:pos="1305"/>
        </w:tabs>
        <w:spacing w:line="360" w:lineRule="auto"/>
        <w:ind w:firstLine="5029" w:firstLineChars="2395"/>
        <w:rPr>
          <w:rFonts w:hAnsi="宋体"/>
          <w:highlight w:val="none"/>
        </w:rPr>
      </w:pP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 xml:space="preserve"> 年</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月</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日</w:t>
      </w:r>
    </w:p>
    <w:p>
      <w:pPr>
        <w:tabs>
          <w:tab w:val="left" w:pos="1305"/>
        </w:tabs>
        <w:spacing w:line="360" w:lineRule="auto"/>
        <w:ind w:firstLine="205" w:firstLineChars="98"/>
        <w:rPr>
          <w:rFonts w:hint="eastAsia" w:ascii="宋体" w:hAnsi="宋体" w:cs="宋体"/>
          <w:bCs/>
          <w:szCs w:val="21"/>
          <w:highlight w:val="none"/>
        </w:rPr>
      </w:pPr>
    </w:p>
    <w:p>
      <w:pPr>
        <w:tabs>
          <w:tab w:val="left" w:pos="1305"/>
        </w:tabs>
        <w:spacing w:line="360" w:lineRule="auto"/>
        <w:ind w:firstLine="205" w:firstLineChars="98"/>
        <w:rPr>
          <w:rFonts w:hint="eastAsia" w:ascii="宋体" w:hAnsi="宋体" w:cs="宋体"/>
          <w:bCs/>
          <w:szCs w:val="21"/>
          <w:highlight w:val="none"/>
        </w:rPr>
      </w:pPr>
      <w:r>
        <w:rPr>
          <w:rFonts w:hint="eastAsia" w:ascii="宋体" w:hAnsi="宋体" w:cs="宋体"/>
          <w:bCs/>
          <w:szCs w:val="21"/>
          <w:highlight w:val="none"/>
        </w:rPr>
        <w:t>注：1.各供应商必须就“</w:t>
      </w:r>
      <w:r>
        <w:rPr>
          <w:rFonts w:hint="eastAsia" w:ascii="宋体" w:hAnsi="宋体" w:cs="宋体"/>
          <w:bCs/>
          <w:szCs w:val="21"/>
          <w:highlight w:val="none"/>
          <w:lang w:eastAsia="zh-CN"/>
        </w:rPr>
        <w:t>货物采购</w:t>
      </w:r>
      <w:r>
        <w:rPr>
          <w:rFonts w:hint="eastAsia" w:ascii="宋体" w:hAnsi="宋体" w:cs="宋体"/>
          <w:bCs/>
          <w:szCs w:val="21"/>
          <w:highlight w:val="none"/>
        </w:rPr>
        <w:t>需求</w:t>
      </w:r>
      <w:r>
        <w:rPr>
          <w:rFonts w:hint="eastAsia" w:ascii="宋体" w:hAnsi="宋体" w:cs="宋体"/>
          <w:bCs/>
          <w:szCs w:val="21"/>
          <w:highlight w:val="none"/>
          <w:lang w:eastAsia="zh-CN"/>
        </w:rPr>
        <w:t>表</w:t>
      </w:r>
      <w:r>
        <w:rPr>
          <w:rFonts w:hint="eastAsia" w:ascii="宋体" w:hAnsi="宋体" w:cs="宋体"/>
          <w:bCs/>
          <w:szCs w:val="21"/>
          <w:highlight w:val="none"/>
        </w:rPr>
        <w:t>”中所有内容作完整唯一报价，否则，其响应文件无效。</w:t>
      </w:r>
    </w:p>
    <w:p>
      <w:pPr>
        <w:pStyle w:val="18"/>
        <w:spacing w:line="360" w:lineRule="auto"/>
        <w:ind w:firstLine="630" w:firstLineChars="300"/>
        <w:rPr>
          <w:rFonts w:hint="eastAsia" w:hAnsi="宋体" w:cs="宋体"/>
          <w:bCs/>
          <w:szCs w:val="21"/>
          <w:highlight w:val="none"/>
        </w:rPr>
      </w:pPr>
      <w:r>
        <w:rPr>
          <w:rFonts w:hint="eastAsia" w:hAnsi="宋体" w:cs="宋体"/>
          <w:bCs/>
          <w:szCs w:val="21"/>
          <w:highlight w:val="none"/>
        </w:rPr>
        <w:t>2.供应商应根据所提供的货物如实填写谈判报价表的各项内容。</w:t>
      </w:r>
    </w:p>
    <w:p>
      <w:pPr>
        <w:spacing w:line="360" w:lineRule="auto"/>
        <w:ind w:firstLine="630" w:firstLineChars="300"/>
        <w:rPr>
          <w:rFonts w:hint="eastAsia" w:ascii="宋体" w:hAnsi="宋体" w:cs="宋体"/>
          <w:bCs/>
          <w:szCs w:val="21"/>
          <w:highlight w:val="none"/>
          <w:lang w:val="en-US" w:eastAsia="zh-CN"/>
        </w:rPr>
      </w:pPr>
    </w:p>
    <w:p>
      <w:pPr>
        <w:spacing w:line="360" w:lineRule="auto"/>
        <w:ind w:firstLine="632" w:firstLineChars="300"/>
        <w:rPr>
          <w:rFonts w:hint="eastAsia" w:ascii="宋体" w:hAnsi="宋体" w:cs="宋体"/>
          <w:b/>
          <w:highlight w:val="none"/>
        </w:rPr>
      </w:pPr>
      <w:r>
        <w:rPr>
          <w:rFonts w:hint="eastAsia" w:ascii="宋体" w:hAnsi="宋体" w:cs="宋体"/>
          <w:b/>
          <w:highlight w:val="none"/>
        </w:rPr>
        <w:br w:type="page"/>
      </w:r>
    </w:p>
    <w:p>
      <w:pPr>
        <w:spacing w:line="360" w:lineRule="auto"/>
        <w:jc w:val="center"/>
        <w:rPr>
          <w:rFonts w:ascii="宋体" w:hAnsi="宋体"/>
          <w:b/>
          <w:bCs/>
          <w:color w:val="000000"/>
          <w:sz w:val="28"/>
          <w:szCs w:val="28"/>
        </w:rPr>
      </w:pPr>
      <w:r>
        <w:rPr>
          <w:rFonts w:hint="eastAsia" w:ascii="宋体" w:hAnsi="宋体"/>
          <w:b/>
          <w:bCs/>
          <w:color w:val="000000"/>
          <w:sz w:val="28"/>
          <w:szCs w:val="28"/>
        </w:rPr>
        <w:t>附件1详细报价表</w:t>
      </w:r>
    </w:p>
    <w:p>
      <w:pPr>
        <w:adjustRightInd w:val="0"/>
        <w:snapToGrid w:val="0"/>
        <w:spacing w:line="300" w:lineRule="auto"/>
        <w:rPr>
          <w:rFonts w:ascii="宋体"/>
          <w:szCs w:val="21"/>
          <w:u w:val="single"/>
        </w:rPr>
      </w:pPr>
      <w:r>
        <w:rPr>
          <w:rFonts w:hint="eastAsia" w:ascii="宋体"/>
          <w:szCs w:val="21"/>
        </w:rPr>
        <w:t xml:space="preserve">项目名称： </w:t>
      </w:r>
    </w:p>
    <w:p>
      <w:pPr>
        <w:adjustRightInd w:val="0"/>
        <w:snapToGrid w:val="0"/>
        <w:spacing w:line="300" w:lineRule="auto"/>
        <w:rPr>
          <w:rFonts w:ascii="宋体"/>
          <w:i/>
          <w:iCs/>
          <w:szCs w:val="21"/>
        </w:rPr>
      </w:pPr>
      <w:r>
        <w:rPr>
          <w:rFonts w:hint="eastAsia" w:ascii="宋体"/>
          <w:szCs w:val="21"/>
        </w:rPr>
        <w:t>项目编号：</w:t>
      </w:r>
    </w:p>
    <w:p>
      <w:pPr>
        <w:spacing w:line="360" w:lineRule="auto"/>
        <w:jc w:val="right"/>
        <w:rPr>
          <w:szCs w:val="21"/>
        </w:rPr>
      </w:pPr>
      <w:r>
        <w:rPr>
          <w:rFonts w:hint="eastAsia" w:ascii="宋体"/>
          <w:szCs w:val="21"/>
        </w:rPr>
        <w:t>单位：元人民币</w:t>
      </w:r>
    </w:p>
    <w:tbl>
      <w:tblPr>
        <w:tblStyle w:val="49"/>
        <w:tblW w:w="969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908"/>
        <w:gridCol w:w="1659"/>
        <w:gridCol w:w="2141"/>
        <w:gridCol w:w="923"/>
        <w:gridCol w:w="841"/>
        <w:gridCol w:w="1072"/>
        <w:gridCol w:w="1261"/>
        <w:gridCol w:w="8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517" w:hRule="atLeast"/>
          <w:jc w:val="center"/>
        </w:trPr>
        <w:tc>
          <w:tcPr>
            <w:tcW w:w="908" w:type="dxa"/>
            <w:vMerge w:val="restart"/>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hint="eastAsia" w:ascii="宋体"/>
                <w:szCs w:val="21"/>
              </w:rPr>
              <w:t>序号</w:t>
            </w:r>
          </w:p>
        </w:tc>
        <w:tc>
          <w:tcPr>
            <w:tcW w:w="1659" w:type="dxa"/>
            <w:vMerge w:val="restart"/>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hint="eastAsia" w:ascii="宋体"/>
                <w:szCs w:val="21"/>
                <w:lang w:eastAsia="zh-CN"/>
              </w:rPr>
              <w:t>货</w:t>
            </w:r>
            <w:r>
              <w:rPr>
                <w:rFonts w:hint="eastAsia" w:ascii="宋体"/>
                <w:szCs w:val="21"/>
              </w:rPr>
              <w:t>物名称</w:t>
            </w:r>
          </w:p>
        </w:tc>
        <w:tc>
          <w:tcPr>
            <w:tcW w:w="2141" w:type="dxa"/>
            <w:vMerge w:val="restart"/>
            <w:tcMar>
              <w:top w:w="15" w:type="dxa"/>
              <w:left w:w="15" w:type="dxa"/>
              <w:bottom w:w="0" w:type="dxa"/>
              <w:right w:w="15" w:type="dxa"/>
            </w:tcMar>
            <w:vAlign w:val="center"/>
          </w:tcPr>
          <w:p>
            <w:pPr>
              <w:adjustRightInd w:val="0"/>
              <w:snapToGrid w:val="0"/>
              <w:spacing w:line="360" w:lineRule="auto"/>
              <w:jc w:val="center"/>
              <w:rPr>
                <w:rFonts w:hint="eastAsia" w:ascii="宋体" w:eastAsia="宋体"/>
                <w:szCs w:val="21"/>
                <w:lang w:eastAsia="zh-CN"/>
              </w:rPr>
            </w:pPr>
            <w:r>
              <w:rPr>
                <w:rFonts w:hint="eastAsia" w:ascii="宋体"/>
                <w:szCs w:val="21"/>
              </w:rPr>
              <w:t>品牌、规格型号或主要参数</w:t>
            </w:r>
            <w:r>
              <w:rPr>
                <w:rFonts w:hint="eastAsia" w:ascii="宋体"/>
                <w:szCs w:val="21"/>
                <w:lang w:eastAsia="zh-CN"/>
              </w:rPr>
              <w:t>或内容</w:t>
            </w:r>
          </w:p>
        </w:tc>
        <w:tc>
          <w:tcPr>
            <w:tcW w:w="923" w:type="dxa"/>
            <w:vMerge w:val="restart"/>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hint="eastAsia" w:ascii="宋体"/>
                <w:szCs w:val="21"/>
              </w:rPr>
              <w:t>单位</w:t>
            </w:r>
          </w:p>
        </w:tc>
        <w:tc>
          <w:tcPr>
            <w:tcW w:w="841" w:type="dxa"/>
            <w:vMerge w:val="restart"/>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hint="eastAsia" w:ascii="宋体"/>
                <w:szCs w:val="21"/>
              </w:rPr>
              <w:t>数量</w:t>
            </w:r>
          </w:p>
        </w:tc>
        <w:tc>
          <w:tcPr>
            <w:tcW w:w="2333" w:type="dxa"/>
            <w:gridSpan w:val="2"/>
            <w:tcBorders>
              <w:bottom w:val="single" w:color="auto" w:sz="4" w:space="0"/>
            </w:tcBorders>
            <w:tcMar>
              <w:top w:w="15" w:type="dxa"/>
              <w:left w:w="15" w:type="dxa"/>
              <w:bottom w:w="0" w:type="dxa"/>
              <w:right w:w="15" w:type="dxa"/>
            </w:tcMar>
            <w:vAlign w:val="center"/>
          </w:tcPr>
          <w:p>
            <w:pPr>
              <w:pStyle w:val="24"/>
              <w:pBdr>
                <w:bottom w:val="none" w:color="auto" w:sz="0" w:space="0"/>
              </w:pBdr>
              <w:tabs>
                <w:tab w:val="clear" w:pos="4153"/>
                <w:tab w:val="clear" w:pos="8306"/>
              </w:tabs>
              <w:adjustRightInd w:val="0"/>
              <w:spacing w:line="360" w:lineRule="auto"/>
              <w:rPr>
                <w:rFonts w:ascii="宋体" w:hAnsi="宋体"/>
                <w:snapToGrid w:val="0"/>
                <w:sz w:val="21"/>
                <w:szCs w:val="21"/>
              </w:rPr>
            </w:pPr>
            <w:r>
              <w:rPr>
                <w:rFonts w:hint="eastAsia" w:ascii="宋体" w:hAnsi="宋体"/>
                <w:snapToGrid w:val="0"/>
                <w:sz w:val="21"/>
                <w:szCs w:val="21"/>
                <w:lang w:eastAsia="zh-CN"/>
              </w:rPr>
              <w:t>货</w:t>
            </w:r>
            <w:r>
              <w:rPr>
                <w:rFonts w:hint="eastAsia" w:ascii="宋体" w:hAnsi="宋体"/>
                <w:snapToGrid w:val="0"/>
                <w:sz w:val="21"/>
                <w:szCs w:val="21"/>
              </w:rPr>
              <w:t>物投标价</w:t>
            </w:r>
          </w:p>
        </w:tc>
        <w:tc>
          <w:tcPr>
            <w:tcW w:w="892" w:type="dxa"/>
            <w:vMerge w:val="restart"/>
            <w:tcMar>
              <w:top w:w="15" w:type="dxa"/>
              <w:left w:w="15" w:type="dxa"/>
              <w:bottom w:w="0" w:type="dxa"/>
              <w:right w:w="15" w:type="dxa"/>
            </w:tcMar>
            <w:vAlign w:val="center"/>
          </w:tcPr>
          <w:p>
            <w:pPr>
              <w:pStyle w:val="24"/>
              <w:pBdr>
                <w:bottom w:val="none" w:color="auto" w:sz="0" w:space="0"/>
              </w:pBdr>
              <w:tabs>
                <w:tab w:val="clear" w:pos="4153"/>
                <w:tab w:val="clear" w:pos="8306"/>
              </w:tabs>
              <w:adjustRightInd w:val="0"/>
              <w:spacing w:line="360" w:lineRule="auto"/>
              <w:rPr>
                <w:rFonts w:ascii="宋体" w:hAnsi="宋体"/>
                <w:snapToGrid w:val="0"/>
                <w:sz w:val="21"/>
                <w:szCs w:val="21"/>
              </w:rPr>
            </w:pPr>
            <w:r>
              <w:rPr>
                <w:rFonts w:hint="eastAsia" w:ascii="宋体" w:hAnsi="宋体"/>
                <w:snapToGrid w:val="0"/>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44" w:hRule="atLeast"/>
          <w:jc w:val="center"/>
        </w:trPr>
        <w:tc>
          <w:tcPr>
            <w:tcW w:w="908" w:type="dxa"/>
            <w:vMerge w:val="continue"/>
            <w:tcBorders>
              <w:bottom w:val="single" w:color="auto" w:sz="4" w:space="0"/>
            </w:tcBorders>
            <w:tcMar>
              <w:top w:w="15" w:type="dxa"/>
              <w:left w:w="15" w:type="dxa"/>
              <w:bottom w:w="0" w:type="dxa"/>
              <w:right w:w="15" w:type="dxa"/>
            </w:tcMar>
            <w:vAlign w:val="center"/>
          </w:tcPr>
          <w:p>
            <w:pPr>
              <w:adjustRightInd w:val="0"/>
              <w:snapToGrid w:val="0"/>
              <w:spacing w:line="360" w:lineRule="auto"/>
              <w:jc w:val="center"/>
              <w:rPr>
                <w:rFonts w:ascii="宋体"/>
                <w:szCs w:val="21"/>
              </w:rPr>
            </w:pPr>
          </w:p>
        </w:tc>
        <w:tc>
          <w:tcPr>
            <w:tcW w:w="1659" w:type="dxa"/>
            <w:vMerge w:val="continue"/>
            <w:tcBorders>
              <w:bottom w:val="single" w:color="auto" w:sz="4" w:space="0"/>
            </w:tcBorders>
            <w:tcMar>
              <w:top w:w="15" w:type="dxa"/>
              <w:left w:w="15" w:type="dxa"/>
              <w:bottom w:w="0" w:type="dxa"/>
              <w:right w:w="15" w:type="dxa"/>
            </w:tcMar>
            <w:vAlign w:val="center"/>
          </w:tcPr>
          <w:p>
            <w:pPr>
              <w:adjustRightInd w:val="0"/>
              <w:snapToGrid w:val="0"/>
              <w:spacing w:line="360" w:lineRule="auto"/>
              <w:jc w:val="center"/>
              <w:rPr>
                <w:rFonts w:ascii="宋体"/>
                <w:szCs w:val="21"/>
              </w:rPr>
            </w:pPr>
          </w:p>
        </w:tc>
        <w:tc>
          <w:tcPr>
            <w:tcW w:w="2141" w:type="dxa"/>
            <w:vMerge w:val="continue"/>
            <w:tcBorders>
              <w:bottom w:val="single" w:color="auto" w:sz="4" w:space="0"/>
            </w:tcBorders>
            <w:tcMar>
              <w:top w:w="15" w:type="dxa"/>
              <w:left w:w="15" w:type="dxa"/>
              <w:bottom w:w="0" w:type="dxa"/>
              <w:right w:w="15" w:type="dxa"/>
            </w:tcMar>
            <w:vAlign w:val="center"/>
          </w:tcPr>
          <w:p>
            <w:pPr>
              <w:adjustRightInd w:val="0"/>
              <w:snapToGrid w:val="0"/>
              <w:spacing w:line="360" w:lineRule="auto"/>
              <w:jc w:val="center"/>
              <w:rPr>
                <w:rFonts w:ascii="宋体"/>
                <w:szCs w:val="21"/>
              </w:rPr>
            </w:pPr>
          </w:p>
        </w:tc>
        <w:tc>
          <w:tcPr>
            <w:tcW w:w="923" w:type="dxa"/>
            <w:vMerge w:val="continue"/>
            <w:tcBorders>
              <w:bottom w:val="single" w:color="auto" w:sz="4" w:space="0"/>
            </w:tcBorders>
            <w:tcMar>
              <w:top w:w="15" w:type="dxa"/>
              <w:left w:w="15" w:type="dxa"/>
              <w:bottom w:w="0" w:type="dxa"/>
              <w:right w:w="15" w:type="dxa"/>
            </w:tcMar>
            <w:vAlign w:val="center"/>
          </w:tcPr>
          <w:p>
            <w:pPr>
              <w:adjustRightInd w:val="0"/>
              <w:snapToGrid w:val="0"/>
              <w:spacing w:line="360" w:lineRule="auto"/>
              <w:jc w:val="center"/>
              <w:rPr>
                <w:rFonts w:ascii="宋体"/>
                <w:szCs w:val="21"/>
              </w:rPr>
            </w:pPr>
          </w:p>
        </w:tc>
        <w:tc>
          <w:tcPr>
            <w:tcW w:w="841" w:type="dxa"/>
            <w:vMerge w:val="continue"/>
            <w:tcBorders>
              <w:bottom w:val="single" w:color="auto" w:sz="4" w:space="0"/>
            </w:tcBorders>
            <w:tcMar>
              <w:top w:w="15" w:type="dxa"/>
              <w:left w:w="15" w:type="dxa"/>
              <w:bottom w:w="0" w:type="dxa"/>
              <w:right w:w="15" w:type="dxa"/>
            </w:tcMar>
            <w:vAlign w:val="center"/>
          </w:tcPr>
          <w:p>
            <w:pPr>
              <w:adjustRightInd w:val="0"/>
              <w:snapToGrid w:val="0"/>
              <w:spacing w:line="360" w:lineRule="auto"/>
              <w:jc w:val="center"/>
              <w:rPr>
                <w:rFonts w:ascii="宋体"/>
                <w:szCs w:val="21"/>
              </w:rPr>
            </w:pPr>
          </w:p>
        </w:tc>
        <w:tc>
          <w:tcPr>
            <w:tcW w:w="1072" w:type="dxa"/>
            <w:tcBorders>
              <w:top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hint="eastAsia" w:ascii="宋体"/>
                <w:szCs w:val="21"/>
              </w:rPr>
              <w:t>单价</w:t>
            </w:r>
          </w:p>
        </w:tc>
        <w:tc>
          <w:tcPr>
            <w:tcW w:w="1261" w:type="dxa"/>
            <w:tcBorders>
              <w:top w:val="single" w:color="auto" w:sz="4" w:space="0"/>
              <w:left w:val="single" w:color="auto" w:sz="4" w:space="0"/>
              <w:bottom w:val="single" w:color="auto" w:sz="4" w:space="0"/>
            </w:tcBorders>
            <w:vAlign w:val="center"/>
          </w:tcPr>
          <w:p>
            <w:pPr>
              <w:adjustRightInd w:val="0"/>
              <w:snapToGrid w:val="0"/>
              <w:spacing w:line="360" w:lineRule="auto"/>
              <w:jc w:val="center"/>
              <w:rPr>
                <w:rFonts w:ascii="宋体"/>
                <w:szCs w:val="21"/>
              </w:rPr>
            </w:pPr>
            <w:r>
              <w:rPr>
                <w:rFonts w:hint="eastAsia" w:ascii="宋体"/>
                <w:szCs w:val="21"/>
              </w:rPr>
              <w:t>总价</w:t>
            </w:r>
          </w:p>
        </w:tc>
        <w:tc>
          <w:tcPr>
            <w:tcW w:w="892" w:type="dxa"/>
            <w:vMerge w:val="continue"/>
            <w:tcBorders>
              <w:bottom w:val="single" w:color="auto" w:sz="4" w:space="0"/>
            </w:tcBorders>
            <w:vAlign w:val="center"/>
          </w:tcPr>
          <w:p>
            <w:pPr>
              <w:adjustRightInd w:val="0"/>
              <w:snapToGrid w:val="0"/>
              <w:spacing w:line="360" w:lineRule="auto"/>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39" w:hRule="atLeast"/>
          <w:jc w:val="center"/>
        </w:trPr>
        <w:tc>
          <w:tcPr>
            <w:tcW w:w="908" w:type="dxa"/>
            <w:tcBorders>
              <w:top w:val="single" w:color="auto" w:sz="4" w:space="0"/>
            </w:tcBorders>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ascii="宋体"/>
                <w:szCs w:val="21"/>
              </w:rPr>
              <w:t>1</w:t>
            </w:r>
          </w:p>
        </w:tc>
        <w:tc>
          <w:tcPr>
            <w:tcW w:w="1659" w:type="dxa"/>
            <w:tcBorders>
              <w:top w:val="single" w:color="auto" w:sz="4" w:space="0"/>
            </w:tcBorders>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2141" w:type="dxa"/>
            <w:tcBorders>
              <w:top w:val="single" w:color="auto" w:sz="4" w:space="0"/>
            </w:tcBorders>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923" w:type="dxa"/>
            <w:tcBorders>
              <w:top w:val="single" w:color="auto" w:sz="4" w:space="0"/>
            </w:tcBorders>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41" w:type="dxa"/>
            <w:tcBorders>
              <w:top w:val="single" w:color="auto" w:sz="4" w:space="0"/>
            </w:tcBorders>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072" w:type="dxa"/>
            <w:tcBorders>
              <w:top w:val="single" w:color="auto" w:sz="4" w:space="0"/>
              <w:right w:val="single" w:color="auto" w:sz="4" w:space="0"/>
            </w:tcBorders>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2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60" w:lineRule="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ascii="宋体"/>
                <w:szCs w:val="21"/>
              </w:rPr>
              <w:t>2</w:t>
            </w:r>
          </w:p>
        </w:tc>
        <w:tc>
          <w:tcPr>
            <w:tcW w:w="1659"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072" w:type="dxa"/>
            <w:tcBorders>
              <w:right w:val="single" w:color="auto" w:sz="4" w:space="0"/>
            </w:tcBorders>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2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60" w:lineRule="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ascii="宋体"/>
                <w:szCs w:val="21"/>
              </w:rPr>
              <w:t>3</w:t>
            </w:r>
          </w:p>
        </w:tc>
        <w:tc>
          <w:tcPr>
            <w:tcW w:w="1659"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261" w:type="dxa"/>
            <w:tcBorders>
              <w:top w:val="single" w:color="auto" w:sz="4" w:space="0"/>
            </w:tcBorders>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92" w:type="dxa"/>
            <w:tcBorders>
              <w:top w:val="single" w:color="auto" w:sz="4" w:space="0"/>
            </w:tcBorders>
            <w:tcMar>
              <w:top w:w="15" w:type="dxa"/>
              <w:left w:w="15" w:type="dxa"/>
              <w:bottom w:w="0" w:type="dxa"/>
              <w:right w:w="15" w:type="dxa"/>
            </w:tcMar>
            <w:vAlign w:val="center"/>
          </w:tcPr>
          <w:p>
            <w:pPr>
              <w:adjustRightInd w:val="0"/>
              <w:snapToGrid w:val="0"/>
              <w:spacing w:line="360" w:lineRule="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ascii="宋体"/>
                <w:szCs w:val="21"/>
              </w:rPr>
              <w:t>4</w:t>
            </w:r>
          </w:p>
        </w:tc>
        <w:tc>
          <w:tcPr>
            <w:tcW w:w="1659"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pPr>
              <w:adjustRightInd w:val="0"/>
              <w:snapToGrid w:val="0"/>
              <w:spacing w:line="360" w:lineRule="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ascii="宋体"/>
                <w:szCs w:val="21"/>
              </w:rPr>
              <w:t>5</w:t>
            </w:r>
          </w:p>
        </w:tc>
        <w:tc>
          <w:tcPr>
            <w:tcW w:w="1659"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pPr>
              <w:adjustRightInd w:val="0"/>
              <w:snapToGrid w:val="0"/>
              <w:spacing w:line="360" w:lineRule="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ascii="宋体"/>
                <w:szCs w:val="21"/>
              </w:rPr>
              <w:t>6</w:t>
            </w:r>
          </w:p>
        </w:tc>
        <w:tc>
          <w:tcPr>
            <w:tcW w:w="1659"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pPr>
              <w:adjustRightInd w:val="0"/>
              <w:snapToGrid w:val="0"/>
              <w:spacing w:line="360" w:lineRule="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ascii="宋体"/>
                <w:szCs w:val="21"/>
              </w:rPr>
              <w:t>7</w:t>
            </w:r>
          </w:p>
        </w:tc>
        <w:tc>
          <w:tcPr>
            <w:tcW w:w="1659"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pPr>
              <w:adjustRightInd w:val="0"/>
              <w:snapToGrid w:val="0"/>
              <w:spacing w:line="360" w:lineRule="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ascii="宋体"/>
                <w:szCs w:val="21"/>
              </w:rPr>
              <w:t>8</w:t>
            </w:r>
          </w:p>
        </w:tc>
        <w:tc>
          <w:tcPr>
            <w:tcW w:w="1659"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pPr>
              <w:adjustRightInd w:val="0"/>
              <w:snapToGrid w:val="0"/>
              <w:spacing w:line="360" w:lineRule="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ascii="宋体"/>
                <w:szCs w:val="21"/>
              </w:rPr>
              <w:t>9</w:t>
            </w:r>
          </w:p>
        </w:tc>
        <w:tc>
          <w:tcPr>
            <w:tcW w:w="1659"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pPr>
              <w:adjustRightInd w:val="0"/>
              <w:snapToGrid w:val="0"/>
              <w:spacing w:line="360" w:lineRule="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ascii="宋体"/>
                <w:szCs w:val="21"/>
              </w:rPr>
              <w:t>10</w:t>
            </w:r>
          </w:p>
        </w:tc>
        <w:tc>
          <w:tcPr>
            <w:tcW w:w="1659"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pPr>
              <w:adjustRightInd w:val="0"/>
              <w:snapToGrid w:val="0"/>
              <w:spacing w:line="360" w:lineRule="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ascii="Arial" w:hAnsi="Arial" w:cs="Arial"/>
                <w:szCs w:val="21"/>
              </w:rPr>
              <w:t>…</w:t>
            </w:r>
          </w:p>
        </w:tc>
        <w:tc>
          <w:tcPr>
            <w:tcW w:w="1659"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41" w:type="dxa"/>
            <w:tcBorders>
              <w:right w:val="single" w:color="auto" w:sz="4" w:space="0"/>
            </w:tcBorders>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pPr>
              <w:adjustRightInd w:val="0"/>
              <w:snapToGrid w:val="0"/>
              <w:spacing w:line="360" w:lineRule="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756" w:hRule="atLeast"/>
          <w:jc w:val="center"/>
        </w:trPr>
        <w:tc>
          <w:tcPr>
            <w:tcW w:w="6472" w:type="dxa"/>
            <w:gridSpan w:val="5"/>
            <w:tcBorders>
              <w:right w:val="single" w:color="auto" w:sz="4" w:space="0"/>
            </w:tcBorders>
            <w:tcMar>
              <w:top w:w="15" w:type="dxa"/>
              <w:left w:w="15" w:type="dxa"/>
              <w:bottom w:w="0" w:type="dxa"/>
              <w:right w:w="15" w:type="dxa"/>
            </w:tcMar>
            <w:vAlign w:val="center"/>
          </w:tcPr>
          <w:p>
            <w:pPr>
              <w:adjustRightInd w:val="0"/>
              <w:snapToGrid w:val="0"/>
              <w:spacing w:line="360" w:lineRule="auto"/>
              <w:ind w:firstLine="211" w:firstLineChars="100"/>
              <w:rPr>
                <w:rFonts w:ascii="宋体"/>
                <w:szCs w:val="21"/>
              </w:rPr>
            </w:pPr>
            <w:r>
              <w:rPr>
                <w:rFonts w:hint="eastAsia" w:ascii="宋体"/>
                <w:b/>
                <w:bCs/>
                <w:szCs w:val="21"/>
              </w:rPr>
              <w:t>投标总报价</w:t>
            </w:r>
            <w:r>
              <w:rPr>
                <w:rFonts w:hint="eastAsia" w:ascii="宋体"/>
                <w:szCs w:val="21"/>
              </w:rPr>
              <w:t>（大写）：</w:t>
            </w:r>
          </w:p>
        </w:tc>
        <w:tc>
          <w:tcPr>
            <w:tcW w:w="3225" w:type="dxa"/>
            <w:gridSpan w:val="3"/>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（小写）：</w:t>
            </w:r>
          </w:p>
        </w:tc>
      </w:tr>
    </w:tbl>
    <w:p>
      <w:pPr>
        <w:pStyle w:val="54"/>
      </w:pPr>
    </w:p>
    <w:p>
      <w:pPr>
        <w:spacing w:line="360" w:lineRule="auto"/>
        <w:ind w:firstLine="632" w:firstLineChars="300"/>
        <w:rPr>
          <w:rFonts w:ascii="宋体" w:hAnsi="宋体" w:cs="宋体"/>
          <w:b/>
        </w:rPr>
      </w:pPr>
    </w:p>
    <w:p>
      <w:pPr>
        <w:spacing w:line="360" w:lineRule="auto"/>
        <w:ind w:firstLine="632" w:firstLineChars="300"/>
        <w:rPr>
          <w:rFonts w:ascii="宋体" w:hAnsi="宋体" w:cs="宋体"/>
          <w:b/>
        </w:rPr>
      </w:pPr>
    </w:p>
    <w:p>
      <w:pPr>
        <w:rPr>
          <w:rFonts w:ascii="宋体" w:hAnsi="宋体"/>
          <w:color w:val="000000"/>
          <w:sz w:val="28"/>
          <w:szCs w:val="28"/>
        </w:rPr>
      </w:pPr>
      <w:r>
        <w:rPr>
          <w:rFonts w:hint="eastAsia" w:ascii="宋体" w:hAnsi="宋体"/>
          <w:color w:val="000000"/>
          <w:sz w:val="28"/>
          <w:szCs w:val="28"/>
        </w:rPr>
        <w:br w:type="page"/>
      </w:r>
    </w:p>
    <w:p>
      <w:pPr>
        <w:pStyle w:val="3"/>
        <w:pageBreakBefore/>
        <w:jc w:val="center"/>
        <w:rPr>
          <w:rFonts w:ascii="宋体" w:hAnsi="宋体"/>
          <w:sz w:val="28"/>
          <w:szCs w:val="28"/>
        </w:rPr>
      </w:pPr>
      <w:r>
        <w:rPr>
          <w:rFonts w:hint="eastAsia" w:ascii="宋体" w:hAnsi="宋体"/>
          <w:color w:val="000000"/>
          <w:sz w:val="28"/>
          <w:szCs w:val="28"/>
        </w:rPr>
        <w:t>附件2</w:t>
      </w:r>
      <w:r>
        <w:rPr>
          <w:rFonts w:hint="eastAsia" w:ascii="宋体" w:hAnsi="宋体"/>
          <w:sz w:val="28"/>
          <w:szCs w:val="28"/>
        </w:rPr>
        <w:t xml:space="preserve"> 商务条款偏离表</w:t>
      </w:r>
    </w:p>
    <w:p>
      <w:pPr>
        <w:pStyle w:val="18"/>
        <w:rPr>
          <w:rFonts w:hAnsi="宋体"/>
          <w:szCs w:val="21"/>
        </w:rPr>
      </w:pPr>
    </w:p>
    <w:p>
      <w:pPr>
        <w:pStyle w:val="18"/>
        <w:rPr>
          <w:rFonts w:hAnsi="宋体"/>
          <w:color w:val="000000"/>
          <w:szCs w:val="21"/>
        </w:rPr>
      </w:pPr>
      <w:r>
        <w:rPr>
          <w:rFonts w:hint="eastAsia" w:hAnsi="宋体"/>
          <w:color w:val="000000"/>
          <w:szCs w:val="21"/>
        </w:rPr>
        <w:t xml:space="preserve">项目名称： </w:t>
      </w:r>
    </w:p>
    <w:p>
      <w:pPr>
        <w:pStyle w:val="18"/>
        <w:rPr>
          <w:rFonts w:hAnsi="宋体"/>
          <w:color w:val="000000"/>
          <w:szCs w:val="21"/>
        </w:rPr>
      </w:pPr>
      <w:r>
        <w:rPr>
          <w:rFonts w:hint="eastAsia" w:hAnsi="宋体"/>
          <w:color w:val="000000"/>
          <w:szCs w:val="21"/>
        </w:rPr>
        <w:t xml:space="preserve">项目编号: </w:t>
      </w:r>
    </w:p>
    <w:p>
      <w:pPr>
        <w:pStyle w:val="18"/>
        <w:rPr>
          <w:rFonts w:hAnsi="宋体"/>
          <w:color w:val="000000"/>
          <w:szCs w:val="21"/>
        </w:rPr>
      </w:pPr>
    </w:p>
    <w:tbl>
      <w:tblPr>
        <w:tblStyle w:val="49"/>
        <w:tblW w:w="993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65"/>
        <w:gridCol w:w="2083"/>
        <w:gridCol w:w="2229"/>
        <w:gridCol w:w="2389"/>
        <w:gridCol w:w="956"/>
        <w:gridCol w:w="12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45" w:hRule="atLeast"/>
          <w:jc w:val="center"/>
        </w:trPr>
        <w:tc>
          <w:tcPr>
            <w:tcW w:w="1065" w:type="dxa"/>
            <w:vAlign w:val="center"/>
          </w:tcPr>
          <w:p>
            <w:pPr>
              <w:pStyle w:val="18"/>
              <w:jc w:val="center"/>
              <w:rPr>
                <w:rFonts w:hAnsi="宋体"/>
                <w:color w:val="000000"/>
                <w:szCs w:val="21"/>
              </w:rPr>
            </w:pPr>
            <w:r>
              <w:rPr>
                <w:rFonts w:hint="eastAsia" w:hAnsi="宋体"/>
                <w:color w:val="000000"/>
                <w:szCs w:val="21"/>
              </w:rPr>
              <w:t>序号</w:t>
            </w:r>
          </w:p>
        </w:tc>
        <w:tc>
          <w:tcPr>
            <w:tcW w:w="2083" w:type="dxa"/>
            <w:vAlign w:val="center"/>
          </w:tcPr>
          <w:p>
            <w:pPr>
              <w:pStyle w:val="18"/>
              <w:jc w:val="center"/>
              <w:rPr>
                <w:rFonts w:hAnsi="宋体"/>
                <w:color w:val="000000"/>
                <w:szCs w:val="21"/>
              </w:rPr>
            </w:pPr>
            <w:r>
              <w:rPr>
                <w:rFonts w:hint="eastAsia" w:hAnsi="宋体"/>
                <w:color w:val="000000"/>
                <w:szCs w:val="21"/>
              </w:rPr>
              <w:t>谈判采购文件条款号</w:t>
            </w:r>
          </w:p>
        </w:tc>
        <w:tc>
          <w:tcPr>
            <w:tcW w:w="2229" w:type="dxa"/>
            <w:vAlign w:val="center"/>
          </w:tcPr>
          <w:p>
            <w:pPr>
              <w:pStyle w:val="18"/>
              <w:jc w:val="center"/>
              <w:rPr>
                <w:rFonts w:hAnsi="宋体"/>
                <w:color w:val="000000"/>
                <w:szCs w:val="21"/>
              </w:rPr>
            </w:pPr>
            <w:r>
              <w:rPr>
                <w:rFonts w:hint="eastAsia" w:hAnsi="宋体"/>
                <w:color w:val="000000"/>
                <w:szCs w:val="21"/>
              </w:rPr>
              <w:t>谈判采购文件</w:t>
            </w:r>
          </w:p>
          <w:p>
            <w:pPr>
              <w:pStyle w:val="18"/>
              <w:jc w:val="center"/>
              <w:rPr>
                <w:rFonts w:hAnsi="宋体"/>
                <w:color w:val="000000"/>
                <w:szCs w:val="21"/>
              </w:rPr>
            </w:pPr>
            <w:r>
              <w:rPr>
                <w:rFonts w:hint="eastAsia" w:hAnsi="宋体"/>
                <w:color w:val="000000"/>
                <w:szCs w:val="21"/>
              </w:rPr>
              <w:t>商务条款</w:t>
            </w:r>
          </w:p>
        </w:tc>
        <w:tc>
          <w:tcPr>
            <w:tcW w:w="2389" w:type="dxa"/>
            <w:vAlign w:val="center"/>
          </w:tcPr>
          <w:p>
            <w:pPr>
              <w:pStyle w:val="18"/>
              <w:jc w:val="center"/>
              <w:rPr>
                <w:rFonts w:hAnsi="宋体"/>
                <w:color w:val="000000"/>
                <w:szCs w:val="21"/>
              </w:rPr>
            </w:pPr>
            <w:r>
              <w:rPr>
                <w:rFonts w:hint="eastAsia" w:hAnsi="宋体"/>
                <w:color w:val="000000"/>
                <w:szCs w:val="21"/>
              </w:rPr>
              <w:t>响应文件的商务条款</w:t>
            </w:r>
          </w:p>
        </w:tc>
        <w:tc>
          <w:tcPr>
            <w:tcW w:w="956" w:type="dxa"/>
            <w:vAlign w:val="center"/>
          </w:tcPr>
          <w:p>
            <w:pPr>
              <w:pStyle w:val="18"/>
              <w:jc w:val="center"/>
              <w:rPr>
                <w:rFonts w:hAnsi="宋体"/>
                <w:color w:val="000000"/>
                <w:szCs w:val="21"/>
              </w:rPr>
            </w:pPr>
            <w:r>
              <w:rPr>
                <w:rFonts w:hint="eastAsia" w:hAnsi="宋体"/>
                <w:color w:val="000000"/>
                <w:szCs w:val="21"/>
              </w:rPr>
              <w:t>偏离</w:t>
            </w:r>
          </w:p>
        </w:tc>
        <w:tc>
          <w:tcPr>
            <w:tcW w:w="1214" w:type="dxa"/>
            <w:vAlign w:val="center"/>
          </w:tcPr>
          <w:p>
            <w:pPr>
              <w:pStyle w:val="18"/>
              <w:jc w:val="center"/>
              <w:rPr>
                <w:rFonts w:hAnsi="宋体"/>
                <w:color w:val="000000"/>
                <w:szCs w:val="21"/>
              </w:rPr>
            </w:pPr>
            <w:r>
              <w:rPr>
                <w:rFonts w:hint="eastAsia" w:hAnsi="宋体"/>
                <w:color w:val="000000"/>
                <w:szCs w:val="21"/>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pPr>
          </w:p>
          <w:p>
            <w:pPr>
              <w:jc w:val="right"/>
            </w:pPr>
          </w:p>
        </w:tc>
        <w:tc>
          <w:tcPr>
            <w:tcW w:w="2229" w:type="dxa"/>
          </w:tcPr>
          <w:p>
            <w:pPr>
              <w:pStyle w:val="18"/>
              <w:jc w:val="center"/>
              <w:rPr>
                <w:rFonts w:hAnsi="宋体"/>
                <w:color w:val="000000"/>
                <w:szCs w:val="21"/>
              </w:rPr>
            </w:pPr>
          </w:p>
        </w:tc>
        <w:tc>
          <w:tcPr>
            <w:tcW w:w="2389" w:type="dxa"/>
          </w:tcPr>
          <w:p>
            <w:pPr>
              <w:pStyle w:val="18"/>
              <w:jc w:val="center"/>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20"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bl>
    <w:p>
      <w:pPr>
        <w:pStyle w:val="18"/>
        <w:rPr>
          <w:rFonts w:hAnsi="宋体"/>
          <w:color w:val="000000"/>
          <w:szCs w:val="21"/>
        </w:rPr>
      </w:pPr>
    </w:p>
    <w:p>
      <w:pPr>
        <w:pStyle w:val="18"/>
        <w:rPr>
          <w:rFonts w:hAnsi="宋体"/>
          <w:color w:val="000000"/>
          <w:szCs w:val="21"/>
        </w:rPr>
      </w:pPr>
      <w:r>
        <w:rPr>
          <w:rFonts w:hint="eastAsia" w:hAnsi="宋体"/>
          <w:color w:val="000000"/>
          <w:szCs w:val="21"/>
        </w:rPr>
        <w:t>应邀</w:t>
      </w:r>
      <w:r>
        <w:rPr>
          <w:rFonts w:hint="eastAsia" w:hAnsi="宋体"/>
          <w:color w:val="000000"/>
          <w:szCs w:val="21"/>
          <w:highlight w:val="none"/>
        </w:rPr>
        <w:t>谈判人</w:t>
      </w:r>
      <w:r>
        <w:rPr>
          <w:rFonts w:hint="eastAsia" w:hAnsi="宋体"/>
          <w:color w:val="000000"/>
          <w:szCs w:val="21"/>
          <w:highlight w:val="none"/>
          <w:lang w:eastAsia="zh-CN"/>
        </w:rPr>
        <w:t>法定代表人</w:t>
      </w:r>
      <w:r>
        <w:rPr>
          <w:rFonts w:hint="eastAsia" w:hAnsi="宋体"/>
          <w:color w:val="000000"/>
          <w:szCs w:val="21"/>
          <w:highlight w:val="none"/>
        </w:rPr>
        <w:t>签</w:t>
      </w:r>
      <w:r>
        <w:rPr>
          <w:rFonts w:hint="eastAsia" w:hAnsi="宋体"/>
          <w:color w:val="000000"/>
          <w:szCs w:val="21"/>
        </w:rPr>
        <w:t>字：____________________________</w:t>
      </w:r>
    </w:p>
    <w:p>
      <w:pPr>
        <w:pStyle w:val="18"/>
        <w:rPr>
          <w:rFonts w:hAnsi="宋体"/>
          <w:color w:val="000000"/>
          <w:szCs w:val="21"/>
          <w:u w:val="single"/>
        </w:rPr>
      </w:pPr>
      <w:r>
        <w:rPr>
          <w:rFonts w:hint="eastAsia" w:hAnsi="宋体"/>
          <w:color w:val="000000"/>
          <w:szCs w:val="21"/>
        </w:rPr>
        <w:t xml:space="preserve">应邀谈判人(盖章):   </w:t>
      </w:r>
      <w:r>
        <w:rPr>
          <w:rFonts w:hAnsi="宋体"/>
          <w:color w:val="000000"/>
          <w:szCs w:val="21"/>
          <w:u w:val="single"/>
        </w:rPr>
        <w:tab/>
      </w:r>
      <w:r>
        <w:rPr>
          <w:rFonts w:hAnsi="宋体"/>
          <w:color w:val="000000"/>
          <w:szCs w:val="21"/>
          <w:u w:val="single"/>
        </w:rPr>
        <w:tab/>
      </w:r>
    </w:p>
    <w:p>
      <w:pPr>
        <w:pStyle w:val="18"/>
        <w:rPr>
          <w:rFonts w:hAnsi="宋体"/>
          <w:color w:val="000000"/>
          <w:szCs w:val="21"/>
          <w:u w:val="single"/>
        </w:rPr>
      </w:pPr>
    </w:p>
    <w:p>
      <w:pPr>
        <w:pStyle w:val="18"/>
        <w:rPr>
          <w:rFonts w:hAnsi="宋体"/>
          <w:szCs w:val="21"/>
          <w:u w:val="single"/>
        </w:rPr>
      </w:pPr>
    </w:p>
    <w:p>
      <w:pPr>
        <w:pStyle w:val="18"/>
        <w:rPr>
          <w:rFonts w:hAnsi="宋体"/>
          <w:szCs w:val="21"/>
          <w:u w:val="single"/>
        </w:rPr>
      </w:pPr>
    </w:p>
    <w:p>
      <w:pPr>
        <w:pStyle w:val="3"/>
        <w:pageBreakBefore/>
        <w:jc w:val="center"/>
        <w:rPr>
          <w:rFonts w:ascii="宋体" w:hAnsi="宋体"/>
          <w:sz w:val="28"/>
          <w:szCs w:val="28"/>
        </w:rPr>
      </w:pPr>
      <w:bookmarkStart w:id="56" w:name="_Toc13711"/>
      <w:r>
        <w:rPr>
          <w:rFonts w:hint="eastAsia" w:ascii="宋体" w:hAnsi="宋体"/>
          <w:sz w:val="28"/>
          <w:szCs w:val="28"/>
        </w:rPr>
        <w:t>附件3技术规格偏离表</w:t>
      </w:r>
      <w:bookmarkEnd w:id="56"/>
    </w:p>
    <w:p>
      <w:pPr>
        <w:pStyle w:val="18"/>
        <w:rPr>
          <w:rFonts w:hAnsi="宋体"/>
          <w:color w:val="000000"/>
          <w:szCs w:val="21"/>
        </w:rPr>
      </w:pPr>
      <w:r>
        <w:rPr>
          <w:rFonts w:hint="eastAsia" w:hAnsi="宋体"/>
          <w:color w:val="000000"/>
          <w:szCs w:val="21"/>
        </w:rPr>
        <w:t>项目名称：</w:t>
      </w:r>
    </w:p>
    <w:p>
      <w:pPr>
        <w:pStyle w:val="18"/>
        <w:rPr>
          <w:rFonts w:hAnsi="宋体"/>
          <w:color w:val="000000"/>
          <w:szCs w:val="21"/>
        </w:rPr>
      </w:pPr>
      <w:r>
        <w:rPr>
          <w:rFonts w:hint="eastAsia" w:hAnsi="宋体"/>
          <w:color w:val="000000"/>
          <w:szCs w:val="21"/>
        </w:rPr>
        <w:t xml:space="preserve">项目编号: </w:t>
      </w:r>
    </w:p>
    <w:tbl>
      <w:tblPr>
        <w:tblStyle w:val="49"/>
        <w:tblpPr w:leftFromText="180" w:rightFromText="180" w:vertAnchor="text" w:horzAnchor="page" w:tblpXSpec="center" w:tblpY="266"/>
        <w:tblOverlap w:val="never"/>
        <w:tblW w:w="997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4"/>
        <w:gridCol w:w="1391"/>
        <w:gridCol w:w="2583"/>
        <w:gridCol w:w="1391"/>
        <w:gridCol w:w="1391"/>
        <w:gridCol w:w="993"/>
        <w:gridCol w:w="13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08" w:hRule="atLeast"/>
          <w:jc w:val="center"/>
        </w:trPr>
        <w:tc>
          <w:tcPr>
            <w:tcW w:w="914" w:type="dxa"/>
            <w:vAlign w:val="center"/>
          </w:tcPr>
          <w:p>
            <w:pPr>
              <w:pStyle w:val="18"/>
              <w:jc w:val="center"/>
              <w:rPr>
                <w:rFonts w:hAnsi="宋体"/>
                <w:color w:val="000000"/>
                <w:szCs w:val="21"/>
              </w:rPr>
            </w:pPr>
            <w:r>
              <w:rPr>
                <w:rFonts w:hint="eastAsia" w:hAnsi="宋体"/>
                <w:color w:val="000000"/>
                <w:szCs w:val="21"/>
              </w:rPr>
              <w:t>序号</w:t>
            </w:r>
          </w:p>
        </w:tc>
        <w:tc>
          <w:tcPr>
            <w:tcW w:w="1391" w:type="dxa"/>
            <w:vAlign w:val="center"/>
          </w:tcPr>
          <w:p>
            <w:pPr>
              <w:pStyle w:val="18"/>
              <w:jc w:val="center"/>
              <w:rPr>
                <w:rFonts w:hAnsi="宋体"/>
                <w:color w:val="000000"/>
                <w:szCs w:val="21"/>
              </w:rPr>
            </w:pPr>
            <w:r>
              <w:rPr>
                <w:rFonts w:hint="eastAsia" w:hAnsi="宋体"/>
                <w:color w:val="000000"/>
                <w:szCs w:val="21"/>
              </w:rPr>
              <w:t>项目名称</w:t>
            </w:r>
          </w:p>
        </w:tc>
        <w:tc>
          <w:tcPr>
            <w:tcW w:w="2583" w:type="dxa"/>
            <w:vAlign w:val="center"/>
          </w:tcPr>
          <w:p>
            <w:pPr>
              <w:pStyle w:val="18"/>
              <w:jc w:val="center"/>
              <w:rPr>
                <w:rFonts w:hAnsi="宋体"/>
                <w:color w:val="000000"/>
                <w:szCs w:val="21"/>
              </w:rPr>
            </w:pPr>
            <w:r>
              <w:rPr>
                <w:rFonts w:hint="eastAsia" w:hAnsi="宋体"/>
                <w:color w:val="000000"/>
                <w:szCs w:val="21"/>
              </w:rPr>
              <w:t>谈判文件</w:t>
            </w:r>
          </w:p>
          <w:p>
            <w:pPr>
              <w:pStyle w:val="18"/>
              <w:jc w:val="center"/>
              <w:rPr>
                <w:rFonts w:hAnsi="宋体"/>
                <w:color w:val="000000"/>
                <w:szCs w:val="21"/>
              </w:rPr>
            </w:pPr>
            <w:r>
              <w:rPr>
                <w:rFonts w:hint="eastAsia" w:hAnsi="宋体"/>
                <w:color w:val="000000"/>
                <w:szCs w:val="21"/>
              </w:rPr>
              <w:t>条款号</w:t>
            </w:r>
          </w:p>
        </w:tc>
        <w:tc>
          <w:tcPr>
            <w:tcW w:w="1391" w:type="dxa"/>
            <w:vAlign w:val="center"/>
          </w:tcPr>
          <w:p>
            <w:pPr>
              <w:pStyle w:val="18"/>
              <w:jc w:val="center"/>
              <w:rPr>
                <w:rFonts w:hAnsi="宋体"/>
                <w:color w:val="000000"/>
                <w:szCs w:val="21"/>
              </w:rPr>
            </w:pPr>
            <w:r>
              <w:rPr>
                <w:rFonts w:hint="eastAsia" w:hAnsi="宋体"/>
                <w:color w:val="000000"/>
                <w:szCs w:val="21"/>
              </w:rPr>
              <w:t>谈判文件规格</w:t>
            </w:r>
          </w:p>
        </w:tc>
        <w:tc>
          <w:tcPr>
            <w:tcW w:w="1391" w:type="dxa"/>
            <w:vAlign w:val="center"/>
          </w:tcPr>
          <w:p>
            <w:pPr>
              <w:pStyle w:val="18"/>
              <w:jc w:val="center"/>
              <w:rPr>
                <w:rFonts w:hAnsi="宋体"/>
                <w:color w:val="000000"/>
                <w:szCs w:val="21"/>
              </w:rPr>
            </w:pPr>
            <w:r>
              <w:rPr>
                <w:rFonts w:hint="eastAsia" w:hAnsi="宋体"/>
                <w:color w:val="000000"/>
                <w:szCs w:val="21"/>
              </w:rPr>
              <w:t>响应规格</w:t>
            </w:r>
          </w:p>
        </w:tc>
        <w:tc>
          <w:tcPr>
            <w:tcW w:w="993" w:type="dxa"/>
            <w:vAlign w:val="center"/>
          </w:tcPr>
          <w:p>
            <w:pPr>
              <w:pStyle w:val="18"/>
              <w:jc w:val="center"/>
              <w:rPr>
                <w:rFonts w:hAnsi="宋体"/>
                <w:color w:val="000000"/>
                <w:szCs w:val="21"/>
              </w:rPr>
            </w:pPr>
            <w:r>
              <w:rPr>
                <w:rFonts w:hint="eastAsia" w:hAnsi="宋体"/>
                <w:color w:val="000000"/>
                <w:szCs w:val="21"/>
              </w:rPr>
              <w:t>偏离</w:t>
            </w:r>
          </w:p>
        </w:tc>
        <w:tc>
          <w:tcPr>
            <w:tcW w:w="1314" w:type="dxa"/>
            <w:vAlign w:val="center"/>
          </w:tcPr>
          <w:p>
            <w:pPr>
              <w:pStyle w:val="18"/>
              <w:jc w:val="center"/>
              <w:rPr>
                <w:rFonts w:hAnsi="宋体"/>
                <w:color w:val="000000"/>
                <w:szCs w:val="21"/>
              </w:rPr>
            </w:pPr>
            <w:r>
              <w:rPr>
                <w:rFonts w:hint="eastAsia" w:hAnsi="宋体"/>
                <w:color w:val="000000"/>
                <w:szCs w:val="21"/>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583" w:type="dxa"/>
          </w:tcPr>
          <w:p>
            <w:pPr>
              <w:pStyle w:val="18"/>
              <w:rPr>
                <w:rFonts w:hAnsi="宋体"/>
                <w:color w:val="000000"/>
                <w:szCs w:val="21"/>
              </w:rPr>
            </w:pPr>
          </w:p>
        </w:tc>
        <w:tc>
          <w:tcPr>
            <w:tcW w:w="1391"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583" w:type="dxa"/>
          </w:tcPr>
          <w:p>
            <w:pPr>
              <w:pStyle w:val="18"/>
              <w:rPr>
                <w:rFonts w:hAnsi="宋体"/>
                <w:color w:val="000000"/>
                <w:szCs w:val="21"/>
              </w:rPr>
            </w:pPr>
          </w:p>
        </w:tc>
        <w:tc>
          <w:tcPr>
            <w:tcW w:w="1391"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583" w:type="dxa"/>
          </w:tcPr>
          <w:p>
            <w:pPr>
              <w:pStyle w:val="18"/>
              <w:rPr>
                <w:rFonts w:hAnsi="宋体"/>
                <w:color w:val="000000"/>
                <w:szCs w:val="21"/>
              </w:rPr>
            </w:pPr>
          </w:p>
        </w:tc>
        <w:tc>
          <w:tcPr>
            <w:tcW w:w="1391"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583" w:type="dxa"/>
          </w:tcPr>
          <w:p>
            <w:pPr>
              <w:pStyle w:val="18"/>
              <w:rPr>
                <w:rFonts w:hAnsi="宋体"/>
                <w:color w:val="000000"/>
                <w:szCs w:val="21"/>
              </w:rPr>
            </w:pPr>
          </w:p>
        </w:tc>
        <w:tc>
          <w:tcPr>
            <w:tcW w:w="1391"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583" w:type="dxa"/>
          </w:tcPr>
          <w:p>
            <w:pPr>
              <w:pStyle w:val="18"/>
              <w:rPr>
                <w:rFonts w:hAnsi="宋体"/>
                <w:color w:val="000000"/>
                <w:szCs w:val="21"/>
              </w:rPr>
            </w:pPr>
          </w:p>
        </w:tc>
        <w:tc>
          <w:tcPr>
            <w:tcW w:w="1391"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583" w:type="dxa"/>
          </w:tcPr>
          <w:p>
            <w:pPr>
              <w:pStyle w:val="18"/>
              <w:rPr>
                <w:rFonts w:hAnsi="宋体"/>
                <w:color w:val="000000"/>
                <w:szCs w:val="21"/>
              </w:rPr>
            </w:pPr>
          </w:p>
        </w:tc>
        <w:tc>
          <w:tcPr>
            <w:tcW w:w="1391"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583" w:type="dxa"/>
          </w:tcPr>
          <w:p>
            <w:pPr>
              <w:pStyle w:val="18"/>
              <w:rPr>
                <w:rFonts w:hAnsi="宋体"/>
                <w:color w:val="000000"/>
                <w:szCs w:val="21"/>
              </w:rPr>
            </w:pPr>
          </w:p>
        </w:tc>
        <w:tc>
          <w:tcPr>
            <w:tcW w:w="1391"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583" w:type="dxa"/>
          </w:tcPr>
          <w:p>
            <w:pPr>
              <w:pStyle w:val="18"/>
              <w:rPr>
                <w:rFonts w:hAnsi="宋体"/>
                <w:color w:val="000000"/>
                <w:szCs w:val="21"/>
              </w:rPr>
            </w:pPr>
          </w:p>
        </w:tc>
        <w:tc>
          <w:tcPr>
            <w:tcW w:w="1391"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6"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583" w:type="dxa"/>
          </w:tcPr>
          <w:p>
            <w:pPr>
              <w:pStyle w:val="18"/>
              <w:rPr>
                <w:rFonts w:hAnsi="宋体"/>
                <w:color w:val="000000"/>
                <w:szCs w:val="21"/>
              </w:rPr>
            </w:pPr>
          </w:p>
        </w:tc>
        <w:tc>
          <w:tcPr>
            <w:tcW w:w="1391"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583" w:type="dxa"/>
          </w:tcPr>
          <w:p>
            <w:pPr>
              <w:pStyle w:val="18"/>
              <w:rPr>
                <w:rFonts w:hAnsi="宋体"/>
                <w:color w:val="000000"/>
                <w:szCs w:val="21"/>
              </w:rPr>
            </w:pPr>
          </w:p>
        </w:tc>
        <w:tc>
          <w:tcPr>
            <w:tcW w:w="1391"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6"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583" w:type="dxa"/>
          </w:tcPr>
          <w:p>
            <w:pPr>
              <w:pStyle w:val="18"/>
              <w:rPr>
                <w:rFonts w:hAnsi="宋体"/>
                <w:color w:val="000000"/>
                <w:szCs w:val="21"/>
              </w:rPr>
            </w:pPr>
          </w:p>
        </w:tc>
        <w:tc>
          <w:tcPr>
            <w:tcW w:w="1391"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583" w:type="dxa"/>
          </w:tcPr>
          <w:p>
            <w:pPr>
              <w:pStyle w:val="18"/>
              <w:rPr>
                <w:rFonts w:hAnsi="宋体"/>
                <w:color w:val="000000"/>
                <w:szCs w:val="21"/>
              </w:rPr>
            </w:pPr>
          </w:p>
        </w:tc>
        <w:tc>
          <w:tcPr>
            <w:tcW w:w="1391"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6"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583" w:type="dxa"/>
          </w:tcPr>
          <w:p>
            <w:pPr>
              <w:pStyle w:val="18"/>
              <w:rPr>
                <w:rFonts w:hAnsi="宋体"/>
                <w:color w:val="000000"/>
                <w:szCs w:val="21"/>
              </w:rPr>
            </w:pPr>
          </w:p>
        </w:tc>
        <w:tc>
          <w:tcPr>
            <w:tcW w:w="1391"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583" w:type="dxa"/>
          </w:tcPr>
          <w:p>
            <w:pPr>
              <w:pStyle w:val="18"/>
              <w:rPr>
                <w:rFonts w:hAnsi="宋体"/>
                <w:color w:val="000000"/>
                <w:szCs w:val="21"/>
              </w:rPr>
            </w:pPr>
          </w:p>
        </w:tc>
        <w:tc>
          <w:tcPr>
            <w:tcW w:w="1391"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1"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583" w:type="dxa"/>
          </w:tcPr>
          <w:p>
            <w:pPr>
              <w:pStyle w:val="18"/>
              <w:rPr>
                <w:rFonts w:hAnsi="宋体"/>
                <w:color w:val="000000"/>
                <w:szCs w:val="21"/>
              </w:rPr>
            </w:pPr>
          </w:p>
        </w:tc>
        <w:tc>
          <w:tcPr>
            <w:tcW w:w="1391"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bl>
    <w:p>
      <w:pPr>
        <w:pStyle w:val="18"/>
        <w:rPr>
          <w:rFonts w:hAnsi="宋体"/>
          <w:color w:val="000000"/>
          <w:szCs w:val="21"/>
        </w:rPr>
      </w:pPr>
    </w:p>
    <w:p>
      <w:pPr>
        <w:pStyle w:val="18"/>
        <w:rPr>
          <w:rFonts w:hAnsi="宋体"/>
          <w:color w:val="000000"/>
          <w:szCs w:val="21"/>
        </w:rPr>
      </w:pPr>
    </w:p>
    <w:p>
      <w:pPr>
        <w:pStyle w:val="18"/>
        <w:spacing w:line="360" w:lineRule="auto"/>
        <w:jc w:val="left"/>
        <w:rPr>
          <w:rFonts w:hAnsi="宋体"/>
          <w:color w:val="000000"/>
          <w:szCs w:val="21"/>
        </w:rPr>
      </w:pPr>
      <w:r>
        <w:rPr>
          <w:rFonts w:hint="eastAsia" w:hAnsi="宋体"/>
          <w:color w:val="000000"/>
          <w:szCs w:val="21"/>
        </w:rPr>
        <w:t>应</w:t>
      </w:r>
      <w:r>
        <w:rPr>
          <w:rFonts w:hint="eastAsia" w:hAnsi="宋体"/>
          <w:color w:val="000000"/>
          <w:szCs w:val="21"/>
          <w:highlight w:val="none"/>
        </w:rPr>
        <w:t>邀谈判人</w:t>
      </w:r>
      <w:r>
        <w:rPr>
          <w:rFonts w:hint="eastAsia" w:hAnsi="宋体"/>
          <w:color w:val="000000"/>
          <w:szCs w:val="21"/>
          <w:highlight w:val="none"/>
          <w:lang w:eastAsia="zh-CN"/>
        </w:rPr>
        <w:t>授权代理人</w:t>
      </w:r>
      <w:r>
        <w:rPr>
          <w:rFonts w:hint="eastAsia" w:hAnsi="宋体"/>
          <w:color w:val="000000"/>
          <w:szCs w:val="21"/>
          <w:highlight w:val="none"/>
        </w:rPr>
        <w:t>签字</w:t>
      </w:r>
      <w:r>
        <w:rPr>
          <w:rFonts w:hint="eastAsia" w:hAnsi="宋体"/>
          <w:color w:val="000000"/>
          <w:szCs w:val="21"/>
        </w:rPr>
        <w:t>：____________________</w:t>
      </w:r>
    </w:p>
    <w:p>
      <w:pPr>
        <w:spacing w:line="360" w:lineRule="auto"/>
        <w:jc w:val="left"/>
        <w:outlineLvl w:val="1"/>
        <w:rPr>
          <w:rFonts w:hAnsi="宋体"/>
          <w:color w:val="000000"/>
          <w:szCs w:val="21"/>
          <w:u w:val="single"/>
        </w:rPr>
      </w:pPr>
      <w:r>
        <w:rPr>
          <w:rFonts w:hint="eastAsia" w:hAnsi="宋体"/>
          <w:color w:val="000000"/>
          <w:szCs w:val="21"/>
        </w:rPr>
        <w:t>应邀谈判人(盖章):</w:t>
      </w:r>
      <w:r>
        <w:rPr>
          <w:rFonts w:hAnsi="宋体"/>
          <w:color w:val="000000"/>
          <w:szCs w:val="21"/>
          <w:u w:val="single"/>
        </w:rPr>
        <w:tab/>
      </w:r>
    </w:p>
    <w:p>
      <w:pPr>
        <w:rPr>
          <w:rFonts w:hint="eastAsia"/>
          <w:highlight w:val="none"/>
        </w:rPr>
      </w:pPr>
    </w:p>
    <w:p>
      <w:pPr>
        <w:pStyle w:val="18"/>
        <w:ind w:firstLine="2731" w:firstLineChars="850"/>
        <w:rPr>
          <w:rFonts w:hint="eastAsia" w:hAnsi="宋体"/>
          <w:b/>
          <w:bCs/>
          <w:sz w:val="32"/>
          <w:szCs w:val="32"/>
          <w:highlight w:val="none"/>
        </w:rPr>
      </w:pPr>
    </w:p>
    <w:p>
      <w:pPr>
        <w:rPr>
          <w:rFonts w:hint="eastAsia" w:hAnsi="宋体"/>
          <w:b/>
          <w:bCs/>
          <w:sz w:val="32"/>
          <w:szCs w:val="32"/>
          <w:highlight w:val="none"/>
          <w:lang w:val="en-US" w:eastAsia="zh-CN"/>
        </w:rPr>
      </w:pPr>
      <w:r>
        <w:rPr>
          <w:rFonts w:hint="eastAsia" w:hAnsi="宋体"/>
          <w:b/>
          <w:bCs/>
          <w:sz w:val="32"/>
          <w:szCs w:val="32"/>
          <w:highlight w:val="none"/>
          <w:lang w:val="en-US" w:eastAsia="zh-CN"/>
        </w:rPr>
        <w:br w:type="page"/>
      </w:r>
    </w:p>
    <w:p>
      <w:pPr>
        <w:spacing w:line="360" w:lineRule="auto"/>
        <w:jc w:val="center"/>
        <w:outlineLvl w:val="2"/>
        <w:rPr>
          <w:rStyle w:val="99"/>
          <w:rFonts w:hint="eastAsia" w:ascii="宋体" w:hAnsi="宋体" w:eastAsia="宋体" w:cs="宋体"/>
          <w:sz w:val="28"/>
          <w:szCs w:val="28"/>
          <w:highlight w:val="none"/>
        </w:rPr>
      </w:pPr>
      <w:r>
        <w:rPr>
          <w:rFonts w:hint="eastAsia" w:ascii="宋体" w:hAnsi="宋体"/>
          <w:b/>
          <w:bCs/>
          <w:sz w:val="28"/>
          <w:szCs w:val="28"/>
        </w:rPr>
        <w:t>附件</w:t>
      </w:r>
      <w:r>
        <w:rPr>
          <w:rFonts w:hint="eastAsia" w:ascii="宋体" w:hAnsi="宋体"/>
          <w:b/>
          <w:bCs/>
          <w:sz w:val="28"/>
          <w:szCs w:val="28"/>
          <w:lang w:val="en-US" w:eastAsia="zh-CN"/>
        </w:rPr>
        <w:t>4附</w:t>
      </w:r>
      <w:r>
        <w:rPr>
          <w:rStyle w:val="99"/>
          <w:rFonts w:hint="eastAsia" w:ascii="宋体" w:hAnsi="宋体" w:eastAsia="宋体" w:cs="宋体"/>
          <w:sz w:val="28"/>
          <w:szCs w:val="28"/>
          <w:highlight w:val="none"/>
        </w:rPr>
        <w:t>制造商授权书</w:t>
      </w:r>
    </w:p>
    <w:p>
      <w:pPr>
        <w:shd w:val="clear" w:color="auto" w:fill="auto"/>
        <w:spacing w:line="400" w:lineRule="exact"/>
        <w:jc w:val="center"/>
        <w:rPr>
          <w:rFonts w:hint="eastAsia" w:hAnsi="宋体"/>
          <w:b w:val="0"/>
          <w:bCs w:val="0"/>
          <w:sz w:val="28"/>
          <w:szCs w:val="28"/>
          <w:highlight w:val="none"/>
          <w:lang w:val="en-US" w:eastAsia="zh-CN"/>
        </w:rPr>
      </w:pPr>
      <w:r>
        <w:rPr>
          <w:rFonts w:hint="eastAsia" w:hAnsi="宋体"/>
          <w:b w:val="0"/>
          <w:bCs w:val="0"/>
          <w:sz w:val="28"/>
          <w:szCs w:val="28"/>
          <w:highlight w:val="none"/>
          <w:lang w:val="en-US" w:eastAsia="zh-CN"/>
        </w:rPr>
        <w:t>格式自拟</w:t>
      </w: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pacing w:line="360" w:lineRule="auto"/>
        <w:jc w:val="center"/>
        <w:outlineLvl w:val="2"/>
        <w:rPr>
          <w:rStyle w:val="99"/>
          <w:rFonts w:hint="eastAsia" w:ascii="宋体" w:hAnsi="宋体" w:eastAsia="宋体" w:cs="宋体"/>
          <w:sz w:val="28"/>
          <w:szCs w:val="28"/>
          <w:highlight w:val="none"/>
        </w:rPr>
      </w:pPr>
      <w:r>
        <w:rPr>
          <w:rFonts w:hint="eastAsia" w:ascii="宋体" w:hAnsi="宋体"/>
          <w:b/>
          <w:bCs/>
          <w:sz w:val="28"/>
          <w:szCs w:val="28"/>
        </w:rPr>
        <w:t>附件</w:t>
      </w:r>
      <w:r>
        <w:rPr>
          <w:rFonts w:hint="eastAsia" w:ascii="宋体" w:hAnsi="宋体"/>
          <w:b/>
          <w:bCs/>
          <w:sz w:val="28"/>
          <w:szCs w:val="28"/>
          <w:lang w:val="en-US" w:eastAsia="zh-CN"/>
        </w:rPr>
        <w:t>5承诺书</w:t>
      </w: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both"/>
        <w:rPr>
          <w:rFonts w:hint="default" w:hAnsi="宋体"/>
          <w:b/>
          <w:bCs/>
          <w:sz w:val="24"/>
          <w:szCs w:val="24"/>
          <w:highlight w:val="none"/>
          <w:lang w:val="en-US" w:eastAsia="zh-CN"/>
        </w:rPr>
      </w:pPr>
      <w:r>
        <w:rPr>
          <w:rFonts w:hint="eastAsia" w:hAnsi="宋体"/>
          <w:b/>
          <w:bCs/>
          <w:sz w:val="24"/>
          <w:szCs w:val="24"/>
          <w:highlight w:val="none"/>
          <w:lang w:val="en-US" w:eastAsia="zh-CN"/>
        </w:rPr>
        <w:t>致：</w:t>
      </w:r>
      <w:r>
        <w:rPr>
          <w:rFonts w:hint="eastAsia" w:hAnsi="宋体"/>
          <w:b/>
          <w:bCs/>
          <w:sz w:val="24"/>
          <w:szCs w:val="24"/>
          <w:highlight w:val="none"/>
          <w:u w:val="single"/>
          <w:lang w:val="en-US" w:eastAsia="zh-CN"/>
        </w:rPr>
        <w:t xml:space="preserve">           </w:t>
      </w:r>
      <w:r>
        <w:rPr>
          <w:rFonts w:hint="eastAsia" w:hAnsi="宋体"/>
          <w:b/>
          <w:bCs/>
          <w:sz w:val="24"/>
          <w:szCs w:val="24"/>
          <w:highlight w:val="none"/>
          <w:lang w:val="en-US" w:eastAsia="zh-CN"/>
        </w:rPr>
        <w:t>（采购人、采购代理机构）</w:t>
      </w: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both"/>
        <w:rPr>
          <w:rFonts w:hint="eastAsia" w:hAnsi="宋体"/>
          <w:b w:val="0"/>
          <w:bCs w:val="0"/>
          <w:sz w:val="22"/>
          <w:szCs w:val="22"/>
          <w:highlight w:val="none"/>
          <w:lang w:val="en-US" w:eastAsia="zh-CN"/>
        </w:rPr>
      </w:pPr>
      <w:r>
        <w:rPr>
          <w:rFonts w:hint="eastAsia" w:hAnsi="宋体"/>
          <w:b w:val="0"/>
          <w:bCs w:val="0"/>
          <w:sz w:val="22"/>
          <w:szCs w:val="22"/>
          <w:highlight w:val="none"/>
          <w:lang w:val="en-US" w:eastAsia="zh-CN"/>
        </w:rPr>
        <w:t>（公司名称）承诺：</w:t>
      </w:r>
    </w:p>
    <w:p>
      <w:pPr>
        <w:shd w:val="clear" w:color="auto" w:fill="auto"/>
        <w:spacing w:line="400" w:lineRule="exact"/>
        <w:jc w:val="both"/>
        <w:rPr>
          <w:rFonts w:hint="eastAsia" w:hAnsi="宋体"/>
          <w:b w:val="0"/>
          <w:bCs w:val="0"/>
          <w:sz w:val="22"/>
          <w:szCs w:val="22"/>
          <w:highlight w:val="none"/>
          <w:lang w:val="en-US" w:eastAsia="zh-CN"/>
        </w:rPr>
      </w:pPr>
    </w:p>
    <w:p>
      <w:pPr>
        <w:numPr>
          <w:ilvl w:val="0"/>
          <w:numId w:val="16"/>
        </w:numPr>
        <w:shd w:val="clear" w:color="auto" w:fill="auto"/>
        <w:spacing w:line="600" w:lineRule="auto"/>
        <w:jc w:val="both"/>
        <w:rPr>
          <w:rFonts w:hint="eastAsia" w:hAnsi="宋体"/>
          <w:b w:val="0"/>
          <w:bCs w:val="0"/>
          <w:sz w:val="22"/>
          <w:szCs w:val="22"/>
          <w:highlight w:val="none"/>
          <w:lang w:val="en-US" w:eastAsia="zh-CN"/>
        </w:rPr>
      </w:pPr>
      <w:r>
        <w:rPr>
          <w:rFonts w:hint="eastAsia" w:hAnsi="宋体"/>
          <w:b w:val="0"/>
          <w:bCs w:val="0"/>
          <w:sz w:val="22"/>
          <w:szCs w:val="22"/>
          <w:highlight w:val="none"/>
          <w:lang w:val="en-US" w:eastAsia="zh-CN"/>
        </w:rPr>
        <w:t>我公司不存在恶意低价中标行为。</w:t>
      </w:r>
    </w:p>
    <w:p>
      <w:pPr>
        <w:numPr>
          <w:ilvl w:val="0"/>
          <w:numId w:val="16"/>
        </w:numPr>
        <w:shd w:val="clear" w:color="auto" w:fill="auto"/>
        <w:spacing w:line="600" w:lineRule="auto"/>
        <w:jc w:val="both"/>
        <w:rPr>
          <w:rFonts w:hint="default" w:hAnsi="宋体"/>
          <w:b w:val="0"/>
          <w:bCs w:val="0"/>
          <w:sz w:val="22"/>
          <w:szCs w:val="22"/>
          <w:highlight w:val="none"/>
          <w:lang w:val="en-US" w:eastAsia="zh-CN"/>
        </w:rPr>
      </w:pPr>
      <w:r>
        <w:rPr>
          <w:rFonts w:hint="eastAsia" w:hAnsi="宋体"/>
          <w:b w:val="0"/>
          <w:bCs w:val="0"/>
          <w:sz w:val="22"/>
          <w:szCs w:val="22"/>
          <w:highlight w:val="none"/>
          <w:lang w:val="en-US" w:eastAsia="zh-CN"/>
        </w:rPr>
        <w:t>如我公司有幸中标，我公司完全严格履行、响应与采购人签订供货合同及供货时间要求。</w:t>
      </w:r>
    </w:p>
    <w:p>
      <w:pPr>
        <w:numPr>
          <w:ilvl w:val="0"/>
          <w:numId w:val="0"/>
        </w:numPr>
        <w:shd w:val="clear" w:color="auto" w:fill="auto"/>
        <w:spacing w:line="600" w:lineRule="auto"/>
        <w:jc w:val="both"/>
        <w:rPr>
          <w:rFonts w:hint="default" w:hAnsi="宋体"/>
          <w:b w:val="0"/>
          <w:bCs w:val="0"/>
          <w:sz w:val="22"/>
          <w:szCs w:val="22"/>
          <w:highlight w:val="none"/>
          <w:lang w:val="en-US" w:eastAsia="zh-CN"/>
        </w:rPr>
      </w:pPr>
      <w:r>
        <w:rPr>
          <w:rFonts w:hint="eastAsia" w:hAnsi="宋体"/>
          <w:b w:val="0"/>
          <w:bCs w:val="0"/>
          <w:sz w:val="22"/>
          <w:szCs w:val="22"/>
          <w:highlight w:val="none"/>
          <w:lang w:val="en-US" w:eastAsia="zh-CN"/>
        </w:rPr>
        <w:t>特此承诺！</w:t>
      </w: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both"/>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pStyle w:val="18"/>
        <w:snapToGrid w:val="0"/>
        <w:spacing w:line="360" w:lineRule="exact"/>
        <w:ind w:firstLine="4418" w:firstLineChars="2104"/>
        <w:rPr>
          <w:rFonts w:hAnsi="宋体"/>
          <w:highlight w:val="none"/>
        </w:rPr>
      </w:pPr>
      <w:r>
        <w:rPr>
          <w:rFonts w:hint="eastAsia" w:ascii="宋体" w:hAnsi="宋体"/>
          <w:szCs w:val="21"/>
          <w:highlight w:val="none"/>
          <w:lang w:val="en-US" w:eastAsia="zh-CN"/>
        </w:rPr>
        <w:t>供应商</w:t>
      </w:r>
      <w:r>
        <w:rPr>
          <w:rFonts w:hAnsi="宋体"/>
          <w:highlight w:val="none"/>
        </w:rPr>
        <w:t>：</w:t>
      </w:r>
      <w:r>
        <w:rPr>
          <w:rFonts w:hint="eastAsia" w:hAnsi="宋体"/>
          <w:highlight w:val="none"/>
          <w:u w:val="single"/>
        </w:rPr>
        <w:t xml:space="preserve">                       </w:t>
      </w:r>
      <w:r>
        <w:rPr>
          <w:rFonts w:hAnsi="宋体"/>
          <w:highlight w:val="none"/>
        </w:rPr>
        <w:t>（</w:t>
      </w:r>
      <w:r>
        <w:rPr>
          <w:rFonts w:hint="eastAsia" w:hAnsi="宋体"/>
          <w:highlight w:val="none"/>
        </w:rPr>
        <w:t>盖单位章</w:t>
      </w:r>
      <w:r>
        <w:rPr>
          <w:rFonts w:hAnsi="宋体"/>
          <w:highlight w:val="none"/>
        </w:rPr>
        <w:t>）</w:t>
      </w:r>
    </w:p>
    <w:p>
      <w:pPr>
        <w:pStyle w:val="18"/>
        <w:snapToGrid w:val="0"/>
        <w:spacing w:line="360" w:lineRule="exact"/>
        <w:ind w:firstLine="3578" w:firstLineChars="1704"/>
        <w:rPr>
          <w:rFonts w:hint="eastAsia" w:hAnsi="宋体"/>
          <w:highlight w:val="none"/>
        </w:rPr>
      </w:pPr>
    </w:p>
    <w:p>
      <w:pPr>
        <w:pStyle w:val="18"/>
        <w:wordWrap w:val="0"/>
        <w:snapToGrid w:val="0"/>
        <w:spacing w:line="360" w:lineRule="exact"/>
        <w:ind w:firstLine="4418" w:firstLineChars="2104"/>
        <w:rPr>
          <w:rFonts w:hint="eastAsia" w:hAnsi="宋体"/>
          <w:highlight w:val="none"/>
        </w:rPr>
      </w:pPr>
      <w:r>
        <w:rPr>
          <w:rFonts w:hAnsi="宋体"/>
          <w:highlight w:val="none"/>
        </w:rPr>
        <w:t>法定代表人：</w:t>
      </w:r>
      <w:r>
        <w:rPr>
          <w:rFonts w:hint="eastAsia" w:hAnsi="宋体"/>
          <w:highlight w:val="none"/>
          <w:u w:val="single"/>
        </w:rPr>
        <w:t xml:space="preserve">    </w:t>
      </w:r>
      <w:r>
        <w:rPr>
          <w:rFonts w:hint="eastAsia" w:hAnsi="宋体"/>
          <w:highlight w:val="none"/>
          <w:u w:val="single"/>
          <w:lang w:val="en-US" w:eastAsia="zh-CN"/>
        </w:rPr>
        <w:t xml:space="preserve">           </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lang w:eastAsia="zh-CN"/>
        </w:rPr>
        <w:t>或盖章</w:t>
      </w:r>
      <w:r>
        <w:rPr>
          <w:rFonts w:hint="eastAsia" w:hAnsi="宋体"/>
          <w:highlight w:val="none"/>
        </w:rPr>
        <w:t>）</w:t>
      </w:r>
    </w:p>
    <w:p>
      <w:pPr>
        <w:pStyle w:val="18"/>
        <w:wordWrap w:val="0"/>
        <w:snapToGrid w:val="0"/>
        <w:spacing w:line="360" w:lineRule="exact"/>
        <w:ind w:firstLine="3578" w:firstLineChars="1704"/>
        <w:rPr>
          <w:rFonts w:hint="eastAsia" w:hAnsi="宋体"/>
          <w:highlight w:val="none"/>
        </w:rPr>
      </w:pPr>
    </w:p>
    <w:p>
      <w:pPr>
        <w:tabs>
          <w:tab w:val="left" w:pos="1305"/>
        </w:tabs>
        <w:spacing w:line="360" w:lineRule="auto"/>
        <w:ind w:firstLine="5029" w:firstLineChars="2395"/>
        <w:rPr>
          <w:rFonts w:hAnsi="宋体"/>
          <w:highlight w:val="none"/>
        </w:rPr>
      </w:pP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 xml:space="preserve"> 年</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月</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日</w:t>
      </w:r>
    </w:p>
    <w:p>
      <w:pPr>
        <w:shd w:val="clear" w:color="auto" w:fill="auto"/>
        <w:spacing w:line="400" w:lineRule="exact"/>
        <w:jc w:val="center"/>
        <w:rPr>
          <w:rFonts w:hint="default" w:hAnsi="宋体"/>
          <w:b/>
          <w:bCs/>
          <w:sz w:val="32"/>
          <w:szCs w:val="32"/>
          <w:highlight w:val="none"/>
          <w:lang w:val="en-US" w:eastAsia="zh-CN"/>
        </w:rPr>
      </w:pPr>
      <w:r>
        <w:rPr>
          <w:rFonts w:hint="eastAsia" w:hAnsi="宋体"/>
          <w:b/>
          <w:bCs/>
          <w:sz w:val="32"/>
          <w:szCs w:val="32"/>
          <w:highlight w:val="none"/>
          <w:lang w:val="en-US" w:eastAsia="zh-CN"/>
        </w:rPr>
        <w:t xml:space="preserve">                </w:t>
      </w: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r>
        <w:rPr>
          <w:rFonts w:hint="eastAsia" w:hAnsi="宋体"/>
          <w:b/>
          <w:bCs/>
          <w:sz w:val="32"/>
          <w:szCs w:val="32"/>
          <w:highlight w:val="none"/>
          <w:lang w:val="en-US" w:eastAsia="zh-CN"/>
        </w:rPr>
        <w:t>九、售后服务承诺</w:t>
      </w:r>
    </w:p>
    <w:p>
      <w:pPr>
        <w:pStyle w:val="12"/>
        <w:rPr>
          <w:rFonts w:hint="eastAsia"/>
          <w:highlight w:val="none"/>
          <w:lang w:val="en-US" w:eastAsia="zh-CN"/>
        </w:rPr>
      </w:pPr>
    </w:p>
    <w:p>
      <w:pPr>
        <w:jc w:val="center"/>
        <w:rPr>
          <w:rFonts w:hint="eastAsia" w:hAnsi="宋体"/>
          <w:b w:val="0"/>
          <w:bCs w:val="0"/>
          <w:sz w:val="32"/>
          <w:szCs w:val="32"/>
          <w:highlight w:val="none"/>
          <w:lang w:val="en-US" w:eastAsia="zh-CN"/>
        </w:rPr>
      </w:pPr>
      <w:r>
        <w:rPr>
          <w:rFonts w:hint="eastAsia" w:hAnsi="宋体"/>
          <w:b w:val="0"/>
          <w:bCs w:val="0"/>
          <w:sz w:val="32"/>
          <w:szCs w:val="32"/>
          <w:highlight w:val="none"/>
          <w:lang w:val="en-US" w:eastAsia="zh-CN"/>
        </w:rPr>
        <w:t xml:space="preserve">   </w:t>
      </w:r>
      <w:r>
        <w:rPr>
          <w:rFonts w:hint="eastAsia" w:hAnsi="宋体"/>
          <w:b w:val="0"/>
          <w:bCs w:val="0"/>
          <w:sz w:val="28"/>
          <w:szCs w:val="28"/>
          <w:highlight w:val="none"/>
          <w:lang w:val="en-US" w:eastAsia="zh-CN"/>
        </w:rPr>
        <w:t>格式自拟</w:t>
      </w:r>
    </w:p>
    <w:p>
      <w:pPr>
        <w:rPr>
          <w:rFonts w:hint="eastAsia" w:hAnsi="宋体"/>
          <w:b/>
          <w:bCs/>
          <w:sz w:val="32"/>
          <w:szCs w:val="32"/>
          <w:highlight w:val="none"/>
          <w:lang w:val="en-US" w:eastAsia="zh-CN"/>
        </w:rPr>
      </w:pPr>
      <w:r>
        <w:rPr>
          <w:rFonts w:hint="eastAsia" w:hAnsi="宋体"/>
          <w:b/>
          <w:bCs/>
          <w:sz w:val="32"/>
          <w:szCs w:val="32"/>
          <w:highlight w:val="none"/>
          <w:lang w:val="en-US" w:eastAsia="zh-CN"/>
        </w:rPr>
        <w:br w:type="page"/>
      </w:r>
    </w:p>
    <w:p>
      <w:pPr>
        <w:pStyle w:val="18"/>
        <w:keepNext w:val="0"/>
        <w:keepLines w:val="0"/>
        <w:pageBreakBefore w:val="0"/>
        <w:widowControl w:val="0"/>
        <w:kinsoku/>
        <w:wordWrap/>
        <w:overflowPunct/>
        <w:topLinePunct w:val="0"/>
        <w:autoSpaceDE/>
        <w:autoSpaceDN/>
        <w:bidi w:val="0"/>
        <w:adjustRightInd/>
        <w:snapToGrid/>
        <w:spacing w:line="360" w:lineRule="auto"/>
        <w:ind w:firstLine="3052" w:firstLineChars="950"/>
        <w:textAlignment w:val="auto"/>
        <w:rPr>
          <w:rFonts w:hint="default" w:hAnsi="宋体" w:eastAsia="宋体"/>
          <w:b/>
          <w:bCs/>
          <w:sz w:val="32"/>
          <w:szCs w:val="32"/>
          <w:highlight w:val="none"/>
          <w:lang w:val="en-US" w:eastAsia="zh-CN"/>
        </w:rPr>
      </w:pPr>
      <w:r>
        <w:rPr>
          <w:rFonts w:hint="eastAsia" w:hAnsi="宋体"/>
          <w:b/>
          <w:bCs/>
          <w:sz w:val="32"/>
          <w:szCs w:val="32"/>
          <w:highlight w:val="none"/>
          <w:lang w:val="en-US" w:eastAsia="zh-CN"/>
        </w:rPr>
        <w:t>十、项目实施人员一览表</w:t>
      </w:r>
    </w:p>
    <w:tbl>
      <w:tblPr>
        <w:tblStyle w:val="49"/>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631"/>
        <w:gridCol w:w="1955"/>
        <w:gridCol w:w="1149"/>
        <w:gridCol w:w="1653"/>
        <w:gridCol w:w="2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bookmarkStart w:id="57" w:name="_Toc20117"/>
            <w:bookmarkStart w:id="58" w:name="_Toc8931"/>
            <w:r>
              <w:rPr>
                <w:rFonts w:hint="eastAsia" w:ascii="宋体" w:hAnsi="宋体" w:cs="宋体"/>
                <w:szCs w:val="21"/>
                <w:highlight w:val="none"/>
              </w:rPr>
              <w:t>序号</w:t>
            </w:r>
          </w:p>
        </w:tc>
        <w:tc>
          <w:tcPr>
            <w:tcW w:w="1631"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姓名</w:t>
            </w:r>
          </w:p>
        </w:tc>
        <w:tc>
          <w:tcPr>
            <w:tcW w:w="1955"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在本项目中的职务</w:t>
            </w:r>
          </w:p>
        </w:tc>
        <w:tc>
          <w:tcPr>
            <w:tcW w:w="1149"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年龄</w:t>
            </w:r>
          </w:p>
        </w:tc>
        <w:tc>
          <w:tcPr>
            <w:tcW w:w="1653"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工作年限</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adjustRightInd w:val="0"/>
              <w:snapToGrid w:val="0"/>
              <w:jc w:val="center"/>
              <w:rPr>
                <w:sz w:val="23"/>
                <w:szCs w:val="23"/>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adjustRightInd w:val="0"/>
              <w:snapToGrid w:val="0"/>
              <w:jc w:val="center"/>
              <w:rPr>
                <w:sz w:val="23"/>
                <w:szCs w:val="23"/>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adjustRightInd w:val="0"/>
              <w:snapToGrid w:val="0"/>
              <w:jc w:val="center"/>
              <w:rPr>
                <w:sz w:val="23"/>
                <w:szCs w:val="23"/>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adjustRightInd w:val="0"/>
              <w:snapToGrid w:val="0"/>
              <w:jc w:val="center"/>
              <w:rPr>
                <w:sz w:val="23"/>
                <w:szCs w:val="23"/>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adjustRightInd w:val="0"/>
              <w:snapToGrid w:val="0"/>
              <w:jc w:val="center"/>
              <w:rPr>
                <w:sz w:val="23"/>
                <w:szCs w:val="23"/>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hint="eastAsia"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hint="eastAsia"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bl>
    <w:p>
      <w:pPr>
        <w:spacing w:line="360" w:lineRule="auto"/>
        <w:jc w:val="center"/>
        <w:outlineLvl w:val="2"/>
        <w:rPr>
          <w:rStyle w:val="65"/>
          <w:rFonts w:hint="eastAsia" w:ascii="宋体" w:hAnsi="宋体" w:eastAsia="宋体" w:cs="宋体"/>
          <w:sz w:val="28"/>
          <w:szCs w:val="28"/>
          <w:highlight w:val="none"/>
        </w:rPr>
      </w:pPr>
    </w:p>
    <w:p>
      <w:pPr>
        <w:spacing w:line="360" w:lineRule="auto"/>
        <w:jc w:val="center"/>
        <w:outlineLvl w:val="2"/>
        <w:rPr>
          <w:rStyle w:val="65"/>
          <w:rFonts w:hint="eastAsia" w:ascii="宋体" w:hAnsi="宋体" w:eastAsia="宋体" w:cs="宋体"/>
          <w:sz w:val="28"/>
          <w:szCs w:val="28"/>
          <w:highlight w:val="none"/>
        </w:rPr>
      </w:pPr>
    </w:p>
    <w:p>
      <w:pPr>
        <w:spacing w:line="360" w:lineRule="auto"/>
        <w:jc w:val="center"/>
        <w:outlineLvl w:val="2"/>
        <w:rPr>
          <w:rStyle w:val="65"/>
          <w:rFonts w:hint="eastAsia" w:ascii="宋体" w:hAnsi="宋体" w:eastAsia="宋体" w:cs="宋体"/>
          <w:sz w:val="28"/>
          <w:szCs w:val="28"/>
          <w:highlight w:val="none"/>
        </w:rPr>
      </w:pPr>
    </w:p>
    <w:p>
      <w:pPr>
        <w:spacing w:line="360" w:lineRule="auto"/>
        <w:jc w:val="center"/>
        <w:outlineLvl w:val="2"/>
        <w:rPr>
          <w:rStyle w:val="65"/>
          <w:rFonts w:hint="eastAsia" w:ascii="宋体" w:hAnsi="宋体" w:eastAsia="宋体" w:cs="宋体"/>
          <w:sz w:val="28"/>
          <w:szCs w:val="28"/>
          <w:highlight w:val="none"/>
        </w:rPr>
      </w:pPr>
    </w:p>
    <w:p>
      <w:pPr>
        <w:spacing w:line="360" w:lineRule="auto"/>
        <w:jc w:val="center"/>
        <w:outlineLvl w:val="2"/>
        <w:rPr>
          <w:rStyle w:val="65"/>
          <w:rFonts w:hint="eastAsia" w:ascii="宋体" w:hAnsi="宋体" w:eastAsia="宋体" w:cs="宋体"/>
          <w:sz w:val="28"/>
          <w:szCs w:val="28"/>
          <w:highlight w:val="none"/>
        </w:rPr>
      </w:pPr>
    </w:p>
    <w:p>
      <w:pPr>
        <w:spacing w:line="360" w:lineRule="auto"/>
        <w:jc w:val="center"/>
        <w:outlineLvl w:val="2"/>
        <w:rPr>
          <w:rStyle w:val="65"/>
          <w:rFonts w:hint="eastAsia" w:ascii="宋体" w:hAnsi="宋体" w:eastAsia="宋体" w:cs="宋体"/>
          <w:sz w:val="28"/>
          <w:szCs w:val="28"/>
          <w:highlight w:val="none"/>
        </w:rPr>
      </w:pPr>
    </w:p>
    <w:p>
      <w:pPr>
        <w:rPr>
          <w:rStyle w:val="65"/>
          <w:rFonts w:hint="eastAsia" w:ascii="宋体" w:hAnsi="宋体" w:eastAsia="宋体" w:cs="宋体"/>
          <w:sz w:val="28"/>
          <w:szCs w:val="28"/>
          <w:highlight w:val="none"/>
          <w:lang w:val="en-US" w:eastAsia="zh-CN"/>
        </w:rPr>
      </w:pPr>
      <w:r>
        <w:rPr>
          <w:rStyle w:val="65"/>
          <w:rFonts w:hint="eastAsia" w:ascii="宋体" w:hAnsi="宋体" w:eastAsia="宋体" w:cs="宋体"/>
          <w:sz w:val="28"/>
          <w:szCs w:val="28"/>
          <w:highlight w:val="none"/>
          <w:lang w:val="en-US" w:eastAsia="zh-CN"/>
        </w:rPr>
        <w:br w:type="page"/>
      </w:r>
    </w:p>
    <w:p>
      <w:pPr>
        <w:spacing w:line="360" w:lineRule="auto"/>
        <w:jc w:val="center"/>
        <w:outlineLvl w:val="2"/>
        <w:rPr>
          <w:rStyle w:val="65"/>
          <w:rFonts w:hint="eastAsia" w:ascii="宋体" w:hAnsi="宋体" w:eastAsia="宋体" w:cs="宋体"/>
          <w:sz w:val="28"/>
          <w:szCs w:val="28"/>
          <w:highlight w:val="none"/>
        </w:rPr>
      </w:pPr>
      <w:r>
        <w:rPr>
          <w:rStyle w:val="65"/>
          <w:rFonts w:hint="eastAsia" w:asciiTheme="majorEastAsia" w:hAnsiTheme="majorEastAsia" w:eastAsiaTheme="majorEastAsia" w:cstheme="majorEastAsia"/>
          <w:sz w:val="28"/>
          <w:szCs w:val="28"/>
          <w:highlight w:val="none"/>
          <w:lang w:val="en-US" w:eastAsia="zh-CN"/>
        </w:rPr>
        <w:t>十一、供</w:t>
      </w:r>
      <w:r>
        <w:rPr>
          <w:rStyle w:val="65"/>
          <w:rFonts w:hint="eastAsia" w:ascii="宋体" w:hAnsi="宋体" w:eastAsia="宋体" w:cs="宋体"/>
          <w:sz w:val="28"/>
          <w:szCs w:val="28"/>
          <w:highlight w:val="none"/>
          <w:lang w:val="en-US" w:eastAsia="zh-CN"/>
        </w:rPr>
        <w:t>应商</w:t>
      </w:r>
      <w:r>
        <w:rPr>
          <w:rStyle w:val="65"/>
          <w:rFonts w:hint="eastAsia" w:ascii="宋体" w:hAnsi="宋体" w:eastAsia="宋体" w:cs="宋体"/>
          <w:sz w:val="28"/>
          <w:szCs w:val="28"/>
          <w:highlight w:val="none"/>
        </w:rPr>
        <w:t>近年完成的类似项目情况表</w:t>
      </w:r>
      <w:bookmarkEnd w:id="57"/>
    </w:p>
    <w:bookmarkEnd w:id="58"/>
    <w:tbl>
      <w:tblPr>
        <w:tblStyle w:val="49"/>
        <w:tblW w:w="94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713"/>
        <w:gridCol w:w="2170"/>
        <w:gridCol w:w="1590"/>
        <w:gridCol w:w="1445"/>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1" w:hRule="atLeast"/>
          <w:jc w:val="center"/>
        </w:trPr>
        <w:tc>
          <w:tcPr>
            <w:tcW w:w="862" w:type="dxa"/>
            <w:vAlign w:val="center"/>
          </w:tcPr>
          <w:p>
            <w:pPr>
              <w:spacing w:line="360" w:lineRule="auto"/>
              <w:jc w:val="center"/>
              <w:rPr>
                <w:rFonts w:hint="eastAsia" w:ascii="宋体" w:hAnsi="宋体"/>
                <w:bCs/>
                <w:szCs w:val="21"/>
                <w:highlight w:val="none"/>
              </w:rPr>
            </w:pPr>
            <w:r>
              <w:rPr>
                <w:rFonts w:hint="eastAsia" w:ascii="宋体" w:hAnsi="宋体"/>
                <w:bCs/>
                <w:szCs w:val="21"/>
                <w:highlight w:val="none"/>
              </w:rPr>
              <w:t>序号</w:t>
            </w:r>
          </w:p>
        </w:tc>
        <w:tc>
          <w:tcPr>
            <w:tcW w:w="1713" w:type="dxa"/>
            <w:vAlign w:val="center"/>
          </w:tcPr>
          <w:p>
            <w:pPr>
              <w:spacing w:line="360" w:lineRule="auto"/>
              <w:jc w:val="center"/>
              <w:rPr>
                <w:rFonts w:hint="eastAsia" w:ascii="宋体" w:hAnsi="宋体"/>
                <w:bCs/>
                <w:szCs w:val="21"/>
                <w:highlight w:val="none"/>
              </w:rPr>
            </w:pPr>
            <w:r>
              <w:rPr>
                <w:rFonts w:hint="eastAsia" w:ascii="宋体" w:hAnsi="宋体"/>
                <w:bCs/>
                <w:szCs w:val="21"/>
                <w:highlight w:val="none"/>
              </w:rPr>
              <w:t>采购人</w:t>
            </w:r>
          </w:p>
        </w:tc>
        <w:tc>
          <w:tcPr>
            <w:tcW w:w="2170" w:type="dxa"/>
            <w:vAlign w:val="center"/>
          </w:tcPr>
          <w:p>
            <w:pPr>
              <w:spacing w:line="360" w:lineRule="auto"/>
              <w:jc w:val="center"/>
              <w:rPr>
                <w:rFonts w:hint="eastAsia" w:ascii="宋体" w:hAnsi="宋体"/>
                <w:bCs/>
                <w:szCs w:val="21"/>
                <w:highlight w:val="none"/>
              </w:rPr>
            </w:pPr>
            <w:r>
              <w:rPr>
                <w:rFonts w:hint="eastAsia" w:ascii="宋体" w:hAnsi="宋体"/>
                <w:bCs/>
                <w:szCs w:val="21"/>
                <w:highlight w:val="none"/>
              </w:rPr>
              <w:t>项目名称</w:t>
            </w:r>
          </w:p>
        </w:tc>
        <w:tc>
          <w:tcPr>
            <w:tcW w:w="1590" w:type="dxa"/>
            <w:vAlign w:val="center"/>
          </w:tcPr>
          <w:p>
            <w:pPr>
              <w:spacing w:line="360" w:lineRule="auto"/>
              <w:jc w:val="center"/>
              <w:rPr>
                <w:rFonts w:hint="eastAsia" w:ascii="宋体" w:hAnsi="宋体"/>
                <w:bCs/>
                <w:szCs w:val="21"/>
                <w:highlight w:val="none"/>
              </w:rPr>
            </w:pPr>
            <w:r>
              <w:rPr>
                <w:rFonts w:hint="eastAsia" w:ascii="宋体" w:hAnsi="宋体"/>
                <w:bCs/>
                <w:szCs w:val="21"/>
                <w:highlight w:val="none"/>
                <w:lang w:eastAsia="zh-CN"/>
              </w:rPr>
              <w:t>中标</w:t>
            </w:r>
            <w:r>
              <w:rPr>
                <w:rFonts w:hint="eastAsia" w:ascii="宋体" w:hAnsi="宋体"/>
                <w:bCs/>
                <w:szCs w:val="21"/>
                <w:highlight w:val="none"/>
              </w:rPr>
              <w:t xml:space="preserve">金额 </w:t>
            </w:r>
          </w:p>
          <w:p>
            <w:pPr>
              <w:spacing w:line="360" w:lineRule="auto"/>
              <w:jc w:val="center"/>
              <w:rPr>
                <w:rFonts w:hint="eastAsia" w:ascii="宋体" w:hAnsi="宋体"/>
                <w:bCs/>
                <w:szCs w:val="21"/>
                <w:highlight w:val="none"/>
              </w:rPr>
            </w:pPr>
            <w:r>
              <w:rPr>
                <w:rFonts w:hint="eastAsia" w:ascii="宋体" w:hAnsi="宋体"/>
                <w:bCs/>
                <w:szCs w:val="21"/>
                <w:highlight w:val="none"/>
              </w:rPr>
              <w:t xml:space="preserve"> (人民币)</w:t>
            </w:r>
          </w:p>
        </w:tc>
        <w:tc>
          <w:tcPr>
            <w:tcW w:w="1445" w:type="dxa"/>
            <w:vAlign w:val="center"/>
          </w:tcPr>
          <w:p>
            <w:pPr>
              <w:spacing w:line="360" w:lineRule="auto"/>
              <w:jc w:val="center"/>
              <w:rPr>
                <w:rFonts w:hint="eastAsia" w:ascii="宋体" w:hAnsi="宋体"/>
                <w:bCs/>
                <w:szCs w:val="21"/>
                <w:highlight w:val="none"/>
              </w:rPr>
            </w:pPr>
            <w:r>
              <w:rPr>
                <w:rFonts w:hint="eastAsia" w:ascii="宋体" w:hAnsi="宋体"/>
                <w:bCs/>
                <w:szCs w:val="21"/>
                <w:highlight w:val="none"/>
              </w:rPr>
              <w:t>签订时间</w:t>
            </w:r>
          </w:p>
        </w:tc>
        <w:tc>
          <w:tcPr>
            <w:tcW w:w="1649" w:type="dxa"/>
            <w:vAlign w:val="center"/>
          </w:tcPr>
          <w:p>
            <w:pPr>
              <w:spacing w:line="360" w:lineRule="auto"/>
              <w:jc w:val="center"/>
              <w:rPr>
                <w:rFonts w:hint="eastAsia" w:ascii="宋体" w:hAnsi="宋体"/>
                <w:bCs/>
                <w:szCs w:val="21"/>
                <w:highlight w:val="none"/>
              </w:rPr>
            </w:pPr>
            <w:r>
              <w:rPr>
                <w:rFonts w:hint="eastAsia" w:ascii="宋体" w:hAnsi="宋体"/>
                <w:bCs/>
                <w:szCs w:val="21"/>
                <w:highlight w:val="none"/>
                <w:lang w:eastAsia="zh-CN"/>
              </w:rPr>
              <w:t>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862" w:type="dxa"/>
            <w:vAlign w:val="center"/>
          </w:tcPr>
          <w:p>
            <w:pPr>
              <w:spacing w:line="360" w:lineRule="auto"/>
              <w:rPr>
                <w:rFonts w:hint="eastAsia" w:ascii="宋体" w:hAnsi="宋体"/>
                <w:b/>
                <w:bCs/>
                <w:sz w:val="24"/>
                <w:highlight w:val="none"/>
              </w:rPr>
            </w:pPr>
          </w:p>
        </w:tc>
        <w:tc>
          <w:tcPr>
            <w:tcW w:w="1713" w:type="dxa"/>
            <w:vAlign w:val="center"/>
          </w:tcPr>
          <w:p>
            <w:pPr>
              <w:spacing w:line="360" w:lineRule="auto"/>
              <w:rPr>
                <w:rFonts w:hint="eastAsia" w:ascii="宋体" w:hAnsi="宋体"/>
                <w:b/>
                <w:bCs/>
                <w:szCs w:val="21"/>
                <w:highlight w:val="none"/>
              </w:rPr>
            </w:pPr>
          </w:p>
        </w:tc>
        <w:tc>
          <w:tcPr>
            <w:tcW w:w="2170" w:type="dxa"/>
            <w:vAlign w:val="center"/>
          </w:tcPr>
          <w:p>
            <w:pPr>
              <w:spacing w:line="360" w:lineRule="auto"/>
              <w:rPr>
                <w:rFonts w:hint="eastAsia" w:ascii="宋体" w:hAnsi="宋体"/>
                <w:b/>
                <w:bCs/>
                <w:szCs w:val="21"/>
                <w:highlight w:val="none"/>
              </w:rPr>
            </w:pPr>
          </w:p>
        </w:tc>
        <w:tc>
          <w:tcPr>
            <w:tcW w:w="1590" w:type="dxa"/>
            <w:vAlign w:val="center"/>
          </w:tcPr>
          <w:p>
            <w:pPr>
              <w:spacing w:line="360" w:lineRule="auto"/>
              <w:rPr>
                <w:rFonts w:hint="eastAsia" w:ascii="宋体" w:hAnsi="宋体"/>
                <w:b/>
                <w:bCs/>
                <w:szCs w:val="21"/>
                <w:highlight w:val="none"/>
              </w:rPr>
            </w:pPr>
          </w:p>
        </w:tc>
        <w:tc>
          <w:tcPr>
            <w:tcW w:w="1445" w:type="dxa"/>
          </w:tcPr>
          <w:p>
            <w:pPr>
              <w:pStyle w:val="75"/>
              <w:spacing w:before="145"/>
              <w:rPr>
                <w:rFonts w:ascii="宋体" w:hAnsi="宋体" w:cs="宋体"/>
                <w:szCs w:val="21"/>
                <w:highlight w:val="none"/>
              </w:rPr>
            </w:pPr>
          </w:p>
        </w:tc>
        <w:tc>
          <w:tcPr>
            <w:tcW w:w="1649" w:type="dxa"/>
            <w:vAlign w:val="center"/>
          </w:tcPr>
          <w:p>
            <w:pPr>
              <w:spacing w:line="360" w:lineRule="auto"/>
              <w:rPr>
                <w:rFonts w:hint="eastAsia" w:ascii="宋体" w:hAnsi="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862" w:type="dxa"/>
            <w:vAlign w:val="center"/>
          </w:tcPr>
          <w:p>
            <w:pPr>
              <w:spacing w:line="360" w:lineRule="auto"/>
              <w:rPr>
                <w:rFonts w:hint="eastAsia" w:ascii="宋体" w:hAnsi="宋体"/>
                <w:b/>
                <w:bCs/>
                <w:sz w:val="24"/>
                <w:highlight w:val="none"/>
              </w:rPr>
            </w:pPr>
          </w:p>
        </w:tc>
        <w:tc>
          <w:tcPr>
            <w:tcW w:w="1713" w:type="dxa"/>
            <w:vAlign w:val="center"/>
          </w:tcPr>
          <w:p>
            <w:pPr>
              <w:spacing w:line="360" w:lineRule="auto"/>
              <w:rPr>
                <w:rFonts w:hint="eastAsia" w:ascii="宋体" w:hAnsi="宋体"/>
                <w:b/>
                <w:bCs/>
                <w:szCs w:val="21"/>
                <w:highlight w:val="none"/>
              </w:rPr>
            </w:pPr>
          </w:p>
        </w:tc>
        <w:tc>
          <w:tcPr>
            <w:tcW w:w="2170" w:type="dxa"/>
            <w:vAlign w:val="center"/>
          </w:tcPr>
          <w:p>
            <w:pPr>
              <w:spacing w:line="360" w:lineRule="auto"/>
              <w:rPr>
                <w:rFonts w:hint="eastAsia" w:ascii="宋体" w:hAnsi="宋体"/>
                <w:b/>
                <w:bCs/>
                <w:szCs w:val="21"/>
                <w:highlight w:val="none"/>
              </w:rPr>
            </w:pPr>
          </w:p>
        </w:tc>
        <w:tc>
          <w:tcPr>
            <w:tcW w:w="1590" w:type="dxa"/>
            <w:vAlign w:val="center"/>
          </w:tcPr>
          <w:p>
            <w:pPr>
              <w:spacing w:line="360" w:lineRule="auto"/>
              <w:rPr>
                <w:rFonts w:hint="eastAsia" w:ascii="宋体" w:hAnsi="宋体"/>
                <w:b/>
                <w:bCs/>
                <w:sz w:val="24"/>
                <w:highlight w:val="none"/>
              </w:rPr>
            </w:pPr>
          </w:p>
        </w:tc>
        <w:tc>
          <w:tcPr>
            <w:tcW w:w="1445" w:type="dxa"/>
          </w:tcPr>
          <w:p>
            <w:pPr>
              <w:spacing w:line="360" w:lineRule="auto"/>
              <w:jc w:val="left"/>
              <w:rPr>
                <w:rFonts w:hint="eastAsia" w:ascii="宋体" w:hAnsi="宋体"/>
                <w:b/>
                <w:bCs/>
                <w:szCs w:val="21"/>
                <w:highlight w:val="none"/>
              </w:rPr>
            </w:pPr>
          </w:p>
        </w:tc>
        <w:tc>
          <w:tcPr>
            <w:tcW w:w="1649" w:type="dxa"/>
            <w:vAlign w:val="center"/>
          </w:tcPr>
          <w:p>
            <w:pPr>
              <w:spacing w:line="360" w:lineRule="auto"/>
              <w:rPr>
                <w:rFonts w:hint="eastAsia"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862" w:type="dxa"/>
          </w:tcPr>
          <w:p>
            <w:pPr>
              <w:spacing w:line="360" w:lineRule="auto"/>
              <w:jc w:val="left"/>
              <w:rPr>
                <w:rFonts w:hint="eastAsia" w:ascii="宋体" w:hAnsi="宋体"/>
                <w:b/>
                <w:bCs/>
                <w:sz w:val="24"/>
                <w:highlight w:val="none"/>
              </w:rPr>
            </w:pPr>
          </w:p>
        </w:tc>
        <w:tc>
          <w:tcPr>
            <w:tcW w:w="1713" w:type="dxa"/>
          </w:tcPr>
          <w:p>
            <w:pPr>
              <w:spacing w:line="360" w:lineRule="auto"/>
              <w:jc w:val="left"/>
              <w:rPr>
                <w:rFonts w:hint="eastAsia" w:ascii="宋体" w:hAnsi="宋体"/>
                <w:b/>
                <w:bCs/>
                <w:sz w:val="24"/>
                <w:highlight w:val="none"/>
              </w:rPr>
            </w:pPr>
          </w:p>
        </w:tc>
        <w:tc>
          <w:tcPr>
            <w:tcW w:w="2170" w:type="dxa"/>
          </w:tcPr>
          <w:p>
            <w:pPr>
              <w:spacing w:line="360" w:lineRule="auto"/>
              <w:jc w:val="left"/>
              <w:rPr>
                <w:rFonts w:hint="eastAsia" w:ascii="宋体" w:hAnsi="宋体"/>
                <w:b/>
                <w:bCs/>
                <w:sz w:val="24"/>
                <w:highlight w:val="none"/>
              </w:rPr>
            </w:pPr>
          </w:p>
        </w:tc>
        <w:tc>
          <w:tcPr>
            <w:tcW w:w="1590" w:type="dxa"/>
          </w:tcPr>
          <w:p>
            <w:pPr>
              <w:spacing w:line="360" w:lineRule="auto"/>
              <w:jc w:val="left"/>
              <w:rPr>
                <w:rFonts w:hint="eastAsia" w:ascii="宋体" w:hAnsi="宋体"/>
                <w:b/>
                <w:bCs/>
                <w:sz w:val="24"/>
                <w:highlight w:val="none"/>
              </w:rPr>
            </w:pPr>
          </w:p>
        </w:tc>
        <w:tc>
          <w:tcPr>
            <w:tcW w:w="1445" w:type="dxa"/>
          </w:tcPr>
          <w:p>
            <w:pPr>
              <w:spacing w:line="360" w:lineRule="auto"/>
              <w:jc w:val="left"/>
              <w:rPr>
                <w:rFonts w:hint="eastAsia" w:ascii="宋体" w:hAnsi="宋体"/>
                <w:b/>
                <w:bCs/>
                <w:sz w:val="24"/>
                <w:highlight w:val="none"/>
              </w:rPr>
            </w:pPr>
          </w:p>
        </w:tc>
        <w:tc>
          <w:tcPr>
            <w:tcW w:w="1649" w:type="dxa"/>
          </w:tcPr>
          <w:p>
            <w:pPr>
              <w:spacing w:line="360" w:lineRule="auto"/>
              <w:jc w:val="left"/>
              <w:rPr>
                <w:rFonts w:hint="eastAsia"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862" w:type="dxa"/>
          </w:tcPr>
          <w:p>
            <w:pPr>
              <w:spacing w:line="360" w:lineRule="auto"/>
              <w:jc w:val="left"/>
              <w:rPr>
                <w:rFonts w:hint="eastAsia" w:ascii="宋体" w:hAnsi="宋体"/>
                <w:b/>
                <w:bCs/>
                <w:sz w:val="24"/>
                <w:highlight w:val="none"/>
              </w:rPr>
            </w:pPr>
          </w:p>
        </w:tc>
        <w:tc>
          <w:tcPr>
            <w:tcW w:w="1713" w:type="dxa"/>
          </w:tcPr>
          <w:p>
            <w:pPr>
              <w:spacing w:line="360" w:lineRule="auto"/>
              <w:jc w:val="left"/>
              <w:rPr>
                <w:rFonts w:hint="eastAsia" w:ascii="宋体" w:hAnsi="宋体"/>
                <w:b/>
                <w:bCs/>
                <w:sz w:val="24"/>
                <w:highlight w:val="none"/>
              </w:rPr>
            </w:pPr>
          </w:p>
        </w:tc>
        <w:tc>
          <w:tcPr>
            <w:tcW w:w="2170" w:type="dxa"/>
          </w:tcPr>
          <w:p>
            <w:pPr>
              <w:spacing w:line="360" w:lineRule="auto"/>
              <w:jc w:val="left"/>
              <w:rPr>
                <w:rFonts w:hint="eastAsia" w:ascii="宋体" w:hAnsi="宋体"/>
                <w:b/>
                <w:bCs/>
                <w:sz w:val="24"/>
                <w:highlight w:val="none"/>
              </w:rPr>
            </w:pPr>
          </w:p>
        </w:tc>
        <w:tc>
          <w:tcPr>
            <w:tcW w:w="1590" w:type="dxa"/>
          </w:tcPr>
          <w:p>
            <w:pPr>
              <w:spacing w:line="360" w:lineRule="auto"/>
              <w:jc w:val="left"/>
              <w:rPr>
                <w:rFonts w:hint="eastAsia" w:ascii="宋体" w:hAnsi="宋体"/>
                <w:b/>
                <w:bCs/>
                <w:sz w:val="24"/>
                <w:highlight w:val="none"/>
              </w:rPr>
            </w:pPr>
          </w:p>
        </w:tc>
        <w:tc>
          <w:tcPr>
            <w:tcW w:w="1445" w:type="dxa"/>
          </w:tcPr>
          <w:p>
            <w:pPr>
              <w:pStyle w:val="75"/>
              <w:rPr>
                <w:rFonts w:ascii="宋体" w:hAnsi="宋体" w:cs="宋体"/>
                <w:szCs w:val="21"/>
                <w:highlight w:val="none"/>
              </w:rPr>
            </w:pPr>
          </w:p>
        </w:tc>
        <w:tc>
          <w:tcPr>
            <w:tcW w:w="1649" w:type="dxa"/>
          </w:tcPr>
          <w:p>
            <w:pPr>
              <w:spacing w:line="360" w:lineRule="auto"/>
              <w:jc w:val="left"/>
              <w:rPr>
                <w:rFonts w:hint="eastAsia"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862" w:type="dxa"/>
          </w:tcPr>
          <w:p>
            <w:pPr>
              <w:spacing w:line="360" w:lineRule="auto"/>
              <w:jc w:val="left"/>
              <w:rPr>
                <w:rFonts w:hint="eastAsia" w:ascii="宋体" w:hAnsi="宋体"/>
                <w:b/>
                <w:bCs/>
                <w:sz w:val="24"/>
                <w:highlight w:val="none"/>
              </w:rPr>
            </w:pPr>
          </w:p>
        </w:tc>
        <w:tc>
          <w:tcPr>
            <w:tcW w:w="1713" w:type="dxa"/>
          </w:tcPr>
          <w:p>
            <w:pPr>
              <w:spacing w:line="360" w:lineRule="auto"/>
              <w:jc w:val="left"/>
              <w:rPr>
                <w:rFonts w:hint="eastAsia" w:ascii="宋体" w:hAnsi="宋体"/>
                <w:b/>
                <w:bCs/>
                <w:sz w:val="24"/>
                <w:highlight w:val="none"/>
              </w:rPr>
            </w:pPr>
          </w:p>
        </w:tc>
        <w:tc>
          <w:tcPr>
            <w:tcW w:w="2170" w:type="dxa"/>
          </w:tcPr>
          <w:p>
            <w:pPr>
              <w:spacing w:line="360" w:lineRule="auto"/>
              <w:jc w:val="left"/>
              <w:rPr>
                <w:rFonts w:hint="eastAsia" w:ascii="宋体" w:hAnsi="宋体"/>
                <w:b/>
                <w:bCs/>
                <w:sz w:val="24"/>
                <w:highlight w:val="none"/>
              </w:rPr>
            </w:pPr>
          </w:p>
        </w:tc>
        <w:tc>
          <w:tcPr>
            <w:tcW w:w="1590" w:type="dxa"/>
          </w:tcPr>
          <w:p>
            <w:pPr>
              <w:pStyle w:val="75"/>
              <w:spacing w:before="2"/>
              <w:rPr>
                <w:rFonts w:hint="eastAsia" w:ascii="宋体" w:hAnsi="宋体" w:cs="宋体"/>
                <w:b/>
                <w:bCs/>
                <w:szCs w:val="21"/>
                <w:highlight w:val="none"/>
              </w:rPr>
            </w:pPr>
          </w:p>
        </w:tc>
        <w:tc>
          <w:tcPr>
            <w:tcW w:w="1445" w:type="dxa"/>
          </w:tcPr>
          <w:p>
            <w:pPr>
              <w:spacing w:line="360" w:lineRule="auto"/>
              <w:jc w:val="left"/>
              <w:rPr>
                <w:rFonts w:hint="eastAsia" w:ascii="宋体" w:hAnsi="宋体"/>
                <w:b/>
                <w:bCs/>
                <w:sz w:val="24"/>
                <w:highlight w:val="none"/>
              </w:rPr>
            </w:pPr>
          </w:p>
        </w:tc>
        <w:tc>
          <w:tcPr>
            <w:tcW w:w="1649" w:type="dxa"/>
          </w:tcPr>
          <w:p>
            <w:pPr>
              <w:spacing w:line="360" w:lineRule="auto"/>
              <w:jc w:val="left"/>
              <w:rPr>
                <w:rFonts w:hint="eastAsia"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862" w:type="dxa"/>
          </w:tcPr>
          <w:p>
            <w:pPr>
              <w:spacing w:line="360" w:lineRule="auto"/>
              <w:jc w:val="left"/>
              <w:rPr>
                <w:rFonts w:hint="eastAsia" w:ascii="宋体" w:hAnsi="宋体"/>
                <w:b/>
                <w:bCs/>
                <w:sz w:val="24"/>
                <w:highlight w:val="none"/>
              </w:rPr>
            </w:pPr>
          </w:p>
        </w:tc>
        <w:tc>
          <w:tcPr>
            <w:tcW w:w="1713" w:type="dxa"/>
          </w:tcPr>
          <w:p>
            <w:pPr>
              <w:spacing w:line="360" w:lineRule="auto"/>
              <w:jc w:val="left"/>
              <w:rPr>
                <w:rFonts w:hint="eastAsia" w:ascii="宋体" w:hAnsi="宋体"/>
                <w:b/>
                <w:bCs/>
                <w:sz w:val="24"/>
                <w:highlight w:val="none"/>
              </w:rPr>
            </w:pPr>
          </w:p>
        </w:tc>
        <w:tc>
          <w:tcPr>
            <w:tcW w:w="2170" w:type="dxa"/>
          </w:tcPr>
          <w:p>
            <w:pPr>
              <w:spacing w:line="360" w:lineRule="auto"/>
              <w:jc w:val="left"/>
              <w:rPr>
                <w:rFonts w:hint="eastAsia" w:ascii="宋体" w:hAnsi="宋体"/>
                <w:b/>
                <w:bCs/>
                <w:sz w:val="24"/>
                <w:highlight w:val="none"/>
              </w:rPr>
            </w:pPr>
          </w:p>
        </w:tc>
        <w:tc>
          <w:tcPr>
            <w:tcW w:w="1590" w:type="dxa"/>
          </w:tcPr>
          <w:p>
            <w:pPr>
              <w:spacing w:line="360" w:lineRule="auto"/>
              <w:jc w:val="left"/>
              <w:rPr>
                <w:rFonts w:hint="eastAsia" w:ascii="宋体" w:hAnsi="宋体"/>
                <w:b/>
                <w:bCs/>
                <w:sz w:val="24"/>
                <w:highlight w:val="none"/>
              </w:rPr>
            </w:pPr>
          </w:p>
        </w:tc>
        <w:tc>
          <w:tcPr>
            <w:tcW w:w="1445" w:type="dxa"/>
            <w:vAlign w:val="center"/>
          </w:tcPr>
          <w:p>
            <w:pPr>
              <w:pStyle w:val="75"/>
              <w:rPr>
                <w:rFonts w:ascii="宋体" w:hAnsi="宋体" w:cs="宋体"/>
                <w:szCs w:val="21"/>
                <w:highlight w:val="none"/>
              </w:rPr>
            </w:pPr>
          </w:p>
        </w:tc>
        <w:tc>
          <w:tcPr>
            <w:tcW w:w="1649" w:type="dxa"/>
          </w:tcPr>
          <w:p>
            <w:pPr>
              <w:spacing w:line="360" w:lineRule="auto"/>
              <w:jc w:val="left"/>
              <w:rPr>
                <w:rFonts w:hint="eastAsia"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862" w:type="dxa"/>
          </w:tcPr>
          <w:p>
            <w:pPr>
              <w:spacing w:line="360" w:lineRule="auto"/>
              <w:jc w:val="left"/>
              <w:rPr>
                <w:rFonts w:hint="eastAsia" w:ascii="宋体" w:hAnsi="宋体"/>
                <w:b/>
                <w:bCs/>
                <w:sz w:val="24"/>
                <w:highlight w:val="none"/>
              </w:rPr>
            </w:pPr>
          </w:p>
        </w:tc>
        <w:tc>
          <w:tcPr>
            <w:tcW w:w="1713" w:type="dxa"/>
          </w:tcPr>
          <w:p>
            <w:pPr>
              <w:spacing w:line="360" w:lineRule="auto"/>
              <w:jc w:val="left"/>
              <w:rPr>
                <w:rFonts w:hint="eastAsia" w:ascii="宋体" w:hAnsi="宋体"/>
                <w:b/>
                <w:bCs/>
                <w:sz w:val="24"/>
                <w:highlight w:val="none"/>
              </w:rPr>
            </w:pPr>
          </w:p>
        </w:tc>
        <w:tc>
          <w:tcPr>
            <w:tcW w:w="2170" w:type="dxa"/>
          </w:tcPr>
          <w:p>
            <w:pPr>
              <w:spacing w:line="360" w:lineRule="auto"/>
              <w:jc w:val="left"/>
              <w:rPr>
                <w:rFonts w:hint="eastAsia" w:ascii="宋体" w:hAnsi="宋体"/>
                <w:b/>
                <w:bCs/>
                <w:sz w:val="24"/>
                <w:highlight w:val="none"/>
              </w:rPr>
            </w:pPr>
          </w:p>
        </w:tc>
        <w:tc>
          <w:tcPr>
            <w:tcW w:w="1590" w:type="dxa"/>
          </w:tcPr>
          <w:p>
            <w:pPr>
              <w:spacing w:line="360" w:lineRule="auto"/>
              <w:jc w:val="left"/>
              <w:rPr>
                <w:rFonts w:hint="eastAsia" w:ascii="宋体" w:hAnsi="宋体"/>
                <w:b/>
                <w:bCs/>
                <w:sz w:val="24"/>
                <w:highlight w:val="none"/>
              </w:rPr>
            </w:pPr>
          </w:p>
        </w:tc>
        <w:tc>
          <w:tcPr>
            <w:tcW w:w="1445" w:type="dxa"/>
          </w:tcPr>
          <w:p>
            <w:pPr>
              <w:pStyle w:val="75"/>
              <w:spacing w:before="146"/>
              <w:rPr>
                <w:rFonts w:ascii="宋体" w:hAnsi="宋体" w:cs="宋体"/>
                <w:szCs w:val="21"/>
                <w:highlight w:val="none"/>
              </w:rPr>
            </w:pPr>
          </w:p>
        </w:tc>
        <w:tc>
          <w:tcPr>
            <w:tcW w:w="1649" w:type="dxa"/>
          </w:tcPr>
          <w:p>
            <w:pPr>
              <w:spacing w:line="360" w:lineRule="auto"/>
              <w:jc w:val="left"/>
              <w:rPr>
                <w:rFonts w:hint="eastAsia"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862" w:type="dxa"/>
          </w:tcPr>
          <w:p>
            <w:pPr>
              <w:spacing w:line="360" w:lineRule="auto"/>
              <w:jc w:val="left"/>
              <w:rPr>
                <w:rFonts w:hint="eastAsia" w:ascii="宋体" w:hAnsi="宋体"/>
                <w:b/>
                <w:bCs/>
                <w:sz w:val="24"/>
                <w:highlight w:val="none"/>
              </w:rPr>
            </w:pPr>
          </w:p>
        </w:tc>
        <w:tc>
          <w:tcPr>
            <w:tcW w:w="1713" w:type="dxa"/>
          </w:tcPr>
          <w:p>
            <w:pPr>
              <w:spacing w:line="360" w:lineRule="auto"/>
              <w:jc w:val="left"/>
              <w:rPr>
                <w:rFonts w:hint="eastAsia" w:ascii="宋体" w:hAnsi="宋体"/>
                <w:b/>
                <w:bCs/>
                <w:sz w:val="24"/>
                <w:highlight w:val="none"/>
              </w:rPr>
            </w:pPr>
          </w:p>
        </w:tc>
        <w:tc>
          <w:tcPr>
            <w:tcW w:w="2170" w:type="dxa"/>
          </w:tcPr>
          <w:p>
            <w:pPr>
              <w:spacing w:line="360" w:lineRule="auto"/>
              <w:jc w:val="left"/>
              <w:rPr>
                <w:rFonts w:hint="eastAsia" w:ascii="宋体" w:hAnsi="宋体"/>
                <w:b/>
                <w:bCs/>
                <w:sz w:val="24"/>
                <w:highlight w:val="none"/>
              </w:rPr>
            </w:pPr>
          </w:p>
        </w:tc>
        <w:tc>
          <w:tcPr>
            <w:tcW w:w="1590" w:type="dxa"/>
          </w:tcPr>
          <w:p>
            <w:pPr>
              <w:spacing w:line="360" w:lineRule="auto"/>
              <w:jc w:val="left"/>
              <w:rPr>
                <w:rFonts w:hint="eastAsia" w:ascii="宋体" w:hAnsi="宋体"/>
                <w:b/>
                <w:bCs/>
                <w:sz w:val="24"/>
                <w:highlight w:val="none"/>
              </w:rPr>
            </w:pPr>
          </w:p>
        </w:tc>
        <w:tc>
          <w:tcPr>
            <w:tcW w:w="1445" w:type="dxa"/>
          </w:tcPr>
          <w:p>
            <w:pPr>
              <w:spacing w:line="360" w:lineRule="auto"/>
              <w:jc w:val="left"/>
              <w:rPr>
                <w:rFonts w:hint="eastAsia" w:ascii="宋体" w:hAnsi="宋体"/>
                <w:b/>
                <w:bCs/>
                <w:sz w:val="24"/>
                <w:highlight w:val="none"/>
              </w:rPr>
            </w:pPr>
          </w:p>
        </w:tc>
        <w:tc>
          <w:tcPr>
            <w:tcW w:w="1649" w:type="dxa"/>
          </w:tcPr>
          <w:p>
            <w:pPr>
              <w:spacing w:line="360" w:lineRule="auto"/>
              <w:jc w:val="left"/>
              <w:rPr>
                <w:rFonts w:hint="eastAsia"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862" w:type="dxa"/>
          </w:tcPr>
          <w:p>
            <w:pPr>
              <w:spacing w:line="360" w:lineRule="auto"/>
              <w:jc w:val="left"/>
              <w:rPr>
                <w:rFonts w:hint="eastAsia" w:ascii="宋体" w:hAnsi="宋体"/>
                <w:b/>
                <w:bCs/>
                <w:sz w:val="24"/>
                <w:highlight w:val="none"/>
              </w:rPr>
            </w:pPr>
          </w:p>
        </w:tc>
        <w:tc>
          <w:tcPr>
            <w:tcW w:w="1713" w:type="dxa"/>
          </w:tcPr>
          <w:p>
            <w:pPr>
              <w:spacing w:line="360" w:lineRule="auto"/>
              <w:jc w:val="left"/>
              <w:rPr>
                <w:rFonts w:hint="eastAsia" w:ascii="宋体" w:hAnsi="宋体"/>
                <w:b/>
                <w:bCs/>
                <w:sz w:val="24"/>
                <w:highlight w:val="none"/>
              </w:rPr>
            </w:pPr>
          </w:p>
        </w:tc>
        <w:tc>
          <w:tcPr>
            <w:tcW w:w="2170" w:type="dxa"/>
          </w:tcPr>
          <w:p>
            <w:pPr>
              <w:spacing w:line="360" w:lineRule="auto"/>
              <w:jc w:val="left"/>
              <w:rPr>
                <w:rFonts w:hint="eastAsia" w:ascii="宋体" w:hAnsi="宋体"/>
                <w:b/>
                <w:bCs/>
                <w:sz w:val="24"/>
                <w:highlight w:val="none"/>
              </w:rPr>
            </w:pPr>
          </w:p>
        </w:tc>
        <w:tc>
          <w:tcPr>
            <w:tcW w:w="1590" w:type="dxa"/>
          </w:tcPr>
          <w:p>
            <w:pPr>
              <w:spacing w:line="360" w:lineRule="auto"/>
              <w:jc w:val="left"/>
              <w:rPr>
                <w:rFonts w:hint="eastAsia" w:ascii="宋体" w:hAnsi="宋体"/>
                <w:b/>
                <w:bCs/>
                <w:sz w:val="24"/>
                <w:highlight w:val="none"/>
              </w:rPr>
            </w:pPr>
          </w:p>
        </w:tc>
        <w:tc>
          <w:tcPr>
            <w:tcW w:w="1445" w:type="dxa"/>
          </w:tcPr>
          <w:p>
            <w:pPr>
              <w:spacing w:line="360" w:lineRule="auto"/>
              <w:jc w:val="left"/>
              <w:rPr>
                <w:rFonts w:hint="eastAsia" w:ascii="宋体" w:hAnsi="宋体"/>
                <w:b/>
                <w:bCs/>
                <w:sz w:val="24"/>
                <w:highlight w:val="none"/>
              </w:rPr>
            </w:pPr>
          </w:p>
        </w:tc>
        <w:tc>
          <w:tcPr>
            <w:tcW w:w="1649" w:type="dxa"/>
          </w:tcPr>
          <w:p>
            <w:pPr>
              <w:spacing w:line="360" w:lineRule="auto"/>
              <w:jc w:val="left"/>
              <w:rPr>
                <w:rFonts w:hint="eastAsia" w:ascii="宋体" w:hAnsi="宋体"/>
                <w:b/>
                <w:bCs/>
                <w:sz w:val="24"/>
                <w:highlight w:val="none"/>
              </w:rPr>
            </w:pPr>
          </w:p>
        </w:tc>
      </w:tr>
    </w:tbl>
    <w:p>
      <w:pPr>
        <w:spacing w:line="360" w:lineRule="auto"/>
        <w:ind w:firstLine="420" w:firstLineChars="200"/>
        <w:jc w:val="left"/>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附：中标（成交）通知书</w:t>
      </w:r>
      <w:r>
        <w:rPr>
          <w:rFonts w:hint="eastAsia" w:ascii="宋体" w:hAnsi="宋体" w:cs="宋体"/>
          <w:color w:val="000000"/>
          <w:szCs w:val="21"/>
          <w:highlight w:val="none"/>
          <w:lang w:eastAsia="zh-CN"/>
        </w:rPr>
        <w:t>或合同</w:t>
      </w:r>
      <w:r>
        <w:rPr>
          <w:rFonts w:hint="eastAsia" w:ascii="宋体" w:hAnsi="宋体" w:cs="宋体"/>
          <w:color w:val="000000"/>
          <w:szCs w:val="21"/>
          <w:highlight w:val="none"/>
        </w:rPr>
        <w:t>复印件</w:t>
      </w:r>
      <w:r>
        <w:rPr>
          <w:rFonts w:hint="eastAsia" w:ascii="宋体" w:hAnsi="宋体" w:cs="宋体"/>
          <w:color w:val="000000"/>
          <w:szCs w:val="21"/>
          <w:highlight w:val="none"/>
          <w:lang w:eastAsia="zh-CN"/>
        </w:rPr>
        <w:t>加盖公章</w:t>
      </w:r>
    </w:p>
    <w:p>
      <w:pPr>
        <w:pStyle w:val="53"/>
        <w:rPr>
          <w:rFonts w:hint="eastAsia" w:hAnsi="宋体"/>
          <w:b/>
          <w:bCs/>
          <w:color w:val="auto"/>
          <w:sz w:val="32"/>
          <w:szCs w:val="32"/>
          <w:highlight w:val="none"/>
        </w:rPr>
      </w:pPr>
    </w:p>
    <w:p>
      <w:pPr>
        <w:pStyle w:val="53"/>
        <w:rPr>
          <w:rFonts w:hint="eastAsia" w:hAnsi="宋体"/>
          <w:b/>
          <w:bCs/>
          <w:color w:val="auto"/>
          <w:sz w:val="32"/>
          <w:szCs w:val="32"/>
          <w:highlight w:val="none"/>
        </w:rPr>
      </w:pPr>
    </w:p>
    <w:p>
      <w:pPr>
        <w:pStyle w:val="53"/>
        <w:rPr>
          <w:rFonts w:hint="eastAsia" w:hAnsi="宋体"/>
          <w:b/>
          <w:bCs/>
          <w:color w:val="auto"/>
          <w:sz w:val="32"/>
          <w:szCs w:val="32"/>
          <w:highlight w:val="none"/>
        </w:rPr>
      </w:pPr>
    </w:p>
    <w:p>
      <w:pPr>
        <w:pStyle w:val="53"/>
        <w:rPr>
          <w:rFonts w:hint="eastAsia" w:hAnsi="宋体"/>
          <w:b/>
          <w:bCs/>
          <w:color w:val="auto"/>
          <w:sz w:val="32"/>
          <w:szCs w:val="32"/>
          <w:highlight w:val="none"/>
        </w:rPr>
      </w:pPr>
    </w:p>
    <w:p>
      <w:pPr>
        <w:spacing w:line="360" w:lineRule="auto"/>
        <w:jc w:val="center"/>
        <w:outlineLvl w:val="2"/>
        <w:rPr>
          <w:rStyle w:val="65"/>
          <w:rFonts w:hint="eastAsia" w:ascii="宋体" w:hAnsi="宋体" w:eastAsia="宋体" w:cs="宋体"/>
          <w:sz w:val="28"/>
          <w:szCs w:val="28"/>
          <w:highlight w:val="none"/>
          <w:lang w:val="en-US" w:eastAsia="zh-CN"/>
        </w:rPr>
      </w:pPr>
    </w:p>
    <w:p>
      <w:pPr>
        <w:spacing w:line="360" w:lineRule="auto"/>
        <w:jc w:val="center"/>
        <w:outlineLvl w:val="2"/>
        <w:rPr>
          <w:rStyle w:val="65"/>
          <w:rFonts w:hint="eastAsia" w:ascii="宋体" w:hAnsi="宋体" w:eastAsia="宋体" w:cs="宋体"/>
          <w:sz w:val="28"/>
          <w:szCs w:val="28"/>
          <w:highlight w:val="none"/>
          <w:lang w:val="en-US" w:eastAsia="zh-CN"/>
        </w:rPr>
      </w:pPr>
    </w:p>
    <w:p>
      <w:pPr>
        <w:spacing w:line="360" w:lineRule="auto"/>
        <w:jc w:val="center"/>
        <w:outlineLvl w:val="2"/>
        <w:rPr>
          <w:rStyle w:val="65"/>
          <w:rFonts w:hint="eastAsia" w:ascii="宋体" w:hAnsi="宋体" w:eastAsia="宋体" w:cs="宋体"/>
          <w:sz w:val="28"/>
          <w:szCs w:val="28"/>
          <w:highlight w:val="none"/>
          <w:lang w:val="en-US" w:eastAsia="zh-CN"/>
        </w:rPr>
      </w:pPr>
    </w:p>
    <w:p>
      <w:pPr>
        <w:pStyle w:val="12"/>
        <w:rPr>
          <w:rStyle w:val="65"/>
          <w:rFonts w:hint="eastAsia" w:ascii="宋体" w:hAnsi="宋体" w:eastAsia="宋体" w:cs="宋体"/>
          <w:sz w:val="28"/>
          <w:szCs w:val="28"/>
          <w:highlight w:val="none"/>
          <w:lang w:val="en-US" w:eastAsia="zh-CN"/>
        </w:rPr>
      </w:pPr>
    </w:p>
    <w:p>
      <w:pPr>
        <w:pStyle w:val="13"/>
        <w:rPr>
          <w:rFonts w:hint="eastAsia"/>
          <w:lang w:val="en-US" w:eastAsia="zh-CN"/>
        </w:rPr>
      </w:pPr>
    </w:p>
    <w:p>
      <w:pPr>
        <w:spacing w:line="360" w:lineRule="auto"/>
        <w:jc w:val="center"/>
        <w:outlineLvl w:val="2"/>
        <w:rPr>
          <w:rStyle w:val="65"/>
          <w:rFonts w:hint="eastAsia" w:asciiTheme="majorEastAsia" w:hAnsiTheme="majorEastAsia" w:eastAsiaTheme="majorEastAsia" w:cstheme="majorEastAsia"/>
          <w:sz w:val="28"/>
          <w:szCs w:val="28"/>
          <w:highlight w:val="none"/>
          <w:lang w:val="en-US" w:eastAsia="zh-CN"/>
        </w:rPr>
      </w:pPr>
    </w:p>
    <w:p>
      <w:pPr>
        <w:spacing w:line="360" w:lineRule="auto"/>
        <w:jc w:val="center"/>
        <w:outlineLvl w:val="2"/>
        <w:rPr>
          <w:rStyle w:val="65"/>
          <w:rFonts w:hint="eastAsia" w:asciiTheme="majorEastAsia" w:hAnsiTheme="majorEastAsia" w:eastAsiaTheme="majorEastAsia" w:cstheme="majorEastAsia"/>
          <w:sz w:val="28"/>
          <w:szCs w:val="28"/>
          <w:highlight w:val="none"/>
        </w:rPr>
      </w:pPr>
      <w:r>
        <w:rPr>
          <w:rStyle w:val="65"/>
          <w:rFonts w:hint="eastAsia" w:asciiTheme="majorEastAsia" w:hAnsiTheme="majorEastAsia" w:eastAsiaTheme="majorEastAsia" w:cstheme="majorEastAsia"/>
          <w:sz w:val="28"/>
          <w:szCs w:val="28"/>
          <w:highlight w:val="none"/>
          <w:lang w:val="en-US" w:eastAsia="zh-CN"/>
        </w:rPr>
        <w:t>十二</w:t>
      </w:r>
      <w:r>
        <w:rPr>
          <w:rStyle w:val="65"/>
          <w:rFonts w:hint="eastAsia" w:asciiTheme="majorEastAsia" w:hAnsiTheme="majorEastAsia" w:eastAsiaTheme="majorEastAsia" w:cstheme="majorEastAsia"/>
          <w:sz w:val="28"/>
          <w:szCs w:val="28"/>
          <w:highlight w:val="none"/>
        </w:rPr>
        <w:t>、服务计划书</w:t>
      </w:r>
    </w:p>
    <w:p>
      <w:pPr>
        <w:shd w:val="clear" w:color="auto" w:fill="FFFFFF"/>
        <w:spacing w:after="240" w:line="360" w:lineRule="atLeast"/>
        <w:ind w:firstLine="480"/>
        <w:jc w:val="center"/>
        <w:rPr>
          <w:rFonts w:ascii="宋体" w:hAnsi="宋体"/>
          <w:b w:val="0"/>
          <w:bCs w:val="0"/>
          <w:kern w:val="0"/>
          <w:sz w:val="24"/>
          <w:szCs w:val="24"/>
          <w:highlight w:val="none"/>
        </w:rPr>
      </w:pPr>
      <w:r>
        <w:rPr>
          <w:rFonts w:hint="eastAsia" w:ascii="宋体" w:hAnsi="宋体"/>
          <w:b w:val="0"/>
          <w:bCs w:val="0"/>
          <w:kern w:val="0"/>
          <w:sz w:val="24"/>
          <w:szCs w:val="24"/>
          <w:highlight w:val="none"/>
        </w:rPr>
        <w:t>格式自拟</w:t>
      </w:r>
    </w:p>
    <w:p>
      <w:pPr>
        <w:spacing w:line="360" w:lineRule="auto"/>
        <w:jc w:val="center"/>
        <w:rPr>
          <w:rFonts w:hint="eastAsia" w:ascii="宋体" w:hAnsi="宋体" w:cs="宋体"/>
          <w:b/>
          <w:sz w:val="28"/>
          <w:szCs w:val="28"/>
          <w:highlight w:val="none"/>
        </w:rPr>
      </w:pPr>
    </w:p>
    <w:p>
      <w:pPr>
        <w:spacing w:line="360" w:lineRule="auto"/>
        <w:jc w:val="center"/>
        <w:rPr>
          <w:rFonts w:hint="eastAsia" w:ascii="宋体" w:hAnsi="宋体" w:cs="宋体"/>
          <w:b/>
          <w:sz w:val="28"/>
          <w:szCs w:val="28"/>
          <w:highlight w:val="none"/>
        </w:rPr>
      </w:pPr>
    </w:p>
    <w:p>
      <w:pPr>
        <w:spacing w:line="360" w:lineRule="auto"/>
        <w:jc w:val="center"/>
        <w:rPr>
          <w:rFonts w:hint="eastAsia" w:ascii="宋体" w:hAnsi="宋体" w:cs="宋体"/>
          <w:b/>
          <w:sz w:val="28"/>
          <w:szCs w:val="28"/>
          <w:highlight w:val="none"/>
        </w:rPr>
      </w:pPr>
    </w:p>
    <w:p>
      <w:pPr>
        <w:spacing w:line="360" w:lineRule="auto"/>
        <w:jc w:val="center"/>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rPr>
          <w:sz w:val="32"/>
          <w:szCs w:val="32"/>
          <w:highlight w:val="none"/>
        </w:rPr>
      </w:pPr>
      <w:r>
        <w:rPr>
          <w:sz w:val="32"/>
          <w:szCs w:val="32"/>
          <w:highlight w:val="none"/>
        </w:rPr>
        <w:br w:type="page"/>
      </w:r>
    </w:p>
    <w:p>
      <w:pPr>
        <w:jc w:val="center"/>
        <w:rPr>
          <w:rFonts w:hint="eastAsia" w:eastAsia="宋体"/>
          <w:sz w:val="32"/>
          <w:szCs w:val="32"/>
          <w:highlight w:val="none"/>
          <w:lang w:eastAsia="zh-CN"/>
        </w:rPr>
      </w:pPr>
      <w:r>
        <w:rPr>
          <w:rStyle w:val="65"/>
          <w:rFonts w:hint="eastAsia" w:ascii="宋体" w:hAnsi="宋体" w:eastAsia="宋体" w:cs="宋体"/>
          <w:sz w:val="28"/>
          <w:szCs w:val="28"/>
          <w:highlight w:val="none"/>
          <w:lang w:val="en-US" w:eastAsia="zh-CN"/>
        </w:rPr>
        <w:t>十</w:t>
      </w:r>
      <w:r>
        <w:rPr>
          <w:rStyle w:val="65"/>
          <w:rFonts w:hint="eastAsia" w:ascii="宋体" w:hAnsi="宋体" w:cs="宋体"/>
          <w:sz w:val="28"/>
          <w:szCs w:val="28"/>
          <w:highlight w:val="none"/>
          <w:lang w:val="en-US" w:eastAsia="zh-CN"/>
        </w:rPr>
        <w:t>三</w:t>
      </w:r>
      <w:r>
        <w:rPr>
          <w:rStyle w:val="65"/>
          <w:rFonts w:hint="eastAsia" w:ascii="宋体" w:hAnsi="宋体" w:eastAsia="宋体" w:cs="宋体"/>
          <w:sz w:val="28"/>
          <w:szCs w:val="28"/>
          <w:highlight w:val="none"/>
          <w:lang w:val="en-US" w:eastAsia="zh-CN"/>
        </w:rPr>
        <w:t>、供应商可结合本项目自身情况自行提交其它相关证明材料</w:t>
      </w:r>
    </w:p>
    <w:p>
      <w:pPr>
        <w:shd w:val="clear" w:color="auto" w:fill="FFFFFF"/>
        <w:spacing w:after="240" w:line="360" w:lineRule="atLeast"/>
        <w:ind w:firstLine="480"/>
        <w:jc w:val="center"/>
        <w:rPr>
          <w:rFonts w:hint="eastAsia" w:ascii="宋体" w:hAnsi="宋体"/>
          <w:b w:val="0"/>
          <w:bCs w:val="0"/>
          <w:kern w:val="0"/>
          <w:sz w:val="24"/>
          <w:szCs w:val="24"/>
          <w:highlight w:val="none"/>
        </w:rPr>
      </w:pPr>
    </w:p>
    <w:p>
      <w:pPr>
        <w:shd w:val="clear" w:color="auto" w:fill="FFFFFF"/>
        <w:spacing w:after="240" w:line="360" w:lineRule="atLeast"/>
        <w:ind w:firstLine="480"/>
        <w:jc w:val="center"/>
        <w:rPr>
          <w:rFonts w:ascii="宋体" w:hAnsi="宋体"/>
          <w:b w:val="0"/>
          <w:bCs w:val="0"/>
          <w:kern w:val="0"/>
          <w:sz w:val="24"/>
          <w:szCs w:val="24"/>
          <w:highlight w:val="none"/>
        </w:rPr>
      </w:pPr>
      <w:r>
        <w:rPr>
          <w:rFonts w:hint="eastAsia" w:ascii="宋体" w:hAnsi="宋体"/>
          <w:b w:val="0"/>
          <w:bCs w:val="0"/>
          <w:kern w:val="0"/>
          <w:sz w:val="24"/>
          <w:szCs w:val="24"/>
          <w:highlight w:val="none"/>
        </w:rPr>
        <w:t>格式自拟</w:t>
      </w:r>
    </w:p>
    <w:p>
      <w:pPr>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highlight w:val="none"/>
        </w:rPr>
      </w:pPr>
      <w:r>
        <w:rPr>
          <w:rStyle w:val="99"/>
          <w:rFonts w:hint="eastAsia" w:ascii="宋体" w:hAnsi="宋体" w:eastAsia="宋体" w:cs="宋体"/>
          <w:b/>
          <w:bCs/>
        </w:rPr>
        <w:t>中小企业和残疾人福利性单位声明函</w:t>
      </w:r>
    </w:p>
    <w:p>
      <w:pPr>
        <w:pageBreakBefore w:val="0"/>
        <w:widowControl/>
        <w:kinsoku/>
        <w:wordWrap/>
        <w:overflowPunct/>
        <w:topLinePunct w:val="0"/>
        <w:autoSpaceDE/>
        <w:autoSpaceDN/>
        <w:bidi w:val="0"/>
        <w:snapToGrid/>
        <w:spacing w:line="360" w:lineRule="auto"/>
        <w:ind w:firstLine="465"/>
        <w:textAlignment w:val="auto"/>
        <w:rPr>
          <w:rFonts w:hint="eastAsia" w:ascii="宋体" w:hAnsi="宋体" w:eastAsia="宋体" w:cs="宋体"/>
          <w:bCs/>
          <w:snapToGrid w:val="0"/>
          <w:sz w:val="22"/>
          <w:szCs w:val="22"/>
          <w:highlight w:val="none"/>
        </w:rPr>
      </w:pPr>
      <w:r>
        <w:rPr>
          <w:rFonts w:hint="eastAsia" w:ascii="宋体" w:hAnsi="宋体" w:eastAsia="宋体" w:cs="宋体"/>
          <w:bCs/>
          <w:snapToGrid w:val="0"/>
          <w:sz w:val="22"/>
          <w:szCs w:val="22"/>
          <w:highlight w:val="none"/>
        </w:rPr>
        <w:t>本项目为专门面向中小企业的采购项目（投标人</w:t>
      </w:r>
      <w:r>
        <w:rPr>
          <w:rFonts w:hint="eastAsia" w:ascii="宋体" w:hAnsi="宋体" w:cs="宋体"/>
          <w:bCs/>
          <w:snapToGrid w:val="0"/>
          <w:sz w:val="22"/>
          <w:szCs w:val="22"/>
          <w:highlight w:val="none"/>
          <w:lang w:eastAsia="zh-CN"/>
        </w:rPr>
        <w:t>若</w:t>
      </w:r>
      <w:r>
        <w:rPr>
          <w:rFonts w:hint="eastAsia" w:ascii="宋体" w:hAnsi="宋体" w:eastAsia="宋体" w:cs="宋体"/>
          <w:bCs/>
          <w:snapToGrid w:val="0"/>
          <w:sz w:val="22"/>
          <w:szCs w:val="22"/>
          <w:highlight w:val="none"/>
        </w:rPr>
        <w:t>为中小微企业、监狱企业、残疾人福利性单位。中小微企业投标时应按照关于印发《政府采购促进中小企业发展管理办法》的通知（财库〔2020〕46号）文件要求及附中小企业声明函（工程、服务</w:t>
      </w:r>
      <w:r>
        <w:rPr>
          <w:rFonts w:hint="eastAsia" w:ascii="宋体" w:hAnsi="宋体" w:cs="宋体"/>
          <w:bCs/>
          <w:snapToGrid w:val="0"/>
          <w:sz w:val="22"/>
          <w:szCs w:val="22"/>
          <w:highlight w:val="none"/>
          <w:lang w:eastAsia="zh-CN"/>
        </w:rPr>
        <w:t>、货物</w:t>
      </w:r>
      <w:r>
        <w:rPr>
          <w:rFonts w:hint="eastAsia" w:ascii="宋体" w:hAnsi="宋体" w:eastAsia="宋体" w:cs="宋体"/>
          <w:bCs/>
          <w:snapToGrid w:val="0"/>
          <w:sz w:val="22"/>
          <w:szCs w:val="22"/>
          <w:highlight w:val="none"/>
        </w:rPr>
        <w:t>）格式规定提供中小企业声明函</w:t>
      </w:r>
      <w:r>
        <w:rPr>
          <w:rFonts w:hint="eastAsia" w:ascii="宋体" w:hAnsi="宋体" w:cs="宋体"/>
          <w:bCs/>
          <w:snapToGrid w:val="0"/>
          <w:sz w:val="22"/>
          <w:szCs w:val="22"/>
          <w:highlight w:val="none"/>
          <w:lang w:eastAsia="zh-CN"/>
        </w:rPr>
        <w:t>和</w:t>
      </w:r>
      <w:r>
        <w:rPr>
          <w:rFonts w:hint="eastAsia" w:ascii="宋体" w:hAnsi="宋体" w:eastAsia="宋体" w:cs="宋体"/>
          <w:bCs/>
          <w:snapToGrid w:val="0"/>
          <w:sz w:val="22"/>
          <w:szCs w:val="22"/>
          <w:highlight w:val="none"/>
        </w:rPr>
        <w:t>残疾人福利性单位投标的应按照《关于促进残疾人就业政府采购政策的通知（财库〔2017〕141号）》格式要求出具残疾人福利性单位声明函或监狱企业投标的应按照《财政部司法部关于政府采购支持监狱企业发展有关问题的通知（财库〔2014〕68号）》要求提供由省级以上监狱管理局、戒毒管理局（含新疆生产建设兵团）出具的属于监狱企业的证明文件），</w:t>
      </w:r>
      <w:r>
        <w:rPr>
          <w:rFonts w:hint="eastAsia" w:ascii="宋体" w:hAnsi="宋体" w:cs="宋体"/>
          <w:bCs/>
          <w:snapToGrid w:val="0"/>
          <w:sz w:val="22"/>
          <w:szCs w:val="22"/>
          <w:highlight w:val="none"/>
          <w:lang w:eastAsia="zh-CN"/>
        </w:rPr>
        <w:t>响应</w:t>
      </w:r>
      <w:r>
        <w:rPr>
          <w:rFonts w:hint="eastAsia" w:ascii="宋体" w:hAnsi="宋体" w:eastAsia="宋体" w:cs="宋体"/>
          <w:bCs/>
          <w:snapToGrid w:val="0"/>
          <w:sz w:val="22"/>
          <w:szCs w:val="22"/>
          <w:highlight w:val="none"/>
        </w:rPr>
        <w:t>文件中须附格式正确的中小企业声明函</w:t>
      </w:r>
      <w:r>
        <w:rPr>
          <w:rFonts w:hint="eastAsia" w:ascii="宋体" w:hAnsi="宋体" w:cs="宋体"/>
          <w:bCs/>
          <w:snapToGrid w:val="0"/>
          <w:sz w:val="22"/>
          <w:szCs w:val="22"/>
          <w:highlight w:val="none"/>
          <w:lang w:eastAsia="zh-CN"/>
        </w:rPr>
        <w:t>和</w:t>
      </w:r>
      <w:r>
        <w:rPr>
          <w:rFonts w:hint="eastAsia" w:ascii="宋体" w:hAnsi="宋体" w:eastAsia="宋体" w:cs="宋体"/>
          <w:bCs/>
          <w:snapToGrid w:val="0"/>
          <w:sz w:val="22"/>
          <w:szCs w:val="22"/>
          <w:highlight w:val="none"/>
        </w:rPr>
        <w:t>残疾人福利性单位声明函或监狱企业证明材料并加盖单位公章。</w:t>
      </w:r>
    </w:p>
    <w:p>
      <w:pPr>
        <w:pageBreakBefore w:val="0"/>
        <w:widowControl/>
        <w:kinsoku/>
        <w:wordWrap/>
        <w:overflowPunct/>
        <w:topLinePunct w:val="0"/>
        <w:autoSpaceDE/>
        <w:autoSpaceDN/>
        <w:bidi w:val="0"/>
        <w:snapToGrid/>
        <w:spacing w:line="360" w:lineRule="auto"/>
        <w:ind w:firstLine="465"/>
        <w:textAlignment w:val="auto"/>
        <w:rPr>
          <w:rFonts w:hint="eastAsia" w:ascii="宋体" w:hAnsi="宋体" w:eastAsia="宋体" w:cs="宋体"/>
          <w:bCs/>
          <w:snapToGrid w:val="0"/>
          <w:sz w:val="22"/>
          <w:szCs w:val="22"/>
          <w:highlight w:val="none"/>
        </w:rPr>
      </w:pPr>
    </w:p>
    <w:p>
      <w:pPr>
        <w:rPr>
          <w:rFonts w:hint="eastAsia"/>
          <w:highlight w:val="none"/>
        </w:rPr>
      </w:pPr>
    </w:p>
    <w:p>
      <w:pPr>
        <w:pStyle w:val="18"/>
        <w:spacing w:line="500" w:lineRule="exact"/>
        <w:rPr>
          <w:rFonts w:hAnsi="宋体"/>
          <w:b/>
          <w:sz w:val="30"/>
          <w:szCs w:val="30"/>
          <w:highlight w:val="none"/>
        </w:rPr>
      </w:pPr>
    </w:p>
    <w:p>
      <w:pPr>
        <w:pStyle w:val="18"/>
        <w:spacing w:line="500" w:lineRule="exact"/>
        <w:rPr>
          <w:rFonts w:hAnsi="宋体"/>
          <w:b/>
          <w:sz w:val="30"/>
          <w:szCs w:val="30"/>
          <w:highlight w:val="none"/>
        </w:rPr>
      </w:pPr>
    </w:p>
    <w:p>
      <w:pPr>
        <w:pStyle w:val="18"/>
        <w:spacing w:line="500" w:lineRule="exact"/>
        <w:rPr>
          <w:rFonts w:hAnsi="宋体"/>
          <w:b/>
          <w:sz w:val="30"/>
          <w:szCs w:val="30"/>
          <w:highlight w:val="none"/>
        </w:rPr>
      </w:pPr>
    </w:p>
    <w:p>
      <w:pPr>
        <w:pStyle w:val="52"/>
        <w:ind w:left="0" w:leftChars="0" w:firstLine="0" w:firstLineChars="0"/>
        <w:rPr>
          <w:rFonts w:hAnsi="宋体"/>
          <w:b/>
          <w:sz w:val="30"/>
          <w:szCs w:val="30"/>
          <w:highlight w:val="none"/>
        </w:rPr>
      </w:pPr>
    </w:p>
    <w:p>
      <w:pPr>
        <w:pStyle w:val="52"/>
        <w:rPr>
          <w:rFonts w:hAnsi="宋体"/>
          <w:b/>
          <w:sz w:val="30"/>
          <w:szCs w:val="30"/>
          <w:highlight w:val="none"/>
        </w:rPr>
      </w:pPr>
    </w:p>
    <w:p>
      <w:pPr>
        <w:pStyle w:val="52"/>
        <w:jc w:val="center"/>
      </w:pPr>
    </w:p>
    <w:p>
      <w:pPr>
        <w:pStyle w:val="52"/>
        <w:jc w:val="center"/>
      </w:pPr>
    </w:p>
    <w:p>
      <w:pPr>
        <w:pStyle w:val="52"/>
        <w:jc w:val="center"/>
      </w:pPr>
    </w:p>
    <w:p>
      <w:pPr>
        <w:pStyle w:val="52"/>
        <w:rPr>
          <w:rFonts w:hAnsi="宋体"/>
          <w:b/>
          <w:sz w:val="30"/>
          <w:szCs w:val="30"/>
          <w:highlight w:val="none"/>
        </w:rPr>
      </w:pPr>
    </w:p>
    <w:p>
      <w:pPr>
        <w:pStyle w:val="52"/>
        <w:rPr>
          <w:rFonts w:hAnsi="宋体"/>
          <w:b/>
          <w:sz w:val="30"/>
          <w:szCs w:val="30"/>
          <w:highlight w:val="none"/>
        </w:rPr>
      </w:pPr>
    </w:p>
    <w:p>
      <w:pPr>
        <w:pStyle w:val="52"/>
        <w:rPr>
          <w:rFonts w:hAnsi="宋体"/>
          <w:b/>
          <w:sz w:val="30"/>
          <w:szCs w:val="30"/>
          <w:highlight w:val="none"/>
        </w:rPr>
      </w:pPr>
    </w:p>
    <w:p>
      <w:pPr>
        <w:pStyle w:val="52"/>
        <w:rPr>
          <w:rFonts w:hAnsi="宋体"/>
          <w:b/>
          <w:sz w:val="30"/>
          <w:szCs w:val="30"/>
          <w:highlight w:val="none"/>
        </w:rPr>
      </w:pPr>
    </w:p>
    <w:p>
      <w:pPr>
        <w:pStyle w:val="52"/>
        <w:rPr>
          <w:rFonts w:hAnsi="宋体"/>
          <w:b/>
          <w:sz w:val="30"/>
          <w:szCs w:val="30"/>
          <w:highlight w:val="none"/>
        </w:rPr>
      </w:pPr>
    </w:p>
    <w:sectPr>
      <w:footerReference r:id="rId10" w:type="default"/>
      <w:pgSz w:w="11906" w:h="16838"/>
      <w:pgMar w:top="1134" w:right="992" w:bottom="1134" w:left="1134"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Microsoft YaHei UI">
    <w:altName w:val="宋体"/>
    <w:panose1 w:val="020B0503020204020204"/>
    <w:charset w:val="86"/>
    <w:family w:val="swiss"/>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180"/>
      </w:tabs>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24</w:t>
                    </w:r>
                    <w: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pPr>
                            <w:spacing w:before="5"/>
                            <w:ind w:left="20" w:right="0" w:firstLine="0"/>
                            <w:jc w:val="left"/>
                            <w:rPr>
                              <w:rFonts w:hint="eastAsia" w:ascii="宋体" w:eastAsia="宋体"/>
                              <w:sz w:val="18"/>
                            </w:rPr>
                          </w:pPr>
                        </w:p>
                        <w:p>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6192;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SPmqFdoAAAANAQAADwAAAAAA&#10;AAABACAAAAAiAAAAZHJzL2Rvd25yZXYueG1sUEsBAhQAFAAAAAgAh07iQBL4lT2fAQAAJAMAAA4A&#10;AAAAAAAAAQAgAAAAKQEAAGRycy9lMm9Eb2MueG1sUEsFBgAAAAAGAAYAWQEAADoFAAAAAA==&#10;">
              <v:fill on="f" focussize="0,0"/>
              <v:stroke on="f"/>
              <v:imagedata o:title=""/>
              <o:lock v:ext="edit" aspectratio="f"/>
              <v:textbox inset="0mm,0mm,0mm,0mm">
                <w:txbxContent>
                  <w:p>
                    <w:pPr>
                      <w:spacing w:before="5"/>
                      <w:ind w:left="20" w:right="0" w:firstLine="0"/>
                      <w:jc w:val="left"/>
                      <w:rPr>
                        <w:rFonts w:hint="eastAsia" w:ascii="宋体" w:eastAsia="宋体"/>
                        <w:sz w:val="18"/>
                      </w:rPr>
                    </w:pPr>
                  </w:p>
                  <w:p>
                    <w:pPr>
                      <w:spacing w:before="8"/>
                      <w:ind w:left="866" w:right="0" w:firstLine="0"/>
                      <w:jc w:val="center"/>
                      <w:rPr>
                        <w:rFonts w:hint="default" w:ascii="Calibri" w:eastAsia="宋体"/>
                        <w:sz w:val="18"/>
                        <w:lang w:val="en-US"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180"/>
      </w:tabs>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pPr>
                            <w:spacing w:before="5"/>
                            <w:ind w:left="20" w:right="0" w:firstLine="0"/>
                            <w:jc w:val="left"/>
                            <w:rPr>
                              <w:rFonts w:hint="eastAsia" w:ascii="宋体" w:eastAsia="宋体"/>
                              <w:sz w:val="18"/>
                            </w:rPr>
                          </w:pPr>
                        </w:p>
                        <w:p>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4144;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SPmqFdoAAAANAQAADwAAAAAA&#10;AAABACAAAAAiAAAAZHJzL2Rvd25yZXYueG1sUEsBAhQAFAAAAAgAh07iQP8+SjKfAQAAJAMAAA4A&#10;AAAAAAAAAQAgAAAAKQEAAGRycy9lMm9Eb2MueG1sUEsFBgAAAAAGAAYAWQEAADoFAAAAAA==&#10;">
              <v:fill on="f" focussize="0,0"/>
              <v:stroke on="f"/>
              <v:imagedata o:title=""/>
              <o:lock v:ext="edit" aspectratio="f"/>
              <v:textbox inset="0mm,0mm,0mm,0mm">
                <w:txbxContent>
                  <w:p>
                    <w:pPr>
                      <w:spacing w:before="5"/>
                      <w:ind w:left="20" w:right="0" w:firstLine="0"/>
                      <w:jc w:val="left"/>
                      <w:rPr>
                        <w:rFonts w:hint="eastAsia" w:ascii="宋体" w:eastAsia="宋体"/>
                        <w:sz w:val="18"/>
                      </w:rPr>
                    </w:pPr>
                  </w:p>
                  <w:p>
                    <w:pPr>
                      <w:spacing w:before="8"/>
                      <w:ind w:left="866" w:right="0" w:firstLine="0"/>
                      <w:jc w:val="center"/>
                      <w:rPr>
                        <w:rFonts w:hint="default" w:ascii="Calibri" w:eastAsia="宋体"/>
                        <w:sz w:val="18"/>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980444"/>
    <w:multiLevelType w:val="singleLevel"/>
    <w:tmpl w:val="93980444"/>
    <w:lvl w:ilvl="0" w:tentative="0">
      <w:start w:val="2"/>
      <w:numFmt w:val="chineseCounting"/>
      <w:suff w:val="space"/>
      <w:lvlText w:val="(%1)"/>
      <w:lvlJc w:val="left"/>
      <w:rPr>
        <w:rFonts w:hint="eastAsia"/>
      </w:r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3B8ADD9"/>
    <w:multiLevelType w:val="singleLevel"/>
    <w:tmpl w:val="C3B8ADD9"/>
    <w:lvl w:ilvl="0" w:tentative="0">
      <w:start w:val="1"/>
      <w:numFmt w:val="decimal"/>
      <w:suff w:val="nothing"/>
      <w:lvlText w:val="%1、"/>
      <w:lvlJc w:val="left"/>
    </w:lvl>
  </w:abstractNum>
  <w:abstractNum w:abstractNumId="3">
    <w:nsid w:val="CE06F564"/>
    <w:multiLevelType w:val="singleLevel"/>
    <w:tmpl w:val="CE06F564"/>
    <w:lvl w:ilvl="0" w:tentative="0">
      <w:start w:val="3"/>
      <w:numFmt w:val="chineseCounting"/>
      <w:suff w:val="space"/>
      <w:lvlText w:val="第%1章"/>
      <w:lvlJc w:val="left"/>
      <w:rPr>
        <w:rFonts w:hint="eastAsia"/>
      </w:rPr>
    </w:lvl>
  </w:abstractNum>
  <w:abstractNum w:abstractNumId="4">
    <w:nsid w:val="CFE7C3F8"/>
    <w:multiLevelType w:val="singleLevel"/>
    <w:tmpl w:val="CFE7C3F8"/>
    <w:lvl w:ilvl="0" w:tentative="0">
      <w:start w:val="1"/>
      <w:numFmt w:val="decimal"/>
      <w:suff w:val="nothing"/>
      <w:lvlText w:val="（%1）"/>
      <w:lvlJc w:val="left"/>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F3AF199D"/>
    <w:multiLevelType w:val="singleLevel"/>
    <w:tmpl w:val="F3AF199D"/>
    <w:lvl w:ilvl="0" w:tentative="0">
      <w:start w:val="1"/>
      <w:numFmt w:val="decimal"/>
      <w:suff w:val="nothing"/>
      <w:lvlText w:val="（%1）"/>
      <w:lvlJc w:val="left"/>
    </w:lvl>
  </w:abstractNum>
  <w:abstractNum w:abstractNumId="9">
    <w:nsid w:val="FFEFC674"/>
    <w:multiLevelType w:val="singleLevel"/>
    <w:tmpl w:val="FFEFC674"/>
    <w:lvl w:ilvl="0" w:tentative="0">
      <w:start w:val="1"/>
      <w:numFmt w:val="decimal"/>
      <w:suff w:val="nothing"/>
      <w:lvlText w:val="（%1）"/>
      <w:lvlJc w:val="left"/>
    </w:lvl>
  </w:abstractNum>
  <w:abstractNum w:abstractNumId="10">
    <w:nsid w:val="00000001"/>
    <w:multiLevelType w:val="singleLevel"/>
    <w:tmpl w:val="00000001"/>
    <w:lvl w:ilvl="0" w:tentative="0">
      <w:start w:val="1"/>
      <w:numFmt w:val="decimal"/>
      <w:suff w:val="nothing"/>
      <w:lvlText w:val="（%1）"/>
      <w:lvlJc w:val="left"/>
    </w:lvl>
  </w:abstractNum>
  <w:abstractNum w:abstractNumId="11">
    <w:nsid w:val="1A793D42"/>
    <w:multiLevelType w:val="multilevel"/>
    <w:tmpl w:val="1A793D42"/>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pStyle w:val="84"/>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pStyle w:val="86"/>
      <w:lvlText w:val="%6."/>
      <w:lvlJc w:val="right"/>
      <w:pPr>
        <w:tabs>
          <w:tab w:val="left" w:pos="2933"/>
        </w:tabs>
        <w:ind w:left="2933" w:hanging="420"/>
      </w:pPr>
    </w:lvl>
    <w:lvl w:ilvl="6" w:tentative="0">
      <w:start w:val="1"/>
      <w:numFmt w:val="decimal"/>
      <w:pStyle w:val="92"/>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12">
    <w:nsid w:val="5AD450A8"/>
    <w:multiLevelType w:val="singleLevel"/>
    <w:tmpl w:val="5AD450A8"/>
    <w:lvl w:ilvl="0" w:tentative="0">
      <w:start w:val="2"/>
      <w:numFmt w:val="decimal"/>
      <w:suff w:val="space"/>
      <w:lvlText w:val="%1."/>
      <w:lvlJc w:val="left"/>
    </w:lvl>
  </w:abstractNum>
  <w:abstractNum w:abstractNumId="13">
    <w:nsid w:val="5AD45148"/>
    <w:multiLevelType w:val="singleLevel"/>
    <w:tmpl w:val="5AD45148"/>
    <w:lvl w:ilvl="0" w:tentative="0">
      <w:start w:val="4"/>
      <w:numFmt w:val="decimal"/>
      <w:suff w:val="nothing"/>
      <w:lvlText w:val="%1．"/>
      <w:lvlJc w:val="left"/>
    </w:lvl>
  </w:abstractNum>
  <w:abstractNum w:abstractNumId="14">
    <w:nsid w:val="5DFB4682"/>
    <w:multiLevelType w:val="singleLevel"/>
    <w:tmpl w:val="5DFB4682"/>
    <w:lvl w:ilvl="0" w:tentative="0">
      <w:start w:val="15"/>
      <w:numFmt w:val="decimal"/>
      <w:suff w:val="space"/>
      <w:lvlText w:val="%1."/>
      <w:lvlJc w:val="left"/>
    </w:lvl>
  </w:abstractNum>
  <w:abstractNum w:abstractNumId="15">
    <w:nsid w:val="7A0F6431"/>
    <w:multiLevelType w:val="singleLevel"/>
    <w:tmpl w:val="7A0F6431"/>
    <w:lvl w:ilvl="0" w:tentative="0">
      <w:start w:val="1"/>
      <w:numFmt w:val="decimal"/>
      <w:suff w:val="space"/>
      <w:lvlText w:val="%1."/>
      <w:lvlJc w:val="left"/>
    </w:lvl>
  </w:abstractNum>
  <w:num w:numId="1">
    <w:abstractNumId w:val="11"/>
  </w:num>
  <w:num w:numId="2">
    <w:abstractNumId w:val="8"/>
  </w:num>
  <w:num w:numId="3">
    <w:abstractNumId w:val="14"/>
  </w:num>
  <w:num w:numId="4">
    <w:abstractNumId w:val="3"/>
  </w:num>
  <w:num w:numId="5">
    <w:abstractNumId w:val="10"/>
  </w:num>
  <w:num w:numId="6">
    <w:abstractNumId w:val="15"/>
  </w:num>
  <w:num w:numId="7">
    <w:abstractNumId w:val="4"/>
  </w:num>
  <w:num w:numId="8">
    <w:abstractNumId w:val="9"/>
  </w:num>
  <w:num w:numId="9">
    <w:abstractNumId w:val="6"/>
  </w:num>
  <w:num w:numId="10">
    <w:abstractNumId w:val="5"/>
  </w:num>
  <w:num w:numId="11">
    <w:abstractNumId w:val="1"/>
  </w:num>
  <w:num w:numId="12">
    <w:abstractNumId w:val="7"/>
  </w:num>
  <w:num w:numId="13">
    <w:abstractNumId w:val="12"/>
  </w:num>
  <w:num w:numId="14">
    <w:abstractNumId w:val="13"/>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lMjg1MDcyMjNiY2ViNjhkZTVjNjMzODEzYjY1ZjAifQ=="/>
  </w:docVars>
  <w:rsids>
    <w:rsidRoot w:val="00F92138"/>
    <w:rsid w:val="000011ED"/>
    <w:rsid w:val="00003035"/>
    <w:rsid w:val="000034A6"/>
    <w:rsid w:val="00003A29"/>
    <w:rsid w:val="00003B4C"/>
    <w:rsid w:val="00003D90"/>
    <w:rsid w:val="000040FD"/>
    <w:rsid w:val="00004538"/>
    <w:rsid w:val="00004CC8"/>
    <w:rsid w:val="00004F9B"/>
    <w:rsid w:val="00005143"/>
    <w:rsid w:val="00005950"/>
    <w:rsid w:val="000066EE"/>
    <w:rsid w:val="00006F9F"/>
    <w:rsid w:val="00006FC2"/>
    <w:rsid w:val="0000722A"/>
    <w:rsid w:val="0000775B"/>
    <w:rsid w:val="00007BC6"/>
    <w:rsid w:val="00007F75"/>
    <w:rsid w:val="00007F96"/>
    <w:rsid w:val="0001073E"/>
    <w:rsid w:val="00011006"/>
    <w:rsid w:val="00011968"/>
    <w:rsid w:val="0001269E"/>
    <w:rsid w:val="000127AC"/>
    <w:rsid w:val="0001284A"/>
    <w:rsid w:val="00012D46"/>
    <w:rsid w:val="000139C8"/>
    <w:rsid w:val="000139E0"/>
    <w:rsid w:val="00013C2B"/>
    <w:rsid w:val="00013F2B"/>
    <w:rsid w:val="00014528"/>
    <w:rsid w:val="00014830"/>
    <w:rsid w:val="00014B3F"/>
    <w:rsid w:val="00014CBF"/>
    <w:rsid w:val="00014F8C"/>
    <w:rsid w:val="000150F7"/>
    <w:rsid w:val="0001546F"/>
    <w:rsid w:val="000157C0"/>
    <w:rsid w:val="00016778"/>
    <w:rsid w:val="00020386"/>
    <w:rsid w:val="0002071A"/>
    <w:rsid w:val="00020D44"/>
    <w:rsid w:val="000212EE"/>
    <w:rsid w:val="00021F89"/>
    <w:rsid w:val="000222E5"/>
    <w:rsid w:val="00022A04"/>
    <w:rsid w:val="00022E8C"/>
    <w:rsid w:val="00022F6B"/>
    <w:rsid w:val="00023CCC"/>
    <w:rsid w:val="00024377"/>
    <w:rsid w:val="0002468E"/>
    <w:rsid w:val="000247AF"/>
    <w:rsid w:val="00024BB8"/>
    <w:rsid w:val="00024C60"/>
    <w:rsid w:val="00024F8B"/>
    <w:rsid w:val="000253B5"/>
    <w:rsid w:val="000254AC"/>
    <w:rsid w:val="000259A8"/>
    <w:rsid w:val="00026E34"/>
    <w:rsid w:val="00026F35"/>
    <w:rsid w:val="0002714F"/>
    <w:rsid w:val="00030708"/>
    <w:rsid w:val="00030C53"/>
    <w:rsid w:val="0003130B"/>
    <w:rsid w:val="000320B9"/>
    <w:rsid w:val="0003224D"/>
    <w:rsid w:val="000325F4"/>
    <w:rsid w:val="00032678"/>
    <w:rsid w:val="00032FF8"/>
    <w:rsid w:val="000335B6"/>
    <w:rsid w:val="00033DAF"/>
    <w:rsid w:val="0003439C"/>
    <w:rsid w:val="000343BC"/>
    <w:rsid w:val="00034E06"/>
    <w:rsid w:val="000351B3"/>
    <w:rsid w:val="00035402"/>
    <w:rsid w:val="000355E5"/>
    <w:rsid w:val="00035820"/>
    <w:rsid w:val="00035910"/>
    <w:rsid w:val="00035A5C"/>
    <w:rsid w:val="00035DF7"/>
    <w:rsid w:val="000403AE"/>
    <w:rsid w:val="00040940"/>
    <w:rsid w:val="00041076"/>
    <w:rsid w:val="000412A5"/>
    <w:rsid w:val="0004167F"/>
    <w:rsid w:val="00041ED4"/>
    <w:rsid w:val="000421A5"/>
    <w:rsid w:val="000421C8"/>
    <w:rsid w:val="000426E2"/>
    <w:rsid w:val="00042770"/>
    <w:rsid w:val="000427AB"/>
    <w:rsid w:val="00042DAE"/>
    <w:rsid w:val="00042E6D"/>
    <w:rsid w:val="0004314D"/>
    <w:rsid w:val="00043BC9"/>
    <w:rsid w:val="000447C7"/>
    <w:rsid w:val="00044975"/>
    <w:rsid w:val="00044E5F"/>
    <w:rsid w:val="0004528E"/>
    <w:rsid w:val="00045A41"/>
    <w:rsid w:val="00045B84"/>
    <w:rsid w:val="00046EF7"/>
    <w:rsid w:val="000477E5"/>
    <w:rsid w:val="00047EB0"/>
    <w:rsid w:val="00050027"/>
    <w:rsid w:val="00050162"/>
    <w:rsid w:val="00050664"/>
    <w:rsid w:val="000506B3"/>
    <w:rsid w:val="00050B4B"/>
    <w:rsid w:val="00050EC4"/>
    <w:rsid w:val="000512E9"/>
    <w:rsid w:val="0005137F"/>
    <w:rsid w:val="00051847"/>
    <w:rsid w:val="00052011"/>
    <w:rsid w:val="000520B6"/>
    <w:rsid w:val="000528D6"/>
    <w:rsid w:val="00052DC5"/>
    <w:rsid w:val="00053080"/>
    <w:rsid w:val="000536C4"/>
    <w:rsid w:val="00054966"/>
    <w:rsid w:val="00054C87"/>
    <w:rsid w:val="00055449"/>
    <w:rsid w:val="00055BF1"/>
    <w:rsid w:val="00055E73"/>
    <w:rsid w:val="00056190"/>
    <w:rsid w:val="00056AB7"/>
    <w:rsid w:val="00057438"/>
    <w:rsid w:val="00057B1A"/>
    <w:rsid w:val="000600A2"/>
    <w:rsid w:val="000600AC"/>
    <w:rsid w:val="00060163"/>
    <w:rsid w:val="000606D6"/>
    <w:rsid w:val="00060B78"/>
    <w:rsid w:val="00061151"/>
    <w:rsid w:val="00061194"/>
    <w:rsid w:val="0006269C"/>
    <w:rsid w:val="00062E7A"/>
    <w:rsid w:val="00062F9E"/>
    <w:rsid w:val="0006385F"/>
    <w:rsid w:val="00065160"/>
    <w:rsid w:val="00065639"/>
    <w:rsid w:val="00065A4D"/>
    <w:rsid w:val="000665E4"/>
    <w:rsid w:val="00067111"/>
    <w:rsid w:val="000675B5"/>
    <w:rsid w:val="0007107E"/>
    <w:rsid w:val="00071465"/>
    <w:rsid w:val="00071B5D"/>
    <w:rsid w:val="000723E2"/>
    <w:rsid w:val="00072883"/>
    <w:rsid w:val="000731C2"/>
    <w:rsid w:val="00073222"/>
    <w:rsid w:val="00073617"/>
    <w:rsid w:val="000738B6"/>
    <w:rsid w:val="00074167"/>
    <w:rsid w:val="00074AB7"/>
    <w:rsid w:val="00074DD4"/>
    <w:rsid w:val="0007565A"/>
    <w:rsid w:val="00077644"/>
    <w:rsid w:val="0007788B"/>
    <w:rsid w:val="00077FF6"/>
    <w:rsid w:val="00080266"/>
    <w:rsid w:val="0008063A"/>
    <w:rsid w:val="00081346"/>
    <w:rsid w:val="000815D9"/>
    <w:rsid w:val="00081FD1"/>
    <w:rsid w:val="000820F8"/>
    <w:rsid w:val="00082451"/>
    <w:rsid w:val="00082704"/>
    <w:rsid w:val="00082EA8"/>
    <w:rsid w:val="00082FEC"/>
    <w:rsid w:val="000834F3"/>
    <w:rsid w:val="00084A11"/>
    <w:rsid w:val="00085C7F"/>
    <w:rsid w:val="000870D2"/>
    <w:rsid w:val="00087A27"/>
    <w:rsid w:val="000910C5"/>
    <w:rsid w:val="00091791"/>
    <w:rsid w:val="00091B99"/>
    <w:rsid w:val="0009243F"/>
    <w:rsid w:val="0009290A"/>
    <w:rsid w:val="000945EF"/>
    <w:rsid w:val="0009553A"/>
    <w:rsid w:val="000965CD"/>
    <w:rsid w:val="00096861"/>
    <w:rsid w:val="00096AD2"/>
    <w:rsid w:val="00096CEF"/>
    <w:rsid w:val="000A0119"/>
    <w:rsid w:val="000A073C"/>
    <w:rsid w:val="000A0E08"/>
    <w:rsid w:val="000A0FD6"/>
    <w:rsid w:val="000A1C45"/>
    <w:rsid w:val="000A1DE2"/>
    <w:rsid w:val="000A2D55"/>
    <w:rsid w:val="000A37A2"/>
    <w:rsid w:val="000A4C9D"/>
    <w:rsid w:val="000A5169"/>
    <w:rsid w:val="000A5C45"/>
    <w:rsid w:val="000A60A3"/>
    <w:rsid w:val="000A6CD2"/>
    <w:rsid w:val="000A74D2"/>
    <w:rsid w:val="000A7625"/>
    <w:rsid w:val="000B010C"/>
    <w:rsid w:val="000B06A3"/>
    <w:rsid w:val="000B1865"/>
    <w:rsid w:val="000B2456"/>
    <w:rsid w:val="000B3BC8"/>
    <w:rsid w:val="000B411D"/>
    <w:rsid w:val="000B414E"/>
    <w:rsid w:val="000B4180"/>
    <w:rsid w:val="000B429B"/>
    <w:rsid w:val="000B5ACF"/>
    <w:rsid w:val="000B62C2"/>
    <w:rsid w:val="000B647B"/>
    <w:rsid w:val="000B6631"/>
    <w:rsid w:val="000B6A3F"/>
    <w:rsid w:val="000B6DEE"/>
    <w:rsid w:val="000B72A4"/>
    <w:rsid w:val="000B7385"/>
    <w:rsid w:val="000B7939"/>
    <w:rsid w:val="000B7B41"/>
    <w:rsid w:val="000C018F"/>
    <w:rsid w:val="000C0406"/>
    <w:rsid w:val="000C0A08"/>
    <w:rsid w:val="000C1576"/>
    <w:rsid w:val="000C16C7"/>
    <w:rsid w:val="000C18B9"/>
    <w:rsid w:val="000C1C13"/>
    <w:rsid w:val="000C2478"/>
    <w:rsid w:val="000C2C4E"/>
    <w:rsid w:val="000C2CBC"/>
    <w:rsid w:val="000C31E4"/>
    <w:rsid w:val="000C35F0"/>
    <w:rsid w:val="000C566C"/>
    <w:rsid w:val="000C59F6"/>
    <w:rsid w:val="000C5FC6"/>
    <w:rsid w:val="000C6144"/>
    <w:rsid w:val="000C628D"/>
    <w:rsid w:val="000C6905"/>
    <w:rsid w:val="000C699F"/>
    <w:rsid w:val="000C70F5"/>
    <w:rsid w:val="000C7259"/>
    <w:rsid w:val="000C7DC0"/>
    <w:rsid w:val="000D06C8"/>
    <w:rsid w:val="000D093D"/>
    <w:rsid w:val="000D11A7"/>
    <w:rsid w:val="000D11E7"/>
    <w:rsid w:val="000D1B37"/>
    <w:rsid w:val="000D40AF"/>
    <w:rsid w:val="000D47DB"/>
    <w:rsid w:val="000D519C"/>
    <w:rsid w:val="000D5333"/>
    <w:rsid w:val="000D5B37"/>
    <w:rsid w:val="000D5BC2"/>
    <w:rsid w:val="000D5C96"/>
    <w:rsid w:val="000D6062"/>
    <w:rsid w:val="000D63FC"/>
    <w:rsid w:val="000D671D"/>
    <w:rsid w:val="000D6D5C"/>
    <w:rsid w:val="000D6F1A"/>
    <w:rsid w:val="000E00A8"/>
    <w:rsid w:val="000E0628"/>
    <w:rsid w:val="000E1051"/>
    <w:rsid w:val="000E12EE"/>
    <w:rsid w:val="000E1EA9"/>
    <w:rsid w:val="000E1ECA"/>
    <w:rsid w:val="000E3274"/>
    <w:rsid w:val="000E3298"/>
    <w:rsid w:val="000E3460"/>
    <w:rsid w:val="000E3594"/>
    <w:rsid w:val="000E3A19"/>
    <w:rsid w:val="000E4F78"/>
    <w:rsid w:val="000E5069"/>
    <w:rsid w:val="000E6957"/>
    <w:rsid w:val="000E7700"/>
    <w:rsid w:val="000E7BC8"/>
    <w:rsid w:val="000F0191"/>
    <w:rsid w:val="000F1113"/>
    <w:rsid w:val="000F1327"/>
    <w:rsid w:val="000F25BC"/>
    <w:rsid w:val="000F264A"/>
    <w:rsid w:val="000F350A"/>
    <w:rsid w:val="000F3517"/>
    <w:rsid w:val="000F364A"/>
    <w:rsid w:val="000F3D0D"/>
    <w:rsid w:val="000F56C7"/>
    <w:rsid w:val="000F61C1"/>
    <w:rsid w:val="000F6817"/>
    <w:rsid w:val="00100D7E"/>
    <w:rsid w:val="0010195A"/>
    <w:rsid w:val="00102A52"/>
    <w:rsid w:val="0010326D"/>
    <w:rsid w:val="00103301"/>
    <w:rsid w:val="00103999"/>
    <w:rsid w:val="00103AB1"/>
    <w:rsid w:val="00104B81"/>
    <w:rsid w:val="001058BC"/>
    <w:rsid w:val="00106740"/>
    <w:rsid w:val="00107DBE"/>
    <w:rsid w:val="00111003"/>
    <w:rsid w:val="0011113A"/>
    <w:rsid w:val="0011141A"/>
    <w:rsid w:val="00111A2D"/>
    <w:rsid w:val="00112099"/>
    <w:rsid w:val="00112C90"/>
    <w:rsid w:val="00112E81"/>
    <w:rsid w:val="00112F5B"/>
    <w:rsid w:val="00113733"/>
    <w:rsid w:val="00113956"/>
    <w:rsid w:val="00114B86"/>
    <w:rsid w:val="00114BAC"/>
    <w:rsid w:val="00114E7F"/>
    <w:rsid w:val="00115670"/>
    <w:rsid w:val="0011594D"/>
    <w:rsid w:val="00116607"/>
    <w:rsid w:val="0011671E"/>
    <w:rsid w:val="00117824"/>
    <w:rsid w:val="00120802"/>
    <w:rsid w:val="00120DF7"/>
    <w:rsid w:val="00122B0C"/>
    <w:rsid w:val="00122F62"/>
    <w:rsid w:val="001249A4"/>
    <w:rsid w:val="00124BC6"/>
    <w:rsid w:val="001260F4"/>
    <w:rsid w:val="001270F9"/>
    <w:rsid w:val="00127500"/>
    <w:rsid w:val="00127BFE"/>
    <w:rsid w:val="00127F67"/>
    <w:rsid w:val="00130436"/>
    <w:rsid w:val="00130EFA"/>
    <w:rsid w:val="00131192"/>
    <w:rsid w:val="0013119D"/>
    <w:rsid w:val="00131596"/>
    <w:rsid w:val="001315FD"/>
    <w:rsid w:val="00131842"/>
    <w:rsid w:val="00131B68"/>
    <w:rsid w:val="0013205C"/>
    <w:rsid w:val="00134AC2"/>
    <w:rsid w:val="00134D87"/>
    <w:rsid w:val="0013633F"/>
    <w:rsid w:val="00137254"/>
    <w:rsid w:val="001373DE"/>
    <w:rsid w:val="001377AE"/>
    <w:rsid w:val="00137BD4"/>
    <w:rsid w:val="00140FCC"/>
    <w:rsid w:val="00141B28"/>
    <w:rsid w:val="001435BC"/>
    <w:rsid w:val="00143961"/>
    <w:rsid w:val="00143DED"/>
    <w:rsid w:val="00144977"/>
    <w:rsid w:val="00145C6E"/>
    <w:rsid w:val="00146D13"/>
    <w:rsid w:val="0014785A"/>
    <w:rsid w:val="00147BDA"/>
    <w:rsid w:val="001500A3"/>
    <w:rsid w:val="00150583"/>
    <w:rsid w:val="00150737"/>
    <w:rsid w:val="00150E00"/>
    <w:rsid w:val="00150E78"/>
    <w:rsid w:val="001518A6"/>
    <w:rsid w:val="00151C92"/>
    <w:rsid w:val="00151D76"/>
    <w:rsid w:val="00151D82"/>
    <w:rsid w:val="001520C4"/>
    <w:rsid w:val="00152141"/>
    <w:rsid w:val="00152580"/>
    <w:rsid w:val="001531D5"/>
    <w:rsid w:val="00153C33"/>
    <w:rsid w:val="00153E77"/>
    <w:rsid w:val="00154142"/>
    <w:rsid w:val="001552FB"/>
    <w:rsid w:val="00155E4D"/>
    <w:rsid w:val="001563CA"/>
    <w:rsid w:val="00157CF4"/>
    <w:rsid w:val="00157D8C"/>
    <w:rsid w:val="001602DB"/>
    <w:rsid w:val="00160B58"/>
    <w:rsid w:val="001615FE"/>
    <w:rsid w:val="00161F11"/>
    <w:rsid w:val="001628D1"/>
    <w:rsid w:val="001635EC"/>
    <w:rsid w:val="00163AF5"/>
    <w:rsid w:val="00164A32"/>
    <w:rsid w:val="00166155"/>
    <w:rsid w:val="00166459"/>
    <w:rsid w:val="001666A4"/>
    <w:rsid w:val="00166B5D"/>
    <w:rsid w:val="00170546"/>
    <w:rsid w:val="001708D7"/>
    <w:rsid w:val="00170B3B"/>
    <w:rsid w:val="00170E23"/>
    <w:rsid w:val="00170E6F"/>
    <w:rsid w:val="00171E9E"/>
    <w:rsid w:val="0017230F"/>
    <w:rsid w:val="00172BF4"/>
    <w:rsid w:val="0017330B"/>
    <w:rsid w:val="0017446B"/>
    <w:rsid w:val="00174B67"/>
    <w:rsid w:val="00174FF0"/>
    <w:rsid w:val="0017506B"/>
    <w:rsid w:val="0017569B"/>
    <w:rsid w:val="00175FAB"/>
    <w:rsid w:val="001766AA"/>
    <w:rsid w:val="00176EAE"/>
    <w:rsid w:val="00177137"/>
    <w:rsid w:val="001776FB"/>
    <w:rsid w:val="00177C81"/>
    <w:rsid w:val="001808E2"/>
    <w:rsid w:val="00180BEC"/>
    <w:rsid w:val="00181A3A"/>
    <w:rsid w:val="00181CCB"/>
    <w:rsid w:val="00182C8C"/>
    <w:rsid w:val="0018350F"/>
    <w:rsid w:val="00184BEB"/>
    <w:rsid w:val="00185033"/>
    <w:rsid w:val="00186156"/>
    <w:rsid w:val="00186411"/>
    <w:rsid w:val="001875C3"/>
    <w:rsid w:val="00187FC4"/>
    <w:rsid w:val="001902AC"/>
    <w:rsid w:val="001902E5"/>
    <w:rsid w:val="0019071A"/>
    <w:rsid w:val="00190C4B"/>
    <w:rsid w:val="001910FC"/>
    <w:rsid w:val="0019110D"/>
    <w:rsid w:val="0019184C"/>
    <w:rsid w:val="00191864"/>
    <w:rsid w:val="001920F4"/>
    <w:rsid w:val="00192B99"/>
    <w:rsid w:val="00193724"/>
    <w:rsid w:val="00193D99"/>
    <w:rsid w:val="00194596"/>
    <w:rsid w:val="0019486F"/>
    <w:rsid w:val="0019498B"/>
    <w:rsid w:val="00195D79"/>
    <w:rsid w:val="0019621C"/>
    <w:rsid w:val="00196416"/>
    <w:rsid w:val="00196CD1"/>
    <w:rsid w:val="00197043"/>
    <w:rsid w:val="00197505"/>
    <w:rsid w:val="001A04FC"/>
    <w:rsid w:val="001A093E"/>
    <w:rsid w:val="001A0987"/>
    <w:rsid w:val="001A162C"/>
    <w:rsid w:val="001A1766"/>
    <w:rsid w:val="001A190A"/>
    <w:rsid w:val="001A1F39"/>
    <w:rsid w:val="001A24C7"/>
    <w:rsid w:val="001A305D"/>
    <w:rsid w:val="001A331F"/>
    <w:rsid w:val="001A365F"/>
    <w:rsid w:val="001A3996"/>
    <w:rsid w:val="001A3AEF"/>
    <w:rsid w:val="001A3EF0"/>
    <w:rsid w:val="001A3FAA"/>
    <w:rsid w:val="001A4474"/>
    <w:rsid w:val="001A493C"/>
    <w:rsid w:val="001A50C7"/>
    <w:rsid w:val="001A55F6"/>
    <w:rsid w:val="001A5AC4"/>
    <w:rsid w:val="001A69BB"/>
    <w:rsid w:val="001A7DAA"/>
    <w:rsid w:val="001B02A1"/>
    <w:rsid w:val="001B03B2"/>
    <w:rsid w:val="001B0531"/>
    <w:rsid w:val="001B07BA"/>
    <w:rsid w:val="001B0CE4"/>
    <w:rsid w:val="001B0E49"/>
    <w:rsid w:val="001B0E7E"/>
    <w:rsid w:val="001B0E82"/>
    <w:rsid w:val="001B1BB1"/>
    <w:rsid w:val="001B1CB6"/>
    <w:rsid w:val="001B2025"/>
    <w:rsid w:val="001B22C7"/>
    <w:rsid w:val="001B29D5"/>
    <w:rsid w:val="001B2AB6"/>
    <w:rsid w:val="001B321D"/>
    <w:rsid w:val="001B414D"/>
    <w:rsid w:val="001B49CB"/>
    <w:rsid w:val="001B621F"/>
    <w:rsid w:val="001B674A"/>
    <w:rsid w:val="001B6E90"/>
    <w:rsid w:val="001B737B"/>
    <w:rsid w:val="001B73A3"/>
    <w:rsid w:val="001B7408"/>
    <w:rsid w:val="001B7B77"/>
    <w:rsid w:val="001B7CFB"/>
    <w:rsid w:val="001C0629"/>
    <w:rsid w:val="001C1729"/>
    <w:rsid w:val="001C2BB8"/>
    <w:rsid w:val="001C2D35"/>
    <w:rsid w:val="001C3D12"/>
    <w:rsid w:val="001C45AC"/>
    <w:rsid w:val="001C4807"/>
    <w:rsid w:val="001C5609"/>
    <w:rsid w:val="001C701F"/>
    <w:rsid w:val="001C72C5"/>
    <w:rsid w:val="001C745C"/>
    <w:rsid w:val="001C750F"/>
    <w:rsid w:val="001C77CF"/>
    <w:rsid w:val="001C7893"/>
    <w:rsid w:val="001C78AD"/>
    <w:rsid w:val="001C79B7"/>
    <w:rsid w:val="001D027B"/>
    <w:rsid w:val="001D0660"/>
    <w:rsid w:val="001D0A3C"/>
    <w:rsid w:val="001D1074"/>
    <w:rsid w:val="001D17FB"/>
    <w:rsid w:val="001D1A40"/>
    <w:rsid w:val="001D1BD9"/>
    <w:rsid w:val="001D1ED9"/>
    <w:rsid w:val="001D2354"/>
    <w:rsid w:val="001D42E9"/>
    <w:rsid w:val="001D482B"/>
    <w:rsid w:val="001D4B5E"/>
    <w:rsid w:val="001D4CDA"/>
    <w:rsid w:val="001D5413"/>
    <w:rsid w:val="001D5EEB"/>
    <w:rsid w:val="001D6933"/>
    <w:rsid w:val="001D6FBD"/>
    <w:rsid w:val="001D7210"/>
    <w:rsid w:val="001D7894"/>
    <w:rsid w:val="001D7BC1"/>
    <w:rsid w:val="001D7D78"/>
    <w:rsid w:val="001E067D"/>
    <w:rsid w:val="001E0862"/>
    <w:rsid w:val="001E148F"/>
    <w:rsid w:val="001E1A98"/>
    <w:rsid w:val="001E1B12"/>
    <w:rsid w:val="001E1D12"/>
    <w:rsid w:val="001E2396"/>
    <w:rsid w:val="001E23BF"/>
    <w:rsid w:val="001E275B"/>
    <w:rsid w:val="001E2862"/>
    <w:rsid w:val="001E294B"/>
    <w:rsid w:val="001E2DE6"/>
    <w:rsid w:val="001E31C4"/>
    <w:rsid w:val="001E3609"/>
    <w:rsid w:val="001E3693"/>
    <w:rsid w:val="001E3F45"/>
    <w:rsid w:val="001E696A"/>
    <w:rsid w:val="001E6D2F"/>
    <w:rsid w:val="001E7E7A"/>
    <w:rsid w:val="001F0C2C"/>
    <w:rsid w:val="001F1440"/>
    <w:rsid w:val="001F1853"/>
    <w:rsid w:val="001F2422"/>
    <w:rsid w:val="001F3A64"/>
    <w:rsid w:val="001F3AD9"/>
    <w:rsid w:val="001F4687"/>
    <w:rsid w:val="001F46E0"/>
    <w:rsid w:val="001F4DEF"/>
    <w:rsid w:val="001F5997"/>
    <w:rsid w:val="001F5AA1"/>
    <w:rsid w:val="001F5B60"/>
    <w:rsid w:val="001F5C11"/>
    <w:rsid w:val="001F60AC"/>
    <w:rsid w:val="001F651B"/>
    <w:rsid w:val="001F662E"/>
    <w:rsid w:val="001F7215"/>
    <w:rsid w:val="001F7340"/>
    <w:rsid w:val="001F7506"/>
    <w:rsid w:val="001F7F8D"/>
    <w:rsid w:val="00200316"/>
    <w:rsid w:val="0020050E"/>
    <w:rsid w:val="002009E4"/>
    <w:rsid w:val="0020195A"/>
    <w:rsid w:val="00201B25"/>
    <w:rsid w:val="002027EF"/>
    <w:rsid w:val="00203A55"/>
    <w:rsid w:val="00206225"/>
    <w:rsid w:val="0020757A"/>
    <w:rsid w:val="00207C8F"/>
    <w:rsid w:val="00210B09"/>
    <w:rsid w:val="0021125C"/>
    <w:rsid w:val="002114BA"/>
    <w:rsid w:val="00211C13"/>
    <w:rsid w:val="00212626"/>
    <w:rsid w:val="00212989"/>
    <w:rsid w:val="00212D38"/>
    <w:rsid w:val="0021351A"/>
    <w:rsid w:val="002138FE"/>
    <w:rsid w:val="002149B2"/>
    <w:rsid w:val="00214CC2"/>
    <w:rsid w:val="00215408"/>
    <w:rsid w:val="00216AEA"/>
    <w:rsid w:val="00217054"/>
    <w:rsid w:val="00217AE5"/>
    <w:rsid w:val="00217E9A"/>
    <w:rsid w:val="00220E32"/>
    <w:rsid w:val="00221495"/>
    <w:rsid w:val="00221888"/>
    <w:rsid w:val="00222708"/>
    <w:rsid w:val="002229B0"/>
    <w:rsid w:val="00222A36"/>
    <w:rsid w:val="00223A51"/>
    <w:rsid w:val="00223F00"/>
    <w:rsid w:val="0022446D"/>
    <w:rsid w:val="00224C89"/>
    <w:rsid w:val="002260AD"/>
    <w:rsid w:val="002261F8"/>
    <w:rsid w:val="00226478"/>
    <w:rsid w:val="002278CE"/>
    <w:rsid w:val="00230DFF"/>
    <w:rsid w:val="00230F9C"/>
    <w:rsid w:val="002325AE"/>
    <w:rsid w:val="002326F2"/>
    <w:rsid w:val="00232DC8"/>
    <w:rsid w:val="00232EBF"/>
    <w:rsid w:val="00234641"/>
    <w:rsid w:val="00234BD6"/>
    <w:rsid w:val="002359C3"/>
    <w:rsid w:val="00235ADD"/>
    <w:rsid w:val="00235F89"/>
    <w:rsid w:val="00236F91"/>
    <w:rsid w:val="002373E5"/>
    <w:rsid w:val="00237602"/>
    <w:rsid w:val="002404EA"/>
    <w:rsid w:val="0024074A"/>
    <w:rsid w:val="0024096E"/>
    <w:rsid w:val="002418B1"/>
    <w:rsid w:val="00241A5C"/>
    <w:rsid w:val="00241DE1"/>
    <w:rsid w:val="0024232F"/>
    <w:rsid w:val="00242832"/>
    <w:rsid w:val="00243476"/>
    <w:rsid w:val="002435E0"/>
    <w:rsid w:val="00243931"/>
    <w:rsid w:val="002439A1"/>
    <w:rsid w:val="00243F0E"/>
    <w:rsid w:val="002441BE"/>
    <w:rsid w:val="00246233"/>
    <w:rsid w:val="002464F0"/>
    <w:rsid w:val="002469A3"/>
    <w:rsid w:val="00246B1C"/>
    <w:rsid w:val="002473EC"/>
    <w:rsid w:val="00247D80"/>
    <w:rsid w:val="00250FB6"/>
    <w:rsid w:val="0025111D"/>
    <w:rsid w:val="002517A2"/>
    <w:rsid w:val="00251D2B"/>
    <w:rsid w:val="00251E7B"/>
    <w:rsid w:val="002528CC"/>
    <w:rsid w:val="00252F05"/>
    <w:rsid w:val="002539A8"/>
    <w:rsid w:val="002540FA"/>
    <w:rsid w:val="002542B9"/>
    <w:rsid w:val="002544BE"/>
    <w:rsid w:val="00254894"/>
    <w:rsid w:val="002549A9"/>
    <w:rsid w:val="00255066"/>
    <w:rsid w:val="002550EB"/>
    <w:rsid w:val="00255D59"/>
    <w:rsid w:val="002567EF"/>
    <w:rsid w:val="0026033B"/>
    <w:rsid w:val="00260586"/>
    <w:rsid w:val="0026067E"/>
    <w:rsid w:val="00261358"/>
    <w:rsid w:val="00261387"/>
    <w:rsid w:val="00261D25"/>
    <w:rsid w:val="00262975"/>
    <w:rsid w:val="00262AE0"/>
    <w:rsid w:val="00264CD6"/>
    <w:rsid w:val="0026510C"/>
    <w:rsid w:val="00265323"/>
    <w:rsid w:val="00265494"/>
    <w:rsid w:val="00266A44"/>
    <w:rsid w:val="002677CB"/>
    <w:rsid w:val="00270BD0"/>
    <w:rsid w:val="00271315"/>
    <w:rsid w:val="00273203"/>
    <w:rsid w:val="002735AA"/>
    <w:rsid w:val="0027385D"/>
    <w:rsid w:val="00273AC7"/>
    <w:rsid w:val="00273C4D"/>
    <w:rsid w:val="002748B6"/>
    <w:rsid w:val="00275602"/>
    <w:rsid w:val="00276424"/>
    <w:rsid w:val="0027652D"/>
    <w:rsid w:val="00276941"/>
    <w:rsid w:val="00277138"/>
    <w:rsid w:val="00277F33"/>
    <w:rsid w:val="00280EB0"/>
    <w:rsid w:val="0028132C"/>
    <w:rsid w:val="002814A0"/>
    <w:rsid w:val="00281DD3"/>
    <w:rsid w:val="00281F76"/>
    <w:rsid w:val="00282A80"/>
    <w:rsid w:val="00282E89"/>
    <w:rsid w:val="00283F81"/>
    <w:rsid w:val="0028443A"/>
    <w:rsid w:val="002845B3"/>
    <w:rsid w:val="002846FC"/>
    <w:rsid w:val="00284C41"/>
    <w:rsid w:val="00285132"/>
    <w:rsid w:val="00285367"/>
    <w:rsid w:val="0028552C"/>
    <w:rsid w:val="00285C28"/>
    <w:rsid w:val="00285FD5"/>
    <w:rsid w:val="0028611C"/>
    <w:rsid w:val="002866DB"/>
    <w:rsid w:val="00286ED8"/>
    <w:rsid w:val="00287372"/>
    <w:rsid w:val="00287D3E"/>
    <w:rsid w:val="002903F9"/>
    <w:rsid w:val="00291373"/>
    <w:rsid w:val="00291B3C"/>
    <w:rsid w:val="00291DB8"/>
    <w:rsid w:val="002920EB"/>
    <w:rsid w:val="002922EE"/>
    <w:rsid w:val="00292C08"/>
    <w:rsid w:val="00292E18"/>
    <w:rsid w:val="00293705"/>
    <w:rsid w:val="00293D04"/>
    <w:rsid w:val="00293F3A"/>
    <w:rsid w:val="00294639"/>
    <w:rsid w:val="00294D8B"/>
    <w:rsid w:val="00295A96"/>
    <w:rsid w:val="00295DBE"/>
    <w:rsid w:val="002962DA"/>
    <w:rsid w:val="002964DD"/>
    <w:rsid w:val="00296AFF"/>
    <w:rsid w:val="00296C8E"/>
    <w:rsid w:val="00297E0C"/>
    <w:rsid w:val="002A0B6A"/>
    <w:rsid w:val="002A1103"/>
    <w:rsid w:val="002A16F4"/>
    <w:rsid w:val="002A2251"/>
    <w:rsid w:val="002A25A4"/>
    <w:rsid w:val="002A2C3B"/>
    <w:rsid w:val="002A415D"/>
    <w:rsid w:val="002A49B2"/>
    <w:rsid w:val="002A610A"/>
    <w:rsid w:val="002A671A"/>
    <w:rsid w:val="002A685E"/>
    <w:rsid w:val="002A6A6B"/>
    <w:rsid w:val="002A6CE9"/>
    <w:rsid w:val="002A725F"/>
    <w:rsid w:val="002A75D1"/>
    <w:rsid w:val="002B00FA"/>
    <w:rsid w:val="002B04A2"/>
    <w:rsid w:val="002B055D"/>
    <w:rsid w:val="002B08D1"/>
    <w:rsid w:val="002B0D00"/>
    <w:rsid w:val="002B10E6"/>
    <w:rsid w:val="002B124E"/>
    <w:rsid w:val="002B1707"/>
    <w:rsid w:val="002B1778"/>
    <w:rsid w:val="002B1B61"/>
    <w:rsid w:val="002B210E"/>
    <w:rsid w:val="002B2940"/>
    <w:rsid w:val="002B2BB3"/>
    <w:rsid w:val="002B300C"/>
    <w:rsid w:val="002B3057"/>
    <w:rsid w:val="002B37A6"/>
    <w:rsid w:val="002B4887"/>
    <w:rsid w:val="002B4889"/>
    <w:rsid w:val="002B488E"/>
    <w:rsid w:val="002B52D5"/>
    <w:rsid w:val="002B539B"/>
    <w:rsid w:val="002B587F"/>
    <w:rsid w:val="002B58E0"/>
    <w:rsid w:val="002B594C"/>
    <w:rsid w:val="002B594F"/>
    <w:rsid w:val="002B6695"/>
    <w:rsid w:val="002B6C1E"/>
    <w:rsid w:val="002B792B"/>
    <w:rsid w:val="002C050A"/>
    <w:rsid w:val="002C05D9"/>
    <w:rsid w:val="002C071F"/>
    <w:rsid w:val="002C1042"/>
    <w:rsid w:val="002C13B0"/>
    <w:rsid w:val="002C2330"/>
    <w:rsid w:val="002C2468"/>
    <w:rsid w:val="002C2D77"/>
    <w:rsid w:val="002C3A89"/>
    <w:rsid w:val="002C3E9D"/>
    <w:rsid w:val="002C4A94"/>
    <w:rsid w:val="002C4F1A"/>
    <w:rsid w:val="002C5FBF"/>
    <w:rsid w:val="002C6330"/>
    <w:rsid w:val="002C6460"/>
    <w:rsid w:val="002C6A88"/>
    <w:rsid w:val="002C6E6B"/>
    <w:rsid w:val="002C70DC"/>
    <w:rsid w:val="002C7464"/>
    <w:rsid w:val="002D03D5"/>
    <w:rsid w:val="002D0694"/>
    <w:rsid w:val="002D0DCB"/>
    <w:rsid w:val="002D0E51"/>
    <w:rsid w:val="002D0E6F"/>
    <w:rsid w:val="002D1B57"/>
    <w:rsid w:val="002D207F"/>
    <w:rsid w:val="002D21F9"/>
    <w:rsid w:val="002D2E7E"/>
    <w:rsid w:val="002D2EC2"/>
    <w:rsid w:val="002D308D"/>
    <w:rsid w:val="002D30E8"/>
    <w:rsid w:val="002D3E37"/>
    <w:rsid w:val="002D492C"/>
    <w:rsid w:val="002D4F40"/>
    <w:rsid w:val="002D4F88"/>
    <w:rsid w:val="002D51D8"/>
    <w:rsid w:val="002D6A91"/>
    <w:rsid w:val="002D6CAE"/>
    <w:rsid w:val="002D752F"/>
    <w:rsid w:val="002D7BBF"/>
    <w:rsid w:val="002E00B9"/>
    <w:rsid w:val="002E0D85"/>
    <w:rsid w:val="002E0DA4"/>
    <w:rsid w:val="002E120D"/>
    <w:rsid w:val="002E161B"/>
    <w:rsid w:val="002E1BB9"/>
    <w:rsid w:val="002E30DE"/>
    <w:rsid w:val="002E4355"/>
    <w:rsid w:val="002E4B42"/>
    <w:rsid w:val="002E54DC"/>
    <w:rsid w:val="002E5BE6"/>
    <w:rsid w:val="002E626C"/>
    <w:rsid w:val="002E6298"/>
    <w:rsid w:val="002E7C47"/>
    <w:rsid w:val="002F0582"/>
    <w:rsid w:val="002F094F"/>
    <w:rsid w:val="002F0AD1"/>
    <w:rsid w:val="002F0C93"/>
    <w:rsid w:val="002F103F"/>
    <w:rsid w:val="002F106F"/>
    <w:rsid w:val="002F13FB"/>
    <w:rsid w:val="002F148C"/>
    <w:rsid w:val="002F1B5E"/>
    <w:rsid w:val="002F2007"/>
    <w:rsid w:val="002F20F5"/>
    <w:rsid w:val="002F338D"/>
    <w:rsid w:val="002F3892"/>
    <w:rsid w:val="002F3FD1"/>
    <w:rsid w:val="002F4FAC"/>
    <w:rsid w:val="002F5017"/>
    <w:rsid w:val="002F5092"/>
    <w:rsid w:val="002F558C"/>
    <w:rsid w:val="002F5A67"/>
    <w:rsid w:val="002F6F79"/>
    <w:rsid w:val="002F72CE"/>
    <w:rsid w:val="002F7800"/>
    <w:rsid w:val="002F7D3C"/>
    <w:rsid w:val="002F7EAD"/>
    <w:rsid w:val="002F7EBC"/>
    <w:rsid w:val="003002E1"/>
    <w:rsid w:val="00301EF9"/>
    <w:rsid w:val="00301F57"/>
    <w:rsid w:val="0030227A"/>
    <w:rsid w:val="003022B7"/>
    <w:rsid w:val="00302447"/>
    <w:rsid w:val="00304E68"/>
    <w:rsid w:val="003054A6"/>
    <w:rsid w:val="003056FA"/>
    <w:rsid w:val="0030577F"/>
    <w:rsid w:val="0030584C"/>
    <w:rsid w:val="003061C1"/>
    <w:rsid w:val="003064E0"/>
    <w:rsid w:val="003067E7"/>
    <w:rsid w:val="00307047"/>
    <w:rsid w:val="003071E5"/>
    <w:rsid w:val="003071FC"/>
    <w:rsid w:val="00307877"/>
    <w:rsid w:val="00307E0A"/>
    <w:rsid w:val="00310576"/>
    <w:rsid w:val="00310A6D"/>
    <w:rsid w:val="00310AB1"/>
    <w:rsid w:val="003122E4"/>
    <w:rsid w:val="00312732"/>
    <w:rsid w:val="00312BE8"/>
    <w:rsid w:val="00312C96"/>
    <w:rsid w:val="0031356C"/>
    <w:rsid w:val="00313701"/>
    <w:rsid w:val="00313752"/>
    <w:rsid w:val="0031417D"/>
    <w:rsid w:val="003146F7"/>
    <w:rsid w:val="0031471A"/>
    <w:rsid w:val="003150F5"/>
    <w:rsid w:val="00315648"/>
    <w:rsid w:val="00315F77"/>
    <w:rsid w:val="00316A33"/>
    <w:rsid w:val="00317090"/>
    <w:rsid w:val="00317092"/>
    <w:rsid w:val="00317A07"/>
    <w:rsid w:val="00317EE0"/>
    <w:rsid w:val="00317FCA"/>
    <w:rsid w:val="0032058C"/>
    <w:rsid w:val="00320CB8"/>
    <w:rsid w:val="00321001"/>
    <w:rsid w:val="00321555"/>
    <w:rsid w:val="00322415"/>
    <w:rsid w:val="00323F4D"/>
    <w:rsid w:val="00324447"/>
    <w:rsid w:val="003248ED"/>
    <w:rsid w:val="00324A96"/>
    <w:rsid w:val="00324CE2"/>
    <w:rsid w:val="003254B9"/>
    <w:rsid w:val="003276EA"/>
    <w:rsid w:val="00327A92"/>
    <w:rsid w:val="0033068B"/>
    <w:rsid w:val="00330892"/>
    <w:rsid w:val="00330B62"/>
    <w:rsid w:val="00332235"/>
    <w:rsid w:val="0033292A"/>
    <w:rsid w:val="00332A5B"/>
    <w:rsid w:val="00332D9F"/>
    <w:rsid w:val="003330C9"/>
    <w:rsid w:val="00333FF9"/>
    <w:rsid w:val="00334466"/>
    <w:rsid w:val="00334522"/>
    <w:rsid w:val="003347F7"/>
    <w:rsid w:val="00334DB9"/>
    <w:rsid w:val="003360B0"/>
    <w:rsid w:val="00336A86"/>
    <w:rsid w:val="0033748B"/>
    <w:rsid w:val="00337543"/>
    <w:rsid w:val="003377CD"/>
    <w:rsid w:val="0034003B"/>
    <w:rsid w:val="00340602"/>
    <w:rsid w:val="00340AA4"/>
    <w:rsid w:val="00340E87"/>
    <w:rsid w:val="00341D1A"/>
    <w:rsid w:val="0034382F"/>
    <w:rsid w:val="00343A60"/>
    <w:rsid w:val="00343DAD"/>
    <w:rsid w:val="0034459D"/>
    <w:rsid w:val="00344FAF"/>
    <w:rsid w:val="00345AB4"/>
    <w:rsid w:val="00345B3B"/>
    <w:rsid w:val="00346660"/>
    <w:rsid w:val="00347266"/>
    <w:rsid w:val="00351383"/>
    <w:rsid w:val="003517B3"/>
    <w:rsid w:val="00351DA2"/>
    <w:rsid w:val="00352459"/>
    <w:rsid w:val="003525B9"/>
    <w:rsid w:val="003529F2"/>
    <w:rsid w:val="00352CF0"/>
    <w:rsid w:val="00352F87"/>
    <w:rsid w:val="0035318E"/>
    <w:rsid w:val="0035352F"/>
    <w:rsid w:val="00353880"/>
    <w:rsid w:val="00354331"/>
    <w:rsid w:val="00354A81"/>
    <w:rsid w:val="00354DE4"/>
    <w:rsid w:val="00354F5A"/>
    <w:rsid w:val="00355773"/>
    <w:rsid w:val="003557BD"/>
    <w:rsid w:val="00355F3E"/>
    <w:rsid w:val="003564D1"/>
    <w:rsid w:val="00356587"/>
    <w:rsid w:val="00356693"/>
    <w:rsid w:val="00356F60"/>
    <w:rsid w:val="00357C89"/>
    <w:rsid w:val="00360775"/>
    <w:rsid w:val="00360AC2"/>
    <w:rsid w:val="003621AD"/>
    <w:rsid w:val="0036262E"/>
    <w:rsid w:val="00362EDB"/>
    <w:rsid w:val="0036300A"/>
    <w:rsid w:val="003631DD"/>
    <w:rsid w:val="00363E94"/>
    <w:rsid w:val="0036421E"/>
    <w:rsid w:val="003643C6"/>
    <w:rsid w:val="003644E2"/>
    <w:rsid w:val="00364966"/>
    <w:rsid w:val="00364FA3"/>
    <w:rsid w:val="003658AD"/>
    <w:rsid w:val="00365CE6"/>
    <w:rsid w:val="00366433"/>
    <w:rsid w:val="0036670C"/>
    <w:rsid w:val="00367089"/>
    <w:rsid w:val="00370510"/>
    <w:rsid w:val="00370FC8"/>
    <w:rsid w:val="00371C3C"/>
    <w:rsid w:val="0037218F"/>
    <w:rsid w:val="003721E4"/>
    <w:rsid w:val="00373063"/>
    <w:rsid w:val="00373290"/>
    <w:rsid w:val="003736CA"/>
    <w:rsid w:val="003738CD"/>
    <w:rsid w:val="00373911"/>
    <w:rsid w:val="00373FCA"/>
    <w:rsid w:val="00374260"/>
    <w:rsid w:val="00374277"/>
    <w:rsid w:val="003749EE"/>
    <w:rsid w:val="00374ABB"/>
    <w:rsid w:val="003755FB"/>
    <w:rsid w:val="00376209"/>
    <w:rsid w:val="0037665E"/>
    <w:rsid w:val="003776C6"/>
    <w:rsid w:val="0037780B"/>
    <w:rsid w:val="0037785F"/>
    <w:rsid w:val="003778F7"/>
    <w:rsid w:val="00377991"/>
    <w:rsid w:val="00377A59"/>
    <w:rsid w:val="00380511"/>
    <w:rsid w:val="00380537"/>
    <w:rsid w:val="00380B28"/>
    <w:rsid w:val="00380F81"/>
    <w:rsid w:val="00381476"/>
    <w:rsid w:val="003817C0"/>
    <w:rsid w:val="003822E4"/>
    <w:rsid w:val="003828C9"/>
    <w:rsid w:val="00383485"/>
    <w:rsid w:val="00384272"/>
    <w:rsid w:val="003847DA"/>
    <w:rsid w:val="003848EA"/>
    <w:rsid w:val="00384D75"/>
    <w:rsid w:val="00385542"/>
    <w:rsid w:val="0038567A"/>
    <w:rsid w:val="00385913"/>
    <w:rsid w:val="00385C65"/>
    <w:rsid w:val="003860B0"/>
    <w:rsid w:val="0038672D"/>
    <w:rsid w:val="0038691F"/>
    <w:rsid w:val="00387903"/>
    <w:rsid w:val="00387BF7"/>
    <w:rsid w:val="003900D2"/>
    <w:rsid w:val="003914E7"/>
    <w:rsid w:val="0039172E"/>
    <w:rsid w:val="00391DB7"/>
    <w:rsid w:val="00393FFE"/>
    <w:rsid w:val="003941C9"/>
    <w:rsid w:val="003944C7"/>
    <w:rsid w:val="00394BA2"/>
    <w:rsid w:val="00395428"/>
    <w:rsid w:val="00395754"/>
    <w:rsid w:val="00395E1E"/>
    <w:rsid w:val="003963FF"/>
    <w:rsid w:val="00396D1A"/>
    <w:rsid w:val="00397909"/>
    <w:rsid w:val="003A1003"/>
    <w:rsid w:val="003A12FD"/>
    <w:rsid w:val="003A27B2"/>
    <w:rsid w:val="003A2C4F"/>
    <w:rsid w:val="003A2EF8"/>
    <w:rsid w:val="003A30E9"/>
    <w:rsid w:val="003A326F"/>
    <w:rsid w:val="003A4696"/>
    <w:rsid w:val="003A4B51"/>
    <w:rsid w:val="003A4C33"/>
    <w:rsid w:val="003A618B"/>
    <w:rsid w:val="003A7105"/>
    <w:rsid w:val="003A721C"/>
    <w:rsid w:val="003A7FE7"/>
    <w:rsid w:val="003B0604"/>
    <w:rsid w:val="003B09AB"/>
    <w:rsid w:val="003B1487"/>
    <w:rsid w:val="003B1AFA"/>
    <w:rsid w:val="003B1D6E"/>
    <w:rsid w:val="003B1E8D"/>
    <w:rsid w:val="003B1FA4"/>
    <w:rsid w:val="003B22E9"/>
    <w:rsid w:val="003B274A"/>
    <w:rsid w:val="003B2832"/>
    <w:rsid w:val="003B3319"/>
    <w:rsid w:val="003B3482"/>
    <w:rsid w:val="003B3A2A"/>
    <w:rsid w:val="003B3BEE"/>
    <w:rsid w:val="003B3CA1"/>
    <w:rsid w:val="003B46AA"/>
    <w:rsid w:val="003B4932"/>
    <w:rsid w:val="003B4F2D"/>
    <w:rsid w:val="003B52F5"/>
    <w:rsid w:val="003B53AE"/>
    <w:rsid w:val="003B5AEE"/>
    <w:rsid w:val="003B5E6F"/>
    <w:rsid w:val="003B5F62"/>
    <w:rsid w:val="003B6314"/>
    <w:rsid w:val="003B714B"/>
    <w:rsid w:val="003B73F6"/>
    <w:rsid w:val="003B7AD0"/>
    <w:rsid w:val="003C012F"/>
    <w:rsid w:val="003C08FD"/>
    <w:rsid w:val="003C1D54"/>
    <w:rsid w:val="003C1FC2"/>
    <w:rsid w:val="003C2144"/>
    <w:rsid w:val="003C23EC"/>
    <w:rsid w:val="003C2655"/>
    <w:rsid w:val="003C28B3"/>
    <w:rsid w:val="003C36F7"/>
    <w:rsid w:val="003C38FE"/>
    <w:rsid w:val="003C3E6A"/>
    <w:rsid w:val="003C4284"/>
    <w:rsid w:val="003C4F4F"/>
    <w:rsid w:val="003C6FDC"/>
    <w:rsid w:val="003D06F5"/>
    <w:rsid w:val="003D08E9"/>
    <w:rsid w:val="003D0BD8"/>
    <w:rsid w:val="003D1188"/>
    <w:rsid w:val="003D1735"/>
    <w:rsid w:val="003D1AAE"/>
    <w:rsid w:val="003D2AE9"/>
    <w:rsid w:val="003D2E4C"/>
    <w:rsid w:val="003D38EF"/>
    <w:rsid w:val="003D3C2D"/>
    <w:rsid w:val="003D4AB4"/>
    <w:rsid w:val="003D57E5"/>
    <w:rsid w:val="003D59EF"/>
    <w:rsid w:val="003D63A3"/>
    <w:rsid w:val="003D7129"/>
    <w:rsid w:val="003D7200"/>
    <w:rsid w:val="003D76C8"/>
    <w:rsid w:val="003D7856"/>
    <w:rsid w:val="003D7E78"/>
    <w:rsid w:val="003E0168"/>
    <w:rsid w:val="003E0CE7"/>
    <w:rsid w:val="003E1081"/>
    <w:rsid w:val="003E11EA"/>
    <w:rsid w:val="003E136C"/>
    <w:rsid w:val="003E2231"/>
    <w:rsid w:val="003E255E"/>
    <w:rsid w:val="003E2978"/>
    <w:rsid w:val="003E2AE2"/>
    <w:rsid w:val="003E4DB8"/>
    <w:rsid w:val="003E4DDE"/>
    <w:rsid w:val="003E4FFB"/>
    <w:rsid w:val="003E570D"/>
    <w:rsid w:val="003E6AD5"/>
    <w:rsid w:val="003E6D0F"/>
    <w:rsid w:val="003E6E0C"/>
    <w:rsid w:val="003E6E53"/>
    <w:rsid w:val="003E7FE0"/>
    <w:rsid w:val="003F25B5"/>
    <w:rsid w:val="003F2FD6"/>
    <w:rsid w:val="003F3900"/>
    <w:rsid w:val="003F4A6B"/>
    <w:rsid w:val="003F4B1E"/>
    <w:rsid w:val="003F4D30"/>
    <w:rsid w:val="003F5251"/>
    <w:rsid w:val="003F56DF"/>
    <w:rsid w:val="003F621C"/>
    <w:rsid w:val="003F693D"/>
    <w:rsid w:val="003F6ADD"/>
    <w:rsid w:val="003F75B1"/>
    <w:rsid w:val="003F7665"/>
    <w:rsid w:val="00400FED"/>
    <w:rsid w:val="004010C2"/>
    <w:rsid w:val="00401738"/>
    <w:rsid w:val="00401857"/>
    <w:rsid w:val="004018D3"/>
    <w:rsid w:val="004026D7"/>
    <w:rsid w:val="00402D5A"/>
    <w:rsid w:val="00403081"/>
    <w:rsid w:val="00403474"/>
    <w:rsid w:val="00403F22"/>
    <w:rsid w:val="0040446F"/>
    <w:rsid w:val="00404959"/>
    <w:rsid w:val="00404B7C"/>
    <w:rsid w:val="004068FF"/>
    <w:rsid w:val="0041110A"/>
    <w:rsid w:val="004111C5"/>
    <w:rsid w:val="00411896"/>
    <w:rsid w:val="00411EE3"/>
    <w:rsid w:val="00411EFF"/>
    <w:rsid w:val="00412BB6"/>
    <w:rsid w:val="004130E1"/>
    <w:rsid w:val="00413825"/>
    <w:rsid w:val="00414CE8"/>
    <w:rsid w:val="00415893"/>
    <w:rsid w:val="004159F1"/>
    <w:rsid w:val="00416428"/>
    <w:rsid w:val="004164DB"/>
    <w:rsid w:val="004165C0"/>
    <w:rsid w:val="004202B0"/>
    <w:rsid w:val="00420FD3"/>
    <w:rsid w:val="00421392"/>
    <w:rsid w:val="00421683"/>
    <w:rsid w:val="0042214E"/>
    <w:rsid w:val="00422557"/>
    <w:rsid w:val="004225AD"/>
    <w:rsid w:val="004232C9"/>
    <w:rsid w:val="00423BD8"/>
    <w:rsid w:val="00423CD9"/>
    <w:rsid w:val="004240AD"/>
    <w:rsid w:val="0042472C"/>
    <w:rsid w:val="004255E8"/>
    <w:rsid w:val="00425A93"/>
    <w:rsid w:val="00425C3E"/>
    <w:rsid w:val="00425FF3"/>
    <w:rsid w:val="0042635D"/>
    <w:rsid w:val="00426807"/>
    <w:rsid w:val="00426D48"/>
    <w:rsid w:val="0042722B"/>
    <w:rsid w:val="004277D4"/>
    <w:rsid w:val="00431139"/>
    <w:rsid w:val="00431E9B"/>
    <w:rsid w:val="00431F3B"/>
    <w:rsid w:val="0043207F"/>
    <w:rsid w:val="0043264E"/>
    <w:rsid w:val="004326D6"/>
    <w:rsid w:val="00432989"/>
    <w:rsid w:val="00432E0C"/>
    <w:rsid w:val="004331FE"/>
    <w:rsid w:val="0043320B"/>
    <w:rsid w:val="00433281"/>
    <w:rsid w:val="0043389B"/>
    <w:rsid w:val="00433A4E"/>
    <w:rsid w:val="00433ECD"/>
    <w:rsid w:val="00433EE0"/>
    <w:rsid w:val="0043415B"/>
    <w:rsid w:val="00434615"/>
    <w:rsid w:val="00434719"/>
    <w:rsid w:val="00434C62"/>
    <w:rsid w:val="00434CC9"/>
    <w:rsid w:val="00435B52"/>
    <w:rsid w:val="00435C20"/>
    <w:rsid w:val="00437DF8"/>
    <w:rsid w:val="00440062"/>
    <w:rsid w:val="00440B74"/>
    <w:rsid w:val="00440C3C"/>
    <w:rsid w:val="00441316"/>
    <w:rsid w:val="0044146C"/>
    <w:rsid w:val="00442192"/>
    <w:rsid w:val="00442AC3"/>
    <w:rsid w:val="00442EF9"/>
    <w:rsid w:val="00442FC0"/>
    <w:rsid w:val="0044361E"/>
    <w:rsid w:val="00443857"/>
    <w:rsid w:val="0044479E"/>
    <w:rsid w:val="00444B3E"/>
    <w:rsid w:val="004455A1"/>
    <w:rsid w:val="004466E0"/>
    <w:rsid w:val="00446F56"/>
    <w:rsid w:val="0044747B"/>
    <w:rsid w:val="00447F91"/>
    <w:rsid w:val="004504FB"/>
    <w:rsid w:val="00450651"/>
    <w:rsid w:val="00450E8F"/>
    <w:rsid w:val="00450EC3"/>
    <w:rsid w:val="00452523"/>
    <w:rsid w:val="004528CD"/>
    <w:rsid w:val="00452988"/>
    <w:rsid w:val="0045325D"/>
    <w:rsid w:val="00454507"/>
    <w:rsid w:val="00454520"/>
    <w:rsid w:val="004545DC"/>
    <w:rsid w:val="004548A5"/>
    <w:rsid w:val="0045554E"/>
    <w:rsid w:val="0045584A"/>
    <w:rsid w:val="00455D02"/>
    <w:rsid w:val="0045611F"/>
    <w:rsid w:val="004563E1"/>
    <w:rsid w:val="00456531"/>
    <w:rsid w:val="00456816"/>
    <w:rsid w:val="00457095"/>
    <w:rsid w:val="0045742A"/>
    <w:rsid w:val="00460321"/>
    <w:rsid w:val="00460F11"/>
    <w:rsid w:val="00461556"/>
    <w:rsid w:val="004618A6"/>
    <w:rsid w:val="0046298E"/>
    <w:rsid w:val="00462E06"/>
    <w:rsid w:val="004636C5"/>
    <w:rsid w:val="00463DD3"/>
    <w:rsid w:val="00463F67"/>
    <w:rsid w:val="0046402B"/>
    <w:rsid w:val="00464531"/>
    <w:rsid w:val="00464764"/>
    <w:rsid w:val="00464BC4"/>
    <w:rsid w:val="0046500D"/>
    <w:rsid w:val="00465194"/>
    <w:rsid w:val="0046570D"/>
    <w:rsid w:val="004659A0"/>
    <w:rsid w:val="00465B5C"/>
    <w:rsid w:val="00466288"/>
    <w:rsid w:val="004662BE"/>
    <w:rsid w:val="00466584"/>
    <w:rsid w:val="00466F16"/>
    <w:rsid w:val="00467468"/>
    <w:rsid w:val="004674D6"/>
    <w:rsid w:val="00467CCB"/>
    <w:rsid w:val="00467FD7"/>
    <w:rsid w:val="004707EA"/>
    <w:rsid w:val="00470AB7"/>
    <w:rsid w:val="00471A93"/>
    <w:rsid w:val="00471CC9"/>
    <w:rsid w:val="00471D1E"/>
    <w:rsid w:val="0047250E"/>
    <w:rsid w:val="00473319"/>
    <w:rsid w:val="004733AB"/>
    <w:rsid w:val="0047402B"/>
    <w:rsid w:val="00474110"/>
    <w:rsid w:val="004748CF"/>
    <w:rsid w:val="00474953"/>
    <w:rsid w:val="00475495"/>
    <w:rsid w:val="004754F6"/>
    <w:rsid w:val="00475B26"/>
    <w:rsid w:val="00476469"/>
    <w:rsid w:val="00476A0C"/>
    <w:rsid w:val="00477688"/>
    <w:rsid w:val="00477A6B"/>
    <w:rsid w:val="00477F35"/>
    <w:rsid w:val="00477F44"/>
    <w:rsid w:val="0048054C"/>
    <w:rsid w:val="00480692"/>
    <w:rsid w:val="00480ACA"/>
    <w:rsid w:val="00481660"/>
    <w:rsid w:val="00481836"/>
    <w:rsid w:val="00482D78"/>
    <w:rsid w:val="00482E50"/>
    <w:rsid w:val="004847DC"/>
    <w:rsid w:val="00484AE4"/>
    <w:rsid w:val="004853B5"/>
    <w:rsid w:val="00485530"/>
    <w:rsid w:val="00485D15"/>
    <w:rsid w:val="00485E6C"/>
    <w:rsid w:val="004860BF"/>
    <w:rsid w:val="00486213"/>
    <w:rsid w:val="00486272"/>
    <w:rsid w:val="004866F8"/>
    <w:rsid w:val="00487425"/>
    <w:rsid w:val="004879F8"/>
    <w:rsid w:val="0049044A"/>
    <w:rsid w:val="00490BC9"/>
    <w:rsid w:val="00491201"/>
    <w:rsid w:val="004914C9"/>
    <w:rsid w:val="00491986"/>
    <w:rsid w:val="0049317F"/>
    <w:rsid w:val="0049425A"/>
    <w:rsid w:val="0049512F"/>
    <w:rsid w:val="004951E8"/>
    <w:rsid w:val="00495306"/>
    <w:rsid w:val="00495870"/>
    <w:rsid w:val="00496135"/>
    <w:rsid w:val="0049709A"/>
    <w:rsid w:val="00497203"/>
    <w:rsid w:val="00497584"/>
    <w:rsid w:val="00497DA7"/>
    <w:rsid w:val="004A0015"/>
    <w:rsid w:val="004A0703"/>
    <w:rsid w:val="004A099B"/>
    <w:rsid w:val="004A0E06"/>
    <w:rsid w:val="004A0F6D"/>
    <w:rsid w:val="004A20F4"/>
    <w:rsid w:val="004A2483"/>
    <w:rsid w:val="004A2B3E"/>
    <w:rsid w:val="004A33EF"/>
    <w:rsid w:val="004A36C8"/>
    <w:rsid w:val="004A3C30"/>
    <w:rsid w:val="004A42BF"/>
    <w:rsid w:val="004A48D2"/>
    <w:rsid w:val="004A49DE"/>
    <w:rsid w:val="004A626F"/>
    <w:rsid w:val="004A639C"/>
    <w:rsid w:val="004A6A66"/>
    <w:rsid w:val="004A6D62"/>
    <w:rsid w:val="004A7053"/>
    <w:rsid w:val="004A74F2"/>
    <w:rsid w:val="004A7715"/>
    <w:rsid w:val="004A792F"/>
    <w:rsid w:val="004A7AD3"/>
    <w:rsid w:val="004A7C77"/>
    <w:rsid w:val="004B05E0"/>
    <w:rsid w:val="004B0609"/>
    <w:rsid w:val="004B111D"/>
    <w:rsid w:val="004B20D1"/>
    <w:rsid w:val="004B20F7"/>
    <w:rsid w:val="004B25E8"/>
    <w:rsid w:val="004B2926"/>
    <w:rsid w:val="004B2D60"/>
    <w:rsid w:val="004B310C"/>
    <w:rsid w:val="004B36E7"/>
    <w:rsid w:val="004B3B37"/>
    <w:rsid w:val="004B438B"/>
    <w:rsid w:val="004B4CE0"/>
    <w:rsid w:val="004B560B"/>
    <w:rsid w:val="004B5623"/>
    <w:rsid w:val="004B67EA"/>
    <w:rsid w:val="004C1AF2"/>
    <w:rsid w:val="004C287D"/>
    <w:rsid w:val="004C3147"/>
    <w:rsid w:val="004C3DC1"/>
    <w:rsid w:val="004C4576"/>
    <w:rsid w:val="004C59AE"/>
    <w:rsid w:val="004C59DB"/>
    <w:rsid w:val="004C657B"/>
    <w:rsid w:val="004C69FE"/>
    <w:rsid w:val="004C6C56"/>
    <w:rsid w:val="004C6DF5"/>
    <w:rsid w:val="004C7474"/>
    <w:rsid w:val="004C7579"/>
    <w:rsid w:val="004C78AA"/>
    <w:rsid w:val="004D00E2"/>
    <w:rsid w:val="004D0560"/>
    <w:rsid w:val="004D0D46"/>
    <w:rsid w:val="004D1168"/>
    <w:rsid w:val="004D13F1"/>
    <w:rsid w:val="004D1B79"/>
    <w:rsid w:val="004D2288"/>
    <w:rsid w:val="004D26B2"/>
    <w:rsid w:val="004D2E45"/>
    <w:rsid w:val="004D400B"/>
    <w:rsid w:val="004D4F3A"/>
    <w:rsid w:val="004D5F44"/>
    <w:rsid w:val="004D626C"/>
    <w:rsid w:val="004D6774"/>
    <w:rsid w:val="004D689B"/>
    <w:rsid w:val="004D6992"/>
    <w:rsid w:val="004D7F6E"/>
    <w:rsid w:val="004E0623"/>
    <w:rsid w:val="004E13C6"/>
    <w:rsid w:val="004E1590"/>
    <w:rsid w:val="004E2164"/>
    <w:rsid w:val="004E21D0"/>
    <w:rsid w:val="004E2D83"/>
    <w:rsid w:val="004E3A1A"/>
    <w:rsid w:val="004E4F3B"/>
    <w:rsid w:val="004E54D1"/>
    <w:rsid w:val="004E564C"/>
    <w:rsid w:val="004E678D"/>
    <w:rsid w:val="004E6BFC"/>
    <w:rsid w:val="004E7AF4"/>
    <w:rsid w:val="004F167F"/>
    <w:rsid w:val="004F1F2E"/>
    <w:rsid w:val="004F2BDA"/>
    <w:rsid w:val="004F2DED"/>
    <w:rsid w:val="004F38B0"/>
    <w:rsid w:val="004F4518"/>
    <w:rsid w:val="004F4B71"/>
    <w:rsid w:val="004F4DCF"/>
    <w:rsid w:val="004F4EA9"/>
    <w:rsid w:val="004F5503"/>
    <w:rsid w:val="004F5B5D"/>
    <w:rsid w:val="004F6A46"/>
    <w:rsid w:val="004F7D30"/>
    <w:rsid w:val="004F7D70"/>
    <w:rsid w:val="00500494"/>
    <w:rsid w:val="005006D0"/>
    <w:rsid w:val="00500B11"/>
    <w:rsid w:val="00501300"/>
    <w:rsid w:val="00502852"/>
    <w:rsid w:val="0050354F"/>
    <w:rsid w:val="0050380A"/>
    <w:rsid w:val="00503B49"/>
    <w:rsid w:val="005040B1"/>
    <w:rsid w:val="00506A5B"/>
    <w:rsid w:val="00506A8E"/>
    <w:rsid w:val="00506B82"/>
    <w:rsid w:val="00506C0D"/>
    <w:rsid w:val="00506F69"/>
    <w:rsid w:val="00507668"/>
    <w:rsid w:val="0050795C"/>
    <w:rsid w:val="00507C30"/>
    <w:rsid w:val="005102F7"/>
    <w:rsid w:val="005104AC"/>
    <w:rsid w:val="00511AA3"/>
    <w:rsid w:val="00511B13"/>
    <w:rsid w:val="0051250D"/>
    <w:rsid w:val="005136D9"/>
    <w:rsid w:val="00513961"/>
    <w:rsid w:val="005148C6"/>
    <w:rsid w:val="0051528C"/>
    <w:rsid w:val="0051653A"/>
    <w:rsid w:val="005168BA"/>
    <w:rsid w:val="00516EFC"/>
    <w:rsid w:val="0051701A"/>
    <w:rsid w:val="00517654"/>
    <w:rsid w:val="00521419"/>
    <w:rsid w:val="00521A27"/>
    <w:rsid w:val="00523698"/>
    <w:rsid w:val="00523AF4"/>
    <w:rsid w:val="00523DED"/>
    <w:rsid w:val="00524607"/>
    <w:rsid w:val="00525283"/>
    <w:rsid w:val="00527E88"/>
    <w:rsid w:val="0053000B"/>
    <w:rsid w:val="005300EC"/>
    <w:rsid w:val="00530671"/>
    <w:rsid w:val="00531755"/>
    <w:rsid w:val="005320DF"/>
    <w:rsid w:val="00532170"/>
    <w:rsid w:val="005324E8"/>
    <w:rsid w:val="00532525"/>
    <w:rsid w:val="005331A5"/>
    <w:rsid w:val="00533911"/>
    <w:rsid w:val="00533DA2"/>
    <w:rsid w:val="00533FA6"/>
    <w:rsid w:val="0053477E"/>
    <w:rsid w:val="0053485C"/>
    <w:rsid w:val="00535170"/>
    <w:rsid w:val="0053517B"/>
    <w:rsid w:val="0053771F"/>
    <w:rsid w:val="0054078D"/>
    <w:rsid w:val="00542ECA"/>
    <w:rsid w:val="00543A01"/>
    <w:rsid w:val="00543EBE"/>
    <w:rsid w:val="00544AC1"/>
    <w:rsid w:val="00545485"/>
    <w:rsid w:val="00545A48"/>
    <w:rsid w:val="00545C05"/>
    <w:rsid w:val="005462E9"/>
    <w:rsid w:val="0054683F"/>
    <w:rsid w:val="00546F9D"/>
    <w:rsid w:val="005477D2"/>
    <w:rsid w:val="0054781F"/>
    <w:rsid w:val="00547F5A"/>
    <w:rsid w:val="005502D8"/>
    <w:rsid w:val="00550CB8"/>
    <w:rsid w:val="00550DCC"/>
    <w:rsid w:val="00551A1F"/>
    <w:rsid w:val="00551B72"/>
    <w:rsid w:val="005527DB"/>
    <w:rsid w:val="00553502"/>
    <w:rsid w:val="00554091"/>
    <w:rsid w:val="00554F63"/>
    <w:rsid w:val="00555043"/>
    <w:rsid w:val="0055516F"/>
    <w:rsid w:val="005556E8"/>
    <w:rsid w:val="005557BA"/>
    <w:rsid w:val="00555A1A"/>
    <w:rsid w:val="00555C94"/>
    <w:rsid w:val="00556B24"/>
    <w:rsid w:val="005571DC"/>
    <w:rsid w:val="00557333"/>
    <w:rsid w:val="005574F9"/>
    <w:rsid w:val="00560B28"/>
    <w:rsid w:val="00560BF3"/>
    <w:rsid w:val="00560C55"/>
    <w:rsid w:val="00561932"/>
    <w:rsid w:val="00561B3B"/>
    <w:rsid w:val="00562E26"/>
    <w:rsid w:val="005630A2"/>
    <w:rsid w:val="00563344"/>
    <w:rsid w:val="00563ADF"/>
    <w:rsid w:val="00563D56"/>
    <w:rsid w:val="0056413B"/>
    <w:rsid w:val="00564A34"/>
    <w:rsid w:val="00564B49"/>
    <w:rsid w:val="00566165"/>
    <w:rsid w:val="0056637D"/>
    <w:rsid w:val="005667F0"/>
    <w:rsid w:val="0056685A"/>
    <w:rsid w:val="00566F00"/>
    <w:rsid w:val="00567885"/>
    <w:rsid w:val="00567C8C"/>
    <w:rsid w:val="00567E91"/>
    <w:rsid w:val="0057147F"/>
    <w:rsid w:val="00571815"/>
    <w:rsid w:val="005718DE"/>
    <w:rsid w:val="0057249C"/>
    <w:rsid w:val="00572672"/>
    <w:rsid w:val="00573325"/>
    <w:rsid w:val="005734AA"/>
    <w:rsid w:val="00573B5F"/>
    <w:rsid w:val="00573C75"/>
    <w:rsid w:val="00573D25"/>
    <w:rsid w:val="005743BB"/>
    <w:rsid w:val="00575238"/>
    <w:rsid w:val="005755EF"/>
    <w:rsid w:val="00575E5F"/>
    <w:rsid w:val="005761D1"/>
    <w:rsid w:val="00576449"/>
    <w:rsid w:val="00576B85"/>
    <w:rsid w:val="0058037F"/>
    <w:rsid w:val="00580D88"/>
    <w:rsid w:val="00581D29"/>
    <w:rsid w:val="0058202B"/>
    <w:rsid w:val="005828EE"/>
    <w:rsid w:val="00582CAE"/>
    <w:rsid w:val="00582D53"/>
    <w:rsid w:val="00583A51"/>
    <w:rsid w:val="005843B6"/>
    <w:rsid w:val="0058457F"/>
    <w:rsid w:val="00584684"/>
    <w:rsid w:val="005860E0"/>
    <w:rsid w:val="00586389"/>
    <w:rsid w:val="00586DC2"/>
    <w:rsid w:val="00586EAB"/>
    <w:rsid w:val="00590B18"/>
    <w:rsid w:val="00591E32"/>
    <w:rsid w:val="0059337D"/>
    <w:rsid w:val="005935FF"/>
    <w:rsid w:val="00593FBE"/>
    <w:rsid w:val="00593FED"/>
    <w:rsid w:val="00594BF5"/>
    <w:rsid w:val="00594D30"/>
    <w:rsid w:val="005952C0"/>
    <w:rsid w:val="005954A7"/>
    <w:rsid w:val="005958E0"/>
    <w:rsid w:val="00595A13"/>
    <w:rsid w:val="00595E63"/>
    <w:rsid w:val="005963B8"/>
    <w:rsid w:val="00596B02"/>
    <w:rsid w:val="00596C29"/>
    <w:rsid w:val="00597363"/>
    <w:rsid w:val="0059798D"/>
    <w:rsid w:val="005A0291"/>
    <w:rsid w:val="005A0479"/>
    <w:rsid w:val="005A27AA"/>
    <w:rsid w:val="005A31C8"/>
    <w:rsid w:val="005A32DD"/>
    <w:rsid w:val="005A3AAB"/>
    <w:rsid w:val="005A3D63"/>
    <w:rsid w:val="005A3E1E"/>
    <w:rsid w:val="005A3E49"/>
    <w:rsid w:val="005A3FF5"/>
    <w:rsid w:val="005A4468"/>
    <w:rsid w:val="005A44F8"/>
    <w:rsid w:val="005A4A8D"/>
    <w:rsid w:val="005A5700"/>
    <w:rsid w:val="005A611F"/>
    <w:rsid w:val="005A6607"/>
    <w:rsid w:val="005A6982"/>
    <w:rsid w:val="005B04AD"/>
    <w:rsid w:val="005B0CAC"/>
    <w:rsid w:val="005B0CC2"/>
    <w:rsid w:val="005B1267"/>
    <w:rsid w:val="005B1D61"/>
    <w:rsid w:val="005B2238"/>
    <w:rsid w:val="005B2487"/>
    <w:rsid w:val="005B2956"/>
    <w:rsid w:val="005B2AB9"/>
    <w:rsid w:val="005B3011"/>
    <w:rsid w:val="005B339F"/>
    <w:rsid w:val="005B3C27"/>
    <w:rsid w:val="005B459A"/>
    <w:rsid w:val="005B5063"/>
    <w:rsid w:val="005B581F"/>
    <w:rsid w:val="005B668C"/>
    <w:rsid w:val="005B6BA3"/>
    <w:rsid w:val="005B7B44"/>
    <w:rsid w:val="005C0401"/>
    <w:rsid w:val="005C0571"/>
    <w:rsid w:val="005C08AA"/>
    <w:rsid w:val="005C096B"/>
    <w:rsid w:val="005C182C"/>
    <w:rsid w:val="005C1C5B"/>
    <w:rsid w:val="005C22C5"/>
    <w:rsid w:val="005C2755"/>
    <w:rsid w:val="005C3AC8"/>
    <w:rsid w:val="005C494D"/>
    <w:rsid w:val="005C4C84"/>
    <w:rsid w:val="005C5350"/>
    <w:rsid w:val="005C53CF"/>
    <w:rsid w:val="005C5CF5"/>
    <w:rsid w:val="005C6194"/>
    <w:rsid w:val="005C6410"/>
    <w:rsid w:val="005C658B"/>
    <w:rsid w:val="005C6EF6"/>
    <w:rsid w:val="005C70DB"/>
    <w:rsid w:val="005C72B8"/>
    <w:rsid w:val="005C76CA"/>
    <w:rsid w:val="005C76DF"/>
    <w:rsid w:val="005C7959"/>
    <w:rsid w:val="005C7A73"/>
    <w:rsid w:val="005D094B"/>
    <w:rsid w:val="005D0D5B"/>
    <w:rsid w:val="005D1EFB"/>
    <w:rsid w:val="005D2A02"/>
    <w:rsid w:val="005D2B24"/>
    <w:rsid w:val="005D332D"/>
    <w:rsid w:val="005D350D"/>
    <w:rsid w:val="005D3E04"/>
    <w:rsid w:val="005D3FDC"/>
    <w:rsid w:val="005D44EC"/>
    <w:rsid w:val="005D5855"/>
    <w:rsid w:val="005D670C"/>
    <w:rsid w:val="005D6DF3"/>
    <w:rsid w:val="005D6F31"/>
    <w:rsid w:val="005D7036"/>
    <w:rsid w:val="005D7A54"/>
    <w:rsid w:val="005E0D41"/>
    <w:rsid w:val="005E16F3"/>
    <w:rsid w:val="005E1B6B"/>
    <w:rsid w:val="005E245A"/>
    <w:rsid w:val="005E2728"/>
    <w:rsid w:val="005E29A9"/>
    <w:rsid w:val="005E2B22"/>
    <w:rsid w:val="005E2E11"/>
    <w:rsid w:val="005E380B"/>
    <w:rsid w:val="005E3BC9"/>
    <w:rsid w:val="005E3C27"/>
    <w:rsid w:val="005E3C8B"/>
    <w:rsid w:val="005E4677"/>
    <w:rsid w:val="005E4B50"/>
    <w:rsid w:val="005E58D2"/>
    <w:rsid w:val="005E58D6"/>
    <w:rsid w:val="005E5BC0"/>
    <w:rsid w:val="005E61ED"/>
    <w:rsid w:val="005E6287"/>
    <w:rsid w:val="005E62B7"/>
    <w:rsid w:val="005E6326"/>
    <w:rsid w:val="005E71C3"/>
    <w:rsid w:val="005F0BC8"/>
    <w:rsid w:val="005F0CDE"/>
    <w:rsid w:val="005F118F"/>
    <w:rsid w:val="005F2164"/>
    <w:rsid w:val="005F2331"/>
    <w:rsid w:val="005F3EA7"/>
    <w:rsid w:val="005F440B"/>
    <w:rsid w:val="005F5466"/>
    <w:rsid w:val="005F58A2"/>
    <w:rsid w:val="005F6301"/>
    <w:rsid w:val="005F6CE9"/>
    <w:rsid w:val="005F78EB"/>
    <w:rsid w:val="0060020D"/>
    <w:rsid w:val="00600641"/>
    <w:rsid w:val="006006CE"/>
    <w:rsid w:val="006012A1"/>
    <w:rsid w:val="00602DBD"/>
    <w:rsid w:val="00603115"/>
    <w:rsid w:val="00603300"/>
    <w:rsid w:val="00603762"/>
    <w:rsid w:val="00603D87"/>
    <w:rsid w:val="006049FC"/>
    <w:rsid w:val="00605C21"/>
    <w:rsid w:val="00610B42"/>
    <w:rsid w:val="006114AE"/>
    <w:rsid w:val="006121BB"/>
    <w:rsid w:val="006122A8"/>
    <w:rsid w:val="00612C36"/>
    <w:rsid w:val="00612EA4"/>
    <w:rsid w:val="00612F83"/>
    <w:rsid w:val="006143EF"/>
    <w:rsid w:val="0061534C"/>
    <w:rsid w:val="00615619"/>
    <w:rsid w:val="00615AE9"/>
    <w:rsid w:val="006160CB"/>
    <w:rsid w:val="00616B0B"/>
    <w:rsid w:val="00617108"/>
    <w:rsid w:val="0061734B"/>
    <w:rsid w:val="00617D5C"/>
    <w:rsid w:val="006203C0"/>
    <w:rsid w:val="0062078F"/>
    <w:rsid w:val="006216EB"/>
    <w:rsid w:val="00621831"/>
    <w:rsid w:val="00621AB5"/>
    <w:rsid w:val="006228D3"/>
    <w:rsid w:val="00622A8C"/>
    <w:rsid w:val="00622F56"/>
    <w:rsid w:val="00623035"/>
    <w:rsid w:val="006235AB"/>
    <w:rsid w:val="006241AC"/>
    <w:rsid w:val="0062469F"/>
    <w:rsid w:val="00624E9C"/>
    <w:rsid w:val="00626A4B"/>
    <w:rsid w:val="00627868"/>
    <w:rsid w:val="00627C33"/>
    <w:rsid w:val="00632450"/>
    <w:rsid w:val="00632639"/>
    <w:rsid w:val="00632CF9"/>
    <w:rsid w:val="00632D60"/>
    <w:rsid w:val="00632E6F"/>
    <w:rsid w:val="0063329F"/>
    <w:rsid w:val="00634583"/>
    <w:rsid w:val="00634E7E"/>
    <w:rsid w:val="00634E9E"/>
    <w:rsid w:val="006364AE"/>
    <w:rsid w:val="00636CDB"/>
    <w:rsid w:val="00636DBA"/>
    <w:rsid w:val="006373AC"/>
    <w:rsid w:val="00637FA9"/>
    <w:rsid w:val="00640610"/>
    <w:rsid w:val="006427E0"/>
    <w:rsid w:val="006435A3"/>
    <w:rsid w:val="00645341"/>
    <w:rsid w:val="006460B2"/>
    <w:rsid w:val="00646E62"/>
    <w:rsid w:val="006475B9"/>
    <w:rsid w:val="006477F6"/>
    <w:rsid w:val="00650AD1"/>
    <w:rsid w:val="00651104"/>
    <w:rsid w:val="0065139B"/>
    <w:rsid w:val="00651A7F"/>
    <w:rsid w:val="00652B4B"/>
    <w:rsid w:val="00653CD8"/>
    <w:rsid w:val="00654B7B"/>
    <w:rsid w:val="00655B5F"/>
    <w:rsid w:val="00655DE1"/>
    <w:rsid w:val="0065613D"/>
    <w:rsid w:val="00656874"/>
    <w:rsid w:val="00657D56"/>
    <w:rsid w:val="00657F76"/>
    <w:rsid w:val="00660077"/>
    <w:rsid w:val="0066198E"/>
    <w:rsid w:val="00661EF6"/>
    <w:rsid w:val="00662715"/>
    <w:rsid w:val="00662D25"/>
    <w:rsid w:val="00663080"/>
    <w:rsid w:val="00663372"/>
    <w:rsid w:val="006635F1"/>
    <w:rsid w:val="00664D87"/>
    <w:rsid w:val="00664F1D"/>
    <w:rsid w:val="00666389"/>
    <w:rsid w:val="00667303"/>
    <w:rsid w:val="0066764B"/>
    <w:rsid w:val="00667B73"/>
    <w:rsid w:val="00667BA1"/>
    <w:rsid w:val="006706C3"/>
    <w:rsid w:val="00670ADE"/>
    <w:rsid w:val="0067108B"/>
    <w:rsid w:val="006720F0"/>
    <w:rsid w:val="00672A65"/>
    <w:rsid w:val="00672CF4"/>
    <w:rsid w:val="0067394F"/>
    <w:rsid w:val="006739CC"/>
    <w:rsid w:val="00673E15"/>
    <w:rsid w:val="00673E58"/>
    <w:rsid w:val="0067423F"/>
    <w:rsid w:val="006742F1"/>
    <w:rsid w:val="006749DF"/>
    <w:rsid w:val="00675814"/>
    <w:rsid w:val="00675867"/>
    <w:rsid w:val="006758ED"/>
    <w:rsid w:val="0067684E"/>
    <w:rsid w:val="0067728D"/>
    <w:rsid w:val="0067771A"/>
    <w:rsid w:val="006802C4"/>
    <w:rsid w:val="006810DF"/>
    <w:rsid w:val="00681358"/>
    <w:rsid w:val="00681423"/>
    <w:rsid w:val="006817D9"/>
    <w:rsid w:val="006819EC"/>
    <w:rsid w:val="006820EA"/>
    <w:rsid w:val="00682901"/>
    <w:rsid w:val="006834EB"/>
    <w:rsid w:val="00683B65"/>
    <w:rsid w:val="00684591"/>
    <w:rsid w:val="006845F7"/>
    <w:rsid w:val="006845FB"/>
    <w:rsid w:val="00686797"/>
    <w:rsid w:val="0068689C"/>
    <w:rsid w:val="006872CE"/>
    <w:rsid w:val="0069096E"/>
    <w:rsid w:val="0069159E"/>
    <w:rsid w:val="00691CFA"/>
    <w:rsid w:val="00691D09"/>
    <w:rsid w:val="00692067"/>
    <w:rsid w:val="0069271B"/>
    <w:rsid w:val="00692843"/>
    <w:rsid w:val="006933AA"/>
    <w:rsid w:val="006939D3"/>
    <w:rsid w:val="00693AD8"/>
    <w:rsid w:val="00694090"/>
    <w:rsid w:val="00694785"/>
    <w:rsid w:val="00694F6D"/>
    <w:rsid w:val="006951C4"/>
    <w:rsid w:val="006965AF"/>
    <w:rsid w:val="00696831"/>
    <w:rsid w:val="00696F70"/>
    <w:rsid w:val="00697516"/>
    <w:rsid w:val="006975B7"/>
    <w:rsid w:val="006978B7"/>
    <w:rsid w:val="006A0B48"/>
    <w:rsid w:val="006A20A8"/>
    <w:rsid w:val="006A260F"/>
    <w:rsid w:val="006A27C0"/>
    <w:rsid w:val="006A2C8E"/>
    <w:rsid w:val="006A3B69"/>
    <w:rsid w:val="006A45E7"/>
    <w:rsid w:val="006A4A18"/>
    <w:rsid w:val="006A4FAF"/>
    <w:rsid w:val="006A640B"/>
    <w:rsid w:val="006A6CEF"/>
    <w:rsid w:val="006A7248"/>
    <w:rsid w:val="006A7DE1"/>
    <w:rsid w:val="006B02B9"/>
    <w:rsid w:val="006B03F3"/>
    <w:rsid w:val="006B0475"/>
    <w:rsid w:val="006B0976"/>
    <w:rsid w:val="006B103D"/>
    <w:rsid w:val="006B1255"/>
    <w:rsid w:val="006B12C0"/>
    <w:rsid w:val="006B164D"/>
    <w:rsid w:val="006B18BD"/>
    <w:rsid w:val="006B1993"/>
    <w:rsid w:val="006B22C0"/>
    <w:rsid w:val="006B3A6F"/>
    <w:rsid w:val="006B4898"/>
    <w:rsid w:val="006B4BCF"/>
    <w:rsid w:val="006B56F6"/>
    <w:rsid w:val="006B5BF1"/>
    <w:rsid w:val="006B6027"/>
    <w:rsid w:val="006B6836"/>
    <w:rsid w:val="006B6A0A"/>
    <w:rsid w:val="006B70FE"/>
    <w:rsid w:val="006B7B1A"/>
    <w:rsid w:val="006C01CE"/>
    <w:rsid w:val="006C0277"/>
    <w:rsid w:val="006C046E"/>
    <w:rsid w:val="006C080E"/>
    <w:rsid w:val="006C1434"/>
    <w:rsid w:val="006C1818"/>
    <w:rsid w:val="006C18CA"/>
    <w:rsid w:val="006C29F1"/>
    <w:rsid w:val="006C2CB1"/>
    <w:rsid w:val="006C3921"/>
    <w:rsid w:val="006C3B1D"/>
    <w:rsid w:val="006C4067"/>
    <w:rsid w:val="006C440D"/>
    <w:rsid w:val="006C44AE"/>
    <w:rsid w:val="006C44B0"/>
    <w:rsid w:val="006C5494"/>
    <w:rsid w:val="006C56DD"/>
    <w:rsid w:val="006C5869"/>
    <w:rsid w:val="006C5CC1"/>
    <w:rsid w:val="006C5D48"/>
    <w:rsid w:val="006C6829"/>
    <w:rsid w:val="006C7198"/>
    <w:rsid w:val="006C7D46"/>
    <w:rsid w:val="006D0401"/>
    <w:rsid w:val="006D0C27"/>
    <w:rsid w:val="006D1321"/>
    <w:rsid w:val="006D292A"/>
    <w:rsid w:val="006D29BA"/>
    <w:rsid w:val="006D2A2A"/>
    <w:rsid w:val="006D2B62"/>
    <w:rsid w:val="006D2C49"/>
    <w:rsid w:val="006D30FB"/>
    <w:rsid w:val="006D337A"/>
    <w:rsid w:val="006D34B1"/>
    <w:rsid w:val="006D3B73"/>
    <w:rsid w:val="006D5024"/>
    <w:rsid w:val="006D6622"/>
    <w:rsid w:val="006D6E5E"/>
    <w:rsid w:val="006D7148"/>
    <w:rsid w:val="006D7F93"/>
    <w:rsid w:val="006E0C45"/>
    <w:rsid w:val="006E0D97"/>
    <w:rsid w:val="006E11DE"/>
    <w:rsid w:val="006E2093"/>
    <w:rsid w:val="006E2228"/>
    <w:rsid w:val="006E28C9"/>
    <w:rsid w:val="006E33D2"/>
    <w:rsid w:val="006E349C"/>
    <w:rsid w:val="006E410A"/>
    <w:rsid w:val="006E4AD1"/>
    <w:rsid w:val="006E56C6"/>
    <w:rsid w:val="006E6423"/>
    <w:rsid w:val="006E660D"/>
    <w:rsid w:val="006E7560"/>
    <w:rsid w:val="006E7876"/>
    <w:rsid w:val="006F1373"/>
    <w:rsid w:val="006F199F"/>
    <w:rsid w:val="006F1C20"/>
    <w:rsid w:val="006F21B5"/>
    <w:rsid w:val="006F2E8D"/>
    <w:rsid w:val="006F3283"/>
    <w:rsid w:val="006F330A"/>
    <w:rsid w:val="006F3755"/>
    <w:rsid w:val="006F383D"/>
    <w:rsid w:val="006F4000"/>
    <w:rsid w:val="006F4252"/>
    <w:rsid w:val="006F437A"/>
    <w:rsid w:val="006F4ED1"/>
    <w:rsid w:val="006F53C0"/>
    <w:rsid w:val="006F59D8"/>
    <w:rsid w:val="006F5E90"/>
    <w:rsid w:val="006F646B"/>
    <w:rsid w:val="006F6904"/>
    <w:rsid w:val="006F6A99"/>
    <w:rsid w:val="006F7B02"/>
    <w:rsid w:val="006F7DBF"/>
    <w:rsid w:val="00700E2B"/>
    <w:rsid w:val="00700F3A"/>
    <w:rsid w:val="00701157"/>
    <w:rsid w:val="0070139F"/>
    <w:rsid w:val="00701AFE"/>
    <w:rsid w:val="00702AB7"/>
    <w:rsid w:val="0070387F"/>
    <w:rsid w:val="007039C5"/>
    <w:rsid w:val="007040BB"/>
    <w:rsid w:val="0070436B"/>
    <w:rsid w:val="007044D3"/>
    <w:rsid w:val="0070586A"/>
    <w:rsid w:val="00705B41"/>
    <w:rsid w:val="00705B67"/>
    <w:rsid w:val="00705D69"/>
    <w:rsid w:val="00705FF3"/>
    <w:rsid w:val="00706DDF"/>
    <w:rsid w:val="00706F91"/>
    <w:rsid w:val="007070E9"/>
    <w:rsid w:val="0070724D"/>
    <w:rsid w:val="00707ADB"/>
    <w:rsid w:val="00710566"/>
    <w:rsid w:val="00710C9D"/>
    <w:rsid w:val="0071102D"/>
    <w:rsid w:val="00713000"/>
    <w:rsid w:val="007139B1"/>
    <w:rsid w:val="0071433A"/>
    <w:rsid w:val="007150C2"/>
    <w:rsid w:val="00715B61"/>
    <w:rsid w:val="00716494"/>
    <w:rsid w:val="00716D92"/>
    <w:rsid w:val="00717A6C"/>
    <w:rsid w:val="00717F73"/>
    <w:rsid w:val="00720A27"/>
    <w:rsid w:val="00720A49"/>
    <w:rsid w:val="00721192"/>
    <w:rsid w:val="00721676"/>
    <w:rsid w:val="007219A3"/>
    <w:rsid w:val="00722336"/>
    <w:rsid w:val="00722A3A"/>
    <w:rsid w:val="00722AA4"/>
    <w:rsid w:val="007232FE"/>
    <w:rsid w:val="00725328"/>
    <w:rsid w:val="00725842"/>
    <w:rsid w:val="007272EF"/>
    <w:rsid w:val="007276E6"/>
    <w:rsid w:val="00727EF5"/>
    <w:rsid w:val="007303CA"/>
    <w:rsid w:val="00731689"/>
    <w:rsid w:val="00731922"/>
    <w:rsid w:val="00732236"/>
    <w:rsid w:val="00732F3C"/>
    <w:rsid w:val="0073321A"/>
    <w:rsid w:val="007332CA"/>
    <w:rsid w:val="00733ACA"/>
    <w:rsid w:val="00734179"/>
    <w:rsid w:val="007341A4"/>
    <w:rsid w:val="0073473B"/>
    <w:rsid w:val="00734ACE"/>
    <w:rsid w:val="007351D8"/>
    <w:rsid w:val="00735483"/>
    <w:rsid w:val="00735853"/>
    <w:rsid w:val="00735C51"/>
    <w:rsid w:val="007375A1"/>
    <w:rsid w:val="007378FF"/>
    <w:rsid w:val="00737FEF"/>
    <w:rsid w:val="00740169"/>
    <w:rsid w:val="00740F26"/>
    <w:rsid w:val="00741B0D"/>
    <w:rsid w:val="00742115"/>
    <w:rsid w:val="0074212A"/>
    <w:rsid w:val="00742FAF"/>
    <w:rsid w:val="007433A6"/>
    <w:rsid w:val="00743A2D"/>
    <w:rsid w:val="00743D7A"/>
    <w:rsid w:val="0074415F"/>
    <w:rsid w:val="00744269"/>
    <w:rsid w:val="007445A6"/>
    <w:rsid w:val="007449E9"/>
    <w:rsid w:val="00744F98"/>
    <w:rsid w:val="00745AF6"/>
    <w:rsid w:val="007460E2"/>
    <w:rsid w:val="007474BA"/>
    <w:rsid w:val="0074783C"/>
    <w:rsid w:val="007478E1"/>
    <w:rsid w:val="0074792A"/>
    <w:rsid w:val="0074799E"/>
    <w:rsid w:val="00747FD2"/>
    <w:rsid w:val="007506C7"/>
    <w:rsid w:val="00750A2F"/>
    <w:rsid w:val="00751556"/>
    <w:rsid w:val="00751CCD"/>
    <w:rsid w:val="00751D57"/>
    <w:rsid w:val="007520D4"/>
    <w:rsid w:val="00752560"/>
    <w:rsid w:val="007525B3"/>
    <w:rsid w:val="0075328F"/>
    <w:rsid w:val="00754592"/>
    <w:rsid w:val="00754D20"/>
    <w:rsid w:val="0075512F"/>
    <w:rsid w:val="0075585B"/>
    <w:rsid w:val="00755BDC"/>
    <w:rsid w:val="00755CDE"/>
    <w:rsid w:val="007560A0"/>
    <w:rsid w:val="00756253"/>
    <w:rsid w:val="00756F3B"/>
    <w:rsid w:val="00756FDD"/>
    <w:rsid w:val="00757141"/>
    <w:rsid w:val="00757260"/>
    <w:rsid w:val="00757A59"/>
    <w:rsid w:val="007606A4"/>
    <w:rsid w:val="00761040"/>
    <w:rsid w:val="007614B4"/>
    <w:rsid w:val="00761AD5"/>
    <w:rsid w:val="00761CF1"/>
    <w:rsid w:val="00762842"/>
    <w:rsid w:val="00762CB4"/>
    <w:rsid w:val="007635B5"/>
    <w:rsid w:val="00763ADB"/>
    <w:rsid w:val="00763DCB"/>
    <w:rsid w:val="00764B15"/>
    <w:rsid w:val="0076651C"/>
    <w:rsid w:val="00766B77"/>
    <w:rsid w:val="00767185"/>
    <w:rsid w:val="00767BF9"/>
    <w:rsid w:val="00767EC8"/>
    <w:rsid w:val="0077077E"/>
    <w:rsid w:val="00770C3B"/>
    <w:rsid w:val="00770E74"/>
    <w:rsid w:val="007714CD"/>
    <w:rsid w:val="00771B64"/>
    <w:rsid w:val="007721AB"/>
    <w:rsid w:val="007721F3"/>
    <w:rsid w:val="00772335"/>
    <w:rsid w:val="00772CF4"/>
    <w:rsid w:val="00772E0A"/>
    <w:rsid w:val="0077335E"/>
    <w:rsid w:val="007733FB"/>
    <w:rsid w:val="0077394E"/>
    <w:rsid w:val="00773A7B"/>
    <w:rsid w:val="00776695"/>
    <w:rsid w:val="00776AD5"/>
    <w:rsid w:val="00776F09"/>
    <w:rsid w:val="00777755"/>
    <w:rsid w:val="007777ED"/>
    <w:rsid w:val="007801A2"/>
    <w:rsid w:val="00780CB9"/>
    <w:rsid w:val="00781326"/>
    <w:rsid w:val="00782310"/>
    <w:rsid w:val="007828DB"/>
    <w:rsid w:val="00782942"/>
    <w:rsid w:val="007834C1"/>
    <w:rsid w:val="00783A64"/>
    <w:rsid w:val="00784E5E"/>
    <w:rsid w:val="00786711"/>
    <w:rsid w:val="00786920"/>
    <w:rsid w:val="00787156"/>
    <w:rsid w:val="00787A4B"/>
    <w:rsid w:val="0079012B"/>
    <w:rsid w:val="00790CA3"/>
    <w:rsid w:val="00790D37"/>
    <w:rsid w:val="00790FBF"/>
    <w:rsid w:val="00792185"/>
    <w:rsid w:val="00792361"/>
    <w:rsid w:val="007926AF"/>
    <w:rsid w:val="00792D88"/>
    <w:rsid w:val="00793108"/>
    <w:rsid w:val="0079343F"/>
    <w:rsid w:val="007941C7"/>
    <w:rsid w:val="00794827"/>
    <w:rsid w:val="00794C08"/>
    <w:rsid w:val="007950A7"/>
    <w:rsid w:val="007954CD"/>
    <w:rsid w:val="00796067"/>
    <w:rsid w:val="007961D2"/>
    <w:rsid w:val="0079708F"/>
    <w:rsid w:val="007970DA"/>
    <w:rsid w:val="00797C32"/>
    <w:rsid w:val="00797ECA"/>
    <w:rsid w:val="007A014B"/>
    <w:rsid w:val="007A1CD0"/>
    <w:rsid w:val="007A1FA7"/>
    <w:rsid w:val="007A2C62"/>
    <w:rsid w:val="007A2E5B"/>
    <w:rsid w:val="007A30FB"/>
    <w:rsid w:val="007A38EE"/>
    <w:rsid w:val="007A3CE6"/>
    <w:rsid w:val="007A4B2F"/>
    <w:rsid w:val="007A4C0C"/>
    <w:rsid w:val="007A5820"/>
    <w:rsid w:val="007A59A2"/>
    <w:rsid w:val="007A6349"/>
    <w:rsid w:val="007A7065"/>
    <w:rsid w:val="007A708C"/>
    <w:rsid w:val="007A719D"/>
    <w:rsid w:val="007A7262"/>
    <w:rsid w:val="007B073A"/>
    <w:rsid w:val="007B295B"/>
    <w:rsid w:val="007B383C"/>
    <w:rsid w:val="007B49F3"/>
    <w:rsid w:val="007B4F42"/>
    <w:rsid w:val="007B5023"/>
    <w:rsid w:val="007B56EE"/>
    <w:rsid w:val="007B574A"/>
    <w:rsid w:val="007B5BC9"/>
    <w:rsid w:val="007B6036"/>
    <w:rsid w:val="007B65D9"/>
    <w:rsid w:val="007B6ADD"/>
    <w:rsid w:val="007B7227"/>
    <w:rsid w:val="007B72BC"/>
    <w:rsid w:val="007B74D5"/>
    <w:rsid w:val="007B75B6"/>
    <w:rsid w:val="007B76F3"/>
    <w:rsid w:val="007B78B6"/>
    <w:rsid w:val="007B7950"/>
    <w:rsid w:val="007B7BC9"/>
    <w:rsid w:val="007B7CE2"/>
    <w:rsid w:val="007B7D2E"/>
    <w:rsid w:val="007C0E55"/>
    <w:rsid w:val="007C1251"/>
    <w:rsid w:val="007C1266"/>
    <w:rsid w:val="007C15CF"/>
    <w:rsid w:val="007C19B3"/>
    <w:rsid w:val="007C1B76"/>
    <w:rsid w:val="007C2188"/>
    <w:rsid w:val="007C2358"/>
    <w:rsid w:val="007C2E58"/>
    <w:rsid w:val="007C3277"/>
    <w:rsid w:val="007C3612"/>
    <w:rsid w:val="007C4493"/>
    <w:rsid w:val="007C53E0"/>
    <w:rsid w:val="007C54BD"/>
    <w:rsid w:val="007C5977"/>
    <w:rsid w:val="007C5F1F"/>
    <w:rsid w:val="007C6C01"/>
    <w:rsid w:val="007C755C"/>
    <w:rsid w:val="007D09AE"/>
    <w:rsid w:val="007D1403"/>
    <w:rsid w:val="007D15F0"/>
    <w:rsid w:val="007D2712"/>
    <w:rsid w:val="007D2B78"/>
    <w:rsid w:val="007D3070"/>
    <w:rsid w:val="007D3150"/>
    <w:rsid w:val="007D3515"/>
    <w:rsid w:val="007D38A1"/>
    <w:rsid w:val="007D42BB"/>
    <w:rsid w:val="007D48F2"/>
    <w:rsid w:val="007D5020"/>
    <w:rsid w:val="007D58D4"/>
    <w:rsid w:val="007D6159"/>
    <w:rsid w:val="007D648D"/>
    <w:rsid w:val="007D6C87"/>
    <w:rsid w:val="007D7063"/>
    <w:rsid w:val="007D721B"/>
    <w:rsid w:val="007D7D6C"/>
    <w:rsid w:val="007E1545"/>
    <w:rsid w:val="007E1B59"/>
    <w:rsid w:val="007E1CFB"/>
    <w:rsid w:val="007E2097"/>
    <w:rsid w:val="007E2517"/>
    <w:rsid w:val="007E263D"/>
    <w:rsid w:val="007E2C0E"/>
    <w:rsid w:val="007E3A09"/>
    <w:rsid w:val="007E3B5B"/>
    <w:rsid w:val="007E40C9"/>
    <w:rsid w:val="007E487B"/>
    <w:rsid w:val="007E54B6"/>
    <w:rsid w:val="007E5822"/>
    <w:rsid w:val="007E5BB9"/>
    <w:rsid w:val="007E6444"/>
    <w:rsid w:val="007E64D8"/>
    <w:rsid w:val="007E6AB5"/>
    <w:rsid w:val="007E7C24"/>
    <w:rsid w:val="007F12E3"/>
    <w:rsid w:val="007F21ED"/>
    <w:rsid w:val="007F275D"/>
    <w:rsid w:val="007F3416"/>
    <w:rsid w:val="007F3519"/>
    <w:rsid w:val="007F39B8"/>
    <w:rsid w:val="007F4C99"/>
    <w:rsid w:val="007F4E3B"/>
    <w:rsid w:val="007F5866"/>
    <w:rsid w:val="007F6329"/>
    <w:rsid w:val="007F6A23"/>
    <w:rsid w:val="007F6A7D"/>
    <w:rsid w:val="007F719C"/>
    <w:rsid w:val="0080052E"/>
    <w:rsid w:val="00801047"/>
    <w:rsid w:val="008014CB"/>
    <w:rsid w:val="008014E5"/>
    <w:rsid w:val="008016A8"/>
    <w:rsid w:val="00802B20"/>
    <w:rsid w:val="00802E52"/>
    <w:rsid w:val="008031EB"/>
    <w:rsid w:val="008033C9"/>
    <w:rsid w:val="00804007"/>
    <w:rsid w:val="008049CB"/>
    <w:rsid w:val="008049D5"/>
    <w:rsid w:val="0080505D"/>
    <w:rsid w:val="0080576C"/>
    <w:rsid w:val="008069A3"/>
    <w:rsid w:val="00807056"/>
    <w:rsid w:val="008073BA"/>
    <w:rsid w:val="00807873"/>
    <w:rsid w:val="0081086F"/>
    <w:rsid w:val="00810AEE"/>
    <w:rsid w:val="00811038"/>
    <w:rsid w:val="0081108C"/>
    <w:rsid w:val="00811EAE"/>
    <w:rsid w:val="00812627"/>
    <w:rsid w:val="008127D4"/>
    <w:rsid w:val="00813770"/>
    <w:rsid w:val="00813C7D"/>
    <w:rsid w:val="00814340"/>
    <w:rsid w:val="0081584B"/>
    <w:rsid w:val="0081627B"/>
    <w:rsid w:val="00816A4E"/>
    <w:rsid w:val="0082023F"/>
    <w:rsid w:val="0082025E"/>
    <w:rsid w:val="00820DA8"/>
    <w:rsid w:val="00821B49"/>
    <w:rsid w:val="0082204F"/>
    <w:rsid w:val="0082214E"/>
    <w:rsid w:val="00822FA2"/>
    <w:rsid w:val="00823100"/>
    <w:rsid w:val="00824428"/>
    <w:rsid w:val="00824482"/>
    <w:rsid w:val="008247F2"/>
    <w:rsid w:val="0082493A"/>
    <w:rsid w:val="00825599"/>
    <w:rsid w:val="00825764"/>
    <w:rsid w:val="00825849"/>
    <w:rsid w:val="00825C18"/>
    <w:rsid w:val="00825EFE"/>
    <w:rsid w:val="00830949"/>
    <w:rsid w:val="00831386"/>
    <w:rsid w:val="00832546"/>
    <w:rsid w:val="00832C2B"/>
    <w:rsid w:val="00832C81"/>
    <w:rsid w:val="00832E61"/>
    <w:rsid w:val="00832ED0"/>
    <w:rsid w:val="00832FB0"/>
    <w:rsid w:val="0083389C"/>
    <w:rsid w:val="00834579"/>
    <w:rsid w:val="00835AFC"/>
    <w:rsid w:val="00835FBB"/>
    <w:rsid w:val="0083610D"/>
    <w:rsid w:val="00836FD7"/>
    <w:rsid w:val="008374B7"/>
    <w:rsid w:val="008374EB"/>
    <w:rsid w:val="00837802"/>
    <w:rsid w:val="0084043D"/>
    <w:rsid w:val="00840A4B"/>
    <w:rsid w:val="00840D8C"/>
    <w:rsid w:val="008418D2"/>
    <w:rsid w:val="00842200"/>
    <w:rsid w:val="0084234F"/>
    <w:rsid w:val="00842639"/>
    <w:rsid w:val="00843529"/>
    <w:rsid w:val="00843800"/>
    <w:rsid w:val="00843BD9"/>
    <w:rsid w:val="00843DEA"/>
    <w:rsid w:val="00844682"/>
    <w:rsid w:val="00844C9D"/>
    <w:rsid w:val="00844E93"/>
    <w:rsid w:val="00845A4F"/>
    <w:rsid w:val="00845E2C"/>
    <w:rsid w:val="00845E92"/>
    <w:rsid w:val="00845EC4"/>
    <w:rsid w:val="0084618E"/>
    <w:rsid w:val="00846908"/>
    <w:rsid w:val="008470ED"/>
    <w:rsid w:val="00847307"/>
    <w:rsid w:val="00847919"/>
    <w:rsid w:val="00850140"/>
    <w:rsid w:val="00850DEC"/>
    <w:rsid w:val="00851902"/>
    <w:rsid w:val="00852180"/>
    <w:rsid w:val="00852185"/>
    <w:rsid w:val="00852490"/>
    <w:rsid w:val="00852544"/>
    <w:rsid w:val="008525ED"/>
    <w:rsid w:val="008537E4"/>
    <w:rsid w:val="00853CED"/>
    <w:rsid w:val="0085449D"/>
    <w:rsid w:val="008546E3"/>
    <w:rsid w:val="0085501A"/>
    <w:rsid w:val="008551A1"/>
    <w:rsid w:val="008571C6"/>
    <w:rsid w:val="008577EA"/>
    <w:rsid w:val="00857AD6"/>
    <w:rsid w:val="008608AF"/>
    <w:rsid w:val="00860D85"/>
    <w:rsid w:val="00861A5B"/>
    <w:rsid w:val="008624C9"/>
    <w:rsid w:val="00862971"/>
    <w:rsid w:val="00862F64"/>
    <w:rsid w:val="00863DB9"/>
    <w:rsid w:val="008646A0"/>
    <w:rsid w:val="00864765"/>
    <w:rsid w:val="0086535B"/>
    <w:rsid w:val="00865967"/>
    <w:rsid w:val="00865FCF"/>
    <w:rsid w:val="00866103"/>
    <w:rsid w:val="008663D3"/>
    <w:rsid w:val="00866953"/>
    <w:rsid w:val="00866A32"/>
    <w:rsid w:val="008677A0"/>
    <w:rsid w:val="00867CFE"/>
    <w:rsid w:val="00867DC3"/>
    <w:rsid w:val="00870123"/>
    <w:rsid w:val="008703E8"/>
    <w:rsid w:val="00871031"/>
    <w:rsid w:val="0087134E"/>
    <w:rsid w:val="00871BE5"/>
    <w:rsid w:val="008724C3"/>
    <w:rsid w:val="00872ED3"/>
    <w:rsid w:val="008730E6"/>
    <w:rsid w:val="00873530"/>
    <w:rsid w:val="00873BB2"/>
    <w:rsid w:val="00874D7A"/>
    <w:rsid w:val="00874FE8"/>
    <w:rsid w:val="008751D2"/>
    <w:rsid w:val="008754F3"/>
    <w:rsid w:val="00875CD3"/>
    <w:rsid w:val="00876A3D"/>
    <w:rsid w:val="008775C6"/>
    <w:rsid w:val="00880382"/>
    <w:rsid w:val="008803FD"/>
    <w:rsid w:val="0088057C"/>
    <w:rsid w:val="008807A7"/>
    <w:rsid w:val="008818CD"/>
    <w:rsid w:val="00881C8F"/>
    <w:rsid w:val="0088263C"/>
    <w:rsid w:val="00883149"/>
    <w:rsid w:val="0088365F"/>
    <w:rsid w:val="0088367B"/>
    <w:rsid w:val="0088394C"/>
    <w:rsid w:val="00883D8F"/>
    <w:rsid w:val="0088508D"/>
    <w:rsid w:val="00885BA3"/>
    <w:rsid w:val="00885C25"/>
    <w:rsid w:val="0088633A"/>
    <w:rsid w:val="0088644D"/>
    <w:rsid w:val="008869AA"/>
    <w:rsid w:val="0088701A"/>
    <w:rsid w:val="008873C8"/>
    <w:rsid w:val="00887F51"/>
    <w:rsid w:val="008911B3"/>
    <w:rsid w:val="00891444"/>
    <w:rsid w:val="0089190B"/>
    <w:rsid w:val="00892C79"/>
    <w:rsid w:val="008931EE"/>
    <w:rsid w:val="00893759"/>
    <w:rsid w:val="008941FD"/>
    <w:rsid w:val="00894482"/>
    <w:rsid w:val="008947B3"/>
    <w:rsid w:val="00894E8F"/>
    <w:rsid w:val="0089520C"/>
    <w:rsid w:val="008963EB"/>
    <w:rsid w:val="00896E39"/>
    <w:rsid w:val="00896E96"/>
    <w:rsid w:val="00897D74"/>
    <w:rsid w:val="008A0FC1"/>
    <w:rsid w:val="008A13A0"/>
    <w:rsid w:val="008A184F"/>
    <w:rsid w:val="008A1867"/>
    <w:rsid w:val="008A1FF6"/>
    <w:rsid w:val="008A2CCF"/>
    <w:rsid w:val="008A347B"/>
    <w:rsid w:val="008A4668"/>
    <w:rsid w:val="008A474F"/>
    <w:rsid w:val="008A4F09"/>
    <w:rsid w:val="008A5BE5"/>
    <w:rsid w:val="008A61DF"/>
    <w:rsid w:val="008A6B9B"/>
    <w:rsid w:val="008A6F2A"/>
    <w:rsid w:val="008A7427"/>
    <w:rsid w:val="008A7830"/>
    <w:rsid w:val="008B1A45"/>
    <w:rsid w:val="008B259A"/>
    <w:rsid w:val="008B30FE"/>
    <w:rsid w:val="008B38BB"/>
    <w:rsid w:val="008B40CD"/>
    <w:rsid w:val="008B4EDA"/>
    <w:rsid w:val="008B623C"/>
    <w:rsid w:val="008B6D98"/>
    <w:rsid w:val="008B797A"/>
    <w:rsid w:val="008C0E3B"/>
    <w:rsid w:val="008C12D3"/>
    <w:rsid w:val="008C1E61"/>
    <w:rsid w:val="008C2827"/>
    <w:rsid w:val="008C3098"/>
    <w:rsid w:val="008C31B1"/>
    <w:rsid w:val="008C3394"/>
    <w:rsid w:val="008C34C1"/>
    <w:rsid w:val="008C37BB"/>
    <w:rsid w:val="008C5502"/>
    <w:rsid w:val="008C5624"/>
    <w:rsid w:val="008C596E"/>
    <w:rsid w:val="008C616B"/>
    <w:rsid w:val="008C74BE"/>
    <w:rsid w:val="008C7624"/>
    <w:rsid w:val="008C76BB"/>
    <w:rsid w:val="008C7720"/>
    <w:rsid w:val="008D0765"/>
    <w:rsid w:val="008D0849"/>
    <w:rsid w:val="008D0AE7"/>
    <w:rsid w:val="008D15B5"/>
    <w:rsid w:val="008D1CDA"/>
    <w:rsid w:val="008D2A7E"/>
    <w:rsid w:val="008D2E53"/>
    <w:rsid w:val="008D3D94"/>
    <w:rsid w:val="008D40EB"/>
    <w:rsid w:val="008D4C40"/>
    <w:rsid w:val="008D6298"/>
    <w:rsid w:val="008D71A2"/>
    <w:rsid w:val="008D786F"/>
    <w:rsid w:val="008D78B7"/>
    <w:rsid w:val="008D7E78"/>
    <w:rsid w:val="008E007D"/>
    <w:rsid w:val="008E0083"/>
    <w:rsid w:val="008E1090"/>
    <w:rsid w:val="008E10A4"/>
    <w:rsid w:val="008E1857"/>
    <w:rsid w:val="008E1CA8"/>
    <w:rsid w:val="008E1F41"/>
    <w:rsid w:val="008E236F"/>
    <w:rsid w:val="008E29F9"/>
    <w:rsid w:val="008E2ACF"/>
    <w:rsid w:val="008E2EC3"/>
    <w:rsid w:val="008E316D"/>
    <w:rsid w:val="008E326E"/>
    <w:rsid w:val="008E32A5"/>
    <w:rsid w:val="008E47E4"/>
    <w:rsid w:val="008E49C1"/>
    <w:rsid w:val="008E4F9D"/>
    <w:rsid w:val="008E5297"/>
    <w:rsid w:val="008E6387"/>
    <w:rsid w:val="008E6789"/>
    <w:rsid w:val="008E68AA"/>
    <w:rsid w:val="008E7AB6"/>
    <w:rsid w:val="008F039F"/>
    <w:rsid w:val="008F0700"/>
    <w:rsid w:val="008F15DE"/>
    <w:rsid w:val="008F197F"/>
    <w:rsid w:val="008F20A4"/>
    <w:rsid w:val="008F3A91"/>
    <w:rsid w:val="008F3BA7"/>
    <w:rsid w:val="008F3C05"/>
    <w:rsid w:val="008F45BD"/>
    <w:rsid w:val="008F4869"/>
    <w:rsid w:val="008F4BC0"/>
    <w:rsid w:val="008F4D53"/>
    <w:rsid w:val="008F50FC"/>
    <w:rsid w:val="008F51E9"/>
    <w:rsid w:val="008F61E2"/>
    <w:rsid w:val="008F73D7"/>
    <w:rsid w:val="008F7A1C"/>
    <w:rsid w:val="00900E00"/>
    <w:rsid w:val="0090186C"/>
    <w:rsid w:val="0090195B"/>
    <w:rsid w:val="00901A6F"/>
    <w:rsid w:val="0090224A"/>
    <w:rsid w:val="009032B3"/>
    <w:rsid w:val="00903798"/>
    <w:rsid w:val="00904233"/>
    <w:rsid w:val="009046C3"/>
    <w:rsid w:val="00904EBE"/>
    <w:rsid w:val="00904EE6"/>
    <w:rsid w:val="00905C4B"/>
    <w:rsid w:val="009060A0"/>
    <w:rsid w:val="0090652C"/>
    <w:rsid w:val="009065E7"/>
    <w:rsid w:val="00906C63"/>
    <w:rsid w:val="00906CFE"/>
    <w:rsid w:val="00906EC4"/>
    <w:rsid w:val="00907443"/>
    <w:rsid w:val="009074C8"/>
    <w:rsid w:val="00907ACA"/>
    <w:rsid w:val="00907CCC"/>
    <w:rsid w:val="00907D01"/>
    <w:rsid w:val="00907D68"/>
    <w:rsid w:val="00910498"/>
    <w:rsid w:val="0091066B"/>
    <w:rsid w:val="00910BE7"/>
    <w:rsid w:val="00912677"/>
    <w:rsid w:val="00912BC5"/>
    <w:rsid w:val="00914A02"/>
    <w:rsid w:val="00914F85"/>
    <w:rsid w:val="009150CD"/>
    <w:rsid w:val="00915235"/>
    <w:rsid w:val="0091560E"/>
    <w:rsid w:val="00916792"/>
    <w:rsid w:val="009179D8"/>
    <w:rsid w:val="00917C32"/>
    <w:rsid w:val="009206BA"/>
    <w:rsid w:val="00920C3A"/>
    <w:rsid w:val="0092112E"/>
    <w:rsid w:val="00921250"/>
    <w:rsid w:val="00921626"/>
    <w:rsid w:val="00921F84"/>
    <w:rsid w:val="00923C76"/>
    <w:rsid w:val="0092403A"/>
    <w:rsid w:val="009243B5"/>
    <w:rsid w:val="00924B82"/>
    <w:rsid w:val="00925E7A"/>
    <w:rsid w:val="009266F3"/>
    <w:rsid w:val="00926CAC"/>
    <w:rsid w:val="00926E9E"/>
    <w:rsid w:val="009274F0"/>
    <w:rsid w:val="009277F7"/>
    <w:rsid w:val="0093086E"/>
    <w:rsid w:val="00930DA7"/>
    <w:rsid w:val="00931925"/>
    <w:rsid w:val="00931CA4"/>
    <w:rsid w:val="00931D3F"/>
    <w:rsid w:val="00931F56"/>
    <w:rsid w:val="00932B33"/>
    <w:rsid w:val="00932EB6"/>
    <w:rsid w:val="00933EC7"/>
    <w:rsid w:val="00934198"/>
    <w:rsid w:val="0093469C"/>
    <w:rsid w:val="009360A4"/>
    <w:rsid w:val="009366BF"/>
    <w:rsid w:val="00937962"/>
    <w:rsid w:val="00937A1A"/>
    <w:rsid w:val="00937BA3"/>
    <w:rsid w:val="00940432"/>
    <w:rsid w:val="009405AF"/>
    <w:rsid w:val="00940DD7"/>
    <w:rsid w:val="00941196"/>
    <w:rsid w:val="009411EF"/>
    <w:rsid w:val="0094129C"/>
    <w:rsid w:val="00941504"/>
    <w:rsid w:val="0094161D"/>
    <w:rsid w:val="00941E3D"/>
    <w:rsid w:val="00942297"/>
    <w:rsid w:val="009427E5"/>
    <w:rsid w:val="009428B8"/>
    <w:rsid w:val="00942AC2"/>
    <w:rsid w:val="00943ED7"/>
    <w:rsid w:val="00944BF3"/>
    <w:rsid w:val="00944CA8"/>
    <w:rsid w:val="00944DE9"/>
    <w:rsid w:val="0094537C"/>
    <w:rsid w:val="00945539"/>
    <w:rsid w:val="009456D4"/>
    <w:rsid w:val="009459DF"/>
    <w:rsid w:val="009459FD"/>
    <w:rsid w:val="00945D26"/>
    <w:rsid w:val="00947212"/>
    <w:rsid w:val="0094729E"/>
    <w:rsid w:val="00947D12"/>
    <w:rsid w:val="00950551"/>
    <w:rsid w:val="00950882"/>
    <w:rsid w:val="00953137"/>
    <w:rsid w:val="00953489"/>
    <w:rsid w:val="009544BE"/>
    <w:rsid w:val="00954A16"/>
    <w:rsid w:val="00954A64"/>
    <w:rsid w:val="009551C9"/>
    <w:rsid w:val="009551F6"/>
    <w:rsid w:val="00955883"/>
    <w:rsid w:val="00955F48"/>
    <w:rsid w:val="00957E9B"/>
    <w:rsid w:val="0096066E"/>
    <w:rsid w:val="00960FA3"/>
    <w:rsid w:val="0096106C"/>
    <w:rsid w:val="00961E59"/>
    <w:rsid w:val="00961FCA"/>
    <w:rsid w:val="009627E1"/>
    <w:rsid w:val="009647F1"/>
    <w:rsid w:val="00964891"/>
    <w:rsid w:val="00964CB2"/>
    <w:rsid w:val="00965ED6"/>
    <w:rsid w:val="009662E7"/>
    <w:rsid w:val="00966645"/>
    <w:rsid w:val="009676D6"/>
    <w:rsid w:val="00967B96"/>
    <w:rsid w:val="009705F6"/>
    <w:rsid w:val="00970774"/>
    <w:rsid w:val="00970A2A"/>
    <w:rsid w:val="00970CFC"/>
    <w:rsid w:val="00971A53"/>
    <w:rsid w:val="00971DF3"/>
    <w:rsid w:val="00971E9F"/>
    <w:rsid w:val="009722B2"/>
    <w:rsid w:val="009725E8"/>
    <w:rsid w:val="0097306A"/>
    <w:rsid w:val="00975C8B"/>
    <w:rsid w:val="00977837"/>
    <w:rsid w:val="009779FE"/>
    <w:rsid w:val="009804B7"/>
    <w:rsid w:val="00981829"/>
    <w:rsid w:val="00981E97"/>
    <w:rsid w:val="00982743"/>
    <w:rsid w:val="009833F9"/>
    <w:rsid w:val="009836D3"/>
    <w:rsid w:val="00983A02"/>
    <w:rsid w:val="00983CBD"/>
    <w:rsid w:val="009859D8"/>
    <w:rsid w:val="00986251"/>
    <w:rsid w:val="0098696E"/>
    <w:rsid w:val="00986ACB"/>
    <w:rsid w:val="009878A7"/>
    <w:rsid w:val="00990577"/>
    <w:rsid w:val="00991118"/>
    <w:rsid w:val="00991A81"/>
    <w:rsid w:val="00992596"/>
    <w:rsid w:val="009928DB"/>
    <w:rsid w:val="00992E8D"/>
    <w:rsid w:val="00992FD2"/>
    <w:rsid w:val="009938A8"/>
    <w:rsid w:val="00993955"/>
    <w:rsid w:val="00993BBF"/>
    <w:rsid w:val="009949F1"/>
    <w:rsid w:val="0099587E"/>
    <w:rsid w:val="00995914"/>
    <w:rsid w:val="00995C73"/>
    <w:rsid w:val="00995E21"/>
    <w:rsid w:val="009962A7"/>
    <w:rsid w:val="00996778"/>
    <w:rsid w:val="00996C06"/>
    <w:rsid w:val="00996C83"/>
    <w:rsid w:val="0099700D"/>
    <w:rsid w:val="0099792D"/>
    <w:rsid w:val="009A008F"/>
    <w:rsid w:val="009A191E"/>
    <w:rsid w:val="009A23AA"/>
    <w:rsid w:val="009A2574"/>
    <w:rsid w:val="009A2CCA"/>
    <w:rsid w:val="009A2E47"/>
    <w:rsid w:val="009A2F8B"/>
    <w:rsid w:val="009A32DF"/>
    <w:rsid w:val="009A353E"/>
    <w:rsid w:val="009A368D"/>
    <w:rsid w:val="009A3762"/>
    <w:rsid w:val="009A4EC6"/>
    <w:rsid w:val="009A5218"/>
    <w:rsid w:val="009A538E"/>
    <w:rsid w:val="009A623F"/>
    <w:rsid w:val="009A6492"/>
    <w:rsid w:val="009A79E6"/>
    <w:rsid w:val="009A7C7C"/>
    <w:rsid w:val="009A7DB4"/>
    <w:rsid w:val="009B0A5A"/>
    <w:rsid w:val="009B1844"/>
    <w:rsid w:val="009B1CE9"/>
    <w:rsid w:val="009B27B0"/>
    <w:rsid w:val="009B41E7"/>
    <w:rsid w:val="009B45FA"/>
    <w:rsid w:val="009B5165"/>
    <w:rsid w:val="009B5F9E"/>
    <w:rsid w:val="009B6333"/>
    <w:rsid w:val="009B737A"/>
    <w:rsid w:val="009B789C"/>
    <w:rsid w:val="009C056D"/>
    <w:rsid w:val="009C07D5"/>
    <w:rsid w:val="009C0E4F"/>
    <w:rsid w:val="009C3450"/>
    <w:rsid w:val="009C38DE"/>
    <w:rsid w:val="009C3FF0"/>
    <w:rsid w:val="009C4015"/>
    <w:rsid w:val="009C4AD0"/>
    <w:rsid w:val="009C51B3"/>
    <w:rsid w:val="009C697E"/>
    <w:rsid w:val="009C6D29"/>
    <w:rsid w:val="009C7DAE"/>
    <w:rsid w:val="009D0788"/>
    <w:rsid w:val="009D079B"/>
    <w:rsid w:val="009D0D65"/>
    <w:rsid w:val="009D0DFF"/>
    <w:rsid w:val="009D1D03"/>
    <w:rsid w:val="009D2393"/>
    <w:rsid w:val="009D26D0"/>
    <w:rsid w:val="009D27E2"/>
    <w:rsid w:val="009D3234"/>
    <w:rsid w:val="009D361B"/>
    <w:rsid w:val="009D3620"/>
    <w:rsid w:val="009D4784"/>
    <w:rsid w:val="009D487B"/>
    <w:rsid w:val="009D4A5E"/>
    <w:rsid w:val="009D4DD5"/>
    <w:rsid w:val="009D57C7"/>
    <w:rsid w:val="009D6247"/>
    <w:rsid w:val="009D644C"/>
    <w:rsid w:val="009D6AF2"/>
    <w:rsid w:val="009D7498"/>
    <w:rsid w:val="009D77F8"/>
    <w:rsid w:val="009D7951"/>
    <w:rsid w:val="009E037D"/>
    <w:rsid w:val="009E0477"/>
    <w:rsid w:val="009E07A1"/>
    <w:rsid w:val="009E08D1"/>
    <w:rsid w:val="009E0A8F"/>
    <w:rsid w:val="009E13BD"/>
    <w:rsid w:val="009E1851"/>
    <w:rsid w:val="009E1AE7"/>
    <w:rsid w:val="009E3C65"/>
    <w:rsid w:val="009E3FB2"/>
    <w:rsid w:val="009E44E3"/>
    <w:rsid w:val="009E4544"/>
    <w:rsid w:val="009E479C"/>
    <w:rsid w:val="009E4C47"/>
    <w:rsid w:val="009E5621"/>
    <w:rsid w:val="009E5925"/>
    <w:rsid w:val="009E5B74"/>
    <w:rsid w:val="009E6A56"/>
    <w:rsid w:val="009F01F6"/>
    <w:rsid w:val="009F0548"/>
    <w:rsid w:val="009F065B"/>
    <w:rsid w:val="009F09AE"/>
    <w:rsid w:val="009F2EB8"/>
    <w:rsid w:val="009F34CC"/>
    <w:rsid w:val="009F375E"/>
    <w:rsid w:val="009F3D05"/>
    <w:rsid w:val="009F45AC"/>
    <w:rsid w:val="009F4942"/>
    <w:rsid w:val="009F545F"/>
    <w:rsid w:val="009F54B7"/>
    <w:rsid w:val="009F5981"/>
    <w:rsid w:val="009F600D"/>
    <w:rsid w:val="009F6E78"/>
    <w:rsid w:val="009F7637"/>
    <w:rsid w:val="009F767E"/>
    <w:rsid w:val="00A0026E"/>
    <w:rsid w:val="00A002B2"/>
    <w:rsid w:val="00A002EC"/>
    <w:rsid w:val="00A00352"/>
    <w:rsid w:val="00A003E3"/>
    <w:rsid w:val="00A00E81"/>
    <w:rsid w:val="00A027D2"/>
    <w:rsid w:val="00A02CE4"/>
    <w:rsid w:val="00A02F67"/>
    <w:rsid w:val="00A038B3"/>
    <w:rsid w:val="00A03BCB"/>
    <w:rsid w:val="00A04105"/>
    <w:rsid w:val="00A04BE6"/>
    <w:rsid w:val="00A07721"/>
    <w:rsid w:val="00A100D6"/>
    <w:rsid w:val="00A104F6"/>
    <w:rsid w:val="00A10E9E"/>
    <w:rsid w:val="00A1162C"/>
    <w:rsid w:val="00A12694"/>
    <w:rsid w:val="00A12C70"/>
    <w:rsid w:val="00A12CDB"/>
    <w:rsid w:val="00A132A7"/>
    <w:rsid w:val="00A15429"/>
    <w:rsid w:val="00A15A33"/>
    <w:rsid w:val="00A169FD"/>
    <w:rsid w:val="00A17693"/>
    <w:rsid w:val="00A20EEB"/>
    <w:rsid w:val="00A2186C"/>
    <w:rsid w:val="00A21A94"/>
    <w:rsid w:val="00A2281C"/>
    <w:rsid w:val="00A231CC"/>
    <w:rsid w:val="00A2434E"/>
    <w:rsid w:val="00A24693"/>
    <w:rsid w:val="00A248A6"/>
    <w:rsid w:val="00A249B0"/>
    <w:rsid w:val="00A25623"/>
    <w:rsid w:val="00A25C70"/>
    <w:rsid w:val="00A26028"/>
    <w:rsid w:val="00A26097"/>
    <w:rsid w:val="00A267C9"/>
    <w:rsid w:val="00A26CDC"/>
    <w:rsid w:val="00A30067"/>
    <w:rsid w:val="00A302C2"/>
    <w:rsid w:val="00A30E68"/>
    <w:rsid w:val="00A32422"/>
    <w:rsid w:val="00A3273F"/>
    <w:rsid w:val="00A32875"/>
    <w:rsid w:val="00A32B8E"/>
    <w:rsid w:val="00A34F6C"/>
    <w:rsid w:val="00A3542C"/>
    <w:rsid w:val="00A36F9F"/>
    <w:rsid w:val="00A37110"/>
    <w:rsid w:val="00A375CD"/>
    <w:rsid w:val="00A40109"/>
    <w:rsid w:val="00A40230"/>
    <w:rsid w:val="00A4094F"/>
    <w:rsid w:val="00A42CEC"/>
    <w:rsid w:val="00A42EB5"/>
    <w:rsid w:val="00A42F7D"/>
    <w:rsid w:val="00A44689"/>
    <w:rsid w:val="00A45C6B"/>
    <w:rsid w:val="00A462F5"/>
    <w:rsid w:val="00A46B2E"/>
    <w:rsid w:val="00A4712F"/>
    <w:rsid w:val="00A47456"/>
    <w:rsid w:val="00A47781"/>
    <w:rsid w:val="00A477CB"/>
    <w:rsid w:val="00A477CC"/>
    <w:rsid w:val="00A47E13"/>
    <w:rsid w:val="00A500CA"/>
    <w:rsid w:val="00A50585"/>
    <w:rsid w:val="00A50F20"/>
    <w:rsid w:val="00A51669"/>
    <w:rsid w:val="00A52212"/>
    <w:rsid w:val="00A522B1"/>
    <w:rsid w:val="00A52FCA"/>
    <w:rsid w:val="00A53A3F"/>
    <w:rsid w:val="00A54148"/>
    <w:rsid w:val="00A5553F"/>
    <w:rsid w:val="00A557D3"/>
    <w:rsid w:val="00A55C8C"/>
    <w:rsid w:val="00A560CF"/>
    <w:rsid w:val="00A601E0"/>
    <w:rsid w:val="00A601ED"/>
    <w:rsid w:val="00A60DE4"/>
    <w:rsid w:val="00A610C5"/>
    <w:rsid w:val="00A61B2A"/>
    <w:rsid w:val="00A6274B"/>
    <w:rsid w:val="00A62CAF"/>
    <w:rsid w:val="00A62CEB"/>
    <w:rsid w:val="00A636D4"/>
    <w:rsid w:val="00A638D7"/>
    <w:rsid w:val="00A6390B"/>
    <w:rsid w:val="00A65392"/>
    <w:rsid w:val="00A65597"/>
    <w:rsid w:val="00A65A5E"/>
    <w:rsid w:val="00A65DB0"/>
    <w:rsid w:val="00A65E87"/>
    <w:rsid w:val="00A66035"/>
    <w:rsid w:val="00A664FA"/>
    <w:rsid w:val="00A66C07"/>
    <w:rsid w:val="00A678B2"/>
    <w:rsid w:val="00A70266"/>
    <w:rsid w:val="00A709EE"/>
    <w:rsid w:val="00A70F1F"/>
    <w:rsid w:val="00A71B68"/>
    <w:rsid w:val="00A71C01"/>
    <w:rsid w:val="00A71EEA"/>
    <w:rsid w:val="00A72B21"/>
    <w:rsid w:val="00A73A7B"/>
    <w:rsid w:val="00A75FBB"/>
    <w:rsid w:val="00A760FF"/>
    <w:rsid w:val="00A767C8"/>
    <w:rsid w:val="00A76B07"/>
    <w:rsid w:val="00A76FF4"/>
    <w:rsid w:val="00A770AC"/>
    <w:rsid w:val="00A770F2"/>
    <w:rsid w:val="00A776F6"/>
    <w:rsid w:val="00A778D7"/>
    <w:rsid w:val="00A80852"/>
    <w:rsid w:val="00A80A7C"/>
    <w:rsid w:val="00A817D8"/>
    <w:rsid w:val="00A81C9D"/>
    <w:rsid w:val="00A8211D"/>
    <w:rsid w:val="00A82308"/>
    <w:rsid w:val="00A83E70"/>
    <w:rsid w:val="00A8422D"/>
    <w:rsid w:val="00A8433E"/>
    <w:rsid w:val="00A844E6"/>
    <w:rsid w:val="00A851B5"/>
    <w:rsid w:val="00A854BF"/>
    <w:rsid w:val="00A85583"/>
    <w:rsid w:val="00A85AE8"/>
    <w:rsid w:val="00A85FAE"/>
    <w:rsid w:val="00A86336"/>
    <w:rsid w:val="00A864C8"/>
    <w:rsid w:val="00A865ED"/>
    <w:rsid w:val="00A9001B"/>
    <w:rsid w:val="00A9045D"/>
    <w:rsid w:val="00A90C36"/>
    <w:rsid w:val="00A91CBB"/>
    <w:rsid w:val="00A92028"/>
    <w:rsid w:val="00A9290F"/>
    <w:rsid w:val="00A93471"/>
    <w:rsid w:val="00A944FA"/>
    <w:rsid w:val="00A958E7"/>
    <w:rsid w:val="00A95E4B"/>
    <w:rsid w:val="00A97864"/>
    <w:rsid w:val="00AA0AB6"/>
    <w:rsid w:val="00AA0FBC"/>
    <w:rsid w:val="00AA152C"/>
    <w:rsid w:val="00AA1E31"/>
    <w:rsid w:val="00AA2073"/>
    <w:rsid w:val="00AA25A2"/>
    <w:rsid w:val="00AA260E"/>
    <w:rsid w:val="00AA2653"/>
    <w:rsid w:val="00AA2D5A"/>
    <w:rsid w:val="00AA2F1B"/>
    <w:rsid w:val="00AA3300"/>
    <w:rsid w:val="00AA36D5"/>
    <w:rsid w:val="00AA3823"/>
    <w:rsid w:val="00AA3D71"/>
    <w:rsid w:val="00AA4616"/>
    <w:rsid w:val="00AA468F"/>
    <w:rsid w:val="00AA47CF"/>
    <w:rsid w:val="00AA4CF5"/>
    <w:rsid w:val="00AA5435"/>
    <w:rsid w:val="00AA62ED"/>
    <w:rsid w:val="00AA6331"/>
    <w:rsid w:val="00AA63D2"/>
    <w:rsid w:val="00AA67DE"/>
    <w:rsid w:val="00AA6F19"/>
    <w:rsid w:val="00AA7044"/>
    <w:rsid w:val="00AA72D6"/>
    <w:rsid w:val="00AA7490"/>
    <w:rsid w:val="00AA7883"/>
    <w:rsid w:val="00AB0413"/>
    <w:rsid w:val="00AB0B38"/>
    <w:rsid w:val="00AB0D9F"/>
    <w:rsid w:val="00AB1937"/>
    <w:rsid w:val="00AB2E97"/>
    <w:rsid w:val="00AB3014"/>
    <w:rsid w:val="00AB4216"/>
    <w:rsid w:val="00AB4450"/>
    <w:rsid w:val="00AB5648"/>
    <w:rsid w:val="00AB620D"/>
    <w:rsid w:val="00AB6855"/>
    <w:rsid w:val="00AB69B5"/>
    <w:rsid w:val="00AC05DC"/>
    <w:rsid w:val="00AC1135"/>
    <w:rsid w:val="00AC15A4"/>
    <w:rsid w:val="00AC1FE8"/>
    <w:rsid w:val="00AC236F"/>
    <w:rsid w:val="00AC2440"/>
    <w:rsid w:val="00AC26ED"/>
    <w:rsid w:val="00AC2759"/>
    <w:rsid w:val="00AC2A64"/>
    <w:rsid w:val="00AC2FB2"/>
    <w:rsid w:val="00AC31CA"/>
    <w:rsid w:val="00AC3DB2"/>
    <w:rsid w:val="00AC3E1E"/>
    <w:rsid w:val="00AC48E7"/>
    <w:rsid w:val="00AC52A1"/>
    <w:rsid w:val="00AC52A3"/>
    <w:rsid w:val="00AC5A17"/>
    <w:rsid w:val="00AC70F2"/>
    <w:rsid w:val="00AC7A69"/>
    <w:rsid w:val="00AD03B9"/>
    <w:rsid w:val="00AD04D8"/>
    <w:rsid w:val="00AD0512"/>
    <w:rsid w:val="00AD0BC7"/>
    <w:rsid w:val="00AD13CB"/>
    <w:rsid w:val="00AD16F9"/>
    <w:rsid w:val="00AD2C60"/>
    <w:rsid w:val="00AD2F73"/>
    <w:rsid w:val="00AD3869"/>
    <w:rsid w:val="00AD3A8D"/>
    <w:rsid w:val="00AD3D0E"/>
    <w:rsid w:val="00AD44C9"/>
    <w:rsid w:val="00AD50C9"/>
    <w:rsid w:val="00AD5329"/>
    <w:rsid w:val="00AD66A7"/>
    <w:rsid w:val="00AD6B2F"/>
    <w:rsid w:val="00AD6D99"/>
    <w:rsid w:val="00AD6F66"/>
    <w:rsid w:val="00AD721D"/>
    <w:rsid w:val="00AD799B"/>
    <w:rsid w:val="00AE042E"/>
    <w:rsid w:val="00AE0A16"/>
    <w:rsid w:val="00AE0EF5"/>
    <w:rsid w:val="00AE13A6"/>
    <w:rsid w:val="00AE1F13"/>
    <w:rsid w:val="00AE25C6"/>
    <w:rsid w:val="00AE26F3"/>
    <w:rsid w:val="00AE28AA"/>
    <w:rsid w:val="00AE2BB4"/>
    <w:rsid w:val="00AE3022"/>
    <w:rsid w:val="00AE42B1"/>
    <w:rsid w:val="00AE5638"/>
    <w:rsid w:val="00AE5EF4"/>
    <w:rsid w:val="00AE6D36"/>
    <w:rsid w:val="00AE71D4"/>
    <w:rsid w:val="00AF0405"/>
    <w:rsid w:val="00AF1517"/>
    <w:rsid w:val="00AF157A"/>
    <w:rsid w:val="00AF16EE"/>
    <w:rsid w:val="00AF1DB1"/>
    <w:rsid w:val="00AF20C2"/>
    <w:rsid w:val="00AF30E1"/>
    <w:rsid w:val="00AF3B86"/>
    <w:rsid w:val="00AF41DA"/>
    <w:rsid w:val="00AF4B40"/>
    <w:rsid w:val="00AF50D5"/>
    <w:rsid w:val="00AF54FC"/>
    <w:rsid w:val="00AF5B20"/>
    <w:rsid w:val="00AF5DA5"/>
    <w:rsid w:val="00AF5DD8"/>
    <w:rsid w:val="00AF625A"/>
    <w:rsid w:val="00AF6D0C"/>
    <w:rsid w:val="00AF7031"/>
    <w:rsid w:val="00AF73E7"/>
    <w:rsid w:val="00AF786A"/>
    <w:rsid w:val="00AF7B22"/>
    <w:rsid w:val="00AF7BD3"/>
    <w:rsid w:val="00AF7EEE"/>
    <w:rsid w:val="00AF7F85"/>
    <w:rsid w:val="00B0009C"/>
    <w:rsid w:val="00B0095B"/>
    <w:rsid w:val="00B00E80"/>
    <w:rsid w:val="00B010D4"/>
    <w:rsid w:val="00B01402"/>
    <w:rsid w:val="00B015D1"/>
    <w:rsid w:val="00B016E7"/>
    <w:rsid w:val="00B019F6"/>
    <w:rsid w:val="00B01F8C"/>
    <w:rsid w:val="00B02BFE"/>
    <w:rsid w:val="00B02EC7"/>
    <w:rsid w:val="00B03F8F"/>
    <w:rsid w:val="00B042C2"/>
    <w:rsid w:val="00B044DE"/>
    <w:rsid w:val="00B04E6C"/>
    <w:rsid w:val="00B0625F"/>
    <w:rsid w:val="00B067F5"/>
    <w:rsid w:val="00B07556"/>
    <w:rsid w:val="00B076BD"/>
    <w:rsid w:val="00B07BF8"/>
    <w:rsid w:val="00B1022D"/>
    <w:rsid w:val="00B10B56"/>
    <w:rsid w:val="00B111B6"/>
    <w:rsid w:val="00B11708"/>
    <w:rsid w:val="00B11AD7"/>
    <w:rsid w:val="00B11DB6"/>
    <w:rsid w:val="00B11FFC"/>
    <w:rsid w:val="00B1207F"/>
    <w:rsid w:val="00B122FA"/>
    <w:rsid w:val="00B12B5A"/>
    <w:rsid w:val="00B1301E"/>
    <w:rsid w:val="00B13405"/>
    <w:rsid w:val="00B136A8"/>
    <w:rsid w:val="00B1399D"/>
    <w:rsid w:val="00B14361"/>
    <w:rsid w:val="00B14E1D"/>
    <w:rsid w:val="00B14ED2"/>
    <w:rsid w:val="00B15C0B"/>
    <w:rsid w:val="00B1613B"/>
    <w:rsid w:val="00B16A4B"/>
    <w:rsid w:val="00B17CF7"/>
    <w:rsid w:val="00B20536"/>
    <w:rsid w:val="00B2094B"/>
    <w:rsid w:val="00B21453"/>
    <w:rsid w:val="00B21F72"/>
    <w:rsid w:val="00B226B8"/>
    <w:rsid w:val="00B226FA"/>
    <w:rsid w:val="00B228CF"/>
    <w:rsid w:val="00B22952"/>
    <w:rsid w:val="00B22CAF"/>
    <w:rsid w:val="00B22EBE"/>
    <w:rsid w:val="00B25657"/>
    <w:rsid w:val="00B2578A"/>
    <w:rsid w:val="00B25858"/>
    <w:rsid w:val="00B25FEF"/>
    <w:rsid w:val="00B25FF4"/>
    <w:rsid w:val="00B26860"/>
    <w:rsid w:val="00B26AAC"/>
    <w:rsid w:val="00B26BB0"/>
    <w:rsid w:val="00B2713F"/>
    <w:rsid w:val="00B279FA"/>
    <w:rsid w:val="00B30F63"/>
    <w:rsid w:val="00B311E0"/>
    <w:rsid w:val="00B3152E"/>
    <w:rsid w:val="00B31F38"/>
    <w:rsid w:val="00B321C1"/>
    <w:rsid w:val="00B32586"/>
    <w:rsid w:val="00B3339D"/>
    <w:rsid w:val="00B3397B"/>
    <w:rsid w:val="00B33B86"/>
    <w:rsid w:val="00B34411"/>
    <w:rsid w:val="00B34A76"/>
    <w:rsid w:val="00B379CB"/>
    <w:rsid w:val="00B4057A"/>
    <w:rsid w:val="00B408FC"/>
    <w:rsid w:val="00B422AC"/>
    <w:rsid w:val="00B42449"/>
    <w:rsid w:val="00B4273B"/>
    <w:rsid w:val="00B4303F"/>
    <w:rsid w:val="00B4322A"/>
    <w:rsid w:val="00B43572"/>
    <w:rsid w:val="00B435DF"/>
    <w:rsid w:val="00B43DB0"/>
    <w:rsid w:val="00B44223"/>
    <w:rsid w:val="00B44320"/>
    <w:rsid w:val="00B44DBB"/>
    <w:rsid w:val="00B45A20"/>
    <w:rsid w:val="00B45E40"/>
    <w:rsid w:val="00B46179"/>
    <w:rsid w:val="00B461F3"/>
    <w:rsid w:val="00B46262"/>
    <w:rsid w:val="00B4671F"/>
    <w:rsid w:val="00B46C8B"/>
    <w:rsid w:val="00B46F89"/>
    <w:rsid w:val="00B47824"/>
    <w:rsid w:val="00B4795C"/>
    <w:rsid w:val="00B47ABE"/>
    <w:rsid w:val="00B5069E"/>
    <w:rsid w:val="00B50B2A"/>
    <w:rsid w:val="00B51847"/>
    <w:rsid w:val="00B5225E"/>
    <w:rsid w:val="00B52EE9"/>
    <w:rsid w:val="00B53178"/>
    <w:rsid w:val="00B534CD"/>
    <w:rsid w:val="00B543F0"/>
    <w:rsid w:val="00B544DD"/>
    <w:rsid w:val="00B54D47"/>
    <w:rsid w:val="00B55928"/>
    <w:rsid w:val="00B5646E"/>
    <w:rsid w:val="00B577C1"/>
    <w:rsid w:val="00B6170F"/>
    <w:rsid w:val="00B62000"/>
    <w:rsid w:val="00B62695"/>
    <w:rsid w:val="00B62E44"/>
    <w:rsid w:val="00B637D9"/>
    <w:rsid w:val="00B63AC0"/>
    <w:rsid w:val="00B63E7A"/>
    <w:rsid w:val="00B644E8"/>
    <w:rsid w:val="00B649FC"/>
    <w:rsid w:val="00B65F9D"/>
    <w:rsid w:val="00B66FC1"/>
    <w:rsid w:val="00B673EF"/>
    <w:rsid w:val="00B678B1"/>
    <w:rsid w:val="00B67FBB"/>
    <w:rsid w:val="00B709F7"/>
    <w:rsid w:val="00B70A0A"/>
    <w:rsid w:val="00B70A14"/>
    <w:rsid w:val="00B71308"/>
    <w:rsid w:val="00B71892"/>
    <w:rsid w:val="00B72CC9"/>
    <w:rsid w:val="00B72D43"/>
    <w:rsid w:val="00B734E1"/>
    <w:rsid w:val="00B73B25"/>
    <w:rsid w:val="00B740A3"/>
    <w:rsid w:val="00B747F4"/>
    <w:rsid w:val="00B750F3"/>
    <w:rsid w:val="00B75AE5"/>
    <w:rsid w:val="00B75BA4"/>
    <w:rsid w:val="00B76700"/>
    <w:rsid w:val="00B76F0C"/>
    <w:rsid w:val="00B772F7"/>
    <w:rsid w:val="00B775EC"/>
    <w:rsid w:val="00B80014"/>
    <w:rsid w:val="00B80705"/>
    <w:rsid w:val="00B8149C"/>
    <w:rsid w:val="00B821B2"/>
    <w:rsid w:val="00B82380"/>
    <w:rsid w:val="00B8244A"/>
    <w:rsid w:val="00B84003"/>
    <w:rsid w:val="00B858AF"/>
    <w:rsid w:val="00B8631F"/>
    <w:rsid w:val="00B8646D"/>
    <w:rsid w:val="00B86556"/>
    <w:rsid w:val="00B8686A"/>
    <w:rsid w:val="00B86CAA"/>
    <w:rsid w:val="00B876EB"/>
    <w:rsid w:val="00B908B1"/>
    <w:rsid w:val="00B91D78"/>
    <w:rsid w:val="00B923B5"/>
    <w:rsid w:val="00B92620"/>
    <w:rsid w:val="00B92A1A"/>
    <w:rsid w:val="00B92CDC"/>
    <w:rsid w:val="00B933FE"/>
    <w:rsid w:val="00B93ADB"/>
    <w:rsid w:val="00B95212"/>
    <w:rsid w:val="00B95EBD"/>
    <w:rsid w:val="00B95F95"/>
    <w:rsid w:val="00B95FF8"/>
    <w:rsid w:val="00B962D0"/>
    <w:rsid w:val="00B963D7"/>
    <w:rsid w:val="00B96496"/>
    <w:rsid w:val="00B9723E"/>
    <w:rsid w:val="00B97ADB"/>
    <w:rsid w:val="00B97B75"/>
    <w:rsid w:val="00BA0657"/>
    <w:rsid w:val="00BA0A9E"/>
    <w:rsid w:val="00BA0CE3"/>
    <w:rsid w:val="00BA161F"/>
    <w:rsid w:val="00BA17AB"/>
    <w:rsid w:val="00BA1CD2"/>
    <w:rsid w:val="00BA2DA3"/>
    <w:rsid w:val="00BA3295"/>
    <w:rsid w:val="00BA32BB"/>
    <w:rsid w:val="00BA3330"/>
    <w:rsid w:val="00BA3C13"/>
    <w:rsid w:val="00BA3D2F"/>
    <w:rsid w:val="00BA3F4E"/>
    <w:rsid w:val="00BA433C"/>
    <w:rsid w:val="00BA4ACF"/>
    <w:rsid w:val="00BA4C01"/>
    <w:rsid w:val="00BA51DB"/>
    <w:rsid w:val="00BA6761"/>
    <w:rsid w:val="00BA688F"/>
    <w:rsid w:val="00BA6E1A"/>
    <w:rsid w:val="00BA7605"/>
    <w:rsid w:val="00BA7B6B"/>
    <w:rsid w:val="00BA7E10"/>
    <w:rsid w:val="00BB08B1"/>
    <w:rsid w:val="00BB1CF3"/>
    <w:rsid w:val="00BB1EE6"/>
    <w:rsid w:val="00BB2103"/>
    <w:rsid w:val="00BB229A"/>
    <w:rsid w:val="00BB280F"/>
    <w:rsid w:val="00BB2C66"/>
    <w:rsid w:val="00BB2E70"/>
    <w:rsid w:val="00BB3506"/>
    <w:rsid w:val="00BB373C"/>
    <w:rsid w:val="00BB38FF"/>
    <w:rsid w:val="00BB3AD9"/>
    <w:rsid w:val="00BB3B21"/>
    <w:rsid w:val="00BB3B6D"/>
    <w:rsid w:val="00BB3DD4"/>
    <w:rsid w:val="00BB4368"/>
    <w:rsid w:val="00BB4685"/>
    <w:rsid w:val="00BB4B89"/>
    <w:rsid w:val="00BB4BE8"/>
    <w:rsid w:val="00BB4DB4"/>
    <w:rsid w:val="00BB5549"/>
    <w:rsid w:val="00BB5DF7"/>
    <w:rsid w:val="00BB6175"/>
    <w:rsid w:val="00BB6B24"/>
    <w:rsid w:val="00BB6B50"/>
    <w:rsid w:val="00BB6FC8"/>
    <w:rsid w:val="00BB71E0"/>
    <w:rsid w:val="00BB7B0E"/>
    <w:rsid w:val="00BC0041"/>
    <w:rsid w:val="00BC05F9"/>
    <w:rsid w:val="00BC146A"/>
    <w:rsid w:val="00BC15CF"/>
    <w:rsid w:val="00BC18EE"/>
    <w:rsid w:val="00BC1EBA"/>
    <w:rsid w:val="00BC2BD4"/>
    <w:rsid w:val="00BC2F36"/>
    <w:rsid w:val="00BC33F6"/>
    <w:rsid w:val="00BC36C8"/>
    <w:rsid w:val="00BC37C9"/>
    <w:rsid w:val="00BC4744"/>
    <w:rsid w:val="00BC4C6B"/>
    <w:rsid w:val="00BC4E24"/>
    <w:rsid w:val="00BC5995"/>
    <w:rsid w:val="00BC6C92"/>
    <w:rsid w:val="00BC7153"/>
    <w:rsid w:val="00BC7AAF"/>
    <w:rsid w:val="00BD047E"/>
    <w:rsid w:val="00BD061B"/>
    <w:rsid w:val="00BD0F61"/>
    <w:rsid w:val="00BD133B"/>
    <w:rsid w:val="00BD1CBB"/>
    <w:rsid w:val="00BD1D69"/>
    <w:rsid w:val="00BD1FEB"/>
    <w:rsid w:val="00BD221B"/>
    <w:rsid w:val="00BD2720"/>
    <w:rsid w:val="00BD2CD8"/>
    <w:rsid w:val="00BD2D00"/>
    <w:rsid w:val="00BD2D33"/>
    <w:rsid w:val="00BD36DB"/>
    <w:rsid w:val="00BD3804"/>
    <w:rsid w:val="00BD3A28"/>
    <w:rsid w:val="00BD3D06"/>
    <w:rsid w:val="00BD3F68"/>
    <w:rsid w:val="00BD42AF"/>
    <w:rsid w:val="00BD4542"/>
    <w:rsid w:val="00BD4CCA"/>
    <w:rsid w:val="00BD4FC2"/>
    <w:rsid w:val="00BD557D"/>
    <w:rsid w:val="00BD59BF"/>
    <w:rsid w:val="00BD5CE2"/>
    <w:rsid w:val="00BD615D"/>
    <w:rsid w:val="00BD6593"/>
    <w:rsid w:val="00BD66EC"/>
    <w:rsid w:val="00BD6ADC"/>
    <w:rsid w:val="00BD7538"/>
    <w:rsid w:val="00BD7B13"/>
    <w:rsid w:val="00BD7E98"/>
    <w:rsid w:val="00BE0099"/>
    <w:rsid w:val="00BE0227"/>
    <w:rsid w:val="00BE0AF4"/>
    <w:rsid w:val="00BE288A"/>
    <w:rsid w:val="00BE2D44"/>
    <w:rsid w:val="00BE3073"/>
    <w:rsid w:val="00BE3141"/>
    <w:rsid w:val="00BE346F"/>
    <w:rsid w:val="00BE36D3"/>
    <w:rsid w:val="00BE3A6B"/>
    <w:rsid w:val="00BE3F8B"/>
    <w:rsid w:val="00BE4281"/>
    <w:rsid w:val="00BE5AF8"/>
    <w:rsid w:val="00BE5DFF"/>
    <w:rsid w:val="00BE6CBC"/>
    <w:rsid w:val="00BF029F"/>
    <w:rsid w:val="00BF031C"/>
    <w:rsid w:val="00BF0D52"/>
    <w:rsid w:val="00BF156B"/>
    <w:rsid w:val="00BF227C"/>
    <w:rsid w:val="00BF2350"/>
    <w:rsid w:val="00BF27E1"/>
    <w:rsid w:val="00BF2B47"/>
    <w:rsid w:val="00BF3BA3"/>
    <w:rsid w:val="00BF42CA"/>
    <w:rsid w:val="00BF4E03"/>
    <w:rsid w:val="00BF50C0"/>
    <w:rsid w:val="00BF5DB3"/>
    <w:rsid w:val="00BF5E77"/>
    <w:rsid w:val="00BF667C"/>
    <w:rsid w:val="00BF78D5"/>
    <w:rsid w:val="00C0061B"/>
    <w:rsid w:val="00C00C6A"/>
    <w:rsid w:val="00C011CA"/>
    <w:rsid w:val="00C01A76"/>
    <w:rsid w:val="00C024AA"/>
    <w:rsid w:val="00C02A2C"/>
    <w:rsid w:val="00C03BC5"/>
    <w:rsid w:val="00C03DF6"/>
    <w:rsid w:val="00C040A5"/>
    <w:rsid w:val="00C04111"/>
    <w:rsid w:val="00C04342"/>
    <w:rsid w:val="00C04366"/>
    <w:rsid w:val="00C04476"/>
    <w:rsid w:val="00C045C0"/>
    <w:rsid w:val="00C05032"/>
    <w:rsid w:val="00C0515E"/>
    <w:rsid w:val="00C0572A"/>
    <w:rsid w:val="00C05740"/>
    <w:rsid w:val="00C059EE"/>
    <w:rsid w:val="00C05ED7"/>
    <w:rsid w:val="00C0617A"/>
    <w:rsid w:val="00C06D5A"/>
    <w:rsid w:val="00C06F4D"/>
    <w:rsid w:val="00C07280"/>
    <w:rsid w:val="00C0789D"/>
    <w:rsid w:val="00C07BA7"/>
    <w:rsid w:val="00C1054F"/>
    <w:rsid w:val="00C10977"/>
    <w:rsid w:val="00C12018"/>
    <w:rsid w:val="00C15004"/>
    <w:rsid w:val="00C159C3"/>
    <w:rsid w:val="00C15AA6"/>
    <w:rsid w:val="00C15CF2"/>
    <w:rsid w:val="00C15D7A"/>
    <w:rsid w:val="00C15E2D"/>
    <w:rsid w:val="00C1636B"/>
    <w:rsid w:val="00C1685F"/>
    <w:rsid w:val="00C174D3"/>
    <w:rsid w:val="00C17C0F"/>
    <w:rsid w:val="00C20E42"/>
    <w:rsid w:val="00C20FD8"/>
    <w:rsid w:val="00C21489"/>
    <w:rsid w:val="00C223B7"/>
    <w:rsid w:val="00C22635"/>
    <w:rsid w:val="00C2264E"/>
    <w:rsid w:val="00C22D04"/>
    <w:rsid w:val="00C2322B"/>
    <w:rsid w:val="00C23F62"/>
    <w:rsid w:val="00C24BA6"/>
    <w:rsid w:val="00C2514C"/>
    <w:rsid w:val="00C25B28"/>
    <w:rsid w:val="00C262A2"/>
    <w:rsid w:val="00C27148"/>
    <w:rsid w:val="00C27F59"/>
    <w:rsid w:val="00C302AC"/>
    <w:rsid w:val="00C309F6"/>
    <w:rsid w:val="00C326D0"/>
    <w:rsid w:val="00C33604"/>
    <w:rsid w:val="00C33B3A"/>
    <w:rsid w:val="00C3434D"/>
    <w:rsid w:val="00C3460A"/>
    <w:rsid w:val="00C347CA"/>
    <w:rsid w:val="00C34A16"/>
    <w:rsid w:val="00C35248"/>
    <w:rsid w:val="00C36109"/>
    <w:rsid w:val="00C361A3"/>
    <w:rsid w:val="00C3635D"/>
    <w:rsid w:val="00C3666B"/>
    <w:rsid w:val="00C37873"/>
    <w:rsid w:val="00C379E8"/>
    <w:rsid w:val="00C37DE4"/>
    <w:rsid w:val="00C37E0F"/>
    <w:rsid w:val="00C40A28"/>
    <w:rsid w:val="00C40D16"/>
    <w:rsid w:val="00C40D26"/>
    <w:rsid w:val="00C4250C"/>
    <w:rsid w:val="00C42FC0"/>
    <w:rsid w:val="00C43B9E"/>
    <w:rsid w:val="00C44027"/>
    <w:rsid w:val="00C445E7"/>
    <w:rsid w:val="00C4486A"/>
    <w:rsid w:val="00C44C8F"/>
    <w:rsid w:val="00C44ECF"/>
    <w:rsid w:val="00C455AD"/>
    <w:rsid w:val="00C45FBE"/>
    <w:rsid w:val="00C46546"/>
    <w:rsid w:val="00C4674C"/>
    <w:rsid w:val="00C467C8"/>
    <w:rsid w:val="00C4695B"/>
    <w:rsid w:val="00C472A8"/>
    <w:rsid w:val="00C472D1"/>
    <w:rsid w:val="00C47455"/>
    <w:rsid w:val="00C47725"/>
    <w:rsid w:val="00C47C39"/>
    <w:rsid w:val="00C47F22"/>
    <w:rsid w:val="00C51326"/>
    <w:rsid w:val="00C51871"/>
    <w:rsid w:val="00C51C10"/>
    <w:rsid w:val="00C51FEA"/>
    <w:rsid w:val="00C52130"/>
    <w:rsid w:val="00C5216E"/>
    <w:rsid w:val="00C526E5"/>
    <w:rsid w:val="00C52748"/>
    <w:rsid w:val="00C52E49"/>
    <w:rsid w:val="00C5452E"/>
    <w:rsid w:val="00C54EC4"/>
    <w:rsid w:val="00C5528F"/>
    <w:rsid w:val="00C55DD1"/>
    <w:rsid w:val="00C562D2"/>
    <w:rsid w:val="00C56325"/>
    <w:rsid w:val="00C57FC6"/>
    <w:rsid w:val="00C61298"/>
    <w:rsid w:val="00C61AD4"/>
    <w:rsid w:val="00C61EC8"/>
    <w:rsid w:val="00C62508"/>
    <w:rsid w:val="00C62DA8"/>
    <w:rsid w:val="00C62E9A"/>
    <w:rsid w:val="00C630D0"/>
    <w:rsid w:val="00C63443"/>
    <w:rsid w:val="00C6360B"/>
    <w:rsid w:val="00C637D8"/>
    <w:rsid w:val="00C64240"/>
    <w:rsid w:val="00C6437C"/>
    <w:rsid w:val="00C65652"/>
    <w:rsid w:val="00C658E8"/>
    <w:rsid w:val="00C65913"/>
    <w:rsid w:val="00C661AC"/>
    <w:rsid w:val="00C66763"/>
    <w:rsid w:val="00C66822"/>
    <w:rsid w:val="00C67017"/>
    <w:rsid w:val="00C705AD"/>
    <w:rsid w:val="00C70CAD"/>
    <w:rsid w:val="00C70E2A"/>
    <w:rsid w:val="00C71281"/>
    <w:rsid w:val="00C714C2"/>
    <w:rsid w:val="00C71782"/>
    <w:rsid w:val="00C7329C"/>
    <w:rsid w:val="00C7357C"/>
    <w:rsid w:val="00C735B4"/>
    <w:rsid w:val="00C7422E"/>
    <w:rsid w:val="00C742A9"/>
    <w:rsid w:val="00C75F7D"/>
    <w:rsid w:val="00C7653A"/>
    <w:rsid w:val="00C76615"/>
    <w:rsid w:val="00C76E8D"/>
    <w:rsid w:val="00C77124"/>
    <w:rsid w:val="00C772AE"/>
    <w:rsid w:val="00C77584"/>
    <w:rsid w:val="00C80165"/>
    <w:rsid w:val="00C801E5"/>
    <w:rsid w:val="00C818E1"/>
    <w:rsid w:val="00C82A4B"/>
    <w:rsid w:val="00C82F2E"/>
    <w:rsid w:val="00C8329C"/>
    <w:rsid w:val="00C8335B"/>
    <w:rsid w:val="00C836B1"/>
    <w:rsid w:val="00C84056"/>
    <w:rsid w:val="00C84BA7"/>
    <w:rsid w:val="00C85181"/>
    <w:rsid w:val="00C869FA"/>
    <w:rsid w:val="00C86A43"/>
    <w:rsid w:val="00C8741C"/>
    <w:rsid w:val="00C87453"/>
    <w:rsid w:val="00C876CC"/>
    <w:rsid w:val="00C91449"/>
    <w:rsid w:val="00C91C0D"/>
    <w:rsid w:val="00C9221A"/>
    <w:rsid w:val="00C9314B"/>
    <w:rsid w:val="00C9359C"/>
    <w:rsid w:val="00C935EA"/>
    <w:rsid w:val="00C936D4"/>
    <w:rsid w:val="00C93B00"/>
    <w:rsid w:val="00C93D32"/>
    <w:rsid w:val="00C9417F"/>
    <w:rsid w:val="00C941FF"/>
    <w:rsid w:val="00C942B2"/>
    <w:rsid w:val="00C94C2B"/>
    <w:rsid w:val="00C95107"/>
    <w:rsid w:val="00C9518A"/>
    <w:rsid w:val="00C95439"/>
    <w:rsid w:val="00C95ACC"/>
    <w:rsid w:val="00C95E23"/>
    <w:rsid w:val="00C96802"/>
    <w:rsid w:val="00C96CEA"/>
    <w:rsid w:val="00C97119"/>
    <w:rsid w:val="00C97762"/>
    <w:rsid w:val="00CA076B"/>
    <w:rsid w:val="00CA15ED"/>
    <w:rsid w:val="00CA1B4E"/>
    <w:rsid w:val="00CA1DEC"/>
    <w:rsid w:val="00CA229F"/>
    <w:rsid w:val="00CA2984"/>
    <w:rsid w:val="00CA2D98"/>
    <w:rsid w:val="00CA3679"/>
    <w:rsid w:val="00CA381F"/>
    <w:rsid w:val="00CA3A39"/>
    <w:rsid w:val="00CA3E92"/>
    <w:rsid w:val="00CA493D"/>
    <w:rsid w:val="00CA4CDC"/>
    <w:rsid w:val="00CA58C4"/>
    <w:rsid w:val="00CA5C6F"/>
    <w:rsid w:val="00CA6570"/>
    <w:rsid w:val="00CA6920"/>
    <w:rsid w:val="00CA71C4"/>
    <w:rsid w:val="00CA7523"/>
    <w:rsid w:val="00CA7BD4"/>
    <w:rsid w:val="00CB0270"/>
    <w:rsid w:val="00CB0924"/>
    <w:rsid w:val="00CB0E3A"/>
    <w:rsid w:val="00CB1462"/>
    <w:rsid w:val="00CB1685"/>
    <w:rsid w:val="00CB18C4"/>
    <w:rsid w:val="00CB1F59"/>
    <w:rsid w:val="00CB2098"/>
    <w:rsid w:val="00CB2560"/>
    <w:rsid w:val="00CB2F9A"/>
    <w:rsid w:val="00CB3B3F"/>
    <w:rsid w:val="00CB4B70"/>
    <w:rsid w:val="00CB4EBB"/>
    <w:rsid w:val="00CB5494"/>
    <w:rsid w:val="00CB5C05"/>
    <w:rsid w:val="00CB6D56"/>
    <w:rsid w:val="00CB7295"/>
    <w:rsid w:val="00CB7C33"/>
    <w:rsid w:val="00CB7DCA"/>
    <w:rsid w:val="00CC0A90"/>
    <w:rsid w:val="00CC13D2"/>
    <w:rsid w:val="00CC1B59"/>
    <w:rsid w:val="00CC1BD9"/>
    <w:rsid w:val="00CC2401"/>
    <w:rsid w:val="00CC259A"/>
    <w:rsid w:val="00CC2895"/>
    <w:rsid w:val="00CC2EFF"/>
    <w:rsid w:val="00CC3001"/>
    <w:rsid w:val="00CC37FC"/>
    <w:rsid w:val="00CC3F4B"/>
    <w:rsid w:val="00CC4376"/>
    <w:rsid w:val="00CC4D38"/>
    <w:rsid w:val="00CC5364"/>
    <w:rsid w:val="00CC55D3"/>
    <w:rsid w:val="00CC6361"/>
    <w:rsid w:val="00CC6873"/>
    <w:rsid w:val="00CC6A95"/>
    <w:rsid w:val="00CD0836"/>
    <w:rsid w:val="00CD0A1C"/>
    <w:rsid w:val="00CD1318"/>
    <w:rsid w:val="00CD1B16"/>
    <w:rsid w:val="00CD2032"/>
    <w:rsid w:val="00CD2182"/>
    <w:rsid w:val="00CD2480"/>
    <w:rsid w:val="00CD2698"/>
    <w:rsid w:val="00CD2771"/>
    <w:rsid w:val="00CD2C8F"/>
    <w:rsid w:val="00CD2D30"/>
    <w:rsid w:val="00CD459B"/>
    <w:rsid w:val="00CD462B"/>
    <w:rsid w:val="00CD4993"/>
    <w:rsid w:val="00CD5136"/>
    <w:rsid w:val="00CD6611"/>
    <w:rsid w:val="00CD6666"/>
    <w:rsid w:val="00CD6D93"/>
    <w:rsid w:val="00CD6EFC"/>
    <w:rsid w:val="00CD727B"/>
    <w:rsid w:val="00CE087C"/>
    <w:rsid w:val="00CE0955"/>
    <w:rsid w:val="00CE0F99"/>
    <w:rsid w:val="00CE0FC2"/>
    <w:rsid w:val="00CE101E"/>
    <w:rsid w:val="00CE1056"/>
    <w:rsid w:val="00CE1251"/>
    <w:rsid w:val="00CE1533"/>
    <w:rsid w:val="00CE1F19"/>
    <w:rsid w:val="00CE321B"/>
    <w:rsid w:val="00CE321D"/>
    <w:rsid w:val="00CE361F"/>
    <w:rsid w:val="00CE44F1"/>
    <w:rsid w:val="00CE4771"/>
    <w:rsid w:val="00CE5853"/>
    <w:rsid w:val="00CE59FF"/>
    <w:rsid w:val="00CE5E48"/>
    <w:rsid w:val="00CE6D89"/>
    <w:rsid w:val="00CF0030"/>
    <w:rsid w:val="00CF065B"/>
    <w:rsid w:val="00CF08DE"/>
    <w:rsid w:val="00CF0EF0"/>
    <w:rsid w:val="00CF1763"/>
    <w:rsid w:val="00CF3B50"/>
    <w:rsid w:val="00CF3D1A"/>
    <w:rsid w:val="00CF43F4"/>
    <w:rsid w:val="00CF4412"/>
    <w:rsid w:val="00CF4A3E"/>
    <w:rsid w:val="00CF4E2B"/>
    <w:rsid w:val="00CF5166"/>
    <w:rsid w:val="00CF54DC"/>
    <w:rsid w:val="00CF59CF"/>
    <w:rsid w:val="00CF5E56"/>
    <w:rsid w:val="00CF65EC"/>
    <w:rsid w:val="00CF690C"/>
    <w:rsid w:val="00CF770E"/>
    <w:rsid w:val="00CF7F40"/>
    <w:rsid w:val="00CF7F99"/>
    <w:rsid w:val="00D0005A"/>
    <w:rsid w:val="00D01029"/>
    <w:rsid w:val="00D01456"/>
    <w:rsid w:val="00D022ED"/>
    <w:rsid w:val="00D023B1"/>
    <w:rsid w:val="00D025CC"/>
    <w:rsid w:val="00D02659"/>
    <w:rsid w:val="00D02C39"/>
    <w:rsid w:val="00D02C42"/>
    <w:rsid w:val="00D02E00"/>
    <w:rsid w:val="00D0345F"/>
    <w:rsid w:val="00D03575"/>
    <w:rsid w:val="00D03688"/>
    <w:rsid w:val="00D03D6C"/>
    <w:rsid w:val="00D04B64"/>
    <w:rsid w:val="00D05257"/>
    <w:rsid w:val="00D053E3"/>
    <w:rsid w:val="00D0577E"/>
    <w:rsid w:val="00D05A9D"/>
    <w:rsid w:val="00D05AC6"/>
    <w:rsid w:val="00D06355"/>
    <w:rsid w:val="00D06CBC"/>
    <w:rsid w:val="00D0727B"/>
    <w:rsid w:val="00D073E6"/>
    <w:rsid w:val="00D1054C"/>
    <w:rsid w:val="00D1060D"/>
    <w:rsid w:val="00D1087A"/>
    <w:rsid w:val="00D11333"/>
    <w:rsid w:val="00D1155C"/>
    <w:rsid w:val="00D12A92"/>
    <w:rsid w:val="00D12AA5"/>
    <w:rsid w:val="00D12E84"/>
    <w:rsid w:val="00D132C3"/>
    <w:rsid w:val="00D132D2"/>
    <w:rsid w:val="00D1339B"/>
    <w:rsid w:val="00D146F3"/>
    <w:rsid w:val="00D14762"/>
    <w:rsid w:val="00D15061"/>
    <w:rsid w:val="00D15359"/>
    <w:rsid w:val="00D15A4E"/>
    <w:rsid w:val="00D15E74"/>
    <w:rsid w:val="00D1613E"/>
    <w:rsid w:val="00D177BB"/>
    <w:rsid w:val="00D17A18"/>
    <w:rsid w:val="00D20A01"/>
    <w:rsid w:val="00D20C81"/>
    <w:rsid w:val="00D216DD"/>
    <w:rsid w:val="00D2211B"/>
    <w:rsid w:val="00D22F3F"/>
    <w:rsid w:val="00D23013"/>
    <w:rsid w:val="00D244E6"/>
    <w:rsid w:val="00D248E4"/>
    <w:rsid w:val="00D2497E"/>
    <w:rsid w:val="00D24C61"/>
    <w:rsid w:val="00D24CF6"/>
    <w:rsid w:val="00D255B8"/>
    <w:rsid w:val="00D25846"/>
    <w:rsid w:val="00D25F47"/>
    <w:rsid w:val="00D260BD"/>
    <w:rsid w:val="00D26897"/>
    <w:rsid w:val="00D26FF0"/>
    <w:rsid w:val="00D27F5B"/>
    <w:rsid w:val="00D30264"/>
    <w:rsid w:val="00D30536"/>
    <w:rsid w:val="00D31C57"/>
    <w:rsid w:val="00D31E5E"/>
    <w:rsid w:val="00D31E74"/>
    <w:rsid w:val="00D31FD4"/>
    <w:rsid w:val="00D325E5"/>
    <w:rsid w:val="00D33789"/>
    <w:rsid w:val="00D337F6"/>
    <w:rsid w:val="00D33916"/>
    <w:rsid w:val="00D33A23"/>
    <w:rsid w:val="00D33A7B"/>
    <w:rsid w:val="00D34056"/>
    <w:rsid w:val="00D3440E"/>
    <w:rsid w:val="00D349C3"/>
    <w:rsid w:val="00D356D8"/>
    <w:rsid w:val="00D35CEA"/>
    <w:rsid w:val="00D35D02"/>
    <w:rsid w:val="00D36873"/>
    <w:rsid w:val="00D36ADA"/>
    <w:rsid w:val="00D374CA"/>
    <w:rsid w:val="00D402AD"/>
    <w:rsid w:val="00D407F3"/>
    <w:rsid w:val="00D408B8"/>
    <w:rsid w:val="00D41609"/>
    <w:rsid w:val="00D41781"/>
    <w:rsid w:val="00D417B4"/>
    <w:rsid w:val="00D41DA1"/>
    <w:rsid w:val="00D425E0"/>
    <w:rsid w:val="00D430DE"/>
    <w:rsid w:val="00D43547"/>
    <w:rsid w:val="00D44163"/>
    <w:rsid w:val="00D443C4"/>
    <w:rsid w:val="00D44649"/>
    <w:rsid w:val="00D44661"/>
    <w:rsid w:val="00D4471F"/>
    <w:rsid w:val="00D4622E"/>
    <w:rsid w:val="00D46DB4"/>
    <w:rsid w:val="00D46E21"/>
    <w:rsid w:val="00D477DE"/>
    <w:rsid w:val="00D506DF"/>
    <w:rsid w:val="00D508DB"/>
    <w:rsid w:val="00D50DFA"/>
    <w:rsid w:val="00D5160F"/>
    <w:rsid w:val="00D51A2D"/>
    <w:rsid w:val="00D51D1C"/>
    <w:rsid w:val="00D51E1B"/>
    <w:rsid w:val="00D5224A"/>
    <w:rsid w:val="00D52479"/>
    <w:rsid w:val="00D524E6"/>
    <w:rsid w:val="00D5263B"/>
    <w:rsid w:val="00D529F2"/>
    <w:rsid w:val="00D52C3E"/>
    <w:rsid w:val="00D52CC7"/>
    <w:rsid w:val="00D52D40"/>
    <w:rsid w:val="00D53CF4"/>
    <w:rsid w:val="00D546C6"/>
    <w:rsid w:val="00D54BDE"/>
    <w:rsid w:val="00D552CE"/>
    <w:rsid w:val="00D558C8"/>
    <w:rsid w:val="00D55FB0"/>
    <w:rsid w:val="00D569F5"/>
    <w:rsid w:val="00D56A75"/>
    <w:rsid w:val="00D56BA7"/>
    <w:rsid w:val="00D571DB"/>
    <w:rsid w:val="00D57B19"/>
    <w:rsid w:val="00D57D47"/>
    <w:rsid w:val="00D60B19"/>
    <w:rsid w:val="00D60F64"/>
    <w:rsid w:val="00D6133D"/>
    <w:rsid w:val="00D61501"/>
    <w:rsid w:val="00D61C53"/>
    <w:rsid w:val="00D629CE"/>
    <w:rsid w:val="00D630CF"/>
    <w:rsid w:val="00D63642"/>
    <w:rsid w:val="00D63D52"/>
    <w:rsid w:val="00D63DFD"/>
    <w:rsid w:val="00D652D8"/>
    <w:rsid w:val="00D65518"/>
    <w:rsid w:val="00D664B1"/>
    <w:rsid w:val="00D6720F"/>
    <w:rsid w:val="00D676F4"/>
    <w:rsid w:val="00D709B3"/>
    <w:rsid w:val="00D71300"/>
    <w:rsid w:val="00D715BE"/>
    <w:rsid w:val="00D71B4D"/>
    <w:rsid w:val="00D72508"/>
    <w:rsid w:val="00D72511"/>
    <w:rsid w:val="00D72AC4"/>
    <w:rsid w:val="00D72FD8"/>
    <w:rsid w:val="00D737C3"/>
    <w:rsid w:val="00D73896"/>
    <w:rsid w:val="00D74424"/>
    <w:rsid w:val="00D75440"/>
    <w:rsid w:val="00D75BA1"/>
    <w:rsid w:val="00D76DEF"/>
    <w:rsid w:val="00D77186"/>
    <w:rsid w:val="00D77211"/>
    <w:rsid w:val="00D77D94"/>
    <w:rsid w:val="00D80157"/>
    <w:rsid w:val="00D81144"/>
    <w:rsid w:val="00D81510"/>
    <w:rsid w:val="00D815EE"/>
    <w:rsid w:val="00D8202A"/>
    <w:rsid w:val="00D8217C"/>
    <w:rsid w:val="00D821FD"/>
    <w:rsid w:val="00D82217"/>
    <w:rsid w:val="00D82AF6"/>
    <w:rsid w:val="00D83260"/>
    <w:rsid w:val="00D83FFC"/>
    <w:rsid w:val="00D84054"/>
    <w:rsid w:val="00D84206"/>
    <w:rsid w:val="00D84DA6"/>
    <w:rsid w:val="00D86A64"/>
    <w:rsid w:val="00D86B4C"/>
    <w:rsid w:val="00D874D3"/>
    <w:rsid w:val="00D875B3"/>
    <w:rsid w:val="00D876A8"/>
    <w:rsid w:val="00D9004C"/>
    <w:rsid w:val="00D90372"/>
    <w:rsid w:val="00D9153A"/>
    <w:rsid w:val="00D92992"/>
    <w:rsid w:val="00D92A2D"/>
    <w:rsid w:val="00D93641"/>
    <w:rsid w:val="00D939F5"/>
    <w:rsid w:val="00D93BF5"/>
    <w:rsid w:val="00D94C7A"/>
    <w:rsid w:val="00D95328"/>
    <w:rsid w:val="00D95792"/>
    <w:rsid w:val="00D95FE6"/>
    <w:rsid w:val="00D97295"/>
    <w:rsid w:val="00D9773E"/>
    <w:rsid w:val="00D97F77"/>
    <w:rsid w:val="00DA0390"/>
    <w:rsid w:val="00DA0457"/>
    <w:rsid w:val="00DA0635"/>
    <w:rsid w:val="00DA0797"/>
    <w:rsid w:val="00DA0E24"/>
    <w:rsid w:val="00DA12BA"/>
    <w:rsid w:val="00DA1884"/>
    <w:rsid w:val="00DA448E"/>
    <w:rsid w:val="00DA4BA6"/>
    <w:rsid w:val="00DA4F7A"/>
    <w:rsid w:val="00DA5C32"/>
    <w:rsid w:val="00DA6429"/>
    <w:rsid w:val="00DA78EC"/>
    <w:rsid w:val="00DA7A12"/>
    <w:rsid w:val="00DA7B44"/>
    <w:rsid w:val="00DB0BA9"/>
    <w:rsid w:val="00DB22D0"/>
    <w:rsid w:val="00DB2954"/>
    <w:rsid w:val="00DB3B07"/>
    <w:rsid w:val="00DB5249"/>
    <w:rsid w:val="00DB6C8D"/>
    <w:rsid w:val="00DB6F9B"/>
    <w:rsid w:val="00DB7960"/>
    <w:rsid w:val="00DB79DC"/>
    <w:rsid w:val="00DB7C4B"/>
    <w:rsid w:val="00DC0823"/>
    <w:rsid w:val="00DC1322"/>
    <w:rsid w:val="00DC16F4"/>
    <w:rsid w:val="00DC2250"/>
    <w:rsid w:val="00DC2BFE"/>
    <w:rsid w:val="00DC2E2A"/>
    <w:rsid w:val="00DC2FFD"/>
    <w:rsid w:val="00DC4919"/>
    <w:rsid w:val="00DC49F4"/>
    <w:rsid w:val="00DC4AC0"/>
    <w:rsid w:val="00DC5329"/>
    <w:rsid w:val="00DC7993"/>
    <w:rsid w:val="00DD026D"/>
    <w:rsid w:val="00DD0914"/>
    <w:rsid w:val="00DD11D4"/>
    <w:rsid w:val="00DD150F"/>
    <w:rsid w:val="00DD1B46"/>
    <w:rsid w:val="00DD2DEE"/>
    <w:rsid w:val="00DD32F3"/>
    <w:rsid w:val="00DD5A64"/>
    <w:rsid w:val="00DD5EB5"/>
    <w:rsid w:val="00DD60E4"/>
    <w:rsid w:val="00DD6782"/>
    <w:rsid w:val="00DD69A1"/>
    <w:rsid w:val="00DD6D1F"/>
    <w:rsid w:val="00DD73DB"/>
    <w:rsid w:val="00DD7FC7"/>
    <w:rsid w:val="00DE05AF"/>
    <w:rsid w:val="00DE0F5E"/>
    <w:rsid w:val="00DE2425"/>
    <w:rsid w:val="00DE2F71"/>
    <w:rsid w:val="00DE4FE7"/>
    <w:rsid w:val="00DE5262"/>
    <w:rsid w:val="00DE5604"/>
    <w:rsid w:val="00DE5A2C"/>
    <w:rsid w:val="00DE5EAB"/>
    <w:rsid w:val="00DE617A"/>
    <w:rsid w:val="00DE66D1"/>
    <w:rsid w:val="00DE6FDD"/>
    <w:rsid w:val="00DE6FDE"/>
    <w:rsid w:val="00DE7FDA"/>
    <w:rsid w:val="00DF0982"/>
    <w:rsid w:val="00DF1167"/>
    <w:rsid w:val="00DF1348"/>
    <w:rsid w:val="00DF19C8"/>
    <w:rsid w:val="00DF1C82"/>
    <w:rsid w:val="00DF1CAA"/>
    <w:rsid w:val="00DF248A"/>
    <w:rsid w:val="00DF2F6E"/>
    <w:rsid w:val="00DF3944"/>
    <w:rsid w:val="00DF3D67"/>
    <w:rsid w:val="00DF3E04"/>
    <w:rsid w:val="00DF4094"/>
    <w:rsid w:val="00DF412D"/>
    <w:rsid w:val="00DF4FA3"/>
    <w:rsid w:val="00DF5A95"/>
    <w:rsid w:val="00DF622C"/>
    <w:rsid w:val="00DF6BFD"/>
    <w:rsid w:val="00DF7185"/>
    <w:rsid w:val="00DF7C30"/>
    <w:rsid w:val="00E0037A"/>
    <w:rsid w:val="00E004A7"/>
    <w:rsid w:val="00E011F9"/>
    <w:rsid w:val="00E01413"/>
    <w:rsid w:val="00E01700"/>
    <w:rsid w:val="00E017E0"/>
    <w:rsid w:val="00E0273B"/>
    <w:rsid w:val="00E02BC7"/>
    <w:rsid w:val="00E02D0B"/>
    <w:rsid w:val="00E033B0"/>
    <w:rsid w:val="00E03B77"/>
    <w:rsid w:val="00E041CB"/>
    <w:rsid w:val="00E055CB"/>
    <w:rsid w:val="00E05CE9"/>
    <w:rsid w:val="00E06A1E"/>
    <w:rsid w:val="00E070E7"/>
    <w:rsid w:val="00E07224"/>
    <w:rsid w:val="00E075AC"/>
    <w:rsid w:val="00E07A29"/>
    <w:rsid w:val="00E100D5"/>
    <w:rsid w:val="00E105C6"/>
    <w:rsid w:val="00E10F97"/>
    <w:rsid w:val="00E13253"/>
    <w:rsid w:val="00E13425"/>
    <w:rsid w:val="00E14339"/>
    <w:rsid w:val="00E146C6"/>
    <w:rsid w:val="00E1472B"/>
    <w:rsid w:val="00E15BA8"/>
    <w:rsid w:val="00E16366"/>
    <w:rsid w:val="00E163C9"/>
    <w:rsid w:val="00E1640A"/>
    <w:rsid w:val="00E16660"/>
    <w:rsid w:val="00E16ABF"/>
    <w:rsid w:val="00E16C23"/>
    <w:rsid w:val="00E20930"/>
    <w:rsid w:val="00E20A32"/>
    <w:rsid w:val="00E20C6A"/>
    <w:rsid w:val="00E20E74"/>
    <w:rsid w:val="00E21258"/>
    <w:rsid w:val="00E214F0"/>
    <w:rsid w:val="00E221FA"/>
    <w:rsid w:val="00E227E4"/>
    <w:rsid w:val="00E23072"/>
    <w:rsid w:val="00E230DB"/>
    <w:rsid w:val="00E243FA"/>
    <w:rsid w:val="00E24D40"/>
    <w:rsid w:val="00E25260"/>
    <w:rsid w:val="00E25484"/>
    <w:rsid w:val="00E2549B"/>
    <w:rsid w:val="00E25C3C"/>
    <w:rsid w:val="00E25EFD"/>
    <w:rsid w:val="00E26148"/>
    <w:rsid w:val="00E26EB8"/>
    <w:rsid w:val="00E279FA"/>
    <w:rsid w:val="00E27C5C"/>
    <w:rsid w:val="00E27CBB"/>
    <w:rsid w:val="00E27F5F"/>
    <w:rsid w:val="00E304C8"/>
    <w:rsid w:val="00E3059C"/>
    <w:rsid w:val="00E30E41"/>
    <w:rsid w:val="00E30E63"/>
    <w:rsid w:val="00E317FE"/>
    <w:rsid w:val="00E31D61"/>
    <w:rsid w:val="00E32629"/>
    <w:rsid w:val="00E33435"/>
    <w:rsid w:val="00E33895"/>
    <w:rsid w:val="00E3423D"/>
    <w:rsid w:val="00E34613"/>
    <w:rsid w:val="00E347D1"/>
    <w:rsid w:val="00E34EF7"/>
    <w:rsid w:val="00E3510B"/>
    <w:rsid w:val="00E35A3F"/>
    <w:rsid w:val="00E35ABC"/>
    <w:rsid w:val="00E364CD"/>
    <w:rsid w:val="00E365D0"/>
    <w:rsid w:val="00E37632"/>
    <w:rsid w:val="00E37CCC"/>
    <w:rsid w:val="00E4009D"/>
    <w:rsid w:val="00E40880"/>
    <w:rsid w:val="00E428A9"/>
    <w:rsid w:val="00E42AE0"/>
    <w:rsid w:val="00E4316D"/>
    <w:rsid w:val="00E449B2"/>
    <w:rsid w:val="00E45046"/>
    <w:rsid w:val="00E4611A"/>
    <w:rsid w:val="00E47350"/>
    <w:rsid w:val="00E47963"/>
    <w:rsid w:val="00E47D0A"/>
    <w:rsid w:val="00E47DD2"/>
    <w:rsid w:val="00E47F2E"/>
    <w:rsid w:val="00E514CF"/>
    <w:rsid w:val="00E51700"/>
    <w:rsid w:val="00E51F16"/>
    <w:rsid w:val="00E52527"/>
    <w:rsid w:val="00E52BEF"/>
    <w:rsid w:val="00E53BAE"/>
    <w:rsid w:val="00E5410E"/>
    <w:rsid w:val="00E54C0E"/>
    <w:rsid w:val="00E54CAA"/>
    <w:rsid w:val="00E54D5D"/>
    <w:rsid w:val="00E55564"/>
    <w:rsid w:val="00E55A79"/>
    <w:rsid w:val="00E55E07"/>
    <w:rsid w:val="00E55E90"/>
    <w:rsid w:val="00E562B6"/>
    <w:rsid w:val="00E567C1"/>
    <w:rsid w:val="00E5719F"/>
    <w:rsid w:val="00E57832"/>
    <w:rsid w:val="00E578DD"/>
    <w:rsid w:val="00E60BD1"/>
    <w:rsid w:val="00E610CE"/>
    <w:rsid w:val="00E61265"/>
    <w:rsid w:val="00E61967"/>
    <w:rsid w:val="00E61D0D"/>
    <w:rsid w:val="00E62CB7"/>
    <w:rsid w:val="00E62EC8"/>
    <w:rsid w:val="00E634D0"/>
    <w:rsid w:val="00E63FD6"/>
    <w:rsid w:val="00E64822"/>
    <w:rsid w:val="00E64A03"/>
    <w:rsid w:val="00E64A59"/>
    <w:rsid w:val="00E64D72"/>
    <w:rsid w:val="00E65B53"/>
    <w:rsid w:val="00E65B65"/>
    <w:rsid w:val="00E65F34"/>
    <w:rsid w:val="00E66532"/>
    <w:rsid w:val="00E667D6"/>
    <w:rsid w:val="00E672AC"/>
    <w:rsid w:val="00E6762B"/>
    <w:rsid w:val="00E678B6"/>
    <w:rsid w:val="00E6799E"/>
    <w:rsid w:val="00E67DD6"/>
    <w:rsid w:val="00E70719"/>
    <w:rsid w:val="00E7171F"/>
    <w:rsid w:val="00E71A82"/>
    <w:rsid w:val="00E73D19"/>
    <w:rsid w:val="00E74541"/>
    <w:rsid w:val="00E74E45"/>
    <w:rsid w:val="00E753E2"/>
    <w:rsid w:val="00E75E4F"/>
    <w:rsid w:val="00E77CB0"/>
    <w:rsid w:val="00E77DD7"/>
    <w:rsid w:val="00E80CA0"/>
    <w:rsid w:val="00E80D62"/>
    <w:rsid w:val="00E815D8"/>
    <w:rsid w:val="00E81746"/>
    <w:rsid w:val="00E81C55"/>
    <w:rsid w:val="00E81FC9"/>
    <w:rsid w:val="00E836DD"/>
    <w:rsid w:val="00E839AF"/>
    <w:rsid w:val="00E8448C"/>
    <w:rsid w:val="00E8490E"/>
    <w:rsid w:val="00E84F30"/>
    <w:rsid w:val="00E84FCE"/>
    <w:rsid w:val="00E855E1"/>
    <w:rsid w:val="00E85C54"/>
    <w:rsid w:val="00E862D3"/>
    <w:rsid w:val="00E86DF6"/>
    <w:rsid w:val="00E875E0"/>
    <w:rsid w:val="00E901AC"/>
    <w:rsid w:val="00E90488"/>
    <w:rsid w:val="00E90EDC"/>
    <w:rsid w:val="00E91552"/>
    <w:rsid w:val="00E91863"/>
    <w:rsid w:val="00E92004"/>
    <w:rsid w:val="00E928AC"/>
    <w:rsid w:val="00E929A4"/>
    <w:rsid w:val="00E93090"/>
    <w:rsid w:val="00E94C67"/>
    <w:rsid w:val="00E953D1"/>
    <w:rsid w:val="00E95A24"/>
    <w:rsid w:val="00E97110"/>
    <w:rsid w:val="00E97725"/>
    <w:rsid w:val="00E977BC"/>
    <w:rsid w:val="00E97995"/>
    <w:rsid w:val="00EA01F5"/>
    <w:rsid w:val="00EA0299"/>
    <w:rsid w:val="00EA0E17"/>
    <w:rsid w:val="00EA1173"/>
    <w:rsid w:val="00EA130E"/>
    <w:rsid w:val="00EA1391"/>
    <w:rsid w:val="00EA2633"/>
    <w:rsid w:val="00EA2DD7"/>
    <w:rsid w:val="00EA3359"/>
    <w:rsid w:val="00EA3847"/>
    <w:rsid w:val="00EA3916"/>
    <w:rsid w:val="00EA3966"/>
    <w:rsid w:val="00EA3C14"/>
    <w:rsid w:val="00EA3E50"/>
    <w:rsid w:val="00EA4041"/>
    <w:rsid w:val="00EA438A"/>
    <w:rsid w:val="00EA6B4A"/>
    <w:rsid w:val="00EA6FED"/>
    <w:rsid w:val="00EA74C5"/>
    <w:rsid w:val="00EA7CC4"/>
    <w:rsid w:val="00EB0861"/>
    <w:rsid w:val="00EB0E4B"/>
    <w:rsid w:val="00EB0F6A"/>
    <w:rsid w:val="00EB2053"/>
    <w:rsid w:val="00EB319F"/>
    <w:rsid w:val="00EB32C1"/>
    <w:rsid w:val="00EB34DA"/>
    <w:rsid w:val="00EB3A37"/>
    <w:rsid w:val="00EB4B12"/>
    <w:rsid w:val="00EB4D18"/>
    <w:rsid w:val="00EB5876"/>
    <w:rsid w:val="00EB5DF7"/>
    <w:rsid w:val="00EB628E"/>
    <w:rsid w:val="00EB6E25"/>
    <w:rsid w:val="00EB71B1"/>
    <w:rsid w:val="00EB73E8"/>
    <w:rsid w:val="00EB7D0C"/>
    <w:rsid w:val="00EC04D2"/>
    <w:rsid w:val="00EC141A"/>
    <w:rsid w:val="00EC2295"/>
    <w:rsid w:val="00EC23DF"/>
    <w:rsid w:val="00EC270E"/>
    <w:rsid w:val="00EC4943"/>
    <w:rsid w:val="00EC53C8"/>
    <w:rsid w:val="00EC6121"/>
    <w:rsid w:val="00EC6588"/>
    <w:rsid w:val="00EC65AA"/>
    <w:rsid w:val="00EC663D"/>
    <w:rsid w:val="00EC67B9"/>
    <w:rsid w:val="00EC6BED"/>
    <w:rsid w:val="00EC6E71"/>
    <w:rsid w:val="00ED006E"/>
    <w:rsid w:val="00ED03A5"/>
    <w:rsid w:val="00ED0625"/>
    <w:rsid w:val="00ED075E"/>
    <w:rsid w:val="00ED099B"/>
    <w:rsid w:val="00ED1761"/>
    <w:rsid w:val="00ED2874"/>
    <w:rsid w:val="00ED2AC6"/>
    <w:rsid w:val="00ED2B6F"/>
    <w:rsid w:val="00ED2BF1"/>
    <w:rsid w:val="00ED2DF5"/>
    <w:rsid w:val="00ED4683"/>
    <w:rsid w:val="00ED4782"/>
    <w:rsid w:val="00ED54E0"/>
    <w:rsid w:val="00ED5B67"/>
    <w:rsid w:val="00ED5BAB"/>
    <w:rsid w:val="00ED631C"/>
    <w:rsid w:val="00ED6459"/>
    <w:rsid w:val="00ED6AB1"/>
    <w:rsid w:val="00ED73DE"/>
    <w:rsid w:val="00ED742E"/>
    <w:rsid w:val="00ED7C57"/>
    <w:rsid w:val="00EE0266"/>
    <w:rsid w:val="00EE0320"/>
    <w:rsid w:val="00EE1066"/>
    <w:rsid w:val="00EE1551"/>
    <w:rsid w:val="00EE20F2"/>
    <w:rsid w:val="00EE2296"/>
    <w:rsid w:val="00EE3075"/>
    <w:rsid w:val="00EE3726"/>
    <w:rsid w:val="00EE6A80"/>
    <w:rsid w:val="00EE7157"/>
    <w:rsid w:val="00EE73C7"/>
    <w:rsid w:val="00EE743F"/>
    <w:rsid w:val="00EE78F7"/>
    <w:rsid w:val="00EF099E"/>
    <w:rsid w:val="00EF0D91"/>
    <w:rsid w:val="00EF0E0E"/>
    <w:rsid w:val="00EF1E86"/>
    <w:rsid w:val="00EF32EA"/>
    <w:rsid w:val="00EF364A"/>
    <w:rsid w:val="00EF413E"/>
    <w:rsid w:val="00EF4B1F"/>
    <w:rsid w:val="00EF4C69"/>
    <w:rsid w:val="00EF50FF"/>
    <w:rsid w:val="00EF520D"/>
    <w:rsid w:val="00EF54D7"/>
    <w:rsid w:val="00EF5F82"/>
    <w:rsid w:val="00EF62CA"/>
    <w:rsid w:val="00EF6AD9"/>
    <w:rsid w:val="00EF6E6E"/>
    <w:rsid w:val="00EF717E"/>
    <w:rsid w:val="00EF7ED6"/>
    <w:rsid w:val="00F00419"/>
    <w:rsid w:val="00F01522"/>
    <w:rsid w:val="00F02628"/>
    <w:rsid w:val="00F02653"/>
    <w:rsid w:val="00F03368"/>
    <w:rsid w:val="00F0463E"/>
    <w:rsid w:val="00F0494C"/>
    <w:rsid w:val="00F05513"/>
    <w:rsid w:val="00F06205"/>
    <w:rsid w:val="00F06590"/>
    <w:rsid w:val="00F065BF"/>
    <w:rsid w:val="00F0681F"/>
    <w:rsid w:val="00F06A33"/>
    <w:rsid w:val="00F074B6"/>
    <w:rsid w:val="00F0753F"/>
    <w:rsid w:val="00F10941"/>
    <w:rsid w:val="00F11885"/>
    <w:rsid w:val="00F1199D"/>
    <w:rsid w:val="00F11B23"/>
    <w:rsid w:val="00F12435"/>
    <w:rsid w:val="00F12880"/>
    <w:rsid w:val="00F1298A"/>
    <w:rsid w:val="00F139B1"/>
    <w:rsid w:val="00F14284"/>
    <w:rsid w:val="00F144B8"/>
    <w:rsid w:val="00F14A64"/>
    <w:rsid w:val="00F15970"/>
    <w:rsid w:val="00F16141"/>
    <w:rsid w:val="00F16D3F"/>
    <w:rsid w:val="00F1741E"/>
    <w:rsid w:val="00F20170"/>
    <w:rsid w:val="00F203E2"/>
    <w:rsid w:val="00F210E5"/>
    <w:rsid w:val="00F2147C"/>
    <w:rsid w:val="00F21956"/>
    <w:rsid w:val="00F223C3"/>
    <w:rsid w:val="00F22497"/>
    <w:rsid w:val="00F22669"/>
    <w:rsid w:val="00F23316"/>
    <w:rsid w:val="00F23763"/>
    <w:rsid w:val="00F24C76"/>
    <w:rsid w:val="00F24F41"/>
    <w:rsid w:val="00F253FB"/>
    <w:rsid w:val="00F259F8"/>
    <w:rsid w:val="00F2641D"/>
    <w:rsid w:val="00F26D76"/>
    <w:rsid w:val="00F26DD7"/>
    <w:rsid w:val="00F2743F"/>
    <w:rsid w:val="00F274FA"/>
    <w:rsid w:val="00F2776B"/>
    <w:rsid w:val="00F27B74"/>
    <w:rsid w:val="00F27C1E"/>
    <w:rsid w:val="00F30FF0"/>
    <w:rsid w:val="00F31E15"/>
    <w:rsid w:val="00F33261"/>
    <w:rsid w:val="00F33576"/>
    <w:rsid w:val="00F33BC6"/>
    <w:rsid w:val="00F3410F"/>
    <w:rsid w:val="00F350A9"/>
    <w:rsid w:val="00F36531"/>
    <w:rsid w:val="00F372C9"/>
    <w:rsid w:val="00F37B18"/>
    <w:rsid w:val="00F4005E"/>
    <w:rsid w:val="00F4042F"/>
    <w:rsid w:val="00F40B7C"/>
    <w:rsid w:val="00F410FB"/>
    <w:rsid w:val="00F4187B"/>
    <w:rsid w:val="00F41942"/>
    <w:rsid w:val="00F42447"/>
    <w:rsid w:val="00F42DFA"/>
    <w:rsid w:val="00F431D1"/>
    <w:rsid w:val="00F43830"/>
    <w:rsid w:val="00F44082"/>
    <w:rsid w:val="00F44248"/>
    <w:rsid w:val="00F444F9"/>
    <w:rsid w:val="00F44895"/>
    <w:rsid w:val="00F44CB8"/>
    <w:rsid w:val="00F44EE9"/>
    <w:rsid w:val="00F44FE7"/>
    <w:rsid w:val="00F45025"/>
    <w:rsid w:val="00F45CE7"/>
    <w:rsid w:val="00F45CF2"/>
    <w:rsid w:val="00F45D1A"/>
    <w:rsid w:val="00F46F35"/>
    <w:rsid w:val="00F5008F"/>
    <w:rsid w:val="00F500E6"/>
    <w:rsid w:val="00F50260"/>
    <w:rsid w:val="00F5146F"/>
    <w:rsid w:val="00F523DA"/>
    <w:rsid w:val="00F529CE"/>
    <w:rsid w:val="00F52ADD"/>
    <w:rsid w:val="00F52DA7"/>
    <w:rsid w:val="00F52E00"/>
    <w:rsid w:val="00F53E1A"/>
    <w:rsid w:val="00F55208"/>
    <w:rsid w:val="00F55369"/>
    <w:rsid w:val="00F55609"/>
    <w:rsid w:val="00F55A7E"/>
    <w:rsid w:val="00F56387"/>
    <w:rsid w:val="00F56D15"/>
    <w:rsid w:val="00F572B6"/>
    <w:rsid w:val="00F57A16"/>
    <w:rsid w:val="00F6022E"/>
    <w:rsid w:val="00F60E80"/>
    <w:rsid w:val="00F6124A"/>
    <w:rsid w:val="00F61272"/>
    <w:rsid w:val="00F61ACD"/>
    <w:rsid w:val="00F61B48"/>
    <w:rsid w:val="00F62C75"/>
    <w:rsid w:val="00F62CEE"/>
    <w:rsid w:val="00F6401C"/>
    <w:rsid w:val="00F641C5"/>
    <w:rsid w:val="00F643F0"/>
    <w:rsid w:val="00F647F6"/>
    <w:rsid w:val="00F64E62"/>
    <w:rsid w:val="00F65C45"/>
    <w:rsid w:val="00F66B87"/>
    <w:rsid w:val="00F67B05"/>
    <w:rsid w:val="00F7064C"/>
    <w:rsid w:val="00F717BD"/>
    <w:rsid w:val="00F71D8B"/>
    <w:rsid w:val="00F75055"/>
    <w:rsid w:val="00F75405"/>
    <w:rsid w:val="00F7548A"/>
    <w:rsid w:val="00F76B79"/>
    <w:rsid w:val="00F774F0"/>
    <w:rsid w:val="00F776A4"/>
    <w:rsid w:val="00F77F38"/>
    <w:rsid w:val="00F8130A"/>
    <w:rsid w:val="00F8138E"/>
    <w:rsid w:val="00F81DAF"/>
    <w:rsid w:val="00F824FF"/>
    <w:rsid w:val="00F8289C"/>
    <w:rsid w:val="00F828B1"/>
    <w:rsid w:val="00F83E13"/>
    <w:rsid w:val="00F83FCA"/>
    <w:rsid w:val="00F8419D"/>
    <w:rsid w:val="00F844C5"/>
    <w:rsid w:val="00F85BB6"/>
    <w:rsid w:val="00F85C20"/>
    <w:rsid w:val="00F85C73"/>
    <w:rsid w:val="00F863C5"/>
    <w:rsid w:val="00F865F9"/>
    <w:rsid w:val="00F86686"/>
    <w:rsid w:val="00F868DB"/>
    <w:rsid w:val="00F86CF1"/>
    <w:rsid w:val="00F86F4F"/>
    <w:rsid w:val="00F8775F"/>
    <w:rsid w:val="00F87BBF"/>
    <w:rsid w:val="00F904F3"/>
    <w:rsid w:val="00F90C57"/>
    <w:rsid w:val="00F91AA1"/>
    <w:rsid w:val="00F91BA5"/>
    <w:rsid w:val="00F92138"/>
    <w:rsid w:val="00F923BE"/>
    <w:rsid w:val="00F92736"/>
    <w:rsid w:val="00F92E19"/>
    <w:rsid w:val="00F93062"/>
    <w:rsid w:val="00F935DA"/>
    <w:rsid w:val="00F954A0"/>
    <w:rsid w:val="00F9607F"/>
    <w:rsid w:val="00F96730"/>
    <w:rsid w:val="00F96994"/>
    <w:rsid w:val="00F972EC"/>
    <w:rsid w:val="00F97CC0"/>
    <w:rsid w:val="00FA0258"/>
    <w:rsid w:val="00FA178B"/>
    <w:rsid w:val="00FA1BBC"/>
    <w:rsid w:val="00FA1BD5"/>
    <w:rsid w:val="00FA20D0"/>
    <w:rsid w:val="00FA21D2"/>
    <w:rsid w:val="00FA22CE"/>
    <w:rsid w:val="00FA2EDC"/>
    <w:rsid w:val="00FA3669"/>
    <w:rsid w:val="00FA3746"/>
    <w:rsid w:val="00FA3C6C"/>
    <w:rsid w:val="00FA3F93"/>
    <w:rsid w:val="00FA3FBC"/>
    <w:rsid w:val="00FA3FDB"/>
    <w:rsid w:val="00FA53AE"/>
    <w:rsid w:val="00FA58B2"/>
    <w:rsid w:val="00FA5DDC"/>
    <w:rsid w:val="00FA613E"/>
    <w:rsid w:val="00FA616E"/>
    <w:rsid w:val="00FA6E44"/>
    <w:rsid w:val="00FA6EEF"/>
    <w:rsid w:val="00FB0C9E"/>
    <w:rsid w:val="00FB1F30"/>
    <w:rsid w:val="00FB2702"/>
    <w:rsid w:val="00FB332F"/>
    <w:rsid w:val="00FB3B24"/>
    <w:rsid w:val="00FB3DDF"/>
    <w:rsid w:val="00FB46AB"/>
    <w:rsid w:val="00FB4A0C"/>
    <w:rsid w:val="00FB5519"/>
    <w:rsid w:val="00FB56CA"/>
    <w:rsid w:val="00FB6238"/>
    <w:rsid w:val="00FB6571"/>
    <w:rsid w:val="00FB65B9"/>
    <w:rsid w:val="00FB668A"/>
    <w:rsid w:val="00FB7674"/>
    <w:rsid w:val="00FC00CB"/>
    <w:rsid w:val="00FC10E5"/>
    <w:rsid w:val="00FC17B1"/>
    <w:rsid w:val="00FC2140"/>
    <w:rsid w:val="00FC21BC"/>
    <w:rsid w:val="00FC2469"/>
    <w:rsid w:val="00FC343C"/>
    <w:rsid w:val="00FC39A4"/>
    <w:rsid w:val="00FC3A6F"/>
    <w:rsid w:val="00FC4927"/>
    <w:rsid w:val="00FC4950"/>
    <w:rsid w:val="00FC4E5D"/>
    <w:rsid w:val="00FC6162"/>
    <w:rsid w:val="00FC622A"/>
    <w:rsid w:val="00FC6832"/>
    <w:rsid w:val="00FC6B15"/>
    <w:rsid w:val="00FC6F49"/>
    <w:rsid w:val="00FC6FD8"/>
    <w:rsid w:val="00FC7727"/>
    <w:rsid w:val="00FC7E2C"/>
    <w:rsid w:val="00FD0A4D"/>
    <w:rsid w:val="00FD14AA"/>
    <w:rsid w:val="00FD1933"/>
    <w:rsid w:val="00FD19CE"/>
    <w:rsid w:val="00FD1AF2"/>
    <w:rsid w:val="00FD2D65"/>
    <w:rsid w:val="00FD35AB"/>
    <w:rsid w:val="00FD37D3"/>
    <w:rsid w:val="00FD4220"/>
    <w:rsid w:val="00FD43EC"/>
    <w:rsid w:val="00FD4973"/>
    <w:rsid w:val="00FD49C1"/>
    <w:rsid w:val="00FD51CB"/>
    <w:rsid w:val="00FD63F3"/>
    <w:rsid w:val="00FD6559"/>
    <w:rsid w:val="00FE09D4"/>
    <w:rsid w:val="00FE0E43"/>
    <w:rsid w:val="00FE1073"/>
    <w:rsid w:val="00FE2070"/>
    <w:rsid w:val="00FE211B"/>
    <w:rsid w:val="00FE32D6"/>
    <w:rsid w:val="00FE4165"/>
    <w:rsid w:val="00FE42F2"/>
    <w:rsid w:val="00FE4B23"/>
    <w:rsid w:val="00FE56AC"/>
    <w:rsid w:val="00FE5E25"/>
    <w:rsid w:val="00FE625F"/>
    <w:rsid w:val="00FF07B1"/>
    <w:rsid w:val="00FF1B34"/>
    <w:rsid w:val="00FF2039"/>
    <w:rsid w:val="00FF2133"/>
    <w:rsid w:val="00FF2B1C"/>
    <w:rsid w:val="00FF367E"/>
    <w:rsid w:val="00FF5EA0"/>
    <w:rsid w:val="00FF5F74"/>
    <w:rsid w:val="00FF621B"/>
    <w:rsid w:val="00FF7159"/>
    <w:rsid w:val="00FF7232"/>
    <w:rsid w:val="00FF748D"/>
    <w:rsid w:val="01064C9A"/>
    <w:rsid w:val="016A606C"/>
    <w:rsid w:val="016C4ADC"/>
    <w:rsid w:val="017362BD"/>
    <w:rsid w:val="0197393F"/>
    <w:rsid w:val="01B35E3B"/>
    <w:rsid w:val="01E449DA"/>
    <w:rsid w:val="01F306CC"/>
    <w:rsid w:val="023D333D"/>
    <w:rsid w:val="028D5673"/>
    <w:rsid w:val="02C92423"/>
    <w:rsid w:val="02F50D1E"/>
    <w:rsid w:val="03211823"/>
    <w:rsid w:val="03347E88"/>
    <w:rsid w:val="038A5ABF"/>
    <w:rsid w:val="039B16B6"/>
    <w:rsid w:val="039E05DA"/>
    <w:rsid w:val="03D5738D"/>
    <w:rsid w:val="03ED571C"/>
    <w:rsid w:val="03FC3375"/>
    <w:rsid w:val="0431318B"/>
    <w:rsid w:val="04322D1A"/>
    <w:rsid w:val="044F24C5"/>
    <w:rsid w:val="04762137"/>
    <w:rsid w:val="04E82D3F"/>
    <w:rsid w:val="04FE4606"/>
    <w:rsid w:val="055256A1"/>
    <w:rsid w:val="05A9269D"/>
    <w:rsid w:val="05F80AA9"/>
    <w:rsid w:val="06533D3B"/>
    <w:rsid w:val="06724784"/>
    <w:rsid w:val="06A905A2"/>
    <w:rsid w:val="06D46658"/>
    <w:rsid w:val="06FC0676"/>
    <w:rsid w:val="070739F0"/>
    <w:rsid w:val="07216614"/>
    <w:rsid w:val="07B33255"/>
    <w:rsid w:val="082F789B"/>
    <w:rsid w:val="08396ED3"/>
    <w:rsid w:val="08A05850"/>
    <w:rsid w:val="08A420E1"/>
    <w:rsid w:val="08C120E0"/>
    <w:rsid w:val="090128EB"/>
    <w:rsid w:val="0939545A"/>
    <w:rsid w:val="09A53221"/>
    <w:rsid w:val="09B65004"/>
    <w:rsid w:val="09E746E2"/>
    <w:rsid w:val="0A363A1D"/>
    <w:rsid w:val="0A5E0FEF"/>
    <w:rsid w:val="0A654A44"/>
    <w:rsid w:val="0AAA6709"/>
    <w:rsid w:val="0AC73F32"/>
    <w:rsid w:val="0AE377E2"/>
    <w:rsid w:val="0B4A5116"/>
    <w:rsid w:val="0B7B75D7"/>
    <w:rsid w:val="0BB76C03"/>
    <w:rsid w:val="0BE514A3"/>
    <w:rsid w:val="0C6E2553"/>
    <w:rsid w:val="0C887271"/>
    <w:rsid w:val="0C8B41A2"/>
    <w:rsid w:val="0CEA1C85"/>
    <w:rsid w:val="0D3D36A4"/>
    <w:rsid w:val="0D514AA1"/>
    <w:rsid w:val="0D6F1145"/>
    <w:rsid w:val="0D791A19"/>
    <w:rsid w:val="0D9D2076"/>
    <w:rsid w:val="0DAB060F"/>
    <w:rsid w:val="0DD84B11"/>
    <w:rsid w:val="0E42412C"/>
    <w:rsid w:val="0E5A6D3F"/>
    <w:rsid w:val="0E5E3E03"/>
    <w:rsid w:val="0E794CFD"/>
    <w:rsid w:val="0EC71FEA"/>
    <w:rsid w:val="0ECC1A8E"/>
    <w:rsid w:val="0EE41A9E"/>
    <w:rsid w:val="0F0832FF"/>
    <w:rsid w:val="0F4E618A"/>
    <w:rsid w:val="0F4F5A5E"/>
    <w:rsid w:val="0F505B34"/>
    <w:rsid w:val="0FD71303"/>
    <w:rsid w:val="0FF9647C"/>
    <w:rsid w:val="1012617E"/>
    <w:rsid w:val="102155FB"/>
    <w:rsid w:val="10675755"/>
    <w:rsid w:val="10C5403D"/>
    <w:rsid w:val="10EC5BD9"/>
    <w:rsid w:val="117F2E0D"/>
    <w:rsid w:val="11BC012B"/>
    <w:rsid w:val="11D6041E"/>
    <w:rsid w:val="11E44B84"/>
    <w:rsid w:val="11F358DC"/>
    <w:rsid w:val="11FD7411"/>
    <w:rsid w:val="1220749E"/>
    <w:rsid w:val="12235F3C"/>
    <w:rsid w:val="1237314D"/>
    <w:rsid w:val="123F6455"/>
    <w:rsid w:val="12B65EBF"/>
    <w:rsid w:val="12C44D3D"/>
    <w:rsid w:val="14512AE0"/>
    <w:rsid w:val="14F60EC4"/>
    <w:rsid w:val="14FA4179"/>
    <w:rsid w:val="152A5522"/>
    <w:rsid w:val="153E5E53"/>
    <w:rsid w:val="155A1F71"/>
    <w:rsid w:val="157A70F8"/>
    <w:rsid w:val="157B78DE"/>
    <w:rsid w:val="157D0B2C"/>
    <w:rsid w:val="15C047FF"/>
    <w:rsid w:val="16023701"/>
    <w:rsid w:val="16486296"/>
    <w:rsid w:val="165F6ECF"/>
    <w:rsid w:val="16C31734"/>
    <w:rsid w:val="17A7775F"/>
    <w:rsid w:val="17CA3567"/>
    <w:rsid w:val="182403C0"/>
    <w:rsid w:val="18285F02"/>
    <w:rsid w:val="182F6ADF"/>
    <w:rsid w:val="188E3A9B"/>
    <w:rsid w:val="18B21D51"/>
    <w:rsid w:val="1936109D"/>
    <w:rsid w:val="194C5989"/>
    <w:rsid w:val="197B7584"/>
    <w:rsid w:val="19932087"/>
    <w:rsid w:val="1A506883"/>
    <w:rsid w:val="1A85424D"/>
    <w:rsid w:val="1B496BEE"/>
    <w:rsid w:val="1B813CC4"/>
    <w:rsid w:val="1B9B2CA9"/>
    <w:rsid w:val="1BA749C4"/>
    <w:rsid w:val="1BB27C53"/>
    <w:rsid w:val="1BB66110"/>
    <w:rsid w:val="1BDD4A1B"/>
    <w:rsid w:val="1BEA0EFF"/>
    <w:rsid w:val="1CBF0500"/>
    <w:rsid w:val="1CFE11EF"/>
    <w:rsid w:val="1DA8475E"/>
    <w:rsid w:val="1DFE2624"/>
    <w:rsid w:val="1E0064D3"/>
    <w:rsid w:val="1E05605A"/>
    <w:rsid w:val="1E0E0A9A"/>
    <w:rsid w:val="1E171374"/>
    <w:rsid w:val="1E3B2150"/>
    <w:rsid w:val="1E4F2CD5"/>
    <w:rsid w:val="1E805BA0"/>
    <w:rsid w:val="1EDD2072"/>
    <w:rsid w:val="1EE4155E"/>
    <w:rsid w:val="1F506A4C"/>
    <w:rsid w:val="1F6D76F6"/>
    <w:rsid w:val="1FCB4A6E"/>
    <w:rsid w:val="1FCF6663"/>
    <w:rsid w:val="1FE13A05"/>
    <w:rsid w:val="20816028"/>
    <w:rsid w:val="20B43BF1"/>
    <w:rsid w:val="20B80B22"/>
    <w:rsid w:val="2105322D"/>
    <w:rsid w:val="21374DD4"/>
    <w:rsid w:val="214C5BC5"/>
    <w:rsid w:val="21E93AF0"/>
    <w:rsid w:val="220612E3"/>
    <w:rsid w:val="224F3B62"/>
    <w:rsid w:val="229438B4"/>
    <w:rsid w:val="22B742CD"/>
    <w:rsid w:val="22D52DDA"/>
    <w:rsid w:val="236A171F"/>
    <w:rsid w:val="246D6944"/>
    <w:rsid w:val="24922AB1"/>
    <w:rsid w:val="2527378E"/>
    <w:rsid w:val="2530284B"/>
    <w:rsid w:val="25556D82"/>
    <w:rsid w:val="2560751D"/>
    <w:rsid w:val="259D70B9"/>
    <w:rsid w:val="261F644A"/>
    <w:rsid w:val="267800B9"/>
    <w:rsid w:val="26BB3CAD"/>
    <w:rsid w:val="26C115E8"/>
    <w:rsid w:val="271D3475"/>
    <w:rsid w:val="272C509E"/>
    <w:rsid w:val="27313F6F"/>
    <w:rsid w:val="29415789"/>
    <w:rsid w:val="296E4DB7"/>
    <w:rsid w:val="297A3312"/>
    <w:rsid w:val="29BF7984"/>
    <w:rsid w:val="2A9F183F"/>
    <w:rsid w:val="2AC511FF"/>
    <w:rsid w:val="2B137A26"/>
    <w:rsid w:val="2B3702A8"/>
    <w:rsid w:val="2B6E5792"/>
    <w:rsid w:val="2BE96C22"/>
    <w:rsid w:val="2BF5404C"/>
    <w:rsid w:val="2C1252C2"/>
    <w:rsid w:val="2C9A0975"/>
    <w:rsid w:val="2CC0413F"/>
    <w:rsid w:val="2D055E1D"/>
    <w:rsid w:val="2D910EBE"/>
    <w:rsid w:val="2DA400CE"/>
    <w:rsid w:val="2DAC2698"/>
    <w:rsid w:val="2DB71FA7"/>
    <w:rsid w:val="2E5C32EB"/>
    <w:rsid w:val="2E8A42F7"/>
    <w:rsid w:val="2EF00020"/>
    <w:rsid w:val="2F180AB4"/>
    <w:rsid w:val="2F334462"/>
    <w:rsid w:val="2F866390"/>
    <w:rsid w:val="2F94153F"/>
    <w:rsid w:val="2FD12CC9"/>
    <w:rsid w:val="2FD41F86"/>
    <w:rsid w:val="3027709A"/>
    <w:rsid w:val="30294ADC"/>
    <w:rsid w:val="304C6A88"/>
    <w:rsid w:val="305D7F50"/>
    <w:rsid w:val="31602E24"/>
    <w:rsid w:val="317408E4"/>
    <w:rsid w:val="3182385E"/>
    <w:rsid w:val="31FA1774"/>
    <w:rsid w:val="32642CEC"/>
    <w:rsid w:val="32B33C46"/>
    <w:rsid w:val="33020093"/>
    <w:rsid w:val="330714FD"/>
    <w:rsid w:val="333C0154"/>
    <w:rsid w:val="335553C9"/>
    <w:rsid w:val="336F072D"/>
    <w:rsid w:val="33FC7E8C"/>
    <w:rsid w:val="342D2F02"/>
    <w:rsid w:val="34F10498"/>
    <w:rsid w:val="35B651B7"/>
    <w:rsid w:val="35EE0253"/>
    <w:rsid w:val="369571B1"/>
    <w:rsid w:val="371B7E5C"/>
    <w:rsid w:val="37980295"/>
    <w:rsid w:val="37A418D8"/>
    <w:rsid w:val="386020D3"/>
    <w:rsid w:val="3865492E"/>
    <w:rsid w:val="386A0217"/>
    <w:rsid w:val="394A1F2F"/>
    <w:rsid w:val="3A922B1F"/>
    <w:rsid w:val="3BA42EB1"/>
    <w:rsid w:val="3BC938F0"/>
    <w:rsid w:val="3C183D6E"/>
    <w:rsid w:val="3CBC31FE"/>
    <w:rsid w:val="3D347787"/>
    <w:rsid w:val="3F850EA5"/>
    <w:rsid w:val="3FA179AA"/>
    <w:rsid w:val="3FD733D9"/>
    <w:rsid w:val="401738F5"/>
    <w:rsid w:val="404855C5"/>
    <w:rsid w:val="40592E84"/>
    <w:rsid w:val="40A86BF9"/>
    <w:rsid w:val="40D951D2"/>
    <w:rsid w:val="41923C46"/>
    <w:rsid w:val="41AA0ACA"/>
    <w:rsid w:val="41B62D5F"/>
    <w:rsid w:val="41E04AE3"/>
    <w:rsid w:val="424C082D"/>
    <w:rsid w:val="426B74AE"/>
    <w:rsid w:val="42BD6EF0"/>
    <w:rsid w:val="42F56341"/>
    <w:rsid w:val="43041412"/>
    <w:rsid w:val="430B2F13"/>
    <w:rsid w:val="431F392D"/>
    <w:rsid w:val="43417B2B"/>
    <w:rsid w:val="43467BC5"/>
    <w:rsid w:val="435D01D0"/>
    <w:rsid w:val="437B23A2"/>
    <w:rsid w:val="43BF2D12"/>
    <w:rsid w:val="43EC5115"/>
    <w:rsid w:val="444878C1"/>
    <w:rsid w:val="445B1741"/>
    <w:rsid w:val="445D5F4C"/>
    <w:rsid w:val="44763F08"/>
    <w:rsid w:val="44817E8C"/>
    <w:rsid w:val="44A105CA"/>
    <w:rsid w:val="44F2662B"/>
    <w:rsid w:val="44FB3862"/>
    <w:rsid w:val="45877724"/>
    <w:rsid w:val="458A0EA3"/>
    <w:rsid w:val="465869CB"/>
    <w:rsid w:val="468F4EFD"/>
    <w:rsid w:val="46D7388F"/>
    <w:rsid w:val="47121221"/>
    <w:rsid w:val="4772342A"/>
    <w:rsid w:val="487C5D3F"/>
    <w:rsid w:val="48A0098D"/>
    <w:rsid w:val="48B439FC"/>
    <w:rsid w:val="494C5DE0"/>
    <w:rsid w:val="49725FF6"/>
    <w:rsid w:val="499C3B40"/>
    <w:rsid w:val="49BF6D61"/>
    <w:rsid w:val="4A531BC5"/>
    <w:rsid w:val="4A813F5B"/>
    <w:rsid w:val="4AAB4206"/>
    <w:rsid w:val="4AE403BE"/>
    <w:rsid w:val="4B2B03A0"/>
    <w:rsid w:val="4BB7477B"/>
    <w:rsid w:val="4C5D5DD6"/>
    <w:rsid w:val="4CC13AA8"/>
    <w:rsid w:val="4CCE37BE"/>
    <w:rsid w:val="4CFE6137"/>
    <w:rsid w:val="4D160340"/>
    <w:rsid w:val="4D3A3383"/>
    <w:rsid w:val="4D4215BD"/>
    <w:rsid w:val="4D6871A7"/>
    <w:rsid w:val="4D9A561E"/>
    <w:rsid w:val="4DBD6A94"/>
    <w:rsid w:val="4DDC01B9"/>
    <w:rsid w:val="4E277F6E"/>
    <w:rsid w:val="4E83005C"/>
    <w:rsid w:val="4F136B0E"/>
    <w:rsid w:val="4F345A3A"/>
    <w:rsid w:val="4F7F0B09"/>
    <w:rsid w:val="4F83137D"/>
    <w:rsid w:val="4F906609"/>
    <w:rsid w:val="4F9155F1"/>
    <w:rsid w:val="4F98252E"/>
    <w:rsid w:val="4FA9310C"/>
    <w:rsid w:val="4FEE214E"/>
    <w:rsid w:val="505477A0"/>
    <w:rsid w:val="50603B72"/>
    <w:rsid w:val="50987DB7"/>
    <w:rsid w:val="50FA52A6"/>
    <w:rsid w:val="50FD52B5"/>
    <w:rsid w:val="50FF3F4A"/>
    <w:rsid w:val="510C51B5"/>
    <w:rsid w:val="51243167"/>
    <w:rsid w:val="51263104"/>
    <w:rsid w:val="51297BD8"/>
    <w:rsid w:val="51342574"/>
    <w:rsid w:val="51380E48"/>
    <w:rsid w:val="51B965FC"/>
    <w:rsid w:val="538B2AB6"/>
    <w:rsid w:val="538F3C50"/>
    <w:rsid w:val="539C7FFE"/>
    <w:rsid w:val="53CF796F"/>
    <w:rsid w:val="540F2D98"/>
    <w:rsid w:val="549A713E"/>
    <w:rsid w:val="549D2738"/>
    <w:rsid w:val="54CD2C7A"/>
    <w:rsid w:val="54DA6115"/>
    <w:rsid w:val="54EE2961"/>
    <w:rsid w:val="54FE72D7"/>
    <w:rsid w:val="551E2E5D"/>
    <w:rsid w:val="55B32794"/>
    <w:rsid w:val="55FE3977"/>
    <w:rsid w:val="569E48CE"/>
    <w:rsid w:val="56C579D5"/>
    <w:rsid w:val="57017A7F"/>
    <w:rsid w:val="571854E6"/>
    <w:rsid w:val="57432F68"/>
    <w:rsid w:val="576631B4"/>
    <w:rsid w:val="578C03FE"/>
    <w:rsid w:val="58145D63"/>
    <w:rsid w:val="58276B45"/>
    <w:rsid w:val="58D740C7"/>
    <w:rsid w:val="58F55856"/>
    <w:rsid w:val="5953256C"/>
    <w:rsid w:val="5955718D"/>
    <w:rsid w:val="598A6BBE"/>
    <w:rsid w:val="59AA358A"/>
    <w:rsid w:val="59B140E5"/>
    <w:rsid w:val="59BD32BD"/>
    <w:rsid w:val="59E86B9F"/>
    <w:rsid w:val="5A644C07"/>
    <w:rsid w:val="5A9D6C4B"/>
    <w:rsid w:val="5AB910E6"/>
    <w:rsid w:val="5B5E287E"/>
    <w:rsid w:val="5B6648C7"/>
    <w:rsid w:val="5B7D1A85"/>
    <w:rsid w:val="5BE622C6"/>
    <w:rsid w:val="5C1C4FA9"/>
    <w:rsid w:val="5C4B5C6D"/>
    <w:rsid w:val="5C6A70FC"/>
    <w:rsid w:val="5C8D60EF"/>
    <w:rsid w:val="5CA964D7"/>
    <w:rsid w:val="5D457A78"/>
    <w:rsid w:val="5DC757F8"/>
    <w:rsid w:val="5DFC6D3C"/>
    <w:rsid w:val="5E3209E8"/>
    <w:rsid w:val="5E7524E6"/>
    <w:rsid w:val="5F183E0C"/>
    <w:rsid w:val="5F2413D1"/>
    <w:rsid w:val="5FF85DB8"/>
    <w:rsid w:val="60151849"/>
    <w:rsid w:val="607939D6"/>
    <w:rsid w:val="61295DD7"/>
    <w:rsid w:val="616E707C"/>
    <w:rsid w:val="61F007AB"/>
    <w:rsid w:val="6203073F"/>
    <w:rsid w:val="620A2C3A"/>
    <w:rsid w:val="621813D1"/>
    <w:rsid w:val="62397BA1"/>
    <w:rsid w:val="624B0278"/>
    <w:rsid w:val="626E0AFD"/>
    <w:rsid w:val="626E2A3F"/>
    <w:rsid w:val="637A1F7C"/>
    <w:rsid w:val="63A63849"/>
    <w:rsid w:val="63AD55E9"/>
    <w:rsid w:val="64535AA4"/>
    <w:rsid w:val="64646DE3"/>
    <w:rsid w:val="64857BC7"/>
    <w:rsid w:val="64AA2690"/>
    <w:rsid w:val="64CA35B2"/>
    <w:rsid w:val="65405C8E"/>
    <w:rsid w:val="655B482F"/>
    <w:rsid w:val="66807B4C"/>
    <w:rsid w:val="66AC783F"/>
    <w:rsid w:val="66CB5338"/>
    <w:rsid w:val="66D60C56"/>
    <w:rsid w:val="670C1B0F"/>
    <w:rsid w:val="67407CEE"/>
    <w:rsid w:val="678A58F8"/>
    <w:rsid w:val="6791048F"/>
    <w:rsid w:val="67961AC6"/>
    <w:rsid w:val="67B062A6"/>
    <w:rsid w:val="68543FBA"/>
    <w:rsid w:val="68987E30"/>
    <w:rsid w:val="68CD04C2"/>
    <w:rsid w:val="68D914C5"/>
    <w:rsid w:val="68D91FE4"/>
    <w:rsid w:val="68EF3534"/>
    <w:rsid w:val="68FF583F"/>
    <w:rsid w:val="69275234"/>
    <w:rsid w:val="693102DF"/>
    <w:rsid w:val="694751DB"/>
    <w:rsid w:val="69D660B2"/>
    <w:rsid w:val="69E712F3"/>
    <w:rsid w:val="6A0D5DD0"/>
    <w:rsid w:val="6A9616BA"/>
    <w:rsid w:val="6B6704AB"/>
    <w:rsid w:val="6B906529"/>
    <w:rsid w:val="6BAE03D4"/>
    <w:rsid w:val="6BC87B69"/>
    <w:rsid w:val="6BD75683"/>
    <w:rsid w:val="6C3867D3"/>
    <w:rsid w:val="6C51177A"/>
    <w:rsid w:val="6C931E67"/>
    <w:rsid w:val="6CD84F63"/>
    <w:rsid w:val="6CFA6E24"/>
    <w:rsid w:val="6D091DD7"/>
    <w:rsid w:val="6D3F4260"/>
    <w:rsid w:val="6DA952AB"/>
    <w:rsid w:val="6DDD3ACB"/>
    <w:rsid w:val="6DDE7F68"/>
    <w:rsid w:val="6DEB66A3"/>
    <w:rsid w:val="6E170B30"/>
    <w:rsid w:val="6E433451"/>
    <w:rsid w:val="6E66437B"/>
    <w:rsid w:val="6E7D5654"/>
    <w:rsid w:val="6EA823C5"/>
    <w:rsid w:val="6EAB02FA"/>
    <w:rsid w:val="6EEE3E5F"/>
    <w:rsid w:val="6F6B3CB4"/>
    <w:rsid w:val="6F987BE5"/>
    <w:rsid w:val="6FBA5DBC"/>
    <w:rsid w:val="6FC06798"/>
    <w:rsid w:val="6FD93811"/>
    <w:rsid w:val="6FFE5B18"/>
    <w:rsid w:val="70114A8F"/>
    <w:rsid w:val="701B6C56"/>
    <w:rsid w:val="705F07D2"/>
    <w:rsid w:val="706601C1"/>
    <w:rsid w:val="70DA1157"/>
    <w:rsid w:val="7135284F"/>
    <w:rsid w:val="71440DA3"/>
    <w:rsid w:val="71A36DE5"/>
    <w:rsid w:val="71CB7E3C"/>
    <w:rsid w:val="720B45E8"/>
    <w:rsid w:val="7223471E"/>
    <w:rsid w:val="7224286D"/>
    <w:rsid w:val="72434598"/>
    <w:rsid w:val="724A22EE"/>
    <w:rsid w:val="72540756"/>
    <w:rsid w:val="72685348"/>
    <w:rsid w:val="72772DE8"/>
    <w:rsid w:val="72DE1046"/>
    <w:rsid w:val="73886174"/>
    <w:rsid w:val="73965B3A"/>
    <w:rsid w:val="73F1711D"/>
    <w:rsid w:val="73F64F94"/>
    <w:rsid w:val="74393C29"/>
    <w:rsid w:val="745C6968"/>
    <w:rsid w:val="74623ADD"/>
    <w:rsid w:val="74D347D7"/>
    <w:rsid w:val="74E24B72"/>
    <w:rsid w:val="750E26E5"/>
    <w:rsid w:val="752C64EA"/>
    <w:rsid w:val="75532F0F"/>
    <w:rsid w:val="75A23164"/>
    <w:rsid w:val="75B01AD0"/>
    <w:rsid w:val="75D204AB"/>
    <w:rsid w:val="760517E8"/>
    <w:rsid w:val="76241587"/>
    <w:rsid w:val="763643BF"/>
    <w:rsid w:val="763C1ED6"/>
    <w:rsid w:val="76446D4F"/>
    <w:rsid w:val="765D4CA4"/>
    <w:rsid w:val="7682191D"/>
    <w:rsid w:val="769D3D7B"/>
    <w:rsid w:val="76E41281"/>
    <w:rsid w:val="76E446A4"/>
    <w:rsid w:val="76FE3F87"/>
    <w:rsid w:val="77043E82"/>
    <w:rsid w:val="776E579F"/>
    <w:rsid w:val="777752DD"/>
    <w:rsid w:val="77813724"/>
    <w:rsid w:val="77F90B4B"/>
    <w:rsid w:val="7881708F"/>
    <w:rsid w:val="78821DBA"/>
    <w:rsid w:val="78AC56A2"/>
    <w:rsid w:val="78B249E8"/>
    <w:rsid w:val="78FB6342"/>
    <w:rsid w:val="797B22D6"/>
    <w:rsid w:val="79FC3A25"/>
    <w:rsid w:val="7A1D5D70"/>
    <w:rsid w:val="7A29614B"/>
    <w:rsid w:val="7A942C8A"/>
    <w:rsid w:val="7AE52177"/>
    <w:rsid w:val="7AEC7249"/>
    <w:rsid w:val="7B0B0A66"/>
    <w:rsid w:val="7B65510B"/>
    <w:rsid w:val="7B6624BF"/>
    <w:rsid w:val="7B8C75F4"/>
    <w:rsid w:val="7B9A3006"/>
    <w:rsid w:val="7BA33ADE"/>
    <w:rsid w:val="7BBD704C"/>
    <w:rsid w:val="7BC17BB6"/>
    <w:rsid w:val="7C040259"/>
    <w:rsid w:val="7C8716CA"/>
    <w:rsid w:val="7CD418BF"/>
    <w:rsid w:val="7D117168"/>
    <w:rsid w:val="7DB7720D"/>
    <w:rsid w:val="7DBB6EEC"/>
    <w:rsid w:val="7DDE7156"/>
    <w:rsid w:val="7E2A58C2"/>
    <w:rsid w:val="7E8A5A20"/>
    <w:rsid w:val="7EC86C91"/>
    <w:rsid w:val="7F4C2569"/>
    <w:rsid w:val="7F8731B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9"/>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6"/>
    <w:qFormat/>
    <w:uiPriority w:val="0"/>
    <w:pPr>
      <w:keepNext/>
      <w:keepLines/>
      <w:widowControl/>
      <w:tabs>
        <w:tab w:val="left" w:pos="864"/>
      </w:tabs>
      <w:spacing w:before="280" w:after="290" w:line="376" w:lineRule="auto"/>
      <w:jc w:val="left"/>
      <w:outlineLvl w:val="3"/>
    </w:pPr>
    <w:rPr>
      <w:rFonts w:ascii="Arial" w:hAnsi="Arial" w:eastAsia="黑体"/>
      <w:b/>
      <w:bCs/>
      <w:kern w:val="0"/>
      <w:sz w:val="28"/>
      <w:szCs w:val="28"/>
    </w:rPr>
  </w:style>
  <w:style w:type="paragraph" w:styleId="7">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4">
    <w:name w:val="Default Paragraph Font"/>
    <w:semiHidden/>
    <w:qFormat/>
    <w:uiPriority w:val="0"/>
  </w:style>
  <w:style w:type="table" w:default="1" w:styleId="49">
    <w:name w:val="Normal Table"/>
    <w:semiHidden/>
    <w:qFormat/>
    <w:uiPriority w:val="0"/>
    <w:tblPr>
      <w:tblLayout w:type="fixed"/>
      <w:tblCellMar>
        <w:top w:w="0" w:type="dxa"/>
        <w:left w:w="108" w:type="dxa"/>
        <w:bottom w:w="0" w:type="dxa"/>
        <w:right w:w="108" w:type="dxa"/>
      </w:tblCellMar>
    </w:tblPr>
  </w:style>
  <w:style w:type="paragraph" w:styleId="6">
    <w:name w:val="Normal Indent"/>
    <w:basedOn w:val="1"/>
    <w:link w:val="59"/>
    <w:qFormat/>
    <w:uiPriority w:val="0"/>
    <w:pPr>
      <w:ind w:firstLine="420"/>
    </w:pPr>
    <w:rPr>
      <w:szCs w:val="20"/>
    </w:rPr>
  </w:style>
  <w:style w:type="paragraph" w:styleId="8">
    <w:name w:val="annotation subject"/>
    <w:basedOn w:val="9"/>
    <w:next w:val="9"/>
    <w:semiHidden/>
    <w:qFormat/>
    <w:uiPriority w:val="0"/>
    <w:rPr>
      <w:b/>
      <w:bCs/>
    </w:rPr>
  </w:style>
  <w:style w:type="paragraph" w:styleId="9">
    <w:name w:val="annotation text"/>
    <w:basedOn w:val="1"/>
    <w:link w:val="61"/>
    <w:qFormat/>
    <w:uiPriority w:val="0"/>
    <w:pPr>
      <w:jc w:val="left"/>
    </w:pPr>
  </w:style>
  <w:style w:type="paragraph" w:styleId="10">
    <w:name w:val="toc 7"/>
    <w:basedOn w:val="1"/>
    <w:next w:val="1"/>
    <w:qFormat/>
    <w:uiPriority w:val="0"/>
    <w:pPr>
      <w:ind w:left="1260"/>
      <w:jc w:val="left"/>
    </w:pPr>
    <w:rPr>
      <w:rFonts w:ascii="Calibri" w:hAnsi="Calibri" w:cs="Calibri"/>
      <w:sz w:val="18"/>
      <w:szCs w:val="18"/>
    </w:rPr>
  </w:style>
  <w:style w:type="paragraph" w:styleId="11">
    <w:name w:val="Body Text First Indent"/>
    <w:basedOn w:val="12"/>
    <w:qFormat/>
    <w:uiPriority w:val="0"/>
    <w:pPr>
      <w:ind w:firstLine="420"/>
    </w:pPr>
    <w:rPr>
      <w:rFonts w:ascii="仿宋_GB2312" w:hAnsi="宋体"/>
      <w:snapToGrid w:val="0"/>
      <w:sz w:val="30"/>
    </w:rPr>
  </w:style>
  <w:style w:type="paragraph" w:styleId="12">
    <w:name w:val="Body Text"/>
    <w:basedOn w:val="1"/>
    <w:next w:val="1"/>
    <w:qFormat/>
    <w:uiPriority w:val="0"/>
    <w:pPr>
      <w:spacing w:after="120"/>
    </w:pPr>
  </w:style>
  <w:style w:type="paragraph" w:styleId="13">
    <w:name w:val="index 8"/>
    <w:basedOn w:val="1"/>
    <w:next w:val="1"/>
    <w:unhideWhenUsed/>
    <w:qFormat/>
    <w:uiPriority w:val="99"/>
    <w:pPr>
      <w:ind w:left="1400" w:leftChars="1400"/>
    </w:pPr>
  </w:style>
  <w:style w:type="paragraph" w:styleId="14">
    <w:name w:val="Body Text 3"/>
    <w:basedOn w:val="1"/>
    <w:qFormat/>
    <w:uiPriority w:val="0"/>
    <w:pPr>
      <w:spacing w:line="240" w:lineRule="exact"/>
    </w:pPr>
    <w:rPr>
      <w:rFonts w:ascii="宋体" w:hAnsi="宋体"/>
      <w:color w:val="000000"/>
      <w:szCs w:val="21"/>
    </w:rPr>
  </w:style>
  <w:style w:type="paragraph" w:styleId="15">
    <w:name w:val="Body Text Indent"/>
    <w:basedOn w:val="1"/>
    <w:link w:val="60"/>
    <w:qFormat/>
    <w:uiPriority w:val="0"/>
    <w:pPr>
      <w:spacing w:after="120"/>
      <w:ind w:left="420" w:leftChars="200"/>
    </w:pPr>
  </w:style>
  <w:style w:type="paragraph" w:styleId="16">
    <w:name w:val="toc 5"/>
    <w:basedOn w:val="1"/>
    <w:next w:val="1"/>
    <w:qFormat/>
    <w:uiPriority w:val="0"/>
    <w:pPr>
      <w:ind w:left="840"/>
      <w:jc w:val="left"/>
    </w:pPr>
    <w:rPr>
      <w:rFonts w:ascii="Calibri" w:hAnsi="Calibri" w:cs="Calibri"/>
      <w:sz w:val="18"/>
      <w:szCs w:val="18"/>
    </w:rPr>
  </w:style>
  <w:style w:type="paragraph" w:styleId="17">
    <w:name w:val="toc 3"/>
    <w:basedOn w:val="1"/>
    <w:next w:val="1"/>
    <w:qFormat/>
    <w:uiPriority w:val="39"/>
    <w:pPr>
      <w:ind w:left="420"/>
      <w:jc w:val="left"/>
    </w:pPr>
    <w:rPr>
      <w:rFonts w:ascii="Calibri" w:hAnsi="Calibri" w:cs="Calibri"/>
      <w:i/>
      <w:iCs/>
      <w:sz w:val="20"/>
      <w:szCs w:val="20"/>
    </w:rPr>
  </w:style>
  <w:style w:type="paragraph" w:styleId="18">
    <w:name w:val="Plain Text"/>
    <w:basedOn w:val="1"/>
    <w:link w:val="58"/>
    <w:qFormat/>
    <w:uiPriority w:val="0"/>
    <w:rPr>
      <w:rFonts w:ascii="宋体" w:hAnsi="Courier New"/>
      <w:szCs w:val="20"/>
    </w:rPr>
  </w:style>
  <w:style w:type="paragraph" w:styleId="19">
    <w:name w:val="toc 8"/>
    <w:basedOn w:val="1"/>
    <w:next w:val="1"/>
    <w:qFormat/>
    <w:uiPriority w:val="0"/>
    <w:pPr>
      <w:ind w:left="1470"/>
      <w:jc w:val="left"/>
    </w:pPr>
    <w:rPr>
      <w:rFonts w:ascii="Calibri" w:hAnsi="Calibri" w:cs="Calibri"/>
      <w:sz w:val="18"/>
      <w:szCs w:val="18"/>
    </w:rPr>
  </w:style>
  <w:style w:type="paragraph" w:styleId="20">
    <w:name w:val="Date"/>
    <w:basedOn w:val="1"/>
    <w:next w:val="1"/>
    <w:link w:val="62"/>
    <w:qFormat/>
    <w:uiPriority w:val="0"/>
    <w:pPr>
      <w:ind w:left="100" w:leftChars="2500"/>
    </w:pPr>
  </w:style>
  <w:style w:type="paragraph" w:styleId="21">
    <w:name w:val="Balloon Text"/>
    <w:basedOn w:val="1"/>
    <w:semiHidden/>
    <w:qFormat/>
    <w:uiPriority w:val="0"/>
    <w:rPr>
      <w:sz w:val="18"/>
      <w:szCs w:val="18"/>
    </w:rPr>
  </w:style>
  <w:style w:type="paragraph" w:styleId="22">
    <w:name w:val="footer"/>
    <w:basedOn w:val="1"/>
    <w:link w:val="63"/>
    <w:qFormat/>
    <w:uiPriority w:val="99"/>
    <w:pPr>
      <w:tabs>
        <w:tab w:val="center" w:pos="4153"/>
        <w:tab w:val="right" w:pos="8306"/>
      </w:tabs>
      <w:snapToGrid w:val="0"/>
      <w:jc w:val="left"/>
    </w:pPr>
    <w:rPr>
      <w:sz w:val="18"/>
      <w:szCs w:val="18"/>
    </w:rPr>
  </w:style>
  <w:style w:type="paragraph" w:styleId="23">
    <w:name w:val="Body Text First Indent 2"/>
    <w:basedOn w:val="15"/>
    <w:next w:val="1"/>
    <w:qFormat/>
    <w:uiPriority w:val="0"/>
    <w:pPr>
      <w:ind w:firstLine="420" w:firstLineChars="200"/>
    </w:p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spacing w:before="120" w:after="120"/>
      <w:jc w:val="left"/>
    </w:pPr>
    <w:rPr>
      <w:rFonts w:ascii="Calibri" w:hAnsi="Calibri" w:cs="Calibri"/>
      <w:b/>
      <w:bCs/>
      <w:caps/>
      <w:sz w:val="20"/>
      <w:szCs w:val="20"/>
    </w:rPr>
  </w:style>
  <w:style w:type="paragraph" w:styleId="26">
    <w:name w:val="toc 4"/>
    <w:basedOn w:val="1"/>
    <w:next w:val="1"/>
    <w:qFormat/>
    <w:uiPriority w:val="0"/>
    <w:pPr>
      <w:ind w:left="630"/>
      <w:jc w:val="left"/>
    </w:pPr>
    <w:rPr>
      <w:rFonts w:ascii="Calibri" w:hAnsi="Calibri" w:cs="Calibri"/>
      <w:sz w:val="18"/>
      <w:szCs w:val="18"/>
    </w:rPr>
  </w:style>
  <w:style w:type="paragraph" w:styleId="27">
    <w:name w:val="List"/>
    <w:basedOn w:val="1"/>
    <w:qFormat/>
    <w:uiPriority w:val="0"/>
    <w:pPr>
      <w:ind w:left="200" w:hanging="200" w:hangingChars="200"/>
    </w:pPr>
    <w:rPr>
      <w:sz w:val="28"/>
    </w:rPr>
  </w:style>
  <w:style w:type="paragraph" w:styleId="28">
    <w:name w:val="toc 6"/>
    <w:basedOn w:val="1"/>
    <w:next w:val="1"/>
    <w:qFormat/>
    <w:uiPriority w:val="0"/>
    <w:pPr>
      <w:ind w:left="1050"/>
      <w:jc w:val="left"/>
    </w:pPr>
    <w:rPr>
      <w:rFonts w:ascii="Calibri" w:hAnsi="Calibri" w:cs="Calibri"/>
      <w:sz w:val="18"/>
      <w:szCs w:val="18"/>
    </w:rPr>
  </w:style>
  <w:style w:type="paragraph" w:styleId="29">
    <w:name w:val="Body Text Indent 3"/>
    <w:basedOn w:val="1"/>
    <w:qFormat/>
    <w:uiPriority w:val="0"/>
    <w:pPr>
      <w:spacing w:after="120"/>
      <w:ind w:left="420" w:leftChars="200"/>
    </w:pPr>
    <w:rPr>
      <w:rFonts w:ascii="Times New Roman" w:hAnsi="Times New Roman" w:eastAsia="宋体" w:cs="Times New Roman"/>
      <w:kern w:val="0"/>
      <w:sz w:val="16"/>
      <w:szCs w:val="16"/>
    </w:rPr>
  </w:style>
  <w:style w:type="paragraph" w:styleId="30">
    <w:name w:val="toc 2"/>
    <w:basedOn w:val="1"/>
    <w:next w:val="1"/>
    <w:qFormat/>
    <w:uiPriority w:val="39"/>
    <w:pPr>
      <w:ind w:left="210"/>
      <w:jc w:val="left"/>
    </w:pPr>
    <w:rPr>
      <w:rFonts w:ascii="Calibri" w:hAnsi="Calibri" w:cs="Calibri"/>
      <w:smallCaps/>
      <w:sz w:val="20"/>
      <w:szCs w:val="20"/>
    </w:rPr>
  </w:style>
  <w:style w:type="paragraph" w:styleId="31">
    <w:name w:val="toc 9"/>
    <w:basedOn w:val="1"/>
    <w:next w:val="1"/>
    <w:qFormat/>
    <w:uiPriority w:val="0"/>
    <w:pPr>
      <w:ind w:left="1680"/>
      <w:jc w:val="left"/>
    </w:pPr>
    <w:rPr>
      <w:rFonts w:ascii="Calibri" w:hAnsi="Calibri" w:cs="Calibri"/>
      <w:sz w:val="18"/>
      <w:szCs w:val="18"/>
    </w:rPr>
  </w:style>
  <w:style w:type="paragraph" w:styleId="32">
    <w:name w:val="HTML Preformatted"/>
    <w:basedOn w:val="1"/>
    <w:link w:val="6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35">
    <w:name w:val="Strong"/>
    <w:qFormat/>
    <w:uiPriority w:val="0"/>
    <w:rPr>
      <w:b/>
      <w:bCs/>
    </w:rPr>
  </w:style>
  <w:style w:type="character" w:styleId="36">
    <w:name w:val="page number"/>
    <w:basedOn w:val="34"/>
    <w:qFormat/>
    <w:uiPriority w:val="0"/>
  </w:style>
  <w:style w:type="character" w:styleId="37">
    <w:name w:val="FollowedHyperlink"/>
    <w:qFormat/>
    <w:uiPriority w:val="0"/>
    <w:rPr>
      <w:color w:val="800080"/>
      <w:u w:val="single"/>
    </w:rPr>
  </w:style>
  <w:style w:type="character" w:styleId="38">
    <w:name w:val="Emphasis"/>
    <w:qFormat/>
    <w:uiPriority w:val="20"/>
    <w:rPr>
      <w:color w:val="CC0000"/>
      <w:sz w:val="24"/>
      <w:szCs w:val="24"/>
    </w:rPr>
  </w:style>
  <w:style w:type="character" w:styleId="39">
    <w:name w:val="HTML Definition"/>
    <w:basedOn w:val="34"/>
    <w:qFormat/>
    <w:uiPriority w:val="0"/>
  </w:style>
  <w:style w:type="character" w:styleId="40">
    <w:name w:val="HTML Typewriter"/>
    <w:basedOn w:val="34"/>
    <w:qFormat/>
    <w:uiPriority w:val="0"/>
    <w:rPr>
      <w:rFonts w:hint="default" w:ascii="monospace" w:hAnsi="monospace" w:eastAsia="monospace" w:cs="monospace"/>
      <w:sz w:val="20"/>
    </w:rPr>
  </w:style>
  <w:style w:type="character" w:styleId="41">
    <w:name w:val="HTML Acronym"/>
    <w:basedOn w:val="34"/>
    <w:qFormat/>
    <w:uiPriority w:val="0"/>
  </w:style>
  <w:style w:type="character" w:styleId="42">
    <w:name w:val="HTML Variable"/>
    <w:basedOn w:val="34"/>
    <w:qFormat/>
    <w:uiPriority w:val="0"/>
  </w:style>
  <w:style w:type="character" w:styleId="43">
    <w:name w:val="Hyperlink"/>
    <w:basedOn w:val="34"/>
    <w:qFormat/>
    <w:uiPriority w:val="0"/>
    <w:rPr>
      <w:color w:val="0000FF"/>
      <w:u w:val="single"/>
    </w:rPr>
  </w:style>
  <w:style w:type="character" w:styleId="44">
    <w:name w:val="HTML Code"/>
    <w:basedOn w:val="34"/>
    <w:qFormat/>
    <w:uiPriority w:val="0"/>
    <w:rPr>
      <w:rFonts w:hint="default" w:ascii="monospace" w:hAnsi="monospace" w:eastAsia="monospace" w:cs="monospace"/>
      <w:sz w:val="20"/>
    </w:rPr>
  </w:style>
  <w:style w:type="character" w:styleId="45">
    <w:name w:val="annotation reference"/>
    <w:qFormat/>
    <w:uiPriority w:val="0"/>
    <w:rPr>
      <w:sz w:val="21"/>
      <w:szCs w:val="21"/>
    </w:rPr>
  </w:style>
  <w:style w:type="character" w:styleId="46">
    <w:name w:val="HTML Cite"/>
    <w:basedOn w:val="34"/>
    <w:qFormat/>
    <w:uiPriority w:val="0"/>
  </w:style>
  <w:style w:type="character" w:styleId="47">
    <w:name w:val="HTML Keyboard"/>
    <w:basedOn w:val="34"/>
    <w:qFormat/>
    <w:uiPriority w:val="0"/>
    <w:rPr>
      <w:rFonts w:hint="default" w:ascii="monospace" w:hAnsi="monospace" w:eastAsia="monospace" w:cs="monospace"/>
      <w:sz w:val="20"/>
    </w:rPr>
  </w:style>
  <w:style w:type="character" w:styleId="48">
    <w:name w:val="HTML Sample"/>
    <w:basedOn w:val="34"/>
    <w:qFormat/>
    <w:uiPriority w:val="0"/>
    <w:rPr>
      <w:rFonts w:ascii="monospace" w:hAnsi="monospace" w:eastAsia="monospace" w:cs="monospace"/>
    </w:r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2">
    <w:name w:val="*正文"/>
    <w:basedOn w:val="1"/>
    <w:qFormat/>
    <w:uiPriority w:val="0"/>
    <w:pPr>
      <w:keepNext/>
      <w:keepLines/>
      <w:spacing w:line="360" w:lineRule="auto"/>
      <w:ind w:firstLine="200" w:firstLineChars="200"/>
    </w:pPr>
    <w:rPr>
      <w:rFonts w:ascii="宋体" w:hAnsi="宋体"/>
    </w:rPr>
  </w:style>
  <w:style w:type="paragraph" w:customStyle="1" w:styleId="5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4">
    <w:name w:val="表格文字"/>
    <w:basedOn w:val="1"/>
    <w:next w:val="12"/>
    <w:qFormat/>
    <w:uiPriority w:val="0"/>
    <w:pPr>
      <w:adjustRightInd w:val="0"/>
      <w:spacing w:line="420" w:lineRule="atLeast"/>
      <w:jc w:val="left"/>
      <w:textAlignment w:val="baseline"/>
    </w:pPr>
    <w:rPr>
      <w:kern w:val="0"/>
      <w:szCs w:val="20"/>
    </w:rPr>
  </w:style>
  <w:style w:type="character" w:customStyle="1" w:styleId="55">
    <w:name w:val="标题 1 Char"/>
    <w:link w:val="2"/>
    <w:qFormat/>
    <w:uiPriority w:val="0"/>
    <w:rPr>
      <w:b/>
      <w:bCs/>
      <w:kern w:val="44"/>
      <w:sz w:val="44"/>
      <w:szCs w:val="44"/>
    </w:rPr>
  </w:style>
  <w:style w:type="character" w:customStyle="1" w:styleId="56">
    <w:name w:val="标题 2 Char"/>
    <w:link w:val="3"/>
    <w:semiHidden/>
    <w:qFormat/>
    <w:uiPriority w:val="0"/>
    <w:rPr>
      <w:rFonts w:ascii="Cambria" w:hAnsi="Cambria" w:eastAsia="宋体" w:cs="Times New Roman"/>
      <w:b/>
      <w:bCs/>
      <w:kern w:val="2"/>
      <w:sz w:val="32"/>
      <w:szCs w:val="32"/>
    </w:rPr>
  </w:style>
  <w:style w:type="paragraph" w:customStyle="1" w:styleId="57">
    <w:name w:val="样式1"/>
    <w:basedOn w:val="1"/>
    <w:next w:val="7"/>
    <w:qFormat/>
    <w:uiPriority w:val="0"/>
    <w:rPr>
      <w:rFonts w:ascii="宋体" w:hAnsi="宋体"/>
      <w:szCs w:val="21"/>
    </w:rPr>
  </w:style>
  <w:style w:type="character" w:customStyle="1" w:styleId="58">
    <w:name w:val="纯文本 Char"/>
    <w:link w:val="18"/>
    <w:qFormat/>
    <w:uiPriority w:val="0"/>
    <w:rPr>
      <w:rFonts w:ascii="宋体" w:hAnsi="Courier New" w:eastAsia="宋体"/>
      <w:kern w:val="2"/>
      <w:sz w:val="21"/>
      <w:lang w:val="en-US" w:eastAsia="zh-CN" w:bidi="ar-SA"/>
    </w:rPr>
  </w:style>
  <w:style w:type="character" w:customStyle="1" w:styleId="59">
    <w:name w:val="正文缩进 Char"/>
    <w:link w:val="6"/>
    <w:qFormat/>
    <w:uiPriority w:val="0"/>
    <w:rPr>
      <w:kern w:val="2"/>
      <w:sz w:val="21"/>
    </w:rPr>
  </w:style>
  <w:style w:type="character" w:customStyle="1" w:styleId="60">
    <w:name w:val="正文文本缩进 Char"/>
    <w:link w:val="15"/>
    <w:qFormat/>
    <w:uiPriority w:val="0"/>
    <w:rPr>
      <w:kern w:val="2"/>
      <w:sz w:val="21"/>
      <w:szCs w:val="24"/>
    </w:rPr>
  </w:style>
  <w:style w:type="character" w:customStyle="1" w:styleId="61">
    <w:name w:val="批注文字 Char"/>
    <w:link w:val="9"/>
    <w:qFormat/>
    <w:uiPriority w:val="0"/>
    <w:rPr>
      <w:kern w:val="2"/>
      <w:sz w:val="21"/>
      <w:szCs w:val="24"/>
    </w:rPr>
  </w:style>
  <w:style w:type="character" w:customStyle="1" w:styleId="62">
    <w:name w:val="日期 Char"/>
    <w:link w:val="20"/>
    <w:qFormat/>
    <w:uiPriority w:val="0"/>
    <w:rPr>
      <w:kern w:val="2"/>
      <w:sz w:val="21"/>
      <w:szCs w:val="24"/>
    </w:rPr>
  </w:style>
  <w:style w:type="character" w:customStyle="1" w:styleId="63">
    <w:name w:val="页脚 Char"/>
    <w:link w:val="22"/>
    <w:qFormat/>
    <w:uiPriority w:val="99"/>
    <w:rPr>
      <w:kern w:val="2"/>
      <w:sz w:val="18"/>
      <w:szCs w:val="18"/>
    </w:rPr>
  </w:style>
  <w:style w:type="character" w:customStyle="1" w:styleId="64">
    <w:name w:val="HTML 预设格式 Char"/>
    <w:link w:val="32"/>
    <w:qFormat/>
    <w:uiPriority w:val="99"/>
    <w:rPr>
      <w:rFonts w:ascii="宋体" w:hAnsi="宋体" w:cs="宋体"/>
      <w:sz w:val="24"/>
      <w:szCs w:val="24"/>
    </w:rPr>
  </w:style>
  <w:style w:type="character" w:customStyle="1" w:styleId="65">
    <w:name w:val="标题 2 Char1"/>
    <w:qFormat/>
    <w:uiPriority w:val="0"/>
    <w:rPr>
      <w:rFonts w:ascii="Arial" w:hAnsi="Arial" w:eastAsia="黑体" w:cs="Times New Roman"/>
      <w:b/>
      <w:bCs/>
      <w:sz w:val="32"/>
      <w:szCs w:val="32"/>
    </w:rPr>
  </w:style>
  <w:style w:type="character" w:customStyle="1" w:styleId="66">
    <w:name w:val="无间距字符"/>
    <w:link w:val="67"/>
    <w:qFormat/>
    <w:uiPriority w:val="0"/>
    <w:rPr>
      <w:kern w:val="2"/>
      <w:sz w:val="21"/>
      <w:szCs w:val="32"/>
    </w:rPr>
  </w:style>
  <w:style w:type="paragraph" w:customStyle="1" w:styleId="67">
    <w:name w:val="无间距"/>
    <w:basedOn w:val="1"/>
    <w:link w:val="66"/>
    <w:qFormat/>
    <w:uiPriority w:val="0"/>
    <w:rPr>
      <w:szCs w:val="32"/>
    </w:rPr>
  </w:style>
  <w:style w:type="character" w:customStyle="1" w:styleId="68">
    <w:name w:val="纯文本 Char1"/>
    <w:qFormat/>
    <w:uiPriority w:val="0"/>
    <w:rPr>
      <w:rFonts w:ascii="宋体" w:hAnsi="Courier New" w:eastAsia="宋体"/>
      <w:kern w:val="2"/>
      <w:sz w:val="21"/>
      <w:lang w:val="en-US" w:eastAsia="zh-CN" w:bidi="ar-SA"/>
    </w:rPr>
  </w:style>
  <w:style w:type="character" w:customStyle="1" w:styleId="69">
    <w:name w:val="at_4"/>
    <w:basedOn w:val="34"/>
    <w:qFormat/>
    <w:uiPriority w:val="0"/>
  </w:style>
  <w:style w:type="character" w:customStyle="1" w:styleId="70">
    <w:name w:val="正文缩进 Char1"/>
    <w:qFormat/>
    <w:uiPriority w:val="0"/>
    <w:rPr>
      <w:rFonts w:eastAsia="宋体"/>
      <w:kern w:val="2"/>
      <w:sz w:val="21"/>
      <w:lang w:val="en-US" w:eastAsia="zh-CN" w:bidi="ar-SA"/>
    </w:rPr>
  </w:style>
  <w:style w:type="character" w:customStyle="1" w:styleId="71">
    <w:name w:val="HTML 预设格式 Char1"/>
    <w:qFormat/>
    <w:uiPriority w:val="0"/>
    <w:rPr>
      <w:rFonts w:ascii="Courier New" w:hAnsi="Courier New" w:cs="Courier New"/>
      <w:kern w:val="2"/>
    </w:rPr>
  </w:style>
  <w:style w:type="character" w:customStyle="1" w:styleId="72">
    <w:name w:val=" Char Char10"/>
    <w:qFormat/>
    <w:uiPriority w:val="0"/>
    <w:rPr>
      <w:rFonts w:eastAsia="宋体"/>
      <w:kern w:val="2"/>
      <w:sz w:val="21"/>
      <w:szCs w:val="24"/>
      <w:lang w:val="en-US" w:eastAsia="zh-CN" w:bidi="ar-SA"/>
    </w:rPr>
  </w:style>
  <w:style w:type="character" w:customStyle="1" w:styleId="73">
    <w:name w:val="font21"/>
    <w:qFormat/>
    <w:uiPriority w:val="0"/>
    <w:rPr>
      <w:rFonts w:hint="eastAsia" w:ascii="宋体" w:hAnsi="宋体" w:eastAsia="宋体" w:cs="宋体"/>
      <w:color w:val="000000"/>
      <w:sz w:val="20"/>
      <w:szCs w:val="20"/>
      <w:u w:val="none"/>
    </w:rPr>
  </w:style>
  <w:style w:type="character" w:customStyle="1" w:styleId="74">
    <w:name w:val=" Char Char1"/>
    <w:qFormat/>
    <w:uiPriority w:val="0"/>
    <w:rPr>
      <w:rFonts w:ascii="宋体" w:hAnsi="Courier New" w:eastAsia="宋体"/>
      <w:kern w:val="2"/>
      <w:sz w:val="21"/>
      <w:lang w:val="en-US" w:eastAsia="zh-CN" w:bidi="ar-SA"/>
    </w:rPr>
  </w:style>
  <w:style w:type="paragraph" w:customStyle="1" w:styleId="75">
    <w:name w:val="Table Paragraph"/>
    <w:basedOn w:val="1"/>
    <w:qFormat/>
    <w:uiPriority w:val="1"/>
    <w:rPr>
      <w:rFonts w:ascii="Calibri" w:hAnsi="Calibri"/>
    </w:rPr>
  </w:style>
  <w:style w:type="paragraph" w:customStyle="1" w:styleId="76">
    <w:name w:val="Plain Text"/>
    <w:basedOn w:val="1"/>
    <w:qFormat/>
    <w:uiPriority w:val="0"/>
    <w:pPr>
      <w:adjustRightInd w:val="0"/>
      <w:textAlignment w:val="baseline"/>
    </w:pPr>
    <w:rPr>
      <w:rFonts w:ascii="宋体" w:hAnsi="Courier New" w:eastAsia="楷体_GB2312"/>
      <w:sz w:val="26"/>
      <w:szCs w:val="20"/>
    </w:rPr>
  </w:style>
  <w:style w:type="paragraph" w:customStyle="1" w:styleId="77">
    <w:name w:val="彩色列表 - 强调文字颜色 11"/>
    <w:basedOn w:val="1"/>
    <w:qFormat/>
    <w:uiPriority w:val="34"/>
    <w:pPr>
      <w:ind w:firstLine="420" w:firstLineChars="200"/>
    </w:pPr>
  </w:style>
  <w:style w:type="paragraph" w:customStyle="1" w:styleId="78">
    <w:name w:val="Char1 Char Char Char Char Char Char"/>
    <w:basedOn w:val="1"/>
    <w:qFormat/>
    <w:uiPriority w:val="0"/>
    <w:rPr>
      <w:rFonts w:ascii="Tahoma" w:hAnsi="Tahoma"/>
      <w:sz w:val="24"/>
      <w:szCs w:val="20"/>
    </w:rPr>
  </w:style>
  <w:style w:type="paragraph" w:customStyle="1" w:styleId="79">
    <w:name w:val="_Style 5"/>
    <w:qFormat/>
    <w:uiPriority w:val="1"/>
    <w:rPr>
      <w:rFonts w:ascii="Times New Roman" w:hAnsi="Times New Roman" w:eastAsia="宋体" w:cs="Times New Roman"/>
      <w:sz w:val="22"/>
      <w:szCs w:val="22"/>
      <w:lang w:val="en-US" w:eastAsia="zh-CN" w:bidi="ar-SA"/>
    </w:rPr>
  </w:style>
  <w:style w:type="paragraph" w:customStyle="1" w:styleId="80">
    <w:name w:val="列出段落1"/>
    <w:basedOn w:val="1"/>
    <w:qFormat/>
    <w:uiPriority w:val="0"/>
    <w:pPr>
      <w:ind w:firstLine="420" w:firstLineChars="200"/>
    </w:pPr>
    <w:rPr>
      <w:rFonts w:ascii="Calibri" w:hAnsi="Calibri"/>
      <w:szCs w:val="22"/>
    </w:rPr>
  </w:style>
  <w:style w:type="paragraph" w:customStyle="1" w:styleId="81">
    <w:name w:val="BodyText"/>
    <w:basedOn w:val="1"/>
    <w:qFormat/>
    <w:uiPriority w:val="0"/>
    <w:pPr>
      <w:spacing w:after="120"/>
      <w:textAlignment w:val="baseline"/>
    </w:pPr>
  </w:style>
  <w:style w:type="paragraph" w:customStyle="1" w:styleId="82">
    <w:name w:val="List Paragraph"/>
    <w:basedOn w:val="1"/>
    <w:qFormat/>
    <w:uiPriority w:val="34"/>
    <w:pPr>
      <w:ind w:firstLine="420" w:firstLineChars="200"/>
    </w:pPr>
  </w:style>
  <w:style w:type="paragraph" w:customStyle="1" w:styleId="83">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4">
    <w:name w:val="一级条标题"/>
    <w:basedOn w:val="1"/>
    <w:next w:val="85"/>
    <w:qFormat/>
    <w:uiPriority w:val="0"/>
    <w:pPr>
      <w:widowControl/>
      <w:numPr>
        <w:ilvl w:val="2"/>
        <w:numId w:val="1"/>
      </w:numPr>
      <w:tabs>
        <w:tab w:val="left" w:pos="30"/>
      </w:tabs>
      <w:outlineLvl w:val="2"/>
    </w:pPr>
    <w:rPr>
      <w:rFonts w:ascii="黑体" w:eastAsia="黑体"/>
      <w:kern w:val="0"/>
      <w:szCs w:val="20"/>
    </w:rPr>
  </w:style>
  <w:style w:type="paragraph" w:customStyle="1" w:styleId="8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6">
    <w:name w:val="二级条标题"/>
    <w:basedOn w:val="84"/>
    <w:next w:val="85"/>
    <w:qFormat/>
    <w:uiPriority w:val="0"/>
    <w:pPr>
      <w:numPr>
        <w:ilvl w:val="5"/>
      </w:numPr>
      <w:tabs>
        <w:tab w:val="left" w:pos="2933"/>
      </w:tabs>
      <w:outlineLvl w:val="3"/>
    </w:pPr>
  </w:style>
  <w:style w:type="paragraph" w:customStyle="1" w:styleId="87">
    <w:name w:val="1"/>
    <w:basedOn w:val="1"/>
    <w:next w:val="18"/>
    <w:qFormat/>
    <w:uiPriority w:val="0"/>
    <w:rPr>
      <w:rFonts w:ascii="宋体" w:hAnsi="Courier New"/>
      <w:szCs w:val="20"/>
    </w:rPr>
  </w:style>
  <w:style w:type="paragraph" w:customStyle="1" w:styleId="88">
    <w:name w:val="_Style 29"/>
    <w:basedOn w:val="1"/>
    <w:qFormat/>
    <w:uiPriority w:val="0"/>
    <w:rPr>
      <w:rFonts w:ascii="Tahoma" w:hAnsi="Tahoma"/>
      <w:sz w:val="24"/>
      <w:szCs w:val="20"/>
    </w:rPr>
  </w:style>
  <w:style w:type="paragraph" w:customStyle="1" w:styleId="89">
    <w:name w:val="中等深浅网格 21"/>
    <w:basedOn w:val="1"/>
    <w:qFormat/>
    <w:uiPriority w:val="0"/>
    <w:rPr>
      <w:szCs w:val="32"/>
    </w:rPr>
  </w:style>
  <w:style w:type="paragraph" w:customStyle="1" w:styleId="90">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1">
    <w:name w:val="_Style 1"/>
    <w:basedOn w:val="1"/>
    <w:qFormat/>
    <w:uiPriority w:val="0"/>
    <w:pPr>
      <w:ind w:firstLine="420"/>
    </w:pPr>
    <w:rPr>
      <w:rFonts w:ascii="Calibri" w:hAnsi="Calibri"/>
      <w:kern w:val="1"/>
      <w:szCs w:val="22"/>
    </w:rPr>
  </w:style>
  <w:style w:type="paragraph" w:customStyle="1" w:styleId="92">
    <w:name w:val="三级条标题"/>
    <w:basedOn w:val="86"/>
    <w:next w:val="85"/>
    <w:qFormat/>
    <w:uiPriority w:val="0"/>
    <w:pPr>
      <w:numPr>
        <w:ilvl w:val="6"/>
      </w:numPr>
      <w:tabs>
        <w:tab w:val="left" w:pos="3353"/>
      </w:tabs>
      <w:outlineLvl w:val="4"/>
    </w:pPr>
  </w:style>
  <w:style w:type="character" w:customStyle="1" w:styleId="93">
    <w:name w:val="NormalCharacter"/>
    <w:semiHidden/>
    <w:qFormat/>
    <w:uiPriority w:val="0"/>
  </w:style>
  <w:style w:type="paragraph" w:customStyle="1" w:styleId="94">
    <w:name w:val="Heading2"/>
    <w:basedOn w:val="1"/>
    <w:next w:val="1"/>
    <w:qFormat/>
    <w:uiPriority w:val="0"/>
    <w:pPr>
      <w:keepNext/>
      <w:keepLines/>
      <w:spacing w:before="260" w:after="260" w:line="416" w:lineRule="auto"/>
      <w:ind w:left="-1575"/>
    </w:pPr>
    <w:rPr>
      <w:rFonts w:ascii="Arial" w:hAnsi="Arial" w:eastAsia="黑体" w:cs="Times New Roman"/>
      <w:b/>
      <w:bCs/>
      <w:sz w:val="32"/>
      <w:szCs w:val="32"/>
    </w:rPr>
  </w:style>
  <w:style w:type="paragraph" w:customStyle="1" w:styleId="95">
    <w:name w:val="页脚1"/>
    <w:basedOn w:val="1"/>
    <w:qFormat/>
    <w:uiPriority w:val="0"/>
    <w:pPr>
      <w:tabs>
        <w:tab w:val="center" w:pos="4153"/>
        <w:tab w:val="right" w:pos="8306"/>
      </w:tabs>
      <w:snapToGrid w:val="0"/>
      <w:jc w:val="left"/>
    </w:pPr>
    <w:rPr>
      <w:sz w:val="18"/>
      <w:szCs w:val="18"/>
    </w:rPr>
  </w:style>
  <w:style w:type="character" w:customStyle="1" w:styleId="96">
    <w:name w:val="批注引用1"/>
    <w:qFormat/>
    <w:uiPriority w:val="0"/>
    <w:rPr>
      <w:rFonts w:ascii="Times New Roman" w:hAnsi="Times New Roman" w:eastAsia="宋体" w:cs="Times New Roman"/>
      <w:kern w:val="2"/>
      <w:sz w:val="21"/>
      <w:szCs w:val="24"/>
      <w:lang w:val="en-US" w:eastAsia="zh-CN" w:bidi="ar-SA"/>
    </w:rPr>
  </w:style>
  <w:style w:type="table" w:customStyle="1" w:styleId="97">
    <w:name w:val="Table Normal"/>
    <w:semiHidden/>
    <w:unhideWhenUsed/>
    <w:qFormat/>
    <w:uiPriority w:val="0"/>
    <w:tblPr>
      <w:tblLayout w:type="fixed"/>
      <w:tblCellMar>
        <w:top w:w="0" w:type="dxa"/>
        <w:left w:w="0" w:type="dxa"/>
        <w:bottom w:w="0" w:type="dxa"/>
        <w:right w:w="0" w:type="dxa"/>
      </w:tblCellMar>
    </w:tblPr>
  </w:style>
  <w:style w:type="paragraph" w:customStyle="1" w:styleId="98">
    <w:name w:val="List Paragraph1"/>
    <w:basedOn w:val="1"/>
    <w:qFormat/>
    <w:uiPriority w:val="0"/>
    <w:pPr>
      <w:ind w:firstLine="420"/>
    </w:pPr>
    <w:rPr>
      <w:rFonts w:ascii="Times New Roman" w:hAnsi="Times New Roman" w:eastAsia="宋体" w:cs="Times New Roman"/>
    </w:rPr>
  </w:style>
  <w:style w:type="character" w:customStyle="1" w:styleId="99">
    <w:name w:val="标题 2 字符"/>
    <w:link w:val="3"/>
    <w:qFormat/>
    <w:uiPriority w:val="0"/>
    <w:rPr>
      <w:rFonts w:ascii="Arial" w:hAnsi="Arial" w:eastAsia="黑体" w:cs="Times New Roman"/>
      <w:b/>
      <w:bCs/>
      <w:sz w:val="32"/>
      <w:szCs w:val="32"/>
    </w:rPr>
  </w:style>
  <w:style w:type="character" w:customStyle="1" w:styleId="100">
    <w:name w:val="font31"/>
    <w:basedOn w:val="34"/>
    <w:qFormat/>
    <w:uiPriority w:val="0"/>
    <w:rPr>
      <w:rFonts w:hint="default" w:ascii="Calibri" w:hAnsi="Calibri" w:cs="Calibri"/>
      <w:color w:val="000000"/>
      <w:sz w:val="21"/>
      <w:szCs w:val="21"/>
      <w:u w:val="none"/>
    </w:rPr>
  </w:style>
  <w:style w:type="character" w:customStyle="1" w:styleId="101">
    <w:name w:val="font51"/>
    <w:basedOn w:val="3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73</Pages>
  <Words>21140</Words>
  <Characters>23406</Characters>
  <Lines>219</Lines>
  <Paragraphs>61</Paragraphs>
  <TotalTime>21</TotalTime>
  <ScaleCrop>false</ScaleCrop>
  <LinksUpToDate>false</LinksUpToDate>
  <CharactersWithSpaces>23833</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2021-01-22T08:53:00Z</dcterms:created>
  <dc:creator>微软用户</dc:creator>
  <cp:lastModifiedBy>Administrator</cp:lastModifiedBy>
  <cp:lastPrinted>2023-12-13T00:41:00Z</cp:lastPrinted>
  <dcterms:modified xsi:type="dcterms:W3CDTF">2025-07-21T02:08:10Z</dcterms:modified>
  <dc:title>医疗设备采购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E0E36D6831F84021907807E5489EF3D8_13</vt:lpwstr>
  </property>
  <property fmtid="{D5CDD505-2E9C-101B-9397-08002B2CF9AE}" pid="4" name="KSOTemplateDocerSaveRecord">
    <vt:lpwstr>eyJoZGlkIjoiMzhlMjg1MDcyMjNiY2ViNjhkZTVjNjMzODEzYjY1ZjAiLCJ1c2VySWQiOiI2NTM5OTg0ODgifQ==</vt:lpwstr>
  </property>
</Properties>
</file>