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6516">
      <w:pPr>
        <w:rPr>
          <w:rFonts w:hint="eastAsia" w:eastAsiaTheme="minorEastAsia"/>
          <w:lang w:val="en-US" w:eastAsia="zh-CN"/>
        </w:rPr>
      </w:pPr>
    </w:p>
    <w:p w14:paraId="1A648870"/>
    <w:p w14:paraId="37CA4223">
      <w:pPr>
        <w:jc w:val="center"/>
        <w:rPr>
          <w:b/>
          <w:bCs/>
          <w:sz w:val="52"/>
          <w:szCs w:val="52"/>
        </w:rPr>
      </w:pPr>
      <w:r>
        <w:rPr>
          <w:rFonts w:hint="eastAsia"/>
          <w:b/>
          <w:bCs/>
          <w:sz w:val="52"/>
          <w:szCs w:val="52"/>
          <w:lang w:eastAsia="zh-CN"/>
        </w:rPr>
        <w:t>长春市宽城区医院异地建设项目、长春市宽城区卫生综合体建设项目医疗家具采购项目</w:t>
      </w:r>
    </w:p>
    <w:p w14:paraId="58E7FEEE"/>
    <w:p w14:paraId="3F5CFD78">
      <w:pPr>
        <w:bidi w:val="0"/>
        <w:jc w:val="center"/>
        <w:rPr>
          <w:rFonts w:hint="eastAsia" w:ascii="宋体" w:hAnsi="宋体" w:eastAsia="宋体" w:cs="宋体"/>
          <w:b/>
          <w:bCs/>
          <w:sz w:val="84"/>
          <w:szCs w:val="84"/>
          <w:lang w:eastAsia="zh-CN"/>
        </w:rPr>
      </w:pPr>
    </w:p>
    <w:p w14:paraId="4EC55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84"/>
          <w:szCs w:val="84"/>
          <w:lang w:eastAsia="zh-CN"/>
        </w:rPr>
      </w:pPr>
      <w:r>
        <w:rPr>
          <w:rFonts w:hint="eastAsia"/>
          <w:b/>
          <w:bCs/>
          <w:sz w:val="84"/>
          <w:szCs w:val="84"/>
          <w:lang w:eastAsia="zh-CN"/>
        </w:rPr>
        <w:t>招</w:t>
      </w:r>
      <w:r>
        <w:rPr>
          <w:rFonts w:hint="eastAsia"/>
          <w:b/>
          <w:bCs/>
          <w:sz w:val="84"/>
          <w:szCs w:val="84"/>
          <w:lang w:val="en-US" w:eastAsia="zh-CN"/>
        </w:rPr>
        <w:t xml:space="preserve"> </w:t>
      </w:r>
      <w:r>
        <w:rPr>
          <w:rFonts w:hint="eastAsia"/>
          <w:b/>
          <w:bCs/>
          <w:sz w:val="84"/>
          <w:szCs w:val="84"/>
          <w:lang w:eastAsia="zh-CN"/>
        </w:rPr>
        <w:t>标</w:t>
      </w:r>
      <w:r>
        <w:rPr>
          <w:rFonts w:hint="eastAsia"/>
          <w:b/>
          <w:bCs/>
          <w:sz w:val="84"/>
          <w:szCs w:val="84"/>
          <w:lang w:val="en-US" w:eastAsia="zh-CN"/>
        </w:rPr>
        <w:t xml:space="preserve"> </w:t>
      </w:r>
      <w:r>
        <w:rPr>
          <w:rFonts w:hint="eastAsia"/>
          <w:b/>
          <w:bCs/>
          <w:sz w:val="84"/>
          <w:szCs w:val="84"/>
          <w:lang w:eastAsia="zh-CN"/>
        </w:rPr>
        <w:t>文</w:t>
      </w:r>
      <w:r>
        <w:rPr>
          <w:rFonts w:hint="eastAsia"/>
          <w:b/>
          <w:bCs/>
          <w:sz w:val="84"/>
          <w:szCs w:val="84"/>
          <w:lang w:val="en-US" w:eastAsia="zh-CN"/>
        </w:rPr>
        <w:t xml:space="preserve"> </w:t>
      </w:r>
      <w:r>
        <w:rPr>
          <w:rFonts w:hint="eastAsia"/>
          <w:b/>
          <w:bCs/>
          <w:sz w:val="84"/>
          <w:szCs w:val="84"/>
          <w:lang w:eastAsia="zh-CN"/>
        </w:rPr>
        <w:t>件</w:t>
      </w:r>
    </w:p>
    <w:p w14:paraId="3F558154">
      <w:pPr>
        <w:bidi w:val="0"/>
        <w:spacing w:line="360" w:lineRule="auto"/>
        <w:jc w:val="center"/>
        <w:rPr>
          <w:rFonts w:hint="eastAsia"/>
          <w:b/>
          <w:bCs/>
          <w:sz w:val="32"/>
          <w:szCs w:val="32"/>
          <w:lang w:eastAsia="zh-CN"/>
        </w:rPr>
      </w:pPr>
    </w:p>
    <w:p w14:paraId="3FDB724A">
      <w:pPr>
        <w:bidi w:val="0"/>
        <w:spacing w:line="360" w:lineRule="auto"/>
        <w:jc w:val="center"/>
        <w:rPr>
          <w:rFonts w:hint="eastAsia"/>
          <w:b/>
          <w:bCs/>
          <w:sz w:val="32"/>
          <w:szCs w:val="32"/>
          <w:lang w:eastAsia="zh-CN"/>
        </w:rPr>
      </w:pPr>
    </w:p>
    <w:p w14:paraId="6E1B94EB">
      <w:pPr>
        <w:bidi w:val="0"/>
        <w:spacing w:line="360" w:lineRule="auto"/>
        <w:jc w:val="center"/>
        <w:outlineLvl w:val="0"/>
        <w:rPr>
          <w:rFonts w:hint="default"/>
          <w:b/>
          <w:bCs/>
          <w:sz w:val="32"/>
          <w:szCs w:val="32"/>
          <w:highlight w:val="yellow"/>
          <w:lang w:val="en-US" w:eastAsia="zh-CN"/>
        </w:rPr>
      </w:pPr>
      <w:bookmarkStart w:id="0" w:name="_Toc18119"/>
      <w:r>
        <w:rPr>
          <w:rFonts w:hint="eastAsia"/>
          <w:b/>
          <w:bCs/>
          <w:sz w:val="32"/>
          <w:szCs w:val="32"/>
          <w:highlight w:val="none"/>
          <w:lang w:eastAsia="zh-CN"/>
        </w:rPr>
        <w:t>项目编号：</w:t>
      </w:r>
      <w:bookmarkEnd w:id="0"/>
      <w:r>
        <w:rPr>
          <w:rFonts w:hint="eastAsia" w:ascii="宋体" w:hAnsi="宋体" w:eastAsia="宋体" w:cs="宋体"/>
          <w:b/>
          <w:bCs/>
          <w:sz w:val="32"/>
          <w:szCs w:val="32"/>
          <w:highlight w:val="none"/>
          <w:lang w:eastAsia="zh-CN"/>
        </w:rPr>
        <w:t>JLKCJKCG[2025]30号-02</w:t>
      </w:r>
    </w:p>
    <w:p w14:paraId="26A1453B">
      <w:pPr>
        <w:bidi w:val="0"/>
        <w:spacing w:line="360" w:lineRule="auto"/>
        <w:ind w:firstLine="964" w:firstLineChars="300"/>
        <w:rPr>
          <w:rFonts w:hint="eastAsia"/>
          <w:b/>
          <w:bCs/>
          <w:sz w:val="32"/>
          <w:szCs w:val="32"/>
          <w:lang w:eastAsia="zh-CN"/>
        </w:rPr>
      </w:pPr>
    </w:p>
    <w:p w14:paraId="09190366">
      <w:pPr>
        <w:bidi w:val="0"/>
        <w:spacing w:line="360" w:lineRule="auto"/>
        <w:ind w:firstLine="964" w:firstLineChars="300"/>
        <w:rPr>
          <w:rFonts w:hint="eastAsia"/>
          <w:b/>
          <w:bCs/>
          <w:sz w:val="32"/>
          <w:szCs w:val="32"/>
          <w:lang w:eastAsia="zh-CN"/>
        </w:rPr>
      </w:pPr>
    </w:p>
    <w:p w14:paraId="1FEED6CA">
      <w:pPr>
        <w:bidi w:val="0"/>
        <w:spacing w:line="360" w:lineRule="auto"/>
        <w:ind w:firstLine="964" w:firstLineChars="300"/>
        <w:rPr>
          <w:rFonts w:hint="eastAsia"/>
          <w:b/>
          <w:bCs/>
          <w:sz w:val="32"/>
          <w:szCs w:val="32"/>
          <w:lang w:eastAsia="zh-CN"/>
        </w:rPr>
      </w:pPr>
    </w:p>
    <w:p w14:paraId="5CFF2730">
      <w:pPr>
        <w:bidi w:val="0"/>
        <w:spacing w:line="360" w:lineRule="auto"/>
        <w:ind w:firstLine="964" w:firstLineChars="300"/>
        <w:rPr>
          <w:rFonts w:hint="eastAsia"/>
          <w:b/>
          <w:bCs/>
          <w:sz w:val="32"/>
          <w:szCs w:val="32"/>
          <w:lang w:eastAsia="zh-CN"/>
        </w:rPr>
      </w:pPr>
    </w:p>
    <w:p w14:paraId="1B82A74F">
      <w:pPr>
        <w:bidi w:val="0"/>
        <w:spacing w:line="360" w:lineRule="auto"/>
        <w:jc w:val="center"/>
        <w:rPr>
          <w:rFonts w:hint="eastAsia"/>
          <w:b/>
          <w:bCs/>
          <w:sz w:val="32"/>
          <w:szCs w:val="32"/>
          <w:lang w:eastAsia="zh-CN"/>
        </w:rPr>
      </w:pPr>
    </w:p>
    <w:p w14:paraId="31600366">
      <w:pPr>
        <w:bidi w:val="0"/>
        <w:spacing w:line="360" w:lineRule="auto"/>
        <w:jc w:val="center"/>
        <w:rPr>
          <w:rFonts w:hint="eastAsia"/>
          <w:b/>
          <w:bCs/>
          <w:sz w:val="32"/>
          <w:szCs w:val="32"/>
          <w:lang w:eastAsia="zh-CN"/>
        </w:rPr>
      </w:pPr>
    </w:p>
    <w:p w14:paraId="619635D7">
      <w:pPr>
        <w:bidi w:val="0"/>
        <w:spacing w:line="360" w:lineRule="auto"/>
        <w:jc w:val="both"/>
        <w:rPr>
          <w:rFonts w:hint="eastAsia"/>
          <w:b/>
          <w:bCs/>
          <w:sz w:val="32"/>
          <w:szCs w:val="32"/>
          <w:lang w:eastAsia="zh-CN"/>
        </w:rPr>
      </w:pPr>
    </w:p>
    <w:p w14:paraId="2A1246A0">
      <w:pPr>
        <w:bidi w:val="0"/>
        <w:spacing w:line="360" w:lineRule="auto"/>
        <w:jc w:val="both"/>
        <w:rPr>
          <w:rFonts w:hint="eastAsia"/>
          <w:b/>
          <w:bCs/>
          <w:sz w:val="32"/>
          <w:szCs w:val="32"/>
          <w:highlight w:val="yellow"/>
          <w:lang w:eastAsia="zh-CN"/>
        </w:rPr>
      </w:pPr>
      <w:r>
        <w:rPr>
          <w:rFonts w:hint="eastAsia"/>
          <w:b/>
          <w:bCs/>
          <w:sz w:val="32"/>
          <w:szCs w:val="32"/>
          <w:lang w:eastAsia="zh-CN"/>
        </w:rPr>
        <w:t>采购人：</w:t>
      </w:r>
      <w:r>
        <w:rPr>
          <w:rFonts w:hint="eastAsia"/>
          <w:b/>
          <w:bCs/>
          <w:sz w:val="32"/>
          <w:szCs w:val="32"/>
          <w:highlight w:val="none"/>
          <w:lang w:eastAsia="zh-CN"/>
        </w:rPr>
        <w:t>长春宽城经济开发区管理委员会</w:t>
      </w:r>
    </w:p>
    <w:p w14:paraId="62771DDC">
      <w:pPr>
        <w:bidi w:val="0"/>
        <w:spacing w:line="360" w:lineRule="auto"/>
        <w:jc w:val="both"/>
        <w:rPr>
          <w:rFonts w:hint="eastAsia"/>
          <w:b/>
          <w:bCs/>
          <w:sz w:val="32"/>
          <w:szCs w:val="32"/>
          <w:lang w:eastAsia="zh-CN"/>
        </w:rPr>
      </w:pPr>
      <w:r>
        <w:rPr>
          <w:rFonts w:hint="eastAsia"/>
          <w:b/>
          <w:bCs/>
          <w:sz w:val="32"/>
          <w:szCs w:val="32"/>
          <w:lang w:eastAsia="zh-CN"/>
        </w:rPr>
        <w:t>采购代理机构：吉林省捷冠工程管理有限公司</w:t>
      </w:r>
    </w:p>
    <w:p w14:paraId="2C39FBB3">
      <w:pPr>
        <w:bidi w:val="0"/>
        <w:spacing w:line="360" w:lineRule="auto"/>
        <w:ind w:firstLine="2570" w:firstLineChars="800"/>
        <w:jc w:val="both"/>
        <w:rPr>
          <w:rFonts w:hint="eastAsia"/>
          <w:b/>
          <w:bCs/>
          <w:sz w:val="32"/>
          <w:szCs w:val="32"/>
          <w:lang w:eastAsia="zh-CN"/>
        </w:rPr>
      </w:pPr>
      <w:r>
        <w:rPr>
          <w:rFonts w:hint="eastAsia"/>
          <w:b/>
          <w:bCs/>
          <w:sz w:val="32"/>
          <w:szCs w:val="32"/>
          <w:lang w:eastAsia="zh-CN"/>
        </w:rPr>
        <w:t>二〇二五年</w:t>
      </w:r>
      <w:r>
        <w:rPr>
          <w:rFonts w:hint="eastAsia"/>
          <w:b/>
          <w:bCs/>
          <w:sz w:val="32"/>
          <w:szCs w:val="32"/>
          <w:lang w:val="en-US" w:eastAsia="zh-CN"/>
        </w:rPr>
        <w:t>七</w:t>
      </w:r>
      <w:r>
        <w:rPr>
          <w:rFonts w:hint="eastAsia"/>
          <w:b/>
          <w:bCs/>
          <w:sz w:val="32"/>
          <w:szCs w:val="32"/>
          <w:lang w:eastAsia="zh-CN"/>
        </w:rPr>
        <w:t>月</w:t>
      </w:r>
    </w:p>
    <w:p w14:paraId="26194ABD">
      <w:pPr>
        <w:rPr>
          <w:rFonts w:hint="eastAsia"/>
          <w:b/>
          <w:bCs/>
          <w:sz w:val="32"/>
          <w:szCs w:val="32"/>
          <w:lang w:eastAsia="zh-CN"/>
        </w:rPr>
      </w:pPr>
      <w:r>
        <w:rPr>
          <w:rFonts w:hint="eastAsia"/>
          <w:b/>
          <w:bCs/>
          <w:sz w:val="32"/>
          <w:szCs w:val="32"/>
          <w:lang w:eastAsia="zh-CN"/>
        </w:rPr>
        <w:br w:type="page"/>
      </w:r>
    </w:p>
    <w:sdt>
      <w:sdtPr>
        <w:rPr>
          <w:rFonts w:ascii="宋体" w:hAnsi="宋体" w:eastAsia="宋体" w:cstheme="minorBidi"/>
          <w:kern w:val="2"/>
          <w:sz w:val="21"/>
          <w:szCs w:val="24"/>
          <w:lang w:val="en-US" w:eastAsia="zh-CN" w:bidi="ar-SA"/>
        </w:rPr>
        <w:id w:val="147456252"/>
        <w15:color w:val="DBDBDB"/>
        <w:docPartObj>
          <w:docPartGallery w:val="Table of Contents"/>
          <w:docPartUnique/>
        </w:docPartObj>
      </w:sdtPr>
      <w:sdtEndPr>
        <w:rPr>
          <w:rFonts w:hint="eastAsia" w:ascii="宋体" w:hAnsi="宋体" w:eastAsia="宋体" w:cs="宋体"/>
          <w:bCs/>
          <w:kern w:val="2"/>
          <w:sz w:val="21"/>
          <w:szCs w:val="32"/>
          <w:lang w:val="en-US" w:eastAsia="zh-CN" w:bidi="ar-SA"/>
        </w:rPr>
      </w:sdtEndPr>
      <w:sdtContent>
        <w:p w14:paraId="04027087">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692BD160">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目录</w:t>
          </w:r>
        </w:p>
        <w:p w14:paraId="610A3F2D">
          <w:pPr>
            <w:spacing w:before="0" w:beforeLines="0" w:after="0" w:afterLines="0" w:line="240" w:lineRule="auto"/>
            <w:ind w:left="0" w:leftChars="0" w:right="0" w:rightChars="0" w:firstLine="0" w:firstLineChars="0"/>
            <w:jc w:val="center"/>
            <w:rPr>
              <w:rFonts w:ascii="宋体" w:hAnsi="宋体" w:eastAsia="宋体"/>
              <w:b/>
              <w:bCs/>
              <w:sz w:val="32"/>
              <w:szCs w:val="40"/>
            </w:rPr>
          </w:pPr>
        </w:p>
        <w:p w14:paraId="49B3AFA3">
          <w:pPr>
            <w:pStyle w:val="37"/>
            <w:tabs>
              <w:tab w:val="right" w:leader="dot" w:pos="8300"/>
            </w:tabs>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14:paraId="78357FA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_Toc31158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_Toc31158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2BF4663">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_Toc9826 </w:instrText>
          </w:r>
          <w:r>
            <w:rPr>
              <w:rFonts w:hint="eastAsia" w:ascii="宋体" w:hAnsi="宋体" w:eastAsia="宋体" w:cs="宋体"/>
              <w:bCs/>
              <w:sz w:val="28"/>
              <w:szCs w:val="28"/>
            </w:rPr>
            <w:fldChar w:fldCharType="separate"/>
          </w:r>
          <w:r>
            <w:rPr>
              <w:rFonts w:hint="eastAsia" w:ascii="宋体" w:hAnsi="宋体" w:eastAsia="宋体" w:cs="宋体"/>
              <w:bCs w:val="0"/>
              <w:snapToGrid w:val="0"/>
              <w:sz w:val="28"/>
              <w:szCs w:val="28"/>
              <w:highlight w:val="none"/>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_Toc9826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56515D5">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_Toc1779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rPr>
            <w:t>第三章 评标方法及标准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_Toc1779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A869EE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_Toc25838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第四章 </w:t>
          </w:r>
          <w:r>
            <w:rPr>
              <w:rFonts w:hint="eastAsia" w:ascii="宋体" w:hAnsi="宋体" w:eastAsia="宋体" w:cs="宋体"/>
              <w:bCs/>
              <w:sz w:val="28"/>
              <w:szCs w:val="28"/>
              <w:highlight w:val="none"/>
            </w:rPr>
            <w:t>合同主要条款及格式</w:t>
          </w:r>
          <w:r>
            <w:rPr>
              <w:rFonts w:hint="eastAsia" w:ascii="宋体" w:hAnsi="宋体" w:eastAsia="宋体" w:cs="宋体"/>
              <w:sz w:val="28"/>
              <w:szCs w:val="28"/>
              <w:highlight w:val="none"/>
            </w:rPr>
            <w:t>（参考格式）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_Toc25838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D7B8314">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_Toc13023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第五章 </w:t>
          </w:r>
          <w:r>
            <w:rPr>
              <w:rFonts w:hint="eastAsia" w:ascii="宋体" w:hAnsi="宋体" w:eastAsia="宋体" w:cs="宋体"/>
              <w:bCs/>
              <w:sz w:val="28"/>
              <w:szCs w:val="28"/>
              <w:highlight w:val="none"/>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_Toc13023 \h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B34D6DD">
          <w:pPr>
            <w:pStyle w:val="37"/>
            <w:tabs>
              <w:tab w:val="right" w:leader="dot" w:pos="8300"/>
            </w:tabs>
            <w:spacing w:line="360" w:lineRule="auto"/>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_Toc5334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lang w:val="zh-CN"/>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_Toc5334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301B665">
          <w:pPr>
            <w:pStyle w:val="37"/>
            <w:tabs>
              <w:tab w:val="right" w:leader="dot" w:pos="8300"/>
            </w:tabs>
          </w:pPr>
        </w:p>
        <w:p w14:paraId="15B8F898">
          <w:pPr>
            <w:rPr>
              <w:rFonts w:hint="eastAsia" w:ascii="宋体" w:hAnsi="宋体" w:eastAsia="宋体" w:cs="宋体"/>
              <w:bCs/>
              <w:kern w:val="2"/>
              <w:sz w:val="21"/>
              <w:szCs w:val="32"/>
              <w:lang w:val="en-US" w:eastAsia="zh-CN" w:bidi="ar-SA"/>
            </w:rPr>
          </w:pPr>
          <w:r>
            <w:rPr>
              <w:rFonts w:hint="eastAsia" w:ascii="宋体" w:hAnsi="宋体" w:eastAsia="宋体" w:cs="宋体"/>
              <w:bCs/>
              <w:szCs w:val="32"/>
            </w:rPr>
            <w:fldChar w:fldCharType="end"/>
          </w:r>
        </w:p>
      </w:sdtContent>
    </w:sdt>
    <w:p w14:paraId="485A0784">
      <w:pPr>
        <w:rPr>
          <w:rFonts w:hint="eastAsia" w:ascii="宋体" w:hAnsi="宋体" w:eastAsia="宋体" w:cs="宋体"/>
          <w:bCs/>
          <w:kern w:val="2"/>
          <w:sz w:val="21"/>
          <w:szCs w:val="32"/>
          <w:lang w:val="en-US" w:eastAsia="zh-CN" w:bidi="ar-SA"/>
        </w:rPr>
      </w:pPr>
    </w:p>
    <w:p w14:paraId="2CEF5105">
      <w:pPr>
        <w:rPr>
          <w:rFonts w:hint="eastAsia" w:ascii="宋体" w:hAnsi="宋体" w:eastAsia="宋体" w:cs="宋体"/>
          <w:b/>
          <w:bCs/>
          <w:sz w:val="32"/>
          <w:szCs w:val="32"/>
        </w:rPr>
      </w:pPr>
      <w:bookmarkStart w:id="1" w:name="_Toc31158"/>
      <w:r>
        <w:rPr>
          <w:rFonts w:hint="eastAsia" w:ascii="宋体" w:hAnsi="宋体" w:eastAsia="宋体" w:cs="宋体"/>
          <w:b/>
          <w:bCs/>
          <w:sz w:val="32"/>
          <w:szCs w:val="32"/>
        </w:rPr>
        <w:br w:type="page"/>
      </w:r>
    </w:p>
    <w:p w14:paraId="69171CD3">
      <w:pPr>
        <w:bidi w:val="0"/>
        <w:jc w:val="left"/>
        <w:rPr>
          <w:rFonts w:hint="eastAsia" w:asciiTheme="minorHAnsi" w:hAnsiTheme="minorHAnsi" w:eastAsiaTheme="minorEastAsia" w:cstheme="minorBidi"/>
          <w:kern w:val="2"/>
          <w:sz w:val="21"/>
          <w:szCs w:val="24"/>
          <w:lang w:val="en-US" w:eastAsia="zh-CN" w:bidi="ar-SA"/>
        </w:rPr>
      </w:pPr>
    </w:p>
    <w:p w14:paraId="2633D691">
      <w:pPr>
        <w:bidi w:val="0"/>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第一章 招标公告</w:t>
      </w:r>
      <w:bookmarkEnd w:id="1"/>
    </w:p>
    <w:p w14:paraId="41267FE2">
      <w:pPr>
        <w:spacing w:before="25"/>
      </w:pPr>
    </w:p>
    <w:p w14:paraId="21586731">
      <w:pPr>
        <w:keepNext w:val="0"/>
        <w:keepLines w:val="0"/>
        <w:pageBreakBefore w:val="0"/>
        <w:kinsoku/>
        <w:wordWrap/>
        <w:overflowPunct/>
        <w:topLinePunct w:val="0"/>
        <w:autoSpaceDE/>
        <w:autoSpaceDN/>
        <w:bidi w:val="0"/>
        <w:adjustRightInd/>
        <w:snapToGrid/>
        <w:spacing w:line="240" w:lineRule="auto"/>
        <w:textAlignment w:val="auto"/>
        <w:rPr>
          <w:sz w:val="24"/>
          <w:szCs w:val="24"/>
        </w:rPr>
      </w:pPr>
      <w:r>
        <w:rPr>
          <w:rFonts w:hint="eastAsia" w:ascii="宋体" w:hAnsi="宋体" w:eastAsia="宋体" w:cs="宋体"/>
          <w:b/>
          <w:bCs/>
          <w:spacing w:val="-1"/>
          <w:sz w:val="24"/>
          <w:szCs w:val="24"/>
          <w:lang w:val="en-US" w:eastAsia="en-US"/>
        </w:rPr>
        <w:t>项目概况</w:t>
      </w:r>
    </w:p>
    <w:tbl>
      <w:tblPr>
        <w:tblStyle w:val="22"/>
        <w:tblpPr w:leftFromText="180" w:rightFromText="180" w:vertAnchor="text" w:tblpX="-491" w:tblpY="342"/>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1499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172" w:type="dxa"/>
          </w:tcPr>
          <w:p w14:paraId="0AFB2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
                <w:sz w:val="24"/>
                <w:szCs w:val="24"/>
                <w:vertAlign w:val="baseline"/>
                <w:lang w:val="en-US" w:eastAsia="en-US"/>
              </w:rPr>
            </w:pPr>
            <w:r>
              <w:rPr>
                <w:rFonts w:hint="eastAsia" w:ascii="宋体" w:hAnsi="宋体" w:eastAsia="宋体" w:cs="宋体"/>
                <w:sz w:val="24"/>
                <w:szCs w:val="24"/>
                <w:lang w:eastAsia="zh-CN"/>
              </w:rPr>
              <w:t>长春市宽城区医院异地建设项目、长春市宽城区卫生综合体建设项目医疗家具采购项目</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应自行登录政府采购云平台（网址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http://www.zcygov.cn）</w:t>
            </w:r>
            <w:r>
              <w:rPr>
                <w:rFonts w:hint="eastAsia" w:ascii="宋体" w:hAnsi="宋体" w:eastAsia="宋体" w:cs="宋体"/>
                <w:color w:val="auto"/>
                <w:sz w:val="24"/>
                <w:szCs w:val="24"/>
                <w:lang w:eastAsia="zh-CN"/>
              </w:rPr>
              <w:t>网上</w:t>
            </w:r>
            <w:r>
              <w:rPr>
                <w:rFonts w:hint="eastAsia" w:ascii="宋体" w:hAnsi="宋体" w:eastAsia="宋体" w:cs="宋体"/>
                <w:color w:val="auto"/>
                <w:sz w:val="24"/>
                <w:szCs w:val="24"/>
                <w:highlight w:val="none"/>
                <w:lang w:eastAsia="zh-CN"/>
              </w:rPr>
              <w:t>注册（https://middle.zcygov.cn/v-settle-front/registry）并下载招标文件，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w:t>
            </w:r>
            <w:r>
              <w:rPr>
                <w:rFonts w:hint="eastAsia" w:ascii="宋体" w:hAnsi="宋体" w:eastAsia="宋体" w:cs="宋体"/>
                <w:color w:val="auto"/>
                <w:sz w:val="24"/>
                <w:szCs w:val="24"/>
              </w:rPr>
              <w:t>间）前提交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tc>
      </w:tr>
    </w:tbl>
    <w:p w14:paraId="69E2DA7B">
      <w:pPr>
        <w:keepNext w:val="0"/>
        <w:keepLines w:val="0"/>
        <w:pageBreakBefore w:val="0"/>
        <w:kinsoku/>
        <w:wordWrap/>
        <w:overflowPunct/>
        <w:topLinePunct w:val="0"/>
        <w:autoSpaceDE/>
        <w:autoSpaceDN/>
        <w:bidi w:val="0"/>
        <w:adjustRightInd/>
        <w:snapToGrid/>
        <w:spacing w:before="195" w:line="360" w:lineRule="auto"/>
        <w:ind w:left="23"/>
        <w:textAlignment w:val="auto"/>
        <w:rPr>
          <w:rFonts w:hint="eastAsia" w:ascii="宋体" w:hAnsi="宋体" w:eastAsia="宋体" w:cs="宋体"/>
          <w:sz w:val="24"/>
          <w:szCs w:val="24"/>
        </w:rPr>
      </w:pPr>
      <w:r>
        <w:rPr>
          <w:rFonts w:hint="eastAsia" w:ascii="宋体" w:hAnsi="宋体" w:eastAsia="宋体" w:cs="宋体"/>
          <w:b/>
          <w:bCs/>
          <w:spacing w:val="-5"/>
          <w:sz w:val="24"/>
          <w:szCs w:val="24"/>
        </w:rPr>
        <w:t>一、项目基本情况</w:t>
      </w:r>
    </w:p>
    <w:p w14:paraId="60041965">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JLKCJKCG[2025]30号-02</w:t>
      </w:r>
    </w:p>
    <w:p w14:paraId="1EFBBD50">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长春市宽城区医院异地建设项目、长春市宽城区卫生综合体建设项目医疗家具采购项目</w:t>
      </w:r>
    </w:p>
    <w:p w14:paraId="4D34C3D3">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rPr>
        <w:t>预算金额：4,305,963元</w:t>
      </w:r>
    </w:p>
    <w:p w14:paraId="6A0236F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最高限价：4,305,963元</w:t>
      </w:r>
    </w:p>
    <w:p w14:paraId="5F71A4E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default"/>
          <w:sz w:val="24"/>
          <w:szCs w:val="24"/>
          <w:highlight w:val="none"/>
          <w:lang w:val="en-US"/>
        </w:rPr>
      </w:pPr>
      <w:r>
        <w:rPr>
          <w:rFonts w:hint="eastAsia" w:ascii="宋体" w:hAnsi="宋体" w:eastAsia="宋体" w:cs="宋体"/>
          <w:spacing w:val="-2"/>
          <w:sz w:val="24"/>
          <w:szCs w:val="24"/>
        </w:rPr>
        <w:t>采购需求</w:t>
      </w:r>
      <w:r>
        <w:rPr>
          <w:rFonts w:hint="eastAsia" w:ascii="宋体" w:hAnsi="宋体" w:eastAsia="宋体" w:cs="宋体"/>
          <w:spacing w:val="-2"/>
          <w:sz w:val="24"/>
          <w:szCs w:val="24"/>
          <w:lang w:eastAsia="zh-CN"/>
        </w:rPr>
        <w:t>：为宽城区医院、宽城区疾控中心(卫生监督所)、宽城区中医院、兰家卫生院新址配备办公桌椅、会议桌椅、资料存储柜等办公类家具;以及门诊、疗区的诊室、药房、病房、公共区域等医疗类家具。</w:t>
      </w:r>
    </w:p>
    <w:p w14:paraId="35C24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合同履行期限(交货期限)：合同订立后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天内交货</w:t>
      </w:r>
      <w:r>
        <w:rPr>
          <w:rFonts w:hint="eastAsia" w:ascii="宋体" w:hAnsi="宋体" w:eastAsia="宋体" w:cs="宋体"/>
          <w:color w:val="auto"/>
          <w:sz w:val="24"/>
          <w:szCs w:val="24"/>
          <w:highlight w:val="none"/>
          <w:lang w:eastAsia="zh-CN"/>
        </w:rPr>
        <w:t>，并安装完毕</w:t>
      </w:r>
      <w:r>
        <w:rPr>
          <w:rFonts w:hint="eastAsia" w:ascii="宋体" w:hAnsi="宋体" w:eastAsia="宋体" w:cs="宋体"/>
          <w:color w:val="auto"/>
          <w:sz w:val="24"/>
          <w:szCs w:val="24"/>
          <w:highlight w:val="none"/>
        </w:rPr>
        <w:t>。</w:t>
      </w:r>
    </w:p>
    <w:p w14:paraId="36840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交货地点：</w:t>
      </w:r>
      <w:r>
        <w:rPr>
          <w:rFonts w:hint="eastAsia" w:ascii="宋体" w:hAnsi="宋体" w:eastAsia="宋体" w:cs="宋体"/>
          <w:sz w:val="24"/>
          <w:szCs w:val="24"/>
          <w:lang w:val="en-US" w:eastAsia="zh-CN"/>
        </w:rPr>
        <w:t>采购人</w:t>
      </w:r>
      <w:r>
        <w:rPr>
          <w:rFonts w:hint="eastAsia" w:ascii="宋体" w:hAnsi="宋体" w:eastAsia="宋体" w:cs="宋体"/>
          <w:sz w:val="24"/>
          <w:szCs w:val="24"/>
        </w:rPr>
        <w:t xml:space="preserve">指定地点。 </w:t>
      </w:r>
    </w:p>
    <w:p w14:paraId="3BDEA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14:paraId="08BA4A8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sz w:val="24"/>
          <w:szCs w:val="24"/>
        </w:rPr>
      </w:pPr>
      <w:r>
        <w:rPr>
          <w:rFonts w:hint="eastAsia" w:ascii="宋体" w:hAnsi="宋体" w:eastAsia="宋体" w:cs="宋体"/>
          <w:b/>
          <w:bCs/>
          <w:spacing w:val="-9"/>
          <w:sz w:val="24"/>
          <w:szCs w:val="24"/>
        </w:rPr>
        <w:t>二、</w:t>
      </w:r>
      <w:r>
        <w:rPr>
          <w:rFonts w:hint="eastAsia" w:ascii="宋体" w:hAnsi="宋体" w:eastAsia="宋体" w:cs="宋体"/>
          <w:spacing w:val="-64"/>
          <w:sz w:val="24"/>
          <w:szCs w:val="24"/>
        </w:rPr>
        <w:t xml:space="preserve"> </w:t>
      </w:r>
      <w:r>
        <w:rPr>
          <w:rFonts w:hint="eastAsia" w:ascii="宋体" w:hAnsi="宋体" w:eastAsia="宋体" w:cs="宋体"/>
          <w:b/>
          <w:bCs/>
          <w:spacing w:val="-9"/>
          <w:sz w:val="24"/>
          <w:szCs w:val="24"/>
        </w:rPr>
        <w:t>申请人的资格要求：</w:t>
      </w:r>
    </w:p>
    <w:p w14:paraId="1D8BFA7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 xml:space="preserve"> 满足《中华人民共和国政府采购法》第二十二条规定</w:t>
      </w:r>
      <w:r>
        <w:rPr>
          <w:rFonts w:hint="eastAsia" w:ascii="宋体" w:hAnsi="宋体" w:eastAsia="宋体" w:cs="宋体"/>
          <w:spacing w:val="-1"/>
          <w:sz w:val="24"/>
          <w:szCs w:val="24"/>
          <w:highlight w:val="none"/>
          <w:lang w:eastAsia="zh-CN"/>
        </w:rPr>
        <w:t>。</w:t>
      </w:r>
    </w:p>
    <w:p w14:paraId="1B436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 落实政府采购政策需满足的资格要求：本</w:t>
      </w:r>
      <w:r>
        <w:rPr>
          <w:rFonts w:hint="eastAsia" w:ascii="宋体" w:hAnsi="宋体" w:eastAsia="宋体" w:cs="宋体"/>
          <w:spacing w:val="-1"/>
          <w:sz w:val="24"/>
          <w:szCs w:val="24"/>
          <w:highlight w:val="none"/>
        </w:rPr>
        <w:t>项目</w:t>
      </w:r>
      <w:r>
        <w:rPr>
          <w:rFonts w:hint="eastAsia" w:ascii="宋体" w:hAnsi="宋体" w:eastAsia="宋体" w:cs="宋体"/>
          <w:spacing w:val="-1"/>
          <w:sz w:val="24"/>
          <w:szCs w:val="24"/>
          <w:highlight w:val="none"/>
          <w:lang w:val="en-US" w:eastAsia="zh-CN"/>
        </w:rPr>
        <w:t>非</w:t>
      </w:r>
      <w:r>
        <w:rPr>
          <w:rFonts w:hint="eastAsia" w:ascii="宋体" w:hAnsi="宋体" w:eastAsia="宋体" w:cs="宋体"/>
          <w:spacing w:val="-1"/>
          <w:sz w:val="24"/>
          <w:szCs w:val="24"/>
          <w:highlight w:val="none"/>
        </w:rPr>
        <w:t>专门面向中小企业</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（本项目中小企业划分标准所属行业：工业）</w:t>
      </w:r>
      <w:r>
        <w:rPr>
          <w:rFonts w:hint="eastAsia" w:ascii="宋体" w:hAnsi="宋体" w:eastAsia="宋体" w:cs="宋体"/>
          <w:spacing w:val="-1"/>
          <w:sz w:val="24"/>
          <w:szCs w:val="24"/>
          <w:highlight w:val="none"/>
          <w:lang w:eastAsia="zh-CN"/>
        </w:rPr>
        <w:t>。</w:t>
      </w:r>
    </w:p>
    <w:p w14:paraId="61E0E0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E396C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3.1投标申请人须在中华人民共和国境内注册，具有独立承担民事责任能力的法人、自然人或具备国家认可经营资格的其他组织，并在人员、设备、资金等方面具有相应的供货能力</w:t>
      </w:r>
      <w:r>
        <w:rPr>
          <w:rFonts w:hint="eastAsia" w:ascii="宋体" w:hAnsi="宋体" w:eastAsia="宋体" w:cs="宋体"/>
          <w:sz w:val="24"/>
          <w:szCs w:val="24"/>
          <w:highlight w:val="none"/>
          <w:lang w:eastAsia="zh-CN"/>
        </w:rPr>
        <w:t>；</w:t>
      </w:r>
    </w:p>
    <w:p w14:paraId="37E676D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3.2</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具有良好的商业信誉和健全的财务会计制度，依法缴纳税收和社会保障资金的良好记录，根据[长财采购[2022]2066号文件]关于加强政府采购信用体系建设简化</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资格条件有关事项的通知提供资格条件承诺函</w:t>
      </w:r>
      <w:r>
        <w:rPr>
          <w:rFonts w:hint="eastAsia" w:ascii="宋体" w:hAnsi="宋体" w:eastAsia="宋体" w:cs="宋体"/>
          <w:color w:val="000000" w:themeColor="text1"/>
          <w:sz w:val="24"/>
          <w:szCs w:val="24"/>
          <w:lang w:eastAsia="zh-CN"/>
          <w14:textFill>
            <w14:solidFill>
              <w14:schemeClr w14:val="tx1"/>
            </w14:solidFill>
          </w14:textFill>
        </w:rPr>
        <w:t>；</w:t>
      </w:r>
    </w:p>
    <w:p w14:paraId="72D151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sz w:val="24"/>
          <w:szCs w:val="24"/>
          <w:highlight w:val="none"/>
          <w:lang w:eastAsia="zh-CN"/>
        </w:rPr>
        <w:t>；</w:t>
      </w:r>
    </w:p>
    <w:p w14:paraId="0EC47BF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sz w:val="24"/>
          <w:szCs w:val="24"/>
          <w:highlight w:val="none"/>
          <w:lang w:val="en-US" w:eastAsia="zh-CN"/>
        </w:rPr>
        <w:t>在“中国裁判文书网”自行查询本公司近三年内无行贿行为记录；</w:t>
      </w:r>
    </w:p>
    <w:p w14:paraId="432321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0D82F5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lang w:eastAsia="zh-CN"/>
        </w:rPr>
        <w:t>本项目不接受联合体投标。</w:t>
      </w:r>
    </w:p>
    <w:p w14:paraId="64AA38CA">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highlight w:val="none"/>
        </w:rPr>
      </w:pPr>
      <w:r>
        <w:rPr>
          <w:rFonts w:hint="eastAsia" w:ascii="宋体" w:hAnsi="宋体" w:eastAsia="宋体" w:cs="宋体"/>
          <w:b/>
          <w:bCs/>
          <w:spacing w:val="-9"/>
          <w:sz w:val="24"/>
          <w:szCs w:val="24"/>
        </w:rPr>
        <w:t>三、获取招标</w:t>
      </w:r>
      <w:r>
        <w:rPr>
          <w:rFonts w:hint="eastAsia" w:ascii="宋体" w:hAnsi="宋体" w:eastAsia="宋体" w:cs="宋体"/>
          <w:b/>
          <w:bCs/>
          <w:spacing w:val="-9"/>
          <w:sz w:val="24"/>
          <w:szCs w:val="24"/>
          <w:highlight w:val="none"/>
        </w:rPr>
        <w:t>文件的时间、地点、方式及招标文件售价</w:t>
      </w:r>
    </w:p>
    <w:p w14:paraId="54BF0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日16：00（北京时间，法定节假日除外）。</w:t>
      </w:r>
    </w:p>
    <w:p w14:paraId="15472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地点：政府采购云平台（网址：http:// www.zcygov.cn）</w:t>
      </w:r>
      <w:r>
        <w:rPr>
          <w:rFonts w:hint="eastAsia" w:ascii="宋体" w:hAnsi="宋体" w:eastAsia="宋体" w:cs="宋体"/>
          <w:color w:val="auto"/>
          <w:sz w:val="24"/>
          <w:szCs w:val="24"/>
          <w:highlight w:val="none"/>
          <w:lang w:val="zh-CN"/>
        </w:rPr>
        <w:t>。</w:t>
      </w:r>
    </w:p>
    <w:p w14:paraId="2C023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方式：潜在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可自行在“政采云”平台（网址：http：//www.zcygov.cn）下载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4"/>
          <w:szCs w:val="24"/>
          <w:highlight w:val="none"/>
          <w:lang w:eastAsia="zh-CN"/>
        </w:rPr>
        <w:t>。</w:t>
      </w:r>
    </w:p>
    <w:p w14:paraId="66C1C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未进行网上注册并办理CA认证的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将无法参与本次招标活动。</w:t>
      </w:r>
    </w:p>
    <w:p w14:paraId="1D3F3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7BD6E3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四、提交投标文件截止时间、开标时间和地点</w:t>
      </w:r>
    </w:p>
    <w:p w14:paraId="2987A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提交投标文件截止时间、开标时间：202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（北京</w:t>
      </w:r>
      <w:r>
        <w:rPr>
          <w:rFonts w:hint="eastAsia" w:ascii="宋体" w:hAnsi="宋体" w:eastAsia="宋体" w:cs="宋体"/>
          <w:color w:val="auto"/>
          <w:sz w:val="24"/>
          <w:szCs w:val="24"/>
        </w:rPr>
        <w:t>时间）。</w:t>
      </w:r>
    </w:p>
    <w:p w14:paraId="66AB5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长春市高新区鸿达街吉林日报副楼4楼吉利招第三开标室。</w:t>
      </w:r>
    </w:p>
    <w:p w14:paraId="6B285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文件提交方式：本项目为全流程电子化项目，通过“政采云 ”平台（http：//www.zcygov.cn）实行在线电子投标，</w:t>
      </w:r>
      <w:r>
        <w:rPr>
          <w:rFonts w:hint="eastAsia" w:ascii="宋体" w:hAnsi="宋体" w:eastAsia="宋体" w:cs="宋体"/>
          <w:sz w:val="24"/>
          <w:szCs w:val="24"/>
          <w:lang w:eastAsia="zh-CN"/>
        </w:rPr>
        <w:t>投标人</w:t>
      </w:r>
      <w:r>
        <w:rPr>
          <w:rFonts w:hint="eastAsia" w:ascii="宋体" w:hAnsi="宋体" w:eastAsia="宋体" w:cs="宋体"/>
          <w:sz w:val="24"/>
          <w:szCs w:val="24"/>
        </w:rPr>
        <w:t>应先安装“政采云投标客户端 ”（请自行前往“政采云 ”平台进行下载），并按照本项目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文件和“政采云 ”平台的要求编制、加密后在</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文件截止时间前通过网络上传至“政采云”平台，</w:t>
      </w:r>
      <w:r>
        <w:rPr>
          <w:rFonts w:hint="eastAsia" w:ascii="宋体" w:hAnsi="宋体" w:eastAsia="宋体" w:cs="宋体"/>
          <w:sz w:val="24"/>
          <w:szCs w:val="24"/>
          <w:lang w:eastAsia="zh-CN"/>
        </w:rPr>
        <w:t>投标人</w:t>
      </w:r>
      <w:r>
        <w:rPr>
          <w:rFonts w:hint="eastAsia" w:ascii="宋体" w:hAnsi="宋体" w:eastAsia="宋体" w:cs="宋体"/>
          <w:sz w:val="24"/>
          <w:szCs w:val="24"/>
        </w:rPr>
        <w:t>在“政采云 ”平台提交电子版</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文件时，请填写参加采购活动经办人联系方式。</w:t>
      </w:r>
    </w:p>
    <w:p w14:paraId="73A6FDDB">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五、公告期限</w:t>
      </w:r>
    </w:p>
    <w:p w14:paraId="65D37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 5 个工作日。</w:t>
      </w:r>
    </w:p>
    <w:p w14:paraId="0D54C2B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六、其他补充事宜</w:t>
      </w:r>
    </w:p>
    <w:p w14:paraId="6E8AFA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highlight w:val="none"/>
          <w:lang w:val="en-US" w:eastAsia="zh-CN"/>
        </w:rPr>
        <w:t>逾期送达的或者未送达指定地点的投标文件，采购人、采购代理机构不予受理。</w:t>
      </w:r>
    </w:p>
    <w:p w14:paraId="28A0081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本项目采用全流程电子化招投标，开标方式为远程开标，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须在提交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文件截止时间前通过政府采购云平台（网址：http://www.zcygov.cn）递交电子</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文件，并使用CA锁进行投标文件远程解密。</w:t>
      </w:r>
    </w:p>
    <w:p w14:paraId="3F97B8D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投标操作流程：</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在政府采购云平台网注册入库成为正式</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后，在平台上按《政府采购项目电子交易管理操作指南-</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》进行投标操作。</w:t>
      </w:r>
    </w:p>
    <w:p w14:paraId="32FBB8B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数字证书办理及投标技术咨询：投标人须办理数字证书方可参加投标。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须自行考虑数字证书办理时限，由于</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自身原因在开标前无法完成办理，后果自负。</w:t>
      </w:r>
    </w:p>
    <w:p w14:paraId="203269C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highlight w:val="none"/>
        </w:rPr>
        <w:t>若对项目采购电子交易系统操作有疑问，可登录“政采云”平台（https://www.zcygov.cn/）点击右侧咨询小采，获取采小蜜智能服务管家帮助，或拨打政采云服务热线95763获取热线服务帮助。</w:t>
      </w:r>
    </w:p>
    <w:p w14:paraId="271736F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highlight w:val="none"/>
          <w:lang w:val="en-US" w:eastAsia="zh-CN"/>
        </w:rPr>
        <w:t>因企业CA锁原因未能进行解密的，其投标无效。</w:t>
      </w:r>
    </w:p>
    <w:p w14:paraId="1131D62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本次招标公告在“政采云”平台（http://www.zcygov.cn）（同步推送到中国政府采购网、吉林省政府采购网、长春市公共资源交易网）上发布。</w:t>
      </w:r>
    </w:p>
    <w:p w14:paraId="4659C1AF">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lang w:eastAsia="zh-CN"/>
        </w:rPr>
        <w:t>七</w:t>
      </w:r>
      <w:r>
        <w:rPr>
          <w:rFonts w:hint="eastAsia" w:ascii="宋体" w:hAnsi="宋体" w:eastAsia="宋体" w:cs="宋体"/>
          <w:b/>
          <w:bCs/>
          <w:spacing w:val="-9"/>
          <w:sz w:val="24"/>
          <w:szCs w:val="24"/>
        </w:rPr>
        <w:t>、对本次招标提出询问，请按以下方式联系。</w:t>
      </w:r>
    </w:p>
    <w:p w14:paraId="25BCE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14:paraId="13981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称</w:t>
      </w:r>
      <w:r>
        <w:rPr>
          <w:rFonts w:hint="eastAsia" w:ascii="宋体" w:hAnsi="宋体" w:eastAsia="宋体" w:cs="宋体"/>
          <w:sz w:val="24"/>
          <w:szCs w:val="24"/>
          <w:lang w:val="zh-CN"/>
        </w:rPr>
        <w:t>：长春宽城经济开发区管理委员会</w:t>
      </w:r>
    </w:p>
    <w:p w14:paraId="559F8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地</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址：长春市宽城区凯旋北路7388号</w:t>
      </w:r>
    </w:p>
    <w:p w14:paraId="129AC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人</w:t>
      </w:r>
      <w:r>
        <w:rPr>
          <w:rFonts w:hint="eastAsia" w:ascii="宋体" w:hAnsi="宋体" w:eastAsia="宋体" w:cs="宋体"/>
          <w:sz w:val="24"/>
          <w:szCs w:val="24"/>
          <w:lang w:val="zh-CN"/>
        </w:rPr>
        <w:t>：胡玉姝</w:t>
      </w:r>
    </w:p>
    <w:p w14:paraId="1A85A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联系电话：</w:t>
      </w:r>
      <w:r>
        <w:rPr>
          <w:rFonts w:hint="eastAsia" w:ascii="宋体" w:hAnsi="宋体" w:eastAsia="宋体" w:cs="宋体"/>
          <w:sz w:val="24"/>
          <w:szCs w:val="24"/>
          <w:lang w:val="en-US" w:eastAsia="zh-CN"/>
        </w:rPr>
        <w:t>0431-89991801</w:t>
      </w:r>
    </w:p>
    <w:p w14:paraId="1FDA6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采购代理机构信息</w:t>
      </w:r>
    </w:p>
    <w:p w14:paraId="3D4EA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采购代理机构：</w:t>
      </w:r>
      <w:r>
        <w:rPr>
          <w:rFonts w:hint="eastAsia" w:ascii="宋体" w:hAnsi="宋体" w:eastAsia="宋体" w:cs="宋体"/>
          <w:sz w:val="24"/>
          <w:szCs w:val="24"/>
          <w:lang w:val="zh-CN" w:eastAsia="zh-CN"/>
        </w:rPr>
        <w:t>吉林省捷冠工程管理有限公司</w:t>
      </w:r>
    </w:p>
    <w:p w14:paraId="220C7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址：长春市朝阳区红旗街765号华亿红府4、14幢1单元1205号房</w:t>
      </w:r>
    </w:p>
    <w:p w14:paraId="6D4C1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人：恬露</w:t>
      </w:r>
    </w:p>
    <w:p w14:paraId="21C2D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联系电话：15643022390</w:t>
      </w:r>
    </w:p>
    <w:p w14:paraId="048F0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项目联系方式</w:t>
      </w:r>
    </w:p>
    <w:p w14:paraId="4BEC5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采购代理机构联系人：</w:t>
      </w:r>
      <w:r>
        <w:rPr>
          <w:rFonts w:hint="eastAsia" w:ascii="宋体" w:hAnsi="宋体" w:eastAsia="宋体" w:cs="宋体"/>
          <w:sz w:val="24"/>
          <w:szCs w:val="24"/>
          <w:lang w:val="en-US" w:eastAsia="zh-CN"/>
        </w:rPr>
        <w:t>恬露</w:t>
      </w:r>
      <w:r>
        <w:rPr>
          <w:rFonts w:hint="eastAsia" w:ascii="宋体" w:hAnsi="宋体" w:eastAsia="宋体" w:cs="宋体"/>
          <w:sz w:val="24"/>
          <w:szCs w:val="24"/>
          <w:lang w:val="zh-CN"/>
        </w:rPr>
        <w:t xml:space="preserve"> </w:t>
      </w:r>
    </w:p>
    <w:p w14:paraId="6E802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联系电话：15643022390</w:t>
      </w:r>
    </w:p>
    <w:p w14:paraId="09495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4.监督联系方式：</w:t>
      </w:r>
    </w:p>
    <w:p w14:paraId="7080F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监督部门：长春宽城经济开发区财政金融局</w:t>
      </w:r>
    </w:p>
    <w:p w14:paraId="1E191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联系电话：0431-89991808</w:t>
      </w:r>
    </w:p>
    <w:p w14:paraId="7D97FA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5.本项目按照吉林省财政厅《关于依托政府采购数字金融服务平台开展融资业务有关事项的通知》(吉财采购(2023]721号)支持申请“政采合同贷”政策。</w:t>
      </w:r>
    </w:p>
    <w:p w14:paraId="126EB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“政采数金平台”联系电话：张经理0431-81888978  柯经理0431-81888998</w:t>
      </w:r>
    </w:p>
    <w:p w14:paraId="2A7165CD">
      <w:pPr>
        <w:rPr>
          <w:rFonts w:hint="eastAsia"/>
        </w:rPr>
        <w:sectPr>
          <w:headerReference r:id="rId3" w:type="default"/>
          <w:footerReference r:id="rId4" w:type="default"/>
          <w:pgSz w:w="11906" w:h="16838"/>
          <w:pgMar w:top="1440" w:right="1803" w:bottom="1440" w:left="1803" w:header="708" w:footer="964" w:gutter="0"/>
          <w:pgNumType w:fmt="decimal" w:start="1"/>
          <w:cols w:space="720" w:num="1"/>
          <w:docGrid w:linePitch="360" w:charSpace="0"/>
        </w:sectPr>
      </w:pPr>
      <w:r>
        <w:rPr>
          <w:rFonts w:hint="eastAsia"/>
        </w:rPr>
        <w:br w:type="page"/>
      </w:r>
    </w:p>
    <w:p w14:paraId="7323A36D">
      <w:pPr>
        <w:pStyle w:val="18"/>
        <w:jc w:val="center"/>
        <w:outlineLvl w:val="0"/>
        <w:rPr>
          <w:color w:val="000000"/>
          <w:highlight w:val="none"/>
        </w:rPr>
      </w:pPr>
      <w:bookmarkStart w:id="2" w:name="_Toc9826"/>
      <w:r>
        <w:rPr>
          <w:rFonts w:hint="eastAsia" w:ascii="宋体" w:cs="宋体"/>
          <w:bCs w:val="0"/>
          <w:snapToGrid w:val="0"/>
          <w:sz w:val="36"/>
          <w:szCs w:val="36"/>
          <w:highlight w:val="none"/>
        </w:rPr>
        <w:t>第二章 投标人须知</w:t>
      </w:r>
      <w:bookmarkEnd w:id="2"/>
    </w:p>
    <w:p w14:paraId="2CAE00E3">
      <w:pPr>
        <w:autoSpaceDE w:val="0"/>
        <w:autoSpaceDN w:val="0"/>
        <w:adjustRightInd w:val="0"/>
        <w:snapToGrid w:val="0"/>
        <w:spacing w:line="360" w:lineRule="auto"/>
        <w:ind w:firstLine="120" w:firstLineChars="5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投标人须知前附表</w:t>
      </w:r>
    </w:p>
    <w:tbl>
      <w:tblPr>
        <w:tblStyle w:val="21"/>
        <w:tblW w:w="5089" w:type="pct"/>
        <w:jc w:val="center"/>
        <w:tblLayout w:type="autofit"/>
        <w:tblCellMar>
          <w:top w:w="0" w:type="dxa"/>
          <w:left w:w="108" w:type="dxa"/>
          <w:bottom w:w="0" w:type="dxa"/>
          <w:right w:w="108" w:type="dxa"/>
        </w:tblCellMar>
      </w:tblPr>
      <w:tblGrid>
        <w:gridCol w:w="741"/>
        <w:gridCol w:w="2414"/>
        <w:gridCol w:w="5309"/>
      </w:tblGrid>
      <w:tr w14:paraId="624C60BF">
        <w:tblPrEx>
          <w:tblCellMar>
            <w:top w:w="0" w:type="dxa"/>
            <w:left w:w="108" w:type="dxa"/>
            <w:bottom w:w="0" w:type="dxa"/>
            <w:right w:w="108" w:type="dxa"/>
          </w:tblCellMar>
        </w:tblPrEx>
        <w:trPr>
          <w:trHeight w:val="418" w:hRule="atLeast"/>
          <w:jc w:val="center"/>
        </w:trPr>
        <w:tc>
          <w:tcPr>
            <w:tcW w:w="438" w:type="pct"/>
            <w:tcBorders>
              <w:top w:val="double" w:color="auto" w:sz="2" w:space="0"/>
              <w:left w:val="double" w:color="auto" w:sz="2" w:space="0"/>
              <w:bottom w:val="single" w:color="auto" w:sz="6" w:space="0"/>
              <w:right w:val="single" w:color="auto" w:sz="6" w:space="0"/>
            </w:tcBorders>
            <w:noWrap w:val="0"/>
            <w:tcMar>
              <w:left w:w="0" w:type="dxa"/>
              <w:right w:w="0" w:type="dxa"/>
            </w:tcMar>
            <w:vAlign w:val="center"/>
          </w:tcPr>
          <w:p w14:paraId="3974829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序号</w:t>
            </w:r>
          </w:p>
        </w:tc>
        <w:tc>
          <w:tcPr>
            <w:tcW w:w="1426" w:type="pct"/>
            <w:tcBorders>
              <w:top w:val="double" w:color="auto" w:sz="2" w:space="0"/>
              <w:left w:val="single" w:color="auto" w:sz="6" w:space="0"/>
              <w:bottom w:val="single" w:color="auto" w:sz="6" w:space="0"/>
              <w:right w:val="single" w:color="auto" w:sz="6" w:space="0"/>
            </w:tcBorders>
            <w:noWrap w:val="0"/>
            <w:tcMar>
              <w:left w:w="0" w:type="dxa"/>
              <w:right w:w="0" w:type="dxa"/>
            </w:tcMar>
            <w:vAlign w:val="center"/>
          </w:tcPr>
          <w:p w14:paraId="7B09BAE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名称</w:t>
            </w:r>
          </w:p>
        </w:tc>
        <w:tc>
          <w:tcPr>
            <w:tcW w:w="3135" w:type="pct"/>
            <w:tcBorders>
              <w:top w:val="double" w:color="auto" w:sz="2" w:space="0"/>
              <w:left w:val="single" w:color="auto" w:sz="6" w:space="0"/>
              <w:bottom w:val="single" w:color="auto" w:sz="6" w:space="0"/>
              <w:right w:val="double" w:color="auto" w:sz="2" w:space="0"/>
            </w:tcBorders>
            <w:noWrap w:val="0"/>
            <w:tcMar>
              <w:left w:w="0" w:type="dxa"/>
              <w:right w:w="0" w:type="dxa"/>
            </w:tcMar>
            <w:vAlign w:val="center"/>
          </w:tcPr>
          <w:p w14:paraId="5B9EFE2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编列内容</w:t>
            </w:r>
          </w:p>
        </w:tc>
      </w:tr>
      <w:tr w14:paraId="4EF5DA47">
        <w:tblPrEx>
          <w:tblCellMar>
            <w:top w:w="0" w:type="dxa"/>
            <w:left w:w="108" w:type="dxa"/>
            <w:bottom w:w="0" w:type="dxa"/>
            <w:right w:w="108" w:type="dxa"/>
          </w:tblCellMar>
        </w:tblPrEx>
        <w:trPr>
          <w:trHeight w:val="89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E5C5B5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CDFC74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eastAsia="zh-CN"/>
              </w:rPr>
            </w:pPr>
            <w:r>
              <w:rPr>
                <w:rFonts w:hint="eastAsia" w:ascii="宋体" w:cs="宋体"/>
                <w:color w:val="000000"/>
                <w:highlight w:val="none"/>
                <w:lang w:val="zh-CN" w:eastAsia="zh-CN"/>
              </w:rPr>
              <w:t>采购人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255773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名    称：长春宽城经济开发区管理委员会</w:t>
            </w:r>
          </w:p>
          <w:p w14:paraId="2AA4C2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地    址：长春市宽城区凯旋北路7388号</w:t>
            </w:r>
          </w:p>
          <w:p w14:paraId="4F50EF6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 系 人：胡玉姝</w:t>
            </w:r>
          </w:p>
          <w:p w14:paraId="38E376E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联系电话：0431-89991801</w:t>
            </w:r>
          </w:p>
        </w:tc>
      </w:tr>
      <w:tr w14:paraId="01C972D8">
        <w:tblPrEx>
          <w:tblCellMar>
            <w:top w:w="0" w:type="dxa"/>
            <w:left w:w="108" w:type="dxa"/>
            <w:bottom w:w="0" w:type="dxa"/>
            <w:right w:w="108" w:type="dxa"/>
          </w:tblCellMar>
        </w:tblPrEx>
        <w:trPr>
          <w:trHeight w:val="93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9B3DA9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B3C280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采购代理机构</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E406F7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采购代理机构：吉林省捷冠工程管理有限公司</w:t>
            </w:r>
          </w:p>
          <w:p w14:paraId="16374AC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地    址：长春市朝阳区红旗街765号华亿红府4、14幢1单元1205号房</w:t>
            </w:r>
          </w:p>
          <w:p w14:paraId="7CE777B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 系 人：恬露</w:t>
            </w:r>
          </w:p>
          <w:p w14:paraId="6A27FB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联系电话：15643022390</w:t>
            </w:r>
          </w:p>
        </w:tc>
      </w:tr>
      <w:tr w14:paraId="123489F2">
        <w:tblPrEx>
          <w:tblCellMar>
            <w:top w:w="0" w:type="dxa"/>
            <w:left w:w="108" w:type="dxa"/>
            <w:bottom w:w="0" w:type="dxa"/>
            <w:right w:w="108" w:type="dxa"/>
          </w:tblCellMar>
        </w:tblPrEx>
        <w:trPr>
          <w:trHeight w:val="704" w:hRule="atLeast"/>
          <w:jc w:val="center"/>
        </w:trPr>
        <w:tc>
          <w:tcPr>
            <w:tcW w:w="438" w:type="pct"/>
            <w:tcBorders>
              <w:top w:val="single" w:color="auto" w:sz="6" w:space="0"/>
              <w:left w:val="double" w:color="auto" w:sz="2" w:space="0"/>
              <w:right w:val="single" w:color="auto" w:sz="6" w:space="0"/>
            </w:tcBorders>
            <w:noWrap w:val="0"/>
            <w:tcMar>
              <w:left w:w="0" w:type="dxa"/>
              <w:right w:w="0" w:type="dxa"/>
            </w:tcMar>
            <w:vAlign w:val="center"/>
          </w:tcPr>
          <w:p w14:paraId="7D0E7EA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w:t>
            </w:r>
          </w:p>
        </w:tc>
        <w:tc>
          <w:tcPr>
            <w:tcW w:w="1426" w:type="pct"/>
            <w:tcBorders>
              <w:top w:val="single" w:color="auto" w:sz="6" w:space="0"/>
              <w:left w:val="single" w:color="auto" w:sz="6" w:space="0"/>
              <w:right w:val="single" w:color="auto" w:sz="6" w:space="0"/>
            </w:tcBorders>
            <w:noWrap w:val="0"/>
            <w:tcMar>
              <w:left w:w="0" w:type="dxa"/>
              <w:right w:w="0" w:type="dxa"/>
            </w:tcMar>
            <w:vAlign w:val="center"/>
          </w:tcPr>
          <w:p w14:paraId="26225176">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highlight w:val="none"/>
              </w:rPr>
              <w:t>项目</w:t>
            </w:r>
            <w:r>
              <w:rPr>
                <w:rFonts w:hint="eastAsia" w:ascii="宋体" w:cs="宋体"/>
                <w:color w:val="000000"/>
                <w:highlight w:val="none"/>
                <w:lang w:val="zh-CN"/>
              </w:rPr>
              <w:t>名称</w:t>
            </w:r>
            <w:r>
              <w:rPr>
                <w:rFonts w:hint="eastAsia" w:ascii="宋体" w:cs="宋体"/>
                <w:highlight w:val="none"/>
                <w:lang w:eastAsia="zh-CN"/>
              </w:rPr>
              <w:t>、</w:t>
            </w:r>
            <w:r>
              <w:rPr>
                <w:rFonts w:hint="eastAsia" w:ascii="宋体" w:cs="宋体"/>
                <w:highlight w:val="none"/>
                <w:lang w:val="en-US" w:eastAsia="zh-CN"/>
              </w:rPr>
              <w:t>项目编号</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35BD3BC">
            <w:pPr>
              <w:keepNext w:val="0"/>
              <w:keepLines w:val="0"/>
              <w:pageBreakBefore w:val="0"/>
              <w:widowControl w:val="0"/>
              <w:kinsoku/>
              <w:wordWrap/>
              <w:overflowPunct/>
              <w:topLinePunct w:val="0"/>
              <w:bidi w:val="0"/>
              <w:adjustRightInd/>
              <w:spacing w:line="360" w:lineRule="auto"/>
              <w:jc w:val="left"/>
              <w:textAlignment w:val="auto"/>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名称：长春市宽城区医院异地建设项目、长春市宽城区卫生综合体建设项目医疗家具采购项目</w:t>
            </w:r>
          </w:p>
          <w:p w14:paraId="608929DE">
            <w:pPr>
              <w:keepNext w:val="0"/>
              <w:keepLines w:val="0"/>
              <w:pageBreakBefore w:val="0"/>
              <w:widowControl w:val="0"/>
              <w:kinsoku/>
              <w:wordWrap/>
              <w:overflowPunct/>
              <w:topLinePunct w:val="0"/>
              <w:bidi w:val="0"/>
              <w:adjustRightInd/>
              <w:spacing w:line="360" w:lineRule="auto"/>
              <w:jc w:val="left"/>
              <w:textAlignment w:val="auto"/>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编号：JLKCJKCG[2025]30号-02</w:t>
            </w:r>
          </w:p>
        </w:tc>
      </w:tr>
      <w:tr w14:paraId="38DC877D">
        <w:tblPrEx>
          <w:tblCellMar>
            <w:top w:w="0" w:type="dxa"/>
            <w:left w:w="108" w:type="dxa"/>
            <w:bottom w:w="0" w:type="dxa"/>
            <w:right w:w="108" w:type="dxa"/>
          </w:tblCellMar>
        </w:tblPrEx>
        <w:trPr>
          <w:trHeight w:val="31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16D8A2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56A5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交货地点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BC89E9">
            <w:pPr>
              <w:keepNext w:val="0"/>
              <w:keepLines w:val="0"/>
              <w:pageBreakBefore w:val="0"/>
              <w:widowControl w:val="0"/>
              <w:kinsoku/>
              <w:wordWrap/>
              <w:overflowPunct/>
              <w:topLinePunct w:val="0"/>
              <w:bidi w:val="0"/>
              <w:adjustRightInd/>
              <w:spacing w:line="360" w:lineRule="auto"/>
              <w:jc w:val="both"/>
              <w:textAlignment w:val="auto"/>
              <w:rPr>
                <w:rFonts w:hint="default" w:ascii="宋体" w:cs="宋体"/>
                <w:color w:val="000000"/>
                <w:highlight w:val="none"/>
                <w:lang w:val="en-US" w:eastAsia="zh-CN"/>
              </w:rPr>
            </w:pPr>
            <w:r>
              <w:rPr>
                <w:rFonts w:hint="eastAsia" w:ascii="宋体" w:cs="宋体"/>
                <w:color w:val="000000"/>
                <w:highlight w:val="none"/>
                <w:lang w:val="en-US" w:eastAsia="zh-CN"/>
              </w:rPr>
              <w:t>采购人指定地点</w:t>
            </w:r>
          </w:p>
        </w:tc>
      </w:tr>
      <w:tr w14:paraId="5DB3A0FF">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0FEE95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C83A69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FF0000"/>
                <w:highlight w:val="none"/>
              </w:rPr>
            </w:pPr>
            <w:r>
              <w:rPr>
                <w:rFonts w:hint="eastAsia" w:ascii="宋体" w:cs="宋体"/>
                <w:color w:val="auto"/>
                <w:highlight w:val="none"/>
              </w:rPr>
              <w:t>资金来源</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1480E9E">
            <w:pPr>
              <w:keepNext w:val="0"/>
              <w:keepLines w:val="0"/>
              <w:pageBreakBefore w:val="0"/>
              <w:widowControl w:val="0"/>
              <w:kinsoku/>
              <w:wordWrap/>
              <w:overflowPunct/>
              <w:topLinePunct w:val="0"/>
              <w:bidi w:val="0"/>
              <w:adjustRightInd/>
              <w:spacing w:line="360" w:lineRule="auto"/>
              <w:jc w:val="left"/>
              <w:textAlignment w:val="auto"/>
              <w:rPr>
                <w:rFonts w:hint="default" w:ascii="宋体" w:eastAsia="宋体" w:cs="宋体"/>
                <w:color w:val="FF0000"/>
                <w:highlight w:val="none"/>
                <w:lang w:val="en-US" w:eastAsia="zh-CN"/>
              </w:rPr>
            </w:pPr>
            <w:r>
              <w:rPr>
                <w:rFonts w:hint="eastAsia" w:ascii="宋体" w:eastAsia="宋体" w:cs="宋体"/>
                <w:color w:val="auto"/>
                <w:highlight w:val="none"/>
                <w:lang w:val="en-US" w:eastAsia="zh-CN"/>
              </w:rPr>
              <w:t>专项债及财政资金</w:t>
            </w:r>
          </w:p>
        </w:tc>
      </w:tr>
      <w:tr w14:paraId="41D19447">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FEC91E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441195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出资比例</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8F2C4BB">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100%</w:t>
            </w:r>
          </w:p>
        </w:tc>
      </w:tr>
      <w:tr w14:paraId="43F16FE7">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3AE04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8949FB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资金落实情况</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7FAD94">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已落实</w:t>
            </w:r>
          </w:p>
        </w:tc>
      </w:tr>
      <w:tr w14:paraId="4EFCABD7">
        <w:tblPrEx>
          <w:tblCellMar>
            <w:top w:w="0" w:type="dxa"/>
            <w:left w:w="108" w:type="dxa"/>
            <w:bottom w:w="0" w:type="dxa"/>
            <w:right w:w="108" w:type="dxa"/>
          </w:tblCellMar>
        </w:tblPrEx>
        <w:trPr>
          <w:trHeight w:val="61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52637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7F2C2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val="en-US" w:eastAsia="zh-CN"/>
              </w:rPr>
              <w:t>采购需求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D9DEE5E">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lang w:eastAsia="zh-CN"/>
              </w:rPr>
              <w:t>长春市宽城区医院异地建设项目、长春市宽城区卫生综合体建设项目医疗家具采购项目，详见</w:t>
            </w:r>
            <w:r>
              <w:rPr>
                <w:rFonts w:hint="eastAsia" w:ascii="宋体" w:cs="宋体"/>
                <w:color w:val="000000"/>
                <w:highlight w:val="none"/>
                <w:lang w:val="en-US" w:eastAsia="zh-CN"/>
              </w:rPr>
              <w:t>招标文件第五章。</w:t>
            </w:r>
          </w:p>
        </w:tc>
      </w:tr>
      <w:tr w14:paraId="5DFCF430">
        <w:tblPrEx>
          <w:tblCellMar>
            <w:top w:w="0" w:type="dxa"/>
            <w:left w:w="108" w:type="dxa"/>
            <w:bottom w:w="0" w:type="dxa"/>
            <w:right w:w="108" w:type="dxa"/>
          </w:tblCellMar>
        </w:tblPrEx>
        <w:trPr>
          <w:trHeight w:val="35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F6F9AD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2EF5F7">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rPr>
            </w:pPr>
            <w:r>
              <w:rPr>
                <w:rFonts w:hint="eastAsia" w:ascii="宋体" w:hAnsi="宋体"/>
                <w:color w:val="auto"/>
                <w:highlight w:val="none"/>
              </w:rPr>
              <w:t>合同履行期限(交货期限)</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34A2F1D">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lang w:eastAsia="zh-CN"/>
              </w:rPr>
            </w:pPr>
            <w:r>
              <w:rPr>
                <w:rFonts w:hint="eastAsia" w:ascii="宋体" w:hAnsi="宋体"/>
                <w:color w:val="auto"/>
                <w:highlight w:val="none"/>
              </w:rPr>
              <w:t>合同订立后</w:t>
            </w:r>
            <w:r>
              <w:rPr>
                <w:rFonts w:hint="eastAsia" w:ascii="宋体" w:hAnsi="宋体"/>
                <w:color w:val="auto"/>
                <w:highlight w:val="none"/>
                <w:lang w:val="en-US" w:eastAsia="zh-CN"/>
              </w:rPr>
              <w:t>30</w:t>
            </w:r>
            <w:r>
              <w:rPr>
                <w:rFonts w:hint="eastAsia" w:ascii="宋体" w:hAnsi="宋体"/>
                <w:color w:val="auto"/>
                <w:highlight w:val="none"/>
              </w:rPr>
              <w:t>天内交货</w:t>
            </w:r>
            <w:r>
              <w:rPr>
                <w:rFonts w:hint="eastAsia" w:ascii="宋体" w:hAnsi="宋体"/>
                <w:color w:val="auto"/>
                <w:highlight w:val="none"/>
                <w:lang w:eastAsia="zh-CN"/>
              </w:rPr>
              <w:t>，并安装完毕</w:t>
            </w:r>
            <w:r>
              <w:rPr>
                <w:rFonts w:hint="eastAsia" w:ascii="宋体" w:hAnsi="宋体"/>
                <w:color w:val="auto"/>
                <w:highlight w:val="none"/>
              </w:rPr>
              <w:t>。</w:t>
            </w:r>
          </w:p>
        </w:tc>
      </w:tr>
      <w:tr w14:paraId="3C55155C">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CADCF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141073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质量要求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4B3BF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符合现行国家、行业、地方或者其他相关标准的合格要求</w:t>
            </w:r>
          </w:p>
        </w:tc>
      </w:tr>
      <w:tr w14:paraId="50B912AE">
        <w:tblPrEx>
          <w:tblCellMar>
            <w:top w:w="0" w:type="dxa"/>
            <w:left w:w="108" w:type="dxa"/>
            <w:bottom w:w="0" w:type="dxa"/>
            <w:right w:w="108" w:type="dxa"/>
          </w:tblCellMar>
        </w:tblPrEx>
        <w:trPr>
          <w:trHeight w:val="2504"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7AFB80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D675D1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highlight w:val="none"/>
              </w:rPr>
              <w:t>投标人资质条件、能力</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108C6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 满足《中华人民共和国政府采购法》第二十二条规定。</w:t>
            </w:r>
          </w:p>
          <w:p w14:paraId="10F1B15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2. 落实政府采购政策需满足的资格要求：本项目</w:t>
            </w:r>
            <w:r>
              <w:rPr>
                <w:rFonts w:hint="eastAsia" w:ascii="宋体" w:cs="宋体"/>
                <w:color w:val="000000"/>
                <w:highlight w:val="none"/>
                <w:lang w:val="en-US" w:eastAsia="zh-CN"/>
              </w:rPr>
              <w:t>非</w:t>
            </w:r>
            <w:r>
              <w:rPr>
                <w:rFonts w:hint="eastAsia" w:ascii="宋体" w:cs="宋体"/>
                <w:color w:val="000000"/>
                <w:highlight w:val="none"/>
              </w:rPr>
              <w:t>专门面向中小企业</w:t>
            </w:r>
            <w:r>
              <w:rPr>
                <w:rFonts w:hint="eastAsia" w:ascii="宋体" w:cs="宋体"/>
                <w:color w:val="000000"/>
                <w:highlight w:val="none"/>
                <w:lang w:eastAsia="zh-CN"/>
              </w:rPr>
              <w:t>，</w:t>
            </w:r>
            <w:r>
              <w:rPr>
                <w:rFonts w:hint="eastAsia" w:ascii="宋体" w:cs="宋体"/>
                <w:color w:val="000000"/>
                <w:highlight w:val="none"/>
                <w:lang w:val="en-US" w:eastAsia="zh-CN"/>
              </w:rPr>
              <w:t>（本项目中小企业划分标准所属行业：工业）</w:t>
            </w:r>
            <w:r>
              <w:rPr>
                <w:rFonts w:hint="eastAsia" w:ascii="宋体" w:cs="宋体"/>
                <w:color w:val="000000"/>
                <w:highlight w:val="none"/>
              </w:rPr>
              <w:t>；</w:t>
            </w:r>
          </w:p>
          <w:p w14:paraId="68E737D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3.本项目的特定资格要求：</w:t>
            </w:r>
          </w:p>
          <w:p w14:paraId="004AB09C">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rPr>
              <w:t>3.1</w:t>
            </w:r>
            <w:r>
              <w:rPr>
                <w:rFonts w:hint="eastAsia" w:ascii="宋体" w:hAnsi="宋体" w:eastAsia="宋体" w:cs="宋体"/>
                <w:sz w:val="21"/>
                <w:szCs w:val="21"/>
                <w:highlight w:val="none"/>
              </w:rPr>
              <w:t>投标申请人须在中华人民共和国境内注册，具有独立承担民事责任能力的法人、自然人或具备国家认可经营资格的其他组织，并在人员、设备、资金等方面具有相应的供货能力</w:t>
            </w:r>
            <w:r>
              <w:rPr>
                <w:rFonts w:hint="eastAsia" w:ascii="宋体" w:eastAsia="宋体" w:cs="宋体"/>
                <w:color w:val="000000"/>
                <w:highlight w:val="none"/>
                <w:lang w:eastAsia="zh-CN"/>
              </w:rPr>
              <w:t>；</w:t>
            </w:r>
          </w:p>
          <w:p w14:paraId="24C6F5B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eastAsia="zh-CN"/>
              </w:rPr>
            </w:pPr>
            <w:r>
              <w:rPr>
                <w:rFonts w:hint="eastAsia" w:ascii="宋体" w:cs="宋体"/>
                <w:color w:val="000000"/>
                <w:highlight w:val="none"/>
              </w:rPr>
              <w:t>3.2</w:t>
            </w:r>
            <w:r>
              <w:rPr>
                <w:rFonts w:hint="eastAsia" w:ascii="宋体" w:cs="宋体"/>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cs="宋体"/>
                <w:color w:val="auto"/>
                <w:highlight w:val="none"/>
                <w:lang w:eastAsia="zh-CN"/>
              </w:rPr>
              <w:t>投标人</w:t>
            </w:r>
            <w:r>
              <w:rPr>
                <w:rFonts w:hint="eastAsia" w:ascii="宋体" w:cs="宋体"/>
                <w:color w:val="auto"/>
                <w:highlight w:val="none"/>
              </w:rPr>
              <w:t>资格条件有关事项的通知提供资格条件承诺函</w:t>
            </w:r>
            <w:r>
              <w:rPr>
                <w:rFonts w:hint="eastAsia" w:ascii="宋体" w:cs="宋体"/>
                <w:color w:val="auto"/>
                <w:highlight w:val="none"/>
                <w:lang w:eastAsia="zh-CN"/>
              </w:rPr>
              <w:t>；</w:t>
            </w:r>
          </w:p>
          <w:p w14:paraId="2F82509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cs="宋体"/>
                <w:color w:val="000000"/>
                <w:highlight w:val="none"/>
                <w:lang w:eastAsia="zh-CN"/>
              </w:rPr>
              <w:t>；</w:t>
            </w:r>
          </w:p>
          <w:p w14:paraId="5BDFC088">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en-US" w:eastAsia="zh-CN"/>
              </w:rPr>
            </w:pPr>
            <w:r>
              <w:rPr>
                <w:rFonts w:hint="eastAsia" w:ascii="宋体" w:cs="宋体"/>
                <w:color w:val="000000"/>
                <w:highlight w:val="none"/>
                <w:lang w:val="en-US" w:eastAsia="zh-CN"/>
              </w:rPr>
              <w:t>3.4</w:t>
            </w:r>
            <w:r>
              <w:rPr>
                <w:rFonts w:hint="eastAsia" w:ascii="宋体" w:hAnsi="宋体" w:eastAsia="宋体" w:cs="宋体"/>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w:t>
            </w:r>
            <w:r>
              <w:rPr>
                <w:rFonts w:hint="eastAsia" w:ascii="宋体" w:hAnsi="宋体" w:eastAsia="宋体" w:cs="宋体"/>
                <w:color w:val="auto"/>
                <w:sz w:val="21"/>
                <w:szCs w:val="21"/>
                <w:highlight w:val="none"/>
                <w:lang w:val="en-US" w:eastAsia="zh-CN"/>
              </w:rPr>
              <w:t>人须在</w:t>
            </w:r>
            <w:r>
              <w:rPr>
                <w:rFonts w:hint="eastAsia" w:ascii="宋体" w:hAnsi="宋体" w:eastAsia="宋体" w:cs="宋体"/>
                <w:sz w:val="21"/>
                <w:szCs w:val="21"/>
                <w:highlight w:val="none"/>
                <w:lang w:val="en-US" w:eastAsia="zh-CN"/>
              </w:rPr>
              <w:t>“中国裁判文书网”自行查询本公司近三年内无行贿行为记录</w:t>
            </w:r>
            <w:r>
              <w:rPr>
                <w:rFonts w:hint="eastAsia" w:ascii="宋体" w:cs="宋体"/>
                <w:color w:val="000000"/>
                <w:highlight w:val="none"/>
                <w:lang w:val="en-US" w:eastAsia="zh-CN"/>
              </w:rPr>
              <w:t>；</w:t>
            </w:r>
          </w:p>
          <w:p w14:paraId="1277ADB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3.5</w:t>
            </w:r>
            <w:r>
              <w:rPr>
                <w:rFonts w:hint="eastAsia" w:ascii="宋体" w:cs="宋体"/>
                <w:color w:val="000000"/>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FE60A1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en-US" w:eastAsia="zh-CN"/>
              </w:rPr>
              <w:t>3.6</w:t>
            </w:r>
            <w:r>
              <w:rPr>
                <w:rFonts w:hint="eastAsia" w:ascii="宋体" w:cs="宋体"/>
                <w:color w:val="000000"/>
                <w:highlight w:val="none"/>
                <w:lang w:eastAsia="zh-CN"/>
              </w:rPr>
              <w:t>本项目不接受联合体投标。</w:t>
            </w:r>
          </w:p>
        </w:tc>
      </w:tr>
      <w:tr w14:paraId="66D64A1A">
        <w:tblPrEx>
          <w:tblCellMar>
            <w:top w:w="0" w:type="dxa"/>
            <w:left w:w="108" w:type="dxa"/>
            <w:bottom w:w="0" w:type="dxa"/>
            <w:right w:w="108" w:type="dxa"/>
          </w:tblCellMar>
        </w:tblPrEx>
        <w:trPr>
          <w:trHeight w:val="40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F35584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3B3F6F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是否接受联合体投标</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2BAECF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不接受</w:t>
            </w:r>
          </w:p>
        </w:tc>
      </w:tr>
      <w:tr w14:paraId="3E85F7C6">
        <w:tblPrEx>
          <w:tblCellMar>
            <w:top w:w="0" w:type="dxa"/>
            <w:left w:w="108" w:type="dxa"/>
            <w:bottom w:w="0" w:type="dxa"/>
            <w:right w:w="108" w:type="dxa"/>
          </w:tblCellMar>
        </w:tblPrEx>
        <w:trPr>
          <w:trHeight w:val="33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45EA49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2C160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踏勘现场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79783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不组织踏勘</w:t>
            </w:r>
          </w:p>
        </w:tc>
      </w:tr>
      <w:tr w14:paraId="2316CA30">
        <w:tblPrEx>
          <w:tblCellMar>
            <w:top w:w="0" w:type="dxa"/>
            <w:left w:w="108" w:type="dxa"/>
            <w:bottom w:w="0" w:type="dxa"/>
            <w:right w:w="108" w:type="dxa"/>
          </w:tblCellMar>
        </w:tblPrEx>
        <w:trPr>
          <w:trHeight w:val="40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83355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6E426E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答疑会</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D38E2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zh-CN"/>
              </w:rPr>
              <w:t>不召开答疑会</w:t>
            </w:r>
          </w:p>
        </w:tc>
      </w:tr>
      <w:tr w14:paraId="526351FE">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483C60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06298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投标人提出问题的方式</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F6C004">
            <w:pPr>
              <w:keepNext w:val="0"/>
              <w:keepLines w:val="0"/>
              <w:pageBreakBefore w:val="0"/>
              <w:widowControl w:val="0"/>
              <w:kinsoku/>
              <w:wordWrap/>
              <w:overflowPunct/>
              <w:topLinePunct w:val="0"/>
              <w:autoSpaceDE w:val="0"/>
              <w:autoSpaceDN w:val="0"/>
              <w:bidi w:val="0"/>
              <w:adjustRightInd/>
              <w:spacing w:line="360" w:lineRule="auto"/>
              <w:textAlignment w:val="auto"/>
              <w:rPr>
                <w:rFonts w:ascii="宋体" w:hAnsi="宋体"/>
                <w:bCs/>
                <w:kern w:val="15"/>
                <w:highlight w:val="none"/>
              </w:rPr>
            </w:pPr>
            <w:r>
              <w:rPr>
                <w:rFonts w:hint="eastAsia" w:ascii="宋体" w:hAnsi="宋体"/>
                <w:bCs/>
                <w:highlight w:val="none"/>
              </w:rPr>
              <w:t>投标截止时间前</w:t>
            </w:r>
            <w:r>
              <w:rPr>
                <w:rFonts w:hint="eastAsia" w:ascii="宋体" w:hAnsi="宋体"/>
                <w:bCs/>
                <w:highlight w:val="none"/>
                <w:u w:val="single"/>
              </w:rPr>
              <w:t>10</w:t>
            </w:r>
            <w:r>
              <w:rPr>
                <w:rFonts w:hint="eastAsia" w:ascii="宋体" w:hAnsi="宋体"/>
                <w:bCs/>
                <w:highlight w:val="none"/>
              </w:rPr>
              <w:t>天</w:t>
            </w:r>
            <w:r>
              <w:rPr>
                <w:rFonts w:hint="eastAsia" w:ascii="宋体" w:hAnsi="宋体"/>
                <w:bCs/>
                <w:kern w:val="15"/>
                <w:highlight w:val="none"/>
              </w:rPr>
              <w:t>投标人将对招标文件不清楚的问题提交给</w:t>
            </w:r>
            <w:r>
              <w:rPr>
                <w:rFonts w:hint="eastAsia" w:ascii="宋体" w:hAnsi="宋体"/>
                <w:bCs/>
                <w:kern w:val="15"/>
                <w:highlight w:val="none"/>
                <w:lang w:eastAsia="zh-CN"/>
              </w:rPr>
              <w:t>采购代理机构</w:t>
            </w:r>
            <w:r>
              <w:rPr>
                <w:rFonts w:hint="eastAsia" w:ascii="宋体" w:hAnsi="宋体"/>
                <w:bCs/>
                <w:kern w:val="15"/>
                <w:highlight w:val="none"/>
              </w:rPr>
              <w:t>。</w:t>
            </w:r>
          </w:p>
          <w:p w14:paraId="559B17B2">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提交地址：</w:t>
            </w:r>
            <w:r>
              <w:rPr>
                <w:rFonts w:hint="eastAsia" w:ascii="宋体" w:hAnsi="宋体" w:cs="宋体"/>
                <w:highlight w:val="none"/>
                <w:lang w:eastAsia="zh-CN"/>
              </w:rPr>
              <w:t>吉林省捷冠工程管理有限公司</w:t>
            </w:r>
            <w:r>
              <w:rPr>
                <w:rFonts w:hint="eastAsia" w:ascii="宋体" w:hAnsi="宋体" w:cs="宋体"/>
                <w:highlight w:val="none"/>
              </w:rPr>
              <w:t>，同时将电子版word版发送到采购代理公司邮箱（</w:t>
            </w:r>
            <w:r>
              <w:rPr>
                <w:rFonts w:hint="eastAsia" w:ascii="宋体" w:hAnsi="宋体" w:cs="宋体"/>
                <w:highlight w:val="none"/>
                <w:lang w:val="en-US" w:eastAsia="zh-CN"/>
              </w:rPr>
              <w:t>15643022390@163.com</w:t>
            </w:r>
            <w:r>
              <w:rPr>
                <w:rFonts w:hint="eastAsia" w:ascii="宋体" w:hAnsi="宋体" w:cs="宋体"/>
                <w:highlight w:val="none"/>
              </w:rPr>
              <w:t xml:space="preserve">）  </w:t>
            </w:r>
          </w:p>
          <w:p w14:paraId="360F9C5C">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eastAsiaTheme="minorEastAsia"/>
                <w:highlight w:val="none"/>
                <w:lang w:val="en-US" w:eastAsia="zh-CN"/>
              </w:rPr>
            </w:pPr>
            <w:r>
              <w:rPr>
                <w:rFonts w:hint="eastAsia" w:ascii="宋体" w:hAnsi="宋体" w:cs="宋体"/>
                <w:highlight w:val="none"/>
              </w:rPr>
              <w:t>项目联系人：</w:t>
            </w:r>
            <w:r>
              <w:rPr>
                <w:rFonts w:hint="eastAsia" w:ascii="宋体" w:hAnsi="宋体" w:cs="宋体"/>
                <w:highlight w:val="none"/>
                <w:lang w:eastAsia="zh-CN"/>
              </w:rPr>
              <w:t>恬露</w:t>
            </w:r>
          </w:p>
          <w:p w14:paraId="588136FD">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eastAsiaTheme="minorEastAsia"/>
                <w:highlight w:val="none"/>
                <w:lang w:val="en-US" w:eastAsia="zh-CN"/>
              </w:rPr>
            </w:pPr>
            <w:r>
              <w:rPr>
                <w:rFonts w:hint="eastAsia" w:ascii="宋体" w:hAnsi="宋体" w:cs="宋体"/>
                <w:highlight w:val="none"/>
              </w:rPr>
              <w:t>电话：</w:t>
            </w:r>
            <w:r>
              <w:rPr>
                <w:rFonts w:hint="eastAsia" w:ascii="宋体" w:hAnsi="宋体" w:cs="宋体"/>
                <w:highlight w:val="none"/>
                <w:lang w:eastAsia="zh-CN"/>
              </w:rPr>
              <w:t>15643022390</w:t>
            </w:r>
          </w:p>
          <w:p w14:paraId="0FC16F07">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用A4纸打印，一式三份，并加盖公章，格式见附页。</w:t>
            </w:r>
          </w:p>
          <w:p w14:paraId="12DDE17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hAnsi="宋体" w:cs="宋体"/>
                <w:highlight w:val="none"/>
              </w:rPr>
              <w:t>若投标人未按规定提交，则视为其无疑问。</w:t>
            </w:r>
          </w:p>
        </w:tc>
      </w:tr>
      <w:tr w14:paraId="320AF2C7">
        <w:tblPrEx>
          <w:tblCellMar>
            <w:top w:w="0" w:type="dxa"/>
            <w:left w:w="108" w:type="dxa"/>
            <w:bottom w:w="0" w:type="dxa"/>
            <w:right w:w="108" w:type="dxa"/>
          </w:tblCellMar>
        </w:tblPrEx>
        <w:trPr>
          <w:trHeight w:val="489"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E80D64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59A1C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eastAsia="zh-CN"/>
              </w:rPr>
              <w:t>采购人</w:t>
            </w:r>
            <w:r>
              <w:rPr>
                <w:rFonts w:hint="eastAsia" w:ascii="宋体" w:cs="宋体"/>
                <w:color w:val="000000"/>
                <w:highlight w:val="none"/>
              </w:rPr>
              <w:t>书面澄清</w:t>
            </w:r>
          </w:p>
          <w:p w14:paraId="3F8E63D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7001F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投标截止时间15日前</w:t>
            </w:r>
          </w:p>
        </w:tc>
      </w:tr>
      <w:tr w14:paraId="335384BB">
        <w:tblPrEx>
          <w:tblCellMar>
            <w:top w:w="0" w:type="dxa"/>
            <w:left w:w="108" w:type="dxa"/>
            <w:bottom w:w="0" w:type="dxa"/>
            <w:right w:w="108" w:type="dxa"/>
          </w:tblCellMar>
        </w:tblPrEx>
        <w:trPr>
          <w:trHeight w:val="42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F3653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BBA3D5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分包</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3B666E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eastAsiaTheme="minorEastAsia"/>
                <w:color w:val="000000"/>
                <w:highlight w:val="none"/>
                <w:lang w:eastAsia="zh-CN"/>
              </w:rPr>
            </w:pPr>
            <w:r>
              <w:rPr>
                <w:rFonts w:hint="eastAsia" w:ascii="宋体" w:cs="宋体"/>
                <w:color w:val="000000"/>
                <w:highlight w:val="none"/>
                <w:lang w:eastAsia="zh-CN"/>
              </w:rPr>
              <w:t>小微企业不得将合同分包给大中型企业，中型企业不得将合同分包给大型企业，大型供应商须将本采购项目中 30%份额分包给一家或多家中小企业</w:t>
            </w:r>
          </w:p>
        </w:tc>
      </w:tr>
      <w:tr w14:paraId="71D5C47E">
        <w:tblPrEx>
          <w:tblCellMar>
            <w:top w:w="0" w:type="dxa"/>
            <w:left w:w="108" w:type="dxa"/>
            <w:bottom w:w="0" w:type="dxa"/>
            <w:right w:w="108" w:type="dxa"/>
          </w:tblCellMar>
        </w:tblPrEx>
        <w:trPr>
          <w:trHeight w:val="56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02A94D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B60A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偏离</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FFBC8C8">
            <w:pPr>
              <w:keepNext w:val="0"/>
              <w:keepLines w:val="0"/>
              <w:pageBreakBefore w:val="0"/>
              <w:widowControl w:val="0"/>
              <w:kinsoku/>
              <w:wordWrap/>
              <w:overflowPunct/>
              <w:topLinePunct w:val="0"/>
              <w:bidi w:val="0"/>
              <w:adjustRightInd/>
              <w:spacing w:line="360" w:lineRule="auto"/>
              <w:jc w:val="left"/>
              <w:textAlignment w:val="auto"/>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tc>
      </w:tr>
      <w:tr w14:paraId="29DBE71A">
        <w:tblPrEx>
          <w:tblCellMar>
            <w:top w:w="0" w:type="dxa"/>
            <w:left w:w="108" w:type="dxa"/>
            <w:bottom w:w="0" w:type="dxa"/>
            <w:right w:w="108" w:type="dxa"/>
          </w:tblCellMar>
        </w:tblPrEx>
        <w:trPr>
          <w:trHeight w:val="49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CDE313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E486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构成招标文件</w:t>
            </w:r>
          </w:p>
          <w:p w14:paraId="4CDB84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的其他材料</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E6AF57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rPr>
            </w:pPr>
            <w:r>
              <w:rPr>
                <w:rFonts w:hint="eastAsia" w:ascii="宋体" w:cs="宋体"/>
                <w:color w:val="auto"/>
                <w:highlight w:val="none"/>
                <w:lang w:val="zh-CN"/>
              </w:rPr>
              <w:t>招标文件的澄清</w:t>
            </w:r>
            <w:r>
              <w:rPr>
                <w:rFonts w:hint="eastAsia" w:ascii="宋体" w:cs="宋体"/>
                <w:color w:val="auto"/>
                <w:highlight w:val="none"/>
              </w:rPr>
              <w:t>、修改书及有关补充通知为招标文件的有效组成部分</w:t>
            </w:r>
          </w:p>
        </w:tc>
      </w:tr>
      <w:tr w14:paraId="0FE7852E">
        <w:tblPrEx>
          <w:tblCellMar>
            <w:top w:w="0" w:type="dxa"/>
            <w:left w:w="108" w:type="dxa"/>
            <w:bottom w:w="0" w:type="dxa"/>
            <w:right w:w="108" w:type="dxa"/>
          </w:tblCellMar>
        </w:tblPrEx>
        <w:trPr>
          <w:trHeight w:val="41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271E50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BDFF3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投标截止时间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1240CB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8</w:t>
            </w:r>
            <w:r>
              <w:rPr>
                <w:rFonts w:hint="eastAsia" w:ascii="宋体" w:cs="宋体"/>
                <w:color w:val="auto"/>
                <w:highlight w:val="none"/>
                <w:lang w:eastAsia="zh-CN"/>
              </w:rPr>
              <w:t>月</w:t>
            </w:r>
            <w:r>
              <w:rPr>
                <w:rFonts w:hint="eastAsia" w:ascii="宋体" w:cs="宋体"/>
                <w:color w:val="auto"/>
                <w:highlight w:val="none"/>
                <w:lang w:val="en-US" w:eastAsia="zh-CN"/>
              </w:rPr>
              <w:t>5</w:t>
            </w:r>
            <w:r>
              <w:rPr>
                <w:rFonts w:hint="eastAsia" w:ascii="宋体" w:cs="宋体"/>
                <w:color w:val="auto"/>
                <w:highlight w:val="none"/>
                <w:lang w:eastAsia="zh-CN"/>
              </w:rPr>
              <w:t>日</w:t>
            </w:r>
            <w:r>
              <w:rPr>
                <w:rFonts w:hint="eastAsia" w:ascii="宋体" w:cs="宋体"/>
                <w:color w:val="auto"/>
                <w:highlight w:val="none"/>
                <w:lang w:val="en-US" w:eastAsia="zh-CN"/>
              </w:rPr>
              <w:t>10</w:t>
            </w:r>
            <w:r>
              <w:rPr>
                <w:rFonts w:hint="eastAsia" w:ascii="宋体" w:cs="宋体"/>
                <w:color w:val="auto"/>
                <w:highlight w:val="none"/>
              </w:rPr>
              <w:t>时</w:t>
            </w:r>
            <w:r>
              <w:rPr>
                <w:rFonts w:hint="eastAsia" w:ascii="宋体" w:cs="宋体"/>
                <w:color w:val="auto"/>
                <w:highlight w:val="none"/>
                <w:lang w:val="en-US" w:eastAsia="zh-CN"/>
              </w:rPr>
              <w:t>00</w:t>
            </w:r>
            <w:r>
              <w:rPr>
                <w:rFonts w:hint="eastAsia" w:ascii="宋体" w:cs="宋体"/>
                <w:color w:val="auto"/>
                <w:highlight w:val="none"/>
              </w:rPr>
              <w:t>分（北京时间）</w:t>
            </w:r>
          </w:p>
        </w:tc>
      </w:tr>
      <w:tr w14:paraId="491DF46B">
        <w:tblPrEx>
          <w:tblCellMar>
            <w:top w:w="0" w:type="dxa"/>
            <w:left w:w="108" w:type="dxa"/>
            <w:bottom w:w="0" w:type="dxa"/>
            <w:right w:w="108" w:type="dxa"/>
          </w:tblCellMar>
        </w:tblPrEx>
        <w:trPr>
          <w:trHeight w:val="669"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D83FD6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21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E56A3C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开标地点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A565BE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hAnsi="宋体" w:cs="宋体"/>
                <w:bCs/>
                <w:color w:val="auto"/>
                <w:szCs w:val="21"/>
                <w:highlight w:val="none"/>
                <w:lang w:val="zh-CN"/>
              </w:rPr>
              <w:t>长春市高新区鸿达街吉林日报副楼4楼吉利招第三开标室</w:t>
            </w:r>
          </w:p>
        </w:tc>
      </w:tr>
      <w:tr w14:paraId="61F3BE0A">
        <w:tblPrEx>
          <w:tblCellMar>
            <w:top w:w="0" w:type="dxa"/>
            <w:left w:w="108" w:type="dxa"/>
            <w:bottom w:w="0" w:type="dxa"/>
            <w:right w:w="108" w:type="dxa"/>
          </w:tblCellMar>
        </w:tblPrEx>
        <w:trPr>
          <w:trHeight w:val="51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9772E3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6D0E22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投标人确认收到招标文件澄清的时间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927C1A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收到澄清文件24小时</w:t>
            </w:r>
          </w:p>
        </w:tc>
      </w:tr>
      <w:tr w14:paraId="5F2799C0">
        <w:tblPrEx>
          <w:tblCellMar>
            <w:top w:w="0" w:type="dxa"/>
            <w:left w:w="108" w:type="dxa"/>
            <w:bottom w:w="0" w:type="dxa"/>
            <w:right w:w="108" w:type="dxa"/>
          </w:tblCellMar>
        </w:tblPrEx>
        <w:trPr>
          <w:trHeight w:val="664"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1CF416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097E7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投标人确认收到招标文件修改内容的时间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BBD6EB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收到修改文件24小时内</w:t>
            </w:r>
          </w:p>
        </w:tc>
      </w:tr>
      <w:tr w14:paraId="27A2974F">
        <w:tblPrEx>
          <w:tblCellMar>
            <w:top w:w="0" w:type="dxa"/>
            <w:left w:w="108" w:type="dxa"/>
            <w:bottom w:w="0" w:type="dxa"/>
            <w:right w:w="108" w:type="dxa"/>
          </w:tblCellMar>
        </w:tblPrEx>
        <w:trPr>
          <w:trHeight w:val="40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F0ECED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483C68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构成投标文件</w:t>
            </w:r>
          </w:p>
          <w:p w14:paraId="5F3E00C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的其他材料</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E9B7F0">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cs="宋体"/>
                <w:color w:val="000000"/>
                <w:highlight w:val="none"/>
              </w:rPr>
            </w:pPr>
            <w:r>
              <w:rPr>
                <w:rFonts w:hint="eastAsia" w:ascii="宋体" w:cs="宋体"/>
                <w:highlight w:val="none"/>
              </w:rPr>
              <w:t>/</w:t>
            </w:r>
          </w:p>
        </w:tc>
      </w:tr>
      <w:tr w14:paraId="0BDE38E4">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E0085C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AF3DD4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投标有效期</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1DC8BE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90日</w:t>
            </w:r>
          </w:p>
        </w:tc>
      </w:tr>
      <w:tr w14:paraId="414FE24F">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AC02B5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A9F40F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投标保证金</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58BED58">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000000"/>
                <w:highlight w:val="none"/>
                <w:lang w:eastAsia="zh-CN"/>
              </w:rPr>
            </w:pPr>
            <w:r>
              <w:rPr>
                <w:rFonts w:hint="eastAsia" w:eastAsia="宋体"/>
                <w:bCs/>
                <w:color w:val="auto"/>
                <w:szCs w:val="21"/>
                <w:highlight w:val="none"/>
                <w:lang w:val="en-US" w:eastAsia="zh-CN"/>
              </w:rPr>
              <w:t>不收取</w:t>
            </w:r>
          </w:p>
        </w:tc>
      </w:tr>
      <w:tr w14:paraId="07BD2F02">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3B2368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83A991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近年财务状况</w:t>
            </w:r>
          </w:p>
          <w:p w14:paraId="2879871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的年份要求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BA8809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根据[长财采购[2022]2066号文件]关于加强政府采购信用体系建设简化投标人资格条件有关事项的通知提供资格条件承诺函。</w:t>
            </w:r>
          </w:p>
        </w:tc>
      </w:tr>
      <w:tr w14:paraId="4048139F">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2E8DC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BE666A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近年发生的诉讼及仲裁情况的年份要求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89EBA1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近三年(20</w:t>
            </w:r>
            <w:r>
              <w:rPr>
                <w:rFonts w:hint="eastAsia" w:ascii="宋体" w:cs="宋体"/>
                <w:color w:val="000000"/>
                <w:highlight w:val="none"/>
              </w:rPr>
              <w:t>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至投标截止日</w:t>
            </w:r>
            <w:r>
              <w:rPr>
                <w:rFonts w:hint="eastAsia" w:ascii="宋体" w:cs="宋体"/>
                <w:color w:val="000000"/>
                <w:highlight w:val="none"/>
                <w:lang w:val="zh-CN"/>
              </w:rPr>
              <w:t>）</w:t>
            </w:r>
          </w:p>
        </w:tc>
      </w:tr>
      <w:tr w14:paraId="0CD39E8E">
        <w:tblPrEx>
          <w:tblCellMar>
            <w:top w:w="0" w:type="dxa"/>
            <w:left w:w="108" w:type="dxa"/>
            <w:bottom w:w="0" w:type="dxa"/>
            <w:right w:w="108" w:type="dxa"/>
          </w:tblCellMar>
        </w:tblPrEx>
        <w:trPr>
          <w:trHeight w:val="61"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18478B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D2119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是否允许递交备选</w:t>
            </w:r>
          </w:p>
          <w:p w14:paraId="20C335B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投标方案</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E08844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不允许</w:t>
            </w:r>
          </w:p>
        </w:tc>
      </w:tr>
      <w:tr w14:paraId="32DE0106">
        <w:tblPrEx>
          <w:tblCellMar>
            <w:top w:w="0" w:type="dxa"/>
            <w:left w:w="108" w:type="dxa"/>
            <w:bottom w:w="0" w:type="dxa"/>
            <w:right w:w="108" w:type="dxa"/>
          </w:tblCellMar>
        </w:tblPrEx>
        <w:trPr>
          <w:trHeight w:val="91"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74899E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095CDC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签字或盖章要求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0236ED">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签字或盖章应清晰，易于识别，按招标文件所提供的投标文件格式标准，要求签字盖章处必须签字盖章，严禁代签和仿造行为。</w:t>
            </w:r>
          </w:p>
        </w:tc>
      </w:tr>
      <w:tr w14:paraId="743998E2">
        <w:tblPrEx>
          <w:tblCellMar>
            <w:top w:w="0" w:type="dxa"/>
            <w:left w:w="108" w:type="dxa"/>
            <w:bottom w:w="0" w:type="dxa"/>
            <w:right w:w="108" w:type="dxa"/>
          </w:tblCellMar>
        </w:tblPrEx>
        <w:trPr>
          <w:trHeight w:val="393"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56FCDE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14098F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投标文件份数</w:t>
            </w:r>
          </w:p>
        </w:tc>
        <w:tc>
          <w:tcPr>
            <w:tcW w:w="5309" w:type="dxa"/>
            <w:tcBorders>
              <w:top w:val="single" w:color="auto" w:sz="6" w:space="0"/>
              <w:left w:val="single" w:color="auto" w:sz="6" w:space="0"/>
              <w:bottom w:val="single" w:color="auto" w:sz="6" w:space="0"/>
              <w:right w:val="double" w:color="auto" w:sz="2" w:space="0"/>
            </w:tcBorders>
            <w:noWrap w:val="0"/>
            <w:tcMar>
              <w:left w:w="0" w:type="dxa"/>
              <w:right w:w="0" w:type="dxa"/>
            </w:tcMar>
            <w:vAlign w:val="top"/>
          </w:tcPr>
          <w:p w14:paraId="45ED6D89">
            <w:pPr>
              <w:pStyle w:val="27"/>
              <w:spacing w:before="30" w:line="408" w:lineRule="exact"/>
              <w:ind w:left="116" w:leftChars="0"/>
              <w:rPr>
                <w:rFonts w:hint="eastAsia"/>
                <w:highlight w:val="none"/>
                <w:lang w:val="zh-CN"/>
              </w:rPr>
            </w:pPr>
            <w:r>
              <w:rPr>
                <w:rFonts w:hint="eastAsia" w:ascii="Times New Roman" w:hAnsi="Times New Roman" w:eastAsia="宋体" w:cs="Times New Roman"/>
                <w:kern w:val="2"/>
                <w:sz w:val="21"/>
                <w:szCs w:val="24"/>
                <w:highlight w:val="none"/>
                <w:lang w:val="en-US" w:eastAsia="zh-CN" w:bidi="ar-SA"/>
              </w:rPr>
              <w:t>供应商应在投标文件提交截止时间前通过“政采云”(http：//www.zcygov.cn)提交电子投标文件1份，逾期上传的电子投标文件，平台将予以拒收。因供应商自身原因未能成功解密的，视为逾期未提交投标文件。</w:t>
            </w:r>
          </w:p>
        </w:tc>
      </w:tr>
      <w:tr w14:paraId="5B8B08AB">
        <w:tblPrEx>
          <w:tblCellMar>
            <w:top w:w="0" w:type="dxa"/>
            <w:left w:w="108" w:type="dxa"/>
            <w:bottom w:w="0" w:type="dxa"/>
            <w:right w:w="108" w:type="dxa"/>
          </w:tblCellMar>
        </w:tblPrEx>
        <w:trPr>
          <w:trHeight w:val="87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0B85C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358E3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装订要求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4B76081">
            <w:pPr>
              <w:keepNext w:val="0"/>
              <w:keepLines w:val="0"/>
              <w:pageBreakBefore w:val="0"/>
              <w:widowControl w:val="0"/>
              <w:kinsoku/>
              <w:wordWrap/>
              <w:overflowPunct/>
              <w:topLinePunct w:val="0"/>
              <w:bidi w:val="0"/>
              <w:adjustRightInd/>
              <w:spacing w:line="360" w:lineRule="auto"/>
              <w:textAlignment w:val="auto"/>
              <w:rPr>
                <w:rFonts w:hint="eastAsia" w:ascii="宋体" w:cs="宋体" w:eastAsiaTheme="minorEastAsia"/>
                <w:color w:val="000000"/>
                <w:highlight w:val="none"/>
                <w:lang w:val="zh-CN" w:eastAsia="zh-CN"/>
              </w:rPr>
            </w:pPr>
            <w:r>
              <w:rPr>
                <w:rFonts w:hint="eastAsia" w:ascii="宋体" w:cs="宋体"/>
                <w:color w:val="000000"/>
                <w:highlight w:val="none"/>
                <w:lang w:val="en-US" w:eastAsia="zh-CN"/>
              </w:rPr>
              <w:t>/</w:t>
            </w:r>
          </w:p>
        </w:tc>
      </w:tr>
      <w:tr w14:paraId="4DEF2F42">
        <w:tblPrEx>
          <w:tblCellMar>
            <w:top w:w="0" w:type="dxa"/>
            <w:left w:w="108" w:type="dxa"/>
            <w:bottom w:w="0" w:type="dxa"/>
            <w:right w:w="108" w:type="dxa"/>
          </w:tblCellMar>
        </w:tblPrEx>
        <w:trPr>
          <w:trHeight w:val="46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92D07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2C9EB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是否退还投标文件</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980492A">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否</w:t>
            </w:r>
          </w:p>
        </w:tc>
      </w:tr>
      <w:tr w14:paraId="76438703">
        <w:tblPrEx>
          <w:tblCellMar>
            <w:top w:w="0" w:type="dxa"/>
            <w:left w:w="108" w:type="dxa"/>
            <w:bottom w:w="0" w:type="dxa"/>
            <w:right w:w="108" w:type="dxa"/>
          </w:tblCellMar>
        </w:tblPrEx>
        <w:trPr>
          <w:trHeight w:val="66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58B2BB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069C9E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开标时间和地点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E95947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开标时间：</w:t>
            </w: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8</w:t>
            </w:r>
            <w:r>
              <w:rPr>
                <w:rFonts w:hint="eastAsia" w:ascii="宋体" w:cs="宋体"/>
                <w:color w:val="auto"/>
                <w:highlight w:val="none"/>
                <w:lang w:eastAsia="zh-CN"/>
              </w:rPr>
              <w:t>月</w:t>
            </w:r>
            <w:r>
              <w:rPr>
                <w:rFonts w:hint="eastAsia" w:ascii="宋体" w:cs="宋体"/>
                <w:color w:val="auto"/>
                <w:highlight w:val="none"/>
                <w:lang w:val="en-US" w:eastAsia="zh-CN"/>
              </w:rPr>
              <w:t>5</w:t>
            </w:r>
            <w:r>
              <w:rPr>
                <w:rFonts w:hint="eastAsia" w:ascii="宋体" w:cs="宋体"/>
                <w:color w:val="auto"/>
                <w:highlight w:val="none"/>
                <w:lang w:eastAsia="zh-CN"/>
              </w:rPr>
              <w:t>日</w:t>
            </w:r>
            <w:r>
              <w:rPr>
                <w:rFonts w:hint="eastAsia" w:ascii="宋体" w:cs="宋体"/>
                <w:color w:val="auto"/>
                <w:highlight w:val="none"/>
                <w:lang w:val="en-US" w:eastAsia="zh-CN"/>
              </w:rPr>
              <w:t>10</w:t>
            </w:r>
            <w:r>
              <w:rPr>
                <w:rFonts w:hint="eastAsia" w:ascii="宋体" w:cs="宋体"/>
                <w:color w:val="auto"/>
                <w:highlight w:val="none"/>
              </w:rPr>
              <w:t>时</w:t>
            </w:r>
            <w:r>
              <w:rPr>
                <w:rFonts w:hint="eastAsia" w:ascii="宋体" w:cs="宋体"/>
                <w:color w:val="auto"/>
                <w:highlight w:val="none"/>
                <w:lang w:val="en-US" w:eastAsia="zh-CN"/>
              </w:rPr>
              <w:t>00</w:t>
            </w:r>
            <w:r>
              <w:rPr>
                <w:rFonts w:hint="eastAsia" w:ascii="宋体" w:cs="宋体"/>
                <w:color w:val="auto"/>
                <w:highlight w:val="none"/>
              </w:rPr>
              <w:t>分（北京时间）</w:t>
            </w:r>
          </w:p>
          <w:p w14:paraId="19BBA63D">
            <w:pPr>
              <w:keepNext w:val="0"/>
              <w:keepLines w:val="0"/>
              <w:pageBreakBefore w:val="0"/>
              <w:widowControl w:val="0"/>
              <w:kinsoku/>
              <w:wordWrap/>
              <w:overflowPunct/>
              <w:topLinePunct w:val="0"/>
              <w:bidi w:val="0"/>
              <w:adjustRightInd/>
              <w:spacing w:line="360" w:lineRule="auto"/>
              <w:textAlignment w:val="auto"/>
              <w:rPr>
                <w:rFonts w:hint="eastAsia" w:ascii="宋体" w:hAnsi="宋体" w:cs="宋体"/>
                <w:bCs/>
                <w:color w:val="auto"/>
                <w:kern w:val="0"/>
                <w:highlight w:val="none"/>
              </w:rPr>
            </w:pPr>
            <w:r>
              <w:rPr>
                <w:rFonts w:hint="eastAsia" w:ascii="宋体" w:cs="宋体"/>
                <w:color w:val="auto"/>
                <w:highlight w:val="none"/>
                <w:lang w:val="zh-CN"/>
              </w:rPr>
              <w:t>开标地点：</w:t>
            </w:r>
            <w:r>
              <w:rPr>
                <w:rFonts w:hint="eastAsia" w:ascii="宋体" w:hAnsi="宋体" w:cs="宋体"/>
                <w:bCs/>
                <w:color w:val="auto"/>
                <w:szCs w:val="21"/>
                <w:highlight w:val="none"/>
                <w:lang w:val="zh-CN"/>
              </w:rPr>
              <w:t>长春市高新区鸿达街吉林日报副楼4楼吉利招第三开标室</w:t>
            </w:r>
          </w:p>
          <w:p w14:paraId="23462BFD">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本项目执行电子化招投标</w:t>
            </w:r>
            <w:r>
              <w:rPr>
                <w:rFonts w:hint="eastAsia" w:ascii="宋体" w:hAnsi="宋体" w:cs="宋体"/>
                <w:bCs/>
                <w:sz w:val="21"/>
                <w:szCs w:val="21"/>
                <w:highlight w:val="none"/>
              </w:rPr>
              <w:t>，</w:t>
            </w:r>
            <w:r>
              <w:rPr>
                <w:rFonts w:hint="eastAsia" w:ascii="宋体" w:hAnsi="宋体" w:cs="宋体"/>
                <w:bCs/>
                <w:sz w:val="21"/>
                <w:szCs w:val="21"/>
                <w:highlight w:val="none"/>
                <w:lang w:val="zh-CN"/>
              </w:rPr>
              <w:t>投标人须通过政府采购云平台</w:t>
            </w:r>
            <w:r>
              <w:rPr>
                <w:rFonts w:hint="eastAsia" w:ascii="宋体" w:hAnsi="宋体" w:cs="宋体"/>
                <w:bCs/>
                <w:sz w:val="21"/>
                <w:szCs w:val="21"/>
                <w:highlight w:val="none"/>
              </w:rPr>
              <w:t>（</w:t>
            </w:r>
            <w:r>
              <w:rPr>
                <w:rFonts w:hint="eastAsia" w:ascii="宋体" w:hAnsi="宋体" w:cs="宋体"/>
                <w:bCs/>
                <w:sz w:val="21"/>
                <w:szCs w:val="21"/>
                <w:highlight w:val="none"/>
                <w:lang w:val="zh-CN"/>
              </w:rPr>
              <w:t>网址</w:t>
            </w:r>
            <w:r>
              <w:rPr>
                <w:rFonts w:hint="eastAsia" w:ascii="宋体" w:hAnsi="宋体" w:cs="宋体"/>
                <w:bCs/>
                <w:sz w:val="21"/>
                <w:szCs w:val="21"/>
                <w:highlight w:val="none"/>
              </w:rPr>
              <w:t>：http:// www.zcygov.cn）</w:t>
            </w:r>
            <w:r>
              <w:rPr>
                <w:rFonts w:hint="eastAsia" w:ascii="宋体" w:hAnsi="宋体" w:cs="宋体"/>
                <w:bCs/>
                <w:sz w:val="21"/>
                <w:szCs w:val="21"/>
                <w:highlight w:val="none"/>
                <w:lang w:val="zh-CN"/>
              </w:rPr>
              <w:t>递交电子版投标文件。</w:t>
            </w:r>
          </w:p>
          <w:p w14:paraId="7641EEB7">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投标操作流程：投标人在政府采购云平台网注册入库成为正式投标人后，在平台上按《政府采购项目电子交易管理操作指南-投标人》进行投标操作。</w:t>
            </w:r>
          </w:p>
          <w:p w14:paraId="62A4E035">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数字证书办理及投标技术咨询：投标人须办理数字证书方可参加投标。</w:t>
            </w:r>
          </w:p>
          <w:p w14:paraId="5E9030E1">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办理联系方式：</w:t>
            </w:r>
            <w:r>
              <w:rPr>
                <w:rFonts w:hint="eastAsia" w:ascii="宋体" w:hAnsi="宋体" w:cs="宋体"/>
                <w:bCs/>
                <w:sz w:val="21"/>
                <w:szCs w:val="21"/>
                <w:highlight w:val="none"/>
              </w:rPr>
              <w:t xml:space="preserve"> 95763</w:t>
            </w:r>
          </w:p>
          <w:p w14:paraId="0D6941CE">
            <w:pPr>
              <w:pStyle w:val="8"/>
              <w:keepNext w:val="0"/>
              <w:keepLines w:val="0"/>
              <w:pageBreakBefore w:val="0"/>
              <w:widowControl w:val="0"/>
              <w:kinsoku/>
              <w:wordWrap/>
              <w:overflowPunct/>
              <w:topLinePunct w:val="0"/>
              <w:bidi w:val="0"/>
              <w:adjustRightInd/>
              <w:spacing w:line="360" w:lineRule="auto"/>
              <w:textAlignment w:val="auto"/>
              <w:rPr>
                <w:rFonts w:hint="eastAsia"/>
                <w:highlight w:val="none"/>
                <w:lang w:val="zh-CN"/>
              </w:rPr>
            </w:pPr>
            <w:r>
              <w:rPr>
                <w:rFonts w:hint="eastAsia" w:ascii="宋体" w:hAnsi="宋体" w:cs="宋体"/>
                <w:bCs/>
                <w:highlight w:val="none"/>
                <w:lang w:val="zh-CN"/>
              </w:rPr>
              <w:t>（数字证书办理时限为1-3个工作日，投标人须自行考虑办理时间，由于投标人自身原因在开标前无法完成办理，后果自负。）</w:t>
            </w:r>
          </w:p>
        </w:tc>
      </w:tr>
      <w:tr w14:paraId="360BA7F6">
        <w:tblPrEx>
          <w:tblCellMar>
            <w:top w:w="0" w:type="dxa"/>
            <w:left w:w="108" w:type="dxa"/>
            <w:bottom w:w="0" w:type="dxa"/>
            <w:right w:w="108" w:type="dxa"/>
          </w:tblCellMar>
        </w:tblPrEx>
        <w:trPr>
          <w:trHeight w:val="52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09F03D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937BF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评标委员会的组建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FFF0E9">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评标委员会构成：评标专家</w:t>
            </w:r>
            <w:r>
              <w:rPr>
                <w:rFonts w:hint="eastAsia" w:ascii="宋体" w:cs="宋体"/>
                <w:highlight w:val="none"/>
                <w:lang w:val="en-US" w:eastAsia="zh-CN"/>
              </w:rPr>
              <w:t>5</w:t>
            </w:r>
            <w:r>
              <w:rPr>
                <w:rFonts w:hint="eastAsia" w:ascii="宋体" w:cs="宋体"/>
                <w:highlight w:val="none"/>
              </w:rPr>
              <w:t>人。</w:t>
            </w:r>
          </w:p>
          <w:p w14:paraId="2C59F92B">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评标专家确定方式：</w:t>
            </w:r>
            <w:r>
              <w:rPr>
                <w:rFonts w:hint="eastAsia" w:ascii="宋体" w:hAnsi="宋体" w:cs="宋体"/>
                <w:highlight w:val="none"/>
              </w:rPr>
              <w:t>从</w:t>
            </w:r>
            <w:r>
              <w:rPr>
                <w:rFonts w:hint="eastAsia" w:ascii="宋体" w:hAnsi="宋体" w:cs="宋体"/>
                <w:highlight w:val="none"/>
                <w:lang w:val="en-US" w:eastAsia="zh-CN"/>
              </w:rPr>
              <w:t>政采云</w:t>
            </w:r>
            <w:r>
              <w:rPr>
                <w:rFonts w:hint="eastAsia" w:ascii="宋体" w:hAnsi="宋体" w:cs="宋体"/>
                <w:highlight w:val="none"/>
              </w:rPr>
              <w:t>的综合评标专家库中随机抽取</w:t>
            </w:r>
            <w:r>
              <w:rPr>
                <w:rFonts w:hint="eastAsia" w:ascii="宋体" w:cs="宋体"/>
                <w:highlight w:val="none"/>
              </w:rPr>
              <w:t>。</w:t>
            </w:r>
          </w:p>
        </w:tc>
      </w:tr>
      <w:tr w14:paraId="10F9AE3E">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A69E81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9F55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是否授权评标委员会</w:t>
            </w:r>
          </w:p>
          <w:p w14:paraId="6F63862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确定中标人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7B922C5">
            <w:pPr>
              <w:keepNext w:val="0"/>
              <w:keepLines w:val="0"/>
              <w:pageBreakBefore w:val="0"/>
              <w:widowControl w:val="0"/>
              <w:kinsoku/>
              <w:wordWrap/>
              <w:overflowPunct/>
              <w:topLinePunct w:val="0"/>
              <w:bidi w:val="0"/>
              <w:adjustRightInd/>
              <w:spacing w:line="360" w:lineRule="auto"/>
              <w:textAlignment w:val="auto"/>
              <w:rPr>
                <w:rFonts w:ascii="宋体" w:cs="宋体"/>
                <w:color w:val="000000"/>
                <w:highlight w:val="none"/>
              </w:rPr>
            </w:pPr>
            <w:r>
              <w:rPr>
                <w:rFonts w:hint="eastAsia" w:ascii="宋体" w:cs="宋体"/>
                <w:color w:val="000000"/>
                <w:highlight w:val="none"/>
                <w:lang w:val="zh-CN"/>
              </w:rPr>
              <w:t>推荐3名中标候选人。</w:t>
            </w:r>
          </w:p>
          <w:p w14:paraId="1D71ED66">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确定中标人的原则：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tc>
      </w:tr>
      <w:tr w14:paraId="1137D682">
        <w:tblPrEx>
          <w:tblCellMar>
            <w:top w:w="0" w:type="dxa"/>
            <w:left w:w="108" w:type="dxa"/>
            <w:bottom w:w="0" w:type="dxa"/>
            <w:right w:w="108" w:type="dxa"/>
          </w:tblCellMar>
        </w:tblPrEx>
        <w:trPr>
          <w:trHeight w:val="457"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185EF0">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　3</w:t>
            </w:r>
            <w:r>
              <w:rPr>
                <w:rFonts w:hint="eastAsia" w:ascii="宋体" w:cs="宋体"/>
                <w:color w:val="000000"/>
                <w:highlight w:val="none"/>
              </w:rPr>
              <w:t>7</w:t>
            </w:r>
            <w:r>
              <w:rPr>
                <w:rFonts w:hint="eastAsia" w:ascii="宋体" w:cs="宋体"/>
                <w:color w:val="000000"/>
                <w:highlight w:val="none"/>
                <w:lang w:val="zh-CN"/>
              </w:rPr>
              <w:t>.需要补充的其他内容</w:t>
            </w:r>
          </w:p>
        </w:tc>
      </w:tr>
      <w:tr w14:paraId="61C22232">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4" w:space="0"/>
            </w:tcBorders>
            <w:shd w:val="clear" w:color="auto" w:fill="auto"/>
            <w:noWrap w:val="0"/>
            <w:tcMar>
              <w:left w:w="0" w:type="dxa"/>
              <w:right w:w="0" w:type="dxa"/>
            </w:tcMar>
            <w:vAlign w:val="center"/>
          </w:tcPr>
          <w:p w14:paraId="365377E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.1</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16C10E0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不良行为记录</w:t>
            </w:r>
          </w:p>
        </w:tc>
        <w:tc>
          <w:tcPr>
            <w:tcW w:w="3135" w:type="pct"/>
            <w:tcBorders>
              <w:top w:val="single" w:color="auto" w:sz="6" w:space="0"/>
              <w:left w:val="nil"/>
              <w:bottom w:val="single" w:color="auto" w:sz="6" w:space="0"/>
              <w:right w:val="double" w:color="auto" w:sz="2" w:space="0"/>
            </w:tcBorders>
            <w:noWrap w:val="0"/>
            <w:tcMar>
              <w:left w:w="0" w:type="dxa"/>
              <w:right w:w="0" w:type="dxa"/>
            </w:tcMar>
            <w:vAlign w:val="center"/>
          </w:tcPr>
          <w:p w14:paraId="73957E39">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良行为记录是指：地方政府、政府部门颁发的规章或规范性文件所提到的不良行为记录。其“不良行为”，是指行业各方主体和从业人员的不良市场行为，即在从事该行业活动中，违反国家和省有关法律、法规、规章、强制性标准条文、规范、规程及规范性文件等行为。对这些不良行为的记录，存放在有关行政管理部门。</w:t>
            </w:r>
          </w:p>
        </w:tc>
      </w:tr>
      <w:tr w14:paraId="11238853">
        <w:tblPrEx>
          <w:tblCellMar>
            <w:top w:w="0" w:type="dxa"/>
            <w:left w:w="108" w:type="dxa"/>
            <w:bottom w:w="0" w:type="dxa"/>
            <w:right w:w="108" w:type="dxa"/>
          </w:tblCellMar>
        </w:tblPrEx>
        <w:trPr>
          <w:trHeight w:val="1251"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34FF0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2</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F1B5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最高投标限价</w:t>
            </w:r>
          </w:p>
        </w:tc>
        <w:tc>
          <w:tcPr>
            <w:tcW w:w="3135" w:type="pct"/>
            <w:tcBorders>
              <w:top w:val="single" w:color="auto" w:sz="6" w:space="0"/>
              <w:left w:val="nil"/>
              <w:bottom w:val="single" w:color="auto" w:sz="6" w:space="0"/>
              <w:right w:val="double" w:color="auto" w:sz="2" w:space="0"/>
            </w:tcBorders>
            <w:noWrap w:val="0"/>
            <w:tcMar>
              <w:left w:w="0" w:type="dxa"/>
              <w:right w:w="0" w:type="dxa"/>
            </w:tcMar>
            <w:vAlign w:val="center"/>
          </w:tcPr>
          <w:p w14:paraId="44B16B1F">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eastAsia="zh-CN"/>
              </w:rPr>
            </w:pPr>
            <w:r>
              <w:rPr>
                <w:rFonts w:hint="eastAsia" w:ascii="宋体" w:hAnsi="宋体" w:eastAsia="宋体" w:cs="宋体"/>
                <w:color w:val="auto"/>
                <w:spacing w:val="-1"/>
                <w:sz w:val="21"/>
                <w:szCs w:val="21"/>
                <w:highlight w:val="none"/>
                <w:lang w:val="en-US" w:eastAsia="zh-CN"/>
              </w:rPr>
              <w:t>4,305,963元</w:t>
            </w:r>
            <w:r>
              <w:rPr>
                <w:rFonts w:hint="eastAsia" w:ascii="宋体" w:cs="宋体"/>
                <w:color w:val="000000"/>
                <w:highlight w:val="none"/>
                <w:lang w:eastAsia="zh-CN"/>
              </w:rPr>
              <w:t>（含税）</w:t>
            </w:r>
          </w:p>
          <w:p w14:paraId="693F87B8">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eastAsia" w:ascii="宋体" w:cs="宋体"/>
                <w:b/>
                <w:bCs/>
                <w:color w:val="auto"/>
                <w:highlight w:val="none"/>
                <w:lang w:val="en-US" w:eastAsia="zh-CN"/>
              </w:rPr>
              <w:t>注：</w:t>
            </w:r>
            <w:r>
              <w:rPr>
                <w:rFonts w:hint="eastAsia" w:ascii="宋体" w:hAnsi="宋体" w:cs="宋体"/>
                <w:b/>
                <w:bCs/>
                <w:color w:val="auto"/>
                <w:highlight w:val="none"/>
                <w:lang w:val="en-US" w:eastAsia="zh-CN"/>
              </w:rPr>
              <w:t>总价不得超过采购预算</w:t>
            </w:r>
            <w:r>
              <w:rPr>
                <w:rFonts w:hint="eastAsia" w:hAnsi="宋体" w:cs="宋体"/>
                <w:b/>
                <w:bCs/>
                <w:color w:val="auto"/>
                <w:highlight w:val="none"/>
                <w:lang w:val="en-US" w:eastAsia="zh-CN"/>
              </w:rPr>
              <w:t>最高投标限价，各分项报价不得超过采购人提供各分项报价最高投标限价。</w:t>
            </w:r>
          </w:p>
        </w:tc>
      </w:tr>
      <w:tr w14:paraId="3F877C72">
        <w:tblPrEx>
          <w:tblCellMar>
            <w:top w:w="0" w:type="dxa"/>
            <w:left w:w="108" w:type="dxa"/>
            <w:bottom w:w="0" w:type="dxa"/>
            <w:right w:w="108" w:type="dxa"/>
          </w:tblCellMar>
        </w:tblPrEx>
        <w:trPr>
          <w:trHeight w:val="2029"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33112F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3</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2734FC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招标代理服务费</w:t>
            </w:r>
          </w:p>
        </w:tc>
        <w:tc>
          <w:tcPr>
            <w:tcW w:w="3135" w:type="pct"/>
            <w:tcBorders>
              <w:top w:val="single" w:color="auto" w:sz="6" w:space="0"/>
              <w:left w:val="nil"/>
              <w:bottom w:val="single" w:color="auto" w:sz="6" w:space="0"/>
              <w:right w:val="double" w:color="auto" w:sz="2" w:space="0"/>
            </w:tcBorders>
            <w:noWrap w:val="0"/>
            <w:vAlign w:val="center"/>
          </w:tcPr>
          <w:p w14:paraId="41AF78D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收取依据：执行发改办价格[2015]299号文件收费标准向中标人收取</w:t>
            </w:r>
            <w:r>
              <w:rPr>
                <w:rFonts w:hint="eastAsia" w:ascii="宋体" w:cs="宋体"/>
                <w:color w:val="000000"/>
                <w:highlight w:val="none"/>
                <w:lang w:val="en-US" w:eastAsia="zh-CN"/>
              </w:rPr>
              <w:t>8.6万元</w:t>
            </w:r>
            <w:r>
              <w:rPr>
                <w:rFonts w:hint="eastAsia" w:ascii="宋体" w:cs="宋体"/>
                <w:color w:val="000000"/>
                <w:highlight w:val="none"/>
                <w:lang w:val="zh-CN"/>
              </w:rPr>
              <w:t>。</w:t>
            </w:r>
          </w:p>
          <w:p w14:paraId="6EFC2708">
            <w:pPr>
              <w:keepNext w:val="0"/>
              <w:keepLines w:val="0"/>
              <w:pageBreakBefore w:val="0"/>
              <w:widowControl w:val="0"/>
              <w:kinsoku/>
              <w:wordWrap/>
              <w:overflowPunct/>
              <w:topLinePunct w:val="0"/>
              <w:bidi w:val="0"/>
              <w:adjustRightInd/>
              <w:spacing w:line="360" w:lineRule="auto"/>
              <w:textAlignment w:val="auto"/>
              <w:rPr>
                <w:rFonts w:hint="eastAsia" w:ascii="宋体" w:cs="宋体" w:eastAsiaTheme="minorEastAsia"/>
                <w:color w:val="000000"/>
                <w:highlight w:val="none"/>
                <w:lang w:val="en-US" w:eastAsia="zh-CN"/>
              </w:rPr>
            </w:pPr>
            <w:r>
              <w:rPr>
                <w:rFonts w:hint="eastAsia" w:ascii="宋体" w:cs="宋体"/>
                <w:color w:val="000000"/>
                <w:highlight w:val="none"/>
                <w:lang w:val="en-US" w:eastAsia="zh-CN"/>
              </w:rPr>
              <w:t>收款账户：吉林省捷冠工程管理有限公司</w:t>
            </w:r>
          </w:p>
          <w:p w14:paraId="386536F3">
            <w:pPr>
              <w:keepNext w:val="0"/>
              <w:keepLines w:val="0"/>
              <w:pageBreakBefore w:val="0"/>
              <w:widowControl w:val="0"/>
              <w:kinsoku/>
              <w:wordWrap/>
              <w:overflowPunct/>
              <w:topLinePunct w:val="0"/>
              <w:bidi w:val="0"/>
              <w:adjustRightInd/>
              <w:spacing w:line="360" w:lineRule="auto"/>
              <w:textAlignment w:val="auto"/>
              <w:rPr>
                <w:rFonts w:hint="default" w:ascii="宋体" w:cs="宋体" w:eastAsiaTheme="minorEastAsia"/>
                <w:color w:val="000000"/>
                <w:highlight w:val="none"/>
                <w:lang w:val="en-US" w:eastAsia="zh-CN"/>
              </w:rPr>
            </w:pPr>
            <w:r>
              <w:rPr>
                <w:rFonts w:hint="default" w:ascii="宋体" w:cs="宋体" w:eastAsiaTheme="minorEastAsia"/>
                <w:color w:val="000000"/>
                <w:highlight w:val="none"/>
                <w:lang w:val="en-US" w:eastAsia="zh-CN"/>
              </w:rPr>
              <w:t>账户号码:160466486334</w:t>
            </w:r>
          </w:p>
          <w:p w14:paraId="58A02F79">
            <w:pPr>
              <w:keepNext w:val="0"/>
              <w:keepLines w:val="0"/>
              <w:pageBreakBefore w:val="0"/>
              <w:widowControl w:val="0"/>
              <w:kinsoku/>
              <w:wordWrap/>
              <w:overflowPunct/>
              <w:topLinePunct w:val="0"/>
              <w:bidi w:val="0"/>
              <w:adjustRightInd/>
              <w:spacing w:line="360" w:lineRule="auto"/>
              <w:textAlignment w:val="auto"/>
              <w:rPr>
                <w:rFonts w:hint="default" w:ascii="宋体" w:cs="宋体" w:eastAsiaTheme="minorEastAsia"/>
                <w:color w:val="000000"/>
                <w:highlight w:val="none"/>
                <w:lang w:val="en-US" w:eastAsia="zh-CN"/>
              </w:rPr>
            </w:pPr>
            <w:r>
              <w:rPr>
                <w:rFonts w:hint="eastAsia" w:ascii="宋体" w:cs="宋体"/>
                <w:color w:val="000000"/>
                <w:highlight w:val="none"/>
                <w:lang w:val="en-US" w:eastAsia="zh-CN"/>
              </w:rPr>
              <w:t>开户行：</w:t>
            </w:r>
            <w:r>
              <w:rPr>
                <w:rFonts w:hint="default" w:ascii="宋体" w:cs="宋体" w:eastAsiaTheme="minorEastAsia"/>
                <w:color w:val="000000"/>
                <w:highlight w:val="none"/>
                <w:lang w:val="en-US" w:eastAsia="zh-CN"/>
              </w:rPr>
              <w:t>中国银行股份有限公司长春朝阳支行</w:t>
            </w:r>
          </w:p>
        </w:tc>
      </w:tr>
      <w:tr w14:paraId="120A5F25">
        <w:tblPrEx>
          <w:tblCellMar>
            <w:top w:w="0" w:type="dxa"/>
            <w:left w:w="108" w:type="dxa"/>
            <w:bottom w:w="0" w:type="dxa"/>
            <w:right w:w="108" w:type="dxa"/>
          </w:tblCellMar>
        </w:tblPrEx>
        <w:trPr>
          <w:trHeight w:val="520"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2200B4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4</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45AECF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付款方式</w:t>
            </w:r>
          </w:p>
        </w:tc>
        <w:tc>
          <w:tcPr>
            <w:tcW w:w="3135" w:type="pct"/>
            <w:tcBorders>
              <w:top w:val="single" w:color="auto" w:sz="6" w:space="0"/>
              <w:left w:val="nil"/>
              <w:bottom w:val="single" w:color="auto" w:sz="6" w:space="0"/>
              <w:right w:val="double" w:color="auto" w:sz="2" w:space="0"/>
            </w:tcBorders>
            <w:noWrap w:val="0"/>
            <w:vAlign w:val="center"/>
          </w:tcPr>
          <w:p w14:paraId="2F94BEA0">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default" w:ascii="宋体" w:cs="宋体"/>
                <w:color w:val="000000"/>
                <w:highlight w:val="none"/>
                <w:lang w:val="en-US"/>
              </w:rPr>
              <w:t>甲乙双方合同中另行约定</w:t>
            </w:r>
          </w:p>
        </w:tc>
      </w:tr>
      <w:tr w14:paraId="53E19970">
        <w:tblPrEx>
          <w:tblCellMar>
            <w:top w:w="0" w:type="dxa"/>
            <w:left w:w="108" w:type="dxa"/>
            <w:bottom w:w="0" w:type="dxa"/>
            <w:right w:w="108" w:type="dxa"/>
          </w:tblCellMar>
        </w:tblPrEx>
        <w:trPr>
          <w:trHeight w:val="1130"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F8D34B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5</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7A5B8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中标公示</w:t>
            </w:r>
          </w:p>
        </w:tc>
        <w:tc>
          <w:tcPr>
            <w:tcW w:w="3135" w:type="pct"/>
            <w:tcBorders>
              <w:top w:val="single" w:color="auto" w:sz="6" w:space="0"/>
              <w:left w:val="nil"/>
              <w:bottom w:val="single" w:color="auto" w:sz="6" w:space="0"/>
              <w:right w:val="double" w:color="auto" w:sz="2" w:space="0"/>
            </w:tcBorders>
            <w:noWrap w:val="0"/>
            <w:vAlign w:val="center"/>
          </w:tcPr>
          <w:p w14:paraId="011CB7A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在中标通知书发出的同时，采购人将中标结果情况在招标公告发布同一媒介予以公示，公示期不少于1个工作日。</w:t>
            </w:r>
          </w:p>
        </w:tc>
      </w:tr>
      <w:tr w14:paraId="049B650D">
        <w:tblPrEx>
          <w:tblCellMar>
            <w:top w:w="0" w:type="dxa"/>
            <w:left w:w="108" w:type="dxa"/>
            <w:bottom w:w="0" w:type="dxa"/>
            <w:right w:w="108" w:type="dxa"/>
          </w:tblCellMar>
        </w:tblPrEx>
        <w:trPr>
          <w:trHeight w:val="702"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B0BAC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37.6</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2400C1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监督</w:t>
            </w:r>
          </w:p>
        </w:tc>
        <w:tc>
          <w:tcPr>
            <w:tcW w:w="3135" w:type="pct"/>
            <w:tcBorders>
              <w:top w:val="single" w:color="auto" w:sz="6" w:space="0"/>
              <w:left w:val="nil"/>
              <w:bottom w:val="single" w:color="auto" w:sz="6" w:space="0"/>
              <w:right w:val="double" w:color="auto" w:sz="2" w:space="0"/>
            </w:tcBorders>
            <w:noWrap w:val="0"/>
            <w:vAlign w:val="center"/>
          </w:tcPr>
          <w:p w14:paraId="0338A97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本项目的招标投标活动及其相关当事人应当接受有管辖权的招标投标行政监督部门依法实施的监督。</w:t>
            </w:r>
          </w:p>
        </w:tc>
      </w:tr>
      <w:tr w14:paraId="7B978D86">
        <w:tblPrEx>
          <w:tblCellMar>
            <w:top w:w="0" w:type="dxa"/>
            <w:left w:w="108" w:type="dxa"/>
            <w:bottom w:w="0" w:type="dxa"/>
            <w:right w:w="108" w:type="dxa"/>
          </w:tblCellMar>
        </w:tblPrEx>
        <w:trPr>
          <w:trHeight w:val="2338"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515EFDFC">
            <w:pPr>
              <w:keepNext w:val="0"/>
              <w:keepLines w:val="0"/>
              <w:pageBreakBefore w:val="0"/>
              <w:widowControl w:val="0"/>
              <w:kinsoku/>
              <w:wordWrap/>
              <w:overflowPunct/>
              <w:topLinePunct w:val="0"/>
              <w:bidi w:val="0"/>
              <w:adjustRightInd/>
              <w:spacing w:line="360" w:lineRule="auto"/>
              <w:jc w:val="center"/>
              <w:textAlignment w:val="auto"/>
              <w:rPr>
                <w:rFonts w:ascii="宋体" w:cs="宋体"/>
                <w:color w:val="000000"/>
                <w:highlight w:val="none"/>
              </w:rPr>
            </w:pPr>
            <w:r>
              <w:rPr>
                <w:rFonts w:hint="eastAsia" w:ascii="宋体" w:cs="宋体"/>
                <w:color w:val="000000"/>
                <w:highlight w:val="none"/>
              </w:rPr>
              <w:t>37.7</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B5B80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解释权</w:t>
            </w:r>
          </w:p>
        </w:tc>
        <w:tc>
          <w:tcPr>
            <w:tcW w:w="3135" w:type="pct"/>
            <w:tcBorders>
              <w:top w:val="single" w:color="auto" w:sz="6" w:space="0"/>
              <w:left w:val="nil"/>
              <w:bottom w:val="single" w:color="auto" w:sz="6" w:space="0"/>
              <w:right w:val="double" w:color="auto" w:sz="2" w:space="0"/>
            </w:tcBorders>
            <w:noWrap w:val="0"/>
            <w:vAlign w:val="center"/>
          </w:tcPr>
          <w:p w14:paraId="2D88BCE3">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以编排顺序在后者为准；同一组成文件中就同一事项的规定或约定不一致的，以编排顺序在后者为准；同一组成文件不同版本之间有不一致的，以形成时间在后者为准。按本款前述规定仍不能形成结论的，由采购人负责解释。</w:t>
            </w:r>
          </w:p>
        </w:tc>
      </w:tr>
      <w:tr w14:paraId="742BB65C">
        <w:tblPrEx>
          <w:tblCellMar>
            <w:top w:w="0" w:type="dxa"/>
            <w:left w:w="108" w:type="dxa"/>
            <w:bottom w:w="0" w:type="dxa"/>
            <w:right w:w="108" w:type="dxa"/>
          </w:tblCellMar>
        </w:tblPrEx>
        <w:trPr>
          <w:trHeight w:val="43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A9A70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37.8</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5D6DF88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履约保证金</w:t>
            </w:r>
          </w:p>
        </w:tc>
        <w:tc>
          <w:tcPr>
            <w:tcW w:w="3135" w:type="pct"/>
            <w:tcBorders>
              <w:top w:val="single" w:color="auto" w:sz="6" w:space="0"/>
              <w:left w:val="nil"/>
              <w:bottom w:val="single" w:color="auto" w:sz="6" w:space="0"/>
              <w:right w:val="double" w:color="auto" w:sz="2" w:space="0"/>
            </w:tcBorders>
            <w:noWrap w:val="0"/>
            <w:vAlign w:val="center"/>
          </w:tcPr>
          <w:p w14:paraId="5C0B6F2B">
            <w:pPr>
              <w:keepNext w:val="0"/>
              <w:keepLines w:val="0"/>
              <w:pageBreakBefore w:val="0"/>
              <w:widowControl w:val="0"/>
              <w:kinsoku/>
              <w:wordWrap/>
              <w:overflowPunct/>
              <w:topLinePunct w:val="0"/>
              <w:bidi w:val="0"/>
              <w:adjustRightInd/>
              <w:spacing w:line="360" w:lineRule="auto"/>
              <w:jc w:val="both"/>
              <w:textAlignment w:val="auto"/>
              <w:rPr>
                <w:rFonts w:hint="eastAsia" w:ascii="宋体" w:cs="宋体"/>
                <w:color w:val="000000"/>
                <w:highlight w:val="none"/>
                <w:lang w:val="zh-CN" w:eastAsia="zh-CN"/>
              </w:rPr>
            </w:pPr>
            <w:r>
              <w:rPr>
                <w:rFonts w:hint="eastAsia" w:ascii="宋体" w:cs="宋体"/>
                <w:color w:val="000000"/>
                <w:highlight w:val="none"/>
                <w:lang w:val="en-US" w:eastAsia="zh-CN"/>
              </w:rPr>
              <w:t>无</w:t>
            </w:r>
          </w:p>
        </w:tc>
      </w:tr>
      <w:tr w14:paraId="181BBF1F">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4092E0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37.9</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0E24C9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类似项目</w:t>
            </w:r>
          </w:p>
        </w:tc>
        <w:tc>
          <w:tcPr>
            <w:tcW w:w="3135" w:type="pct"/>
            <w:tcBorders>
              <w:top w:val="single" w:color="auto" w:sz="6" w:space="0"/>
              <w:left w:val="nil"/>
              <w:bottom w:val="single" w:color="auto" w:sz="6" w:space="0"/>
              <w:right w:val="double" w:color="auto" w:sz="2" w:space="0"/>
            </w:tcBorders>
            <w:noWrap w:val="0"/>
            <w:vAlign w:val="center"/>
          </w:tcPr>
          <w:p w14:paraId="0507ECA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eastAsiaTheme="minorEastAsia"/>
                <w:color w:val="000000"/>
                <w:highlight w:val="none"/>
                <w:lang w:val="zh-CN" w:eastAsia="zh-CN"/>
              </w:rPr>
            </w:pPr>
            <w:r>
              <w:rPr>
                <w:rFonts w:hint="eastAsia" w:ascii="宋体" w:cs="宋体"/>
                <w:color w:val="000000"/>
                <w:highlight w:val="none"/>
                <w:lang w:val="zh-CN"/>
              </w:rPr>
              <w:t>近三年（202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1月1日-</w:t>
            </w:r>
            <w:r>
              <w:rPr>
                <w:rFonts w:hint="eastAsia" w:ascii="宋体" w:cs="宋体"/>
                <w:color w:val="000000"/>
                <w:highlight w:val="none"/>
                <w:lang w:val="zh-CN"/>
              </w:rPr>
              <w:t>至今）</w:t>
            </w:r>
          </w:p>
        </w:tc>
      </w:tr>
      <w:tr w14:paraId="0EB68879">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50D37D7">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color w:val="000000"/>
                <w:highlight w:val="none"/>
                <w:lang w:val="en-US" w:eastAsia="zh-CN"/>
              </w:rPr>
              <w:t>37.10</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85B897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质保期</w:t>
            </w:r>
          </w:p>
        </w:tc>
        <w:tc>
          <w:tcPr>
            <w:tcW w:w="3135" w:type="pct"/>
            <w:tcBorders>
              <w:top w:val="single" w:color="auto" w:sz="6" w:space="0"/>
              <w:left w:val="nil"/>
              <w:bottom w:val="single" w:color="auto" w:sz="6" w:space="0"/>
              <w:right w:val="double" w:color="auto" w:sz="2" w:space="0"/>
            </w:tcBorders>
            <w:noWrap w:val="0"/>
            <w:vAlign w:val="center"/>
          </w:tcPr>
          <w:p w14:paraId="27798EE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甲乙双方合同中另行约定</w:t>
            </w:r>
          </w:p>
        </w:tc>
      </w:tr>
      <w:tr w14:paraId="312265C8">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618566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37.11</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686A79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样品</w:t>
            </w:r>
          </w:p>
        </w:tc>
        <w:tc>
          <w:tcPr>
            <w:tcW w:w="3135" w:type="pct"/>
            <w:tcBorders>
              <w:top w:val="single" w:color="auto" w:sz="6" w:space="0"/>
              <w:left w:val="nil"/>
              <w:bottom w:val="single" w:color="auto" w:sz="6" w:space="0"/>
              <w:right w:val="double" w:color="auto" w:sz="2" w:space="0"/>
            </w:tcBorders>
            <w:noWrap w:val="0"/>
            <w:vAlign w:val="center"/>
          </w:tcPr>
          <w:p w14:paraId="38D64B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en-US" w:eastAsia="zh-CN"/>
              </w:rPr>
              <w:t>无</w:t>
            </w:r>
          </w:p>
        </w:tc>
      </w:tr>
      <w:tr w14:paraId="58F79EC8">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72085C0D">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37.12</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415B062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其他要求</w:t>
            </w:r>
          </w:p>
        </w:tc>
        <w:tc>
          <w:tcPr>
            <w:tcW w:w="3135" w:type="pct"/>
            <w:tcBorders>
              <w:top w:val="single" w:color="auto" w:sz="6" w:space="0"/>
              <w:left w:val="nil"/>
              <w:bottom w:val="single" w:color="auto" w:sz="6" w:space="0"/>
              <w:right w:val="double" w:color="auto" w:sz="2" w:space="0"/>
            </w:tcBorders>
            <w:shd w:val="clear" w:color="auto" w:fill="auto"/>
            <w:noWrap w:val="0"/>
            <w:vAlign w:val="center"/>
          </w:tcPr>
          <w:p w14:paraId="4A34100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企业名称不同但法定代表人为同一个自然人的两个或者两个以上的投标人不得参加同一采购项目的报价。如果出现上述情况，相关投标人的报价均将被拒绝</w:t>
            </w:r>
          </w:p>
          <w:p w14:paraId="057263F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电子标说明：</w:t>
            </w:r>
          </w:p>
          <w:p w14:paraId="078C0AB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一、上传的电子证件及资料均需按要求签字盖章上传，否则按未签章处理。</w:t>
            </w:r>
          </w:p>
          <w:p w14:paraId="34996B0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投标文件电子版方面技术支持：</w:t>
            </w:r>
            <w:r>
              <w:rPr>
                <w:rFonts w:hint="eastAsia" w:ascii="宋体" w:hAnsi="宋体" w:eastAsia="宋体" w:cs="Times New Roman"/>
                <w:color w:val="auto"/>
                <w:szCs w:val="21"/>
              </w:rPr>
              <w:t>95763</w:t>
            </w:r>
          </w:p>
          <w:p w14:paraId="027048A5">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color w:val="000000"/>
                <w:highlight w:val="none"/>
                <w:lang w:val="en-US" w:eastAsia="zh-CN"/>
              </w:rPr>
            </w:pPr>
            <w:r>
              <w:rPr>
                <w:rFonts w:hint="eastAsia" w:ascii="宋体" w:cs="宋体"/>
                <w:color w:val="000000"/>
                <w:highlight w:val="none"/>
                <w:lang w:val="zh-CN"/>
              </w:rPr>
              <w:t xml:space="preserve">投标人在政府采购云平台（网址：http:// </w:t>
            </w:r>
            <w:r>
              <w:rPr>
                <w:rFonts w:hint="eastAsia" w:ascii="宋体" w:cs="宋体"/>
                <w:color w:val="000000"/>
                <w:highlight w:val="none"/>
                <w:lang w:val="zh-CN"/>
              </w:rPr>
              <w:fldChar w:fldCharType="begin"/>
            </w:r>
            <w:r>
              <w:rPr>
                <w:rFonts w:hint="eastAsia" w:ascii="宋体" w:cs="宋体"/>
                <w:color w:val="000000"/>
                <w:highlight w:val="none"/>
                <w:lang w:val="zh-CN"/>
              </w:rPr>
              <w:instrText xml:space="preserve"> HYPERLINK "http://www.zcygov.cn）通过数字证书制作投标文件1份（此投标文件需上传至政府采购云平台，" </w:instrText>
            </w:r>
            <w:r>
              <w:rPr>
                <w:rFonts w:hint="eastAsia" w:ascii="宋体" w:cs="宋体"/>
                <w:color w:val="000000"/>
                <w:highlight w:val="none"/>
                <w:lang w:val="zh-CN"/>
              </w:rPr>
              <w:fldChar w:fldCharType="separate"/>
            </w:r>
            <w:r>
              <w:rPr>
                <w:rFonts w:hint="eastAsia" w:ascii="宋体" w:cs="宋体"/>
                <w:color w:val="000000"/>
                <w:highlight w:val="none"/>
                <w:lang w:val="zh-CN"/>
              </w:rPr>
              <w:t>www.zcygov.cn）通过数字证书制作投标文件1份（此投标文件需上传至政府采购云平台</w:t>
            </w:r>
            <w:r>
              <w:rPr>
                <w:rFonts w:hint="eastAsia" w:ascii="宋体" w:cs="宋体"/>
                <w:color w:val="000000"/>
                <w:highlight w:val="none"/>
                <w:lang w:val="zh-CN"/>
              </w:rPr>
              <w:fldChar w:fldCharType="end"/>
            </w:r>
            <w:r>
              <w:rPr>
                <w:rFonts w:hint="eastAsia" w:ascii="宋体" w:cs="宋体"/>
                <w:color w:val="000000"/>
                <w:highlight w:val="none"/>
                <w:lang w:val="zh-CN"/>
              </w:rPr>
              <w:t>）。</w:t>
            </w:r>
          </w:p>
          <w:p w14:paraId="230329A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二、电子投标文件中反应投标人资格审查的图片、扫描件、文字描述等，必须清晰可见。其中所有证书和执照必须为原件扫描。</w:t>
            </w:r>
          </w:p>
          <w:p w14:paraId="0AAFEFC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三、若投标人上传的电子投标文件因无法解密而对投标文件无法进行评价的，采购人可以拒绝该投标人投标。</w:t>
            </w:r>
          </w:p>
          <w:p w14:paraId="4DFE8906">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备注：用数字证书编制的电子版按《政府采购项目电子交易管理操作指南-投标人》进行投标操作。</w:t>
            </w:r>
          </w:p>
        </w:tc>
      </w:tr>
      <w:tr w14:paraId="023F8A19">
        <w:tblPrEx>
          <w:tblCellMar>
            <w:top w:w="0" w:type="dxa"/>
            <w:left w:w="108" w:type="dxa"/>
            <w:bottom w:w="0" w:type="dxa"/>
            <w:right w:w="108" w:type="dxa"/>
          </w:tblCellMar>
        </w:tblPrEx>
        <w:trPr>
          <w:trHeight w:val="419"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8AC7DE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中小企业声明函中项目采购标的对应的企业划分标准所属行业为</w:t>
            </w:r>
            <w:r>
              <w:rPr>
                <w:rFonts w:hint="eastAsia" w:ascii="宋体" w:cs="宋体"/>
                <w:b/>
                <w:bCs/>
                <w:highlight w:val="none"/>
                <w:lang w:val="en-US" w:eastAsia="zh-CN"/>
              </w:rPr>
              <w:t>工</w:t>
            </w:r>
            <w:r>
              <w:rPr>
                <w:rFonts w:hint="eastAsia" w:ascii="宋体" w:cs="宋体"/>
                <w:b/>
                <w:bCs/>
                <w:highlight w:val="none"/>
                <w:lang w:val="zh-CN" w:eastAsia="zh-CN"/>
              </w:rPr>
              <w:t>业</w:t>
            </w:r>
            <w:r>
              <w:rPr>
                <w:rFonts w:hint="eastAsia" w:ascii="宋体" w:cs="宋体"/>
                <w:highlight w:val="none"/>
              </w:rPr>
              <w:t>。</w:t>
            </w:r>
          </w:p>
        </w:tc>
      </w:tr>
      <w:tr w14:paraId="0A24404F">
        <w:tblPrEx>
          <w:tblCellMar>
            <w:top w:w="0" w:type="dxa"/>
            <w:left w:w="108" w:type="dxa"/>
            <w:bottom w:w="0" w:type="dxa"/>
            <w:right w:w="108" w:type="dxa"/>
          </w:tblCellMar>
        </w:tblPrEx>
        <w:trPr>
          <w:trHeight w:val="90"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CF9A28">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cs="宋体"/>
                <w:highlight w:val="none"/>
              </w:rPr>
            </w:pPr>
            <w:r>
              <w:rPr>
                <w:rFonts w:hint="eastAsia" w:ascii="宋体" w:hAnsi="宋体" w:eastAsia="宋体" w:cs="宋体"/>
                <w:highlight w:val="none"/>
              </w:rPr>
              <w:t>依据《政府采购促进中小企业发展管理办法》规定享受扶持政策获得政府采购合同的，小微企业不得将合同分包给大中型企业，中型企业不得将合同分包给大型企业。</w:t>
            </w:r>
          </w:p>
        </w:tc>
      </w:tr>
      <w:tr w14:paraId="660B05F5">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769CBE51">
            <w:pPr>
              <w:keepNext w:val="0"/>
              <w:keepLines w:val="0"/>
              <w:pageBreakBefore w:val="0"/>
              <w:widowControl w:val="0"/>
              <w:kinsoku/>
              <w:wordWrap/>
              <w:overflowPunct/>
              <w:topLinePunct w:val="0"/>
              <w:bidi w:val="0"/>
              <w:adjustRightInd/>
              <w:spacing w:line="360" w:lineRule="auto"/>
              <w:textAlignment w:val="auto"/>
              <w:rPr>
                <w:rFonts w:hint="eastAsia"/>
                <w:b/>
                <w:bCs/>
                <w:color w:val="auto"/>
              </w:rPr>
            </w:pPr>
            <w:r>
              <w:rPr>
                <w:rFonts w:hint="eastAsia"/>
                <w:b/>
                <w:bCs/>
                <w:color w:val="auto"/>
              </w:rPr>
              <w:t>政府采购支持中小企业（含监狱企业）发展：</w:t>
            </w:r>
          </w:p>
          <w:p w14:paraId="603F5FC7">
            <w:pPr>
              <w:keepNext w:val="0"/>
              <w:keepLines w:val="0"/>
              <w:pageBreakBefore w:val="0"/>
              <w:widowControl w:val="0"/>
              <w:kinsoku/>
              <w:wordWrap/>
              <w:overflowPunct/>
              <w:topLinePunct w:val="0"/>
              <w:bidi w:val="0"/>
              <w:adjustRightInd/>
              <w:spacing w:line="360" w:lineRule="auto"/>
              <w:textAlignment w:val="auto"/>
              <w:rPr>
                <w:rFonts w:hint="eastAsia"/>
                <w:color w:val="auto"/>
                <w:highlight w:val="none"/>
              </w:rPr>
            </w:pPr>
            <w:r>
              <w:rPr>
                <w:rFonts w:hint="eastAsia"/>
                <w:color w:val="auto"/>
                <w:highlight w:val="none"/>
                <w:lang w:eastAsia="zh-CN"/>
              </w:rPr>
              <w:t>□</w:t>
            </w:r>
            <w:r>
              <w:rPr>
                <w:rFonts w:hint="eastAsia"/>
                <w:color w:val="auto"/>
                <w:highlight w:val="none"/>
              </w:rPr>
              <w:t>专门面向中小企业采购（应同时在招标公告中注明）。</w:t>
            </w:r>
          </w:p>
          <w:p w14:paraId="6DC5CF87">
            <w:pPr>
              <w:keepNext w:val="0"/>
              <w:keepLines w:val="0"/>
              <w:pageBreakBefore w:val="0"/>
              <w:widowControl w:val="0"/>
              <w:kinsoku/>
              <w:wordWrap/>
              <w:overflowPunct/>
              <w:topLinePunct w:val="0"/>
              <w:bidi w:val="0"/>
              <w:adjustRightInd/>
              <w:spacing w:line="360" w:lineRule="auto"/>
              <w:textAlignment w:val="auto"/>
              <w:rPr>
                <w:rFonts w:hint="eastAsia"/>
                <w:color w:val="auto"/>
                <w:highlight w:val="none"/>
              </w:rPr>
            </w:pPr>
            <w:r>
              <w:rPr>
                <w:rFonts w:hint="eastAsia"/>
                <w:color w:val="auto"/>
                <w:highlight w:val="none"/>
              </w:rPr>
              <w:sym w:font="Wingdings" w:char="00FE"/>
            </w:r>
            <w:r>
              <w:rPr>
                <w:rFonts w:hint="eastAsia"/>
                <w:color w:val="auto"/>
                <w:highlight w:val="none"/>
              </w:rPr>
              <w:t xml:space="preserve"> 非专门面向中小企业采购：对于小型或微型企业（含监狱企业）参与本项目投标的，给予</w:t>
            </w:r>
            <w:r>
              <w:rPr>
                <w:rFonts w:hint="eastAsia"/>
                <w:color w:val="auto"/>
                <w:highlight w:val="none"/>
                <w:lang w:val="en-US" w:eastAsia="zh-CN"/>
              </w:rPr>
              <w:t>10</w:t>
            </w:r>
            <w:r>
              <w:rPr>
                <w:rFonts w:hint="eastAsia"/>
                <w:color w:val="auto"/>
                <w:highlight w:val="none"/>
              </w:rPr>
              <w:t>%的价格扣除。</w:t>
            </w:r>
          </w:p>
          <w:p w14:paraId="229FE629">
            <w:pPr>
              <w:keepNext w:val="0"/>
              <w:keepLines w:val="0"/>
              <w:pageBreakBefore w:val="0"/>
              <w:widowControl w:val="0"/>
              <w:kinsoku/>
              <w:wordWrap/>
              <w:overflowPunct/>
              <w:topLinePunct w:val="0"/>
              <w:bidi w:val="0"/>
              <w:adjustRightInd/>
              <w:spacing w:line="360" w:lineRule="auto"/>
              <w:textAlignment w:val="auto"/>
              <w:rPr>
                <w:rFonts w:hint="eastAsia"/>
                <w:color w:val="auto"/>
              </w:rPr>
            </w:pPr>
            <w:r>
              <w:rPr>
                <w:rFonts w:hint="eastAsia"/>
                <w:color w:val="auto"/>
              </w:rPr>
              <w:t>注：</w:t>
            </w:r>
            <w:r>
              <w:rPr>
                <w:rFonts w:hint="eastAsia"/>
                <w:b w:val="0"/>
                <w:bCs w:val="0"/>
                <w:color w:val="auto"/>
              </w:rPr>
              <w:t>1）</w:t>
            </w:r>
            <w:r>
              <w:rPr>
                <w:rFonts w:hint="eastAsia"/>
                <w:color w:val="auto"/>
                <w:lang w:val="en-US" w:eastAsia="zh-CN"/>
              </w:rPr>
              <w:t>投标人</w:t>
            </w:r>
            <w:r>
              <w:rPr>
                <w:rFonts w:hint="eastAsia"/>
                <w:color w:val="auto"/>
              </w:rPr>
              <w:t>应当提供《中小企业声明函》</w:t>
            </w:r>
            <w:r>
              <w:rPr>
                <w:rFonts w:hint="eastAsia"/>
                <w:color w:val="auto"/>
                <w:lang w:eastAsia="zh-CN"/>
              </w:rPr>
              <w:t>。</w:t>
            </w:r>
          </w:p>
          <w:p w14:paraId="7ACA483C">
            <w:pPr>
              <w:keepNext w:val="0"/>
              <w:keepLines w:val="0"/>
              <w:pageBreakBefore w:val="0"/>
              <w:widowControl w:val="0"/>
              <w:numPr>
                <w:ilvl w:val="0"/>
                <w:numId w:val="1"/>
              </w:numPr>
              <w:kinsoku/>
              <w:wordWrap/>
              <w:overflowPunct/>
              <w:topLinePunct w:val="0"/>
              <w:bidi w:val="0"/>
              <w:adjustRightInd/>
              <w:spacing w:line="360" w:lineRule="auto"/>
              <w:jc w:val="left"/>
              <w:textAlignment w:val="auto"/>
              <w:rPr>
                <w:rFonts w:hint="eastAsia"/>
                <w:color w:val="auto"/>
              </w:rPr>
            </w:pPr>
            <w:r>
              <w:rPr>
                <w:rFonts w:hint="eastAsia"/>
                <w:color w:val="auto"/>
              </w:rPr>
              <w:t xml:space="preserve">监狱企业参加政府采购活动时，应当提供由省级以上监狱管理局、戒毒管理局（含新疆生产建设兵团）出具的属于监狱企业的证明文件。 </w:t>
            </w:r>
          </w:p>
          <w:p w14:paraId="31B040B8">
            <w:pPr>
              <w:keepNext w:val="0"/>
              <w:keepLines w:val="0"/>
              <w:pageBreakBefore w:val="0"/>
              <w:widowControl w:val="0"/>
              <w:numPr>
                <w:ilvl w:val="0"/>
                <w:numId w:val="1"/>
              </w:numPr>
              <w:tabs>
                <w:tab w:val="left" w:pos="0"/>
              </w:tabs>
              <w:kinsoku/>
              <w:wordWrap/>
              <w:overflowPunct/>
              <w:topLinePunct w:val="0"/>
              <w:bidi w:val="0"/>
              <w:adjustRightInd/>
              <w:spacing w:line="360" w:lineRule="auto"/>
              <w:ind w:left="0" w:leftChars="0"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在政府采购活动中，残疾人福利性单位视同小型、微型企业，符合条件的残疾人福利性单位应当提供《残疾人福利性单位声明函》，并对声明的真实性负责。</w:t>
            </w:r>
          </w:p>
          <w:p w14:paraId="6A01F0A5">
            <w:pPr>
              <w:keepNext w:val="0"/>
              <w:keepLines w:val="0"/>
              <w:pageBreakBefore w:val="0"/>
              <w:widowControl w:val="0"/>
              <w:numPr>
                <w:ilvl w:val="0"/>
                <w:numId w:val="0"/>
              </w:numPr>
              <w:tabs>
                <w:tab w:val="left" w:pos="0"/>
              </w:tabs>
              <w:kinsoku/>
              <w:wordWrap/>
              <w:overflowPunct/>
              <w:topLinePunct w:val="0"/>
              <w:bidi w:val="0"/>
              <w:adjustRightInd/>
              <w:spacing w:line="360" w:lineRule="auto"/>
              <w:ind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强制、优先采购节能产品、环境标志产品政策</w:t>
            </w:r>
          </w:p>
          <w:p w14:paraId="5C991CA1">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（一）政策依据</w:t>
            </w:r>
          </w:p>
          <w:p w14:paraId="3F83312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1、财政部 发展改革委 生态环境部 市场监管总局《关于调整优化节能产品、环境标志产品政府采购执行机制的通知》（财库〔2019〕9号）。</w:t>
            </w:r>
          </w:p>
          <w:p w14:paraId="2A8EE7BC">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2、财政部 生态环境部《关于印发环境标志产品政府采购品目清单的通知》（财库〔2019〕18号）。</w:t>
            </w:r>
          </w:p>
          <w:p w14:paraId="42E9238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3、财政部 发展改革委《关于印发节能产品政府采购品目清单的通知》（财库〔2019〕19号）。</w:t>
            </w:r>
          </w:p>
          <w:p w14:paraId="3340352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（二）节能产品、环境标志产品的品目</w:t>
            </w:r>
          </w:p>
          <w:p w14:paraId="266E2D67">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政府采购节能产品、环境标志产品实施品目清单管理，详见《节能产品政府采购品目清单》、《环境标志产品政府采购品目清单》。</w:t>
            </w:r>
          </w:p>
          <w:p w14:paraId="372CDF9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（三）节能产品、环境标志产品需提供的证明材料</w:t>
            </w:r>
          </w:p>
          <w:p w14:paraId="33ECBC29">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采购人拟采购的产品属于品目清单范围的，投标人应当提供《节能产品、环境标志产品强制采购认证证书一览表》和《节能产品、环境标志产品优先采购认证证书一览表》（格式自拟），填写获得国家确定的认证机构出具的、处于有效期之内的节能产品、环境标志产品认证证书相关信息，并在相应表格后提供对应的认证证书扫描件。</w:t>
            </w:r>
          </w:p>
          <w:p w14:paraId="2471218D">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（四）节能产品、环境标志产品采购政策</w:t>
            </w:r>
          </w:p>
          <w:p w14:paraId="7614FC35">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color w:val="auto"/>
                <w:lang w:val="en-US" w:eastAsia="zh-CN"/>
              </w:rPr>
              <w:t>采购人拟采购的产品属于品目清单范围，且属于强制采购品目的，实行强制采购。本采购文件第五章要求具有强制采购认证证书的产品，投标人必须在《节能产品、环境标志产品强制采购认证证书</w:t>
            </w:r>
            <w:r>
              <w:rPr>
                <w:rFonts w:hint="eastAsia" w:ascii="Times New Roman" w:hAnsi="Times New Roman" w:eastAsia="宋体" w:cs="Times New Roman"/>
                <w:b w:val="0"/>
                <w:bCs w:val="0"/>
                <w:color w:val="auto"/>
                <w:lang w:val="en-US" w:eastAsia="zh-CN"/>
              </w:rPr>
              <w:t>一览表》中，填写所投产品获得的、有效的认证证书相关信息，并提供对应的认证证书扫描件，否则投标、响应无效。</w:t>
            </w:r>
          </w:p>
          <w:p w14:paraId="04D71AF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（五）对于列入财政部、国家发改委、信息产业部发布的《无线局域网认证产品政府采购清单》的产品，实行优先采购。优先采购的具体办法详见本采购文件第三章。</w:t>
            </w:r>
          </w:p>
          <w:p w14:paraId="5359ED8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（六）。采购人拟采购的产品属于品目清单范围，但不属于强制采购品目的，实行优先采购。</w:t>
            </w:r>
            <w:r>
              <w:rPr>
                <w:rFonts w:hint="eastAsia" w:ascii="宋体" w:cs="宋体"/>
                <w:highlight w:val="none"/>
                <w:lang w:eastAsia="zh-CN"/>
              </w:rPr>
              <w:t>投标人</w:t>
            </w:r>
            <w:r>
              <w:rPr>
                <w:rFonts w:hint="eastAsia" w:ascii="宋体" w:cs="宋体"/>
                <w:highlight w:val="none"/>
              </w:rPr>
              <w:t>应当在《节能产品、环境标志产品优先采购认证证书一览表》中，填写所投产品获得的。有效的认证证书相关信息并提供对应的认证证书扫描件，优先采购的具体办法详见本采购文件第三章。</w:t>
            </w:r>
          </w:p>
          <w:p w14:paraId="242212F5">
            <w:pPr>
              <w:keepNext w:val="0"/>
              <w:keepLines w:val="0"/>
              <w:pageBreakBefore w:val="0"/>
              <w:widowControl w:val="0"/>
              <w:numPr>
                <w:ilvl w:val="0"/>
                <w:numId w:val="0"/>
              </w:numPr>
              <w:tabs>
                <w:tab w:val="left" w:pos="0"/>
              </w:tabs>
              <w:kinsoku/>
              <w:wordWrap/>
              <w:overflowPunct/>
              <w:topLinePunct w:val="0"/>
              <w:bidi w:val="0"/>
              <w:adjustRightInd/>
              <w:spacing w:line="360" w:lineRule="auto"/>
              <w:ind w:left="0" w:leftChars="0" w:firstLine="0" w:firstLineChars="0"/>
              <w:textAlignment w:val="auto"/>
              <w:rPr>
                <w:rFonts w:hint="eastAsia" w:ascii="宋体" w:cs="宋体"/>
                <w:b/>
                <w:bCs/>
                <w:color w:val="000000"/>
                <w:highlight w:val="none"/>
                <w:lang w:val="zh-CN"/>
              </w:rPr>
            </w:pPr>
            <w:r>
              <w:rPr>
                <w:rFonts w:hint="eastAsia" w:ascii="宋体" w:cs="宋体"/>
                <w:highlight w:val="none"/>
              </w:rPr>
              <w:t>本项目按照吉林省财政厅《关于依托政府采购数字金融服务平台开展融资业务有关事项的通知》(吉财采购(2023] 721号)支持申请“政采合同贷”政策。“政采数金平台”联系电话：张经理0431-81888978柯经理0431-81888998。</w:t>
            </w:r>
          </w:p>
        </w:tc>
      </w:tr>
      <w:tr w14:paraId="771EED1F">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100C7D07">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长财采购【2022】2066号文件，在政府采购活动中，不再要求投标人提供财务状况报告(表)或其基本开户银行出具的资信证明材料、依法缴纳税收和社保保障资金的证明材料。投标人参加采购活动应当提交反映其财务状况、依法缴纳税收和社保保障资金情况的资格条件承诺函</w:t>
            </w:r>
          </w:p>
          <w:p w14:paraId="6E964D9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一、法律责任</w:t>
            </w:r>
          </w:p>
          <w:p w14:paraId="77F69C88">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应当遵循诚实信用原则，对资格条件承诺函有关内容的真实性、有效性、合法性负责。如发现承诺内容与事实情况不相符，经调查核实为虚假承诺的，视同“提供虚假材料谋取中标(成交)”，按照《中华人民共和国政府采购法》第七十七条的有关规定进行处理处罚。</w:t>
            </w:r>
          </w:p>
          <w:p w14:paraId="2EBAA98D">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二、不适用信用承诺的情形</w:t>
            </w:r>
          </w:p>
          <w:p w14:paraId="4A1077E1">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1.被列入政府采购不良行为记录名单的，被禁止参加政府采购活动且尚在处罚有效期内的;</w:t>
            </w:r>
          </w:p>
          <w:p w14:paraId="5E3D7F8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2.被有关部门列入失信被执行人、联合惩戒对象、严重违法失信行为记录等情形的;</w:t>
            </w:r>
          </w:p>
          <w:p w14:paraId="0FE2091B">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Cs w:val="21"/>
                <w:highlight w:val="none"/>
                <w:lang w:val="en-US" w:eastAsia="zh-CN"/>
              </w:rPr>
              <w:t>3.其他法律法规规定的不适用于资格条件信用承诺的情形。</w:t>
            </w:r>
          </w:p>
        </w:tc>
      </w:tr>
      <w:tr w14:paraId="2C3C5524">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76757B2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低于成本价不正当竞争预防措施</w:t>
            </w:r>
          </w:p>
          <w:p w14:paraId="3469E5D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1. 在评审过程中，</w:t>
            </w:r>
            <w:r>
              <w:rPr>
                <w:rFonts w:hint="eastAsia" w:ascii="宋体" w:hAnsi="宋体" w:eastAsia="宋体" w:cs="宋体"/>
                <w:lang w:eastAsia="zh-CN"/>
              </w:rPr>
              <w:t>投标人</w:t>
            </w:r>
            <w:r>
              <w:rPr>
                <w:rFonts w:hint="eastAsia" w:ascii="宋体" w:hAnsi="宋体" w:eastAsia="宋体" w:cs="宋体"/>
              </w:rPr>
              <w:t>报价过低，有可能影响产品质量或者不能诚信履约的，评标委员会应当要求其在合理的时间内提供书面说明，并提交相关证明材料，</w:t>
            </w:r>
            <w:r>
              <w:rPr>
                <w:rFonts w:hint="eastAsia" w:ascii="宋体" w:hAnsi="宋体" w:eastAsia="宋体" w:cs="宋体"/>
                <w:lang w:eastAsia="zh-CN"/>
              </w:rPr>
              <w:t>投标人</w:t>
            </w:r>
            <w:r>
              <w:rPr>
                <w:rFonts w:hint="eastAsia" w:ascii="宋体" w:hAnsi="宋体" w:eastAsia="宋体" w:cs="宋体"/>
              </w:rPr>
              <w:t>不能证明其报价合理性的，评标委员会应当将其作为无效处理。</w:t>
            </w:r>
            <w:r>
              <w:rPr>
                <w:rFonts w:hint="eastAsia" w:ascii="宋体" w:hAnsi="宋体" w:eastAsia="宋体" w:cs="宋体"/>
                <w:lang w:eastAsia="zh-CN"/>
              </w:rPr>
              <w:t>投标人</w:t>
            </w:r>
            <w:r>
              <w:rPr>
                <w:rFonts w:hint="eastAsia" w:ascii="宋体" w:hAnsi="宋体" w:eastAsia="宋体" w:cs="宋体"/>
              </w:rPr>
              <w:t>的书面说明材料应当按照国家财务会计制度的规定要求，逐项就</w:t>
            </w:r>
            <w:r>
              <w:rPr>
                <w:rFonts w:hint="eastAsia" w:ascii="宋体" w:hAnsi="宋体" w:eastAsia="宋体" w:cs="宋体"/>
                <w:lang w:eastAsia="zh-CN"/>
              </w:rPr>
              <w:t>投标人</w:t>
            </w:r>
            <w:r>
              <w:rPr>
                <w:rFonts w:hint="eastAsia" w:ascii="宋体" w:hAnsi="宋体" w:eastAsia="宋体" w:cs="宋体"/>
              </w:rPr>
              <w:t>提供的货物、工程和服务的主营业务成本、税金及附加、销售费用、管理费用、财务费用等成本构成事项详细陈述）。</w:t>
            </w:r>
          </w:p>
          <w:p w14:paraId="1FCDEA6C">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投标人</w:t>
            </w:r>
            <w:r>
              <w:rPr>
                <w:rFonts w:hint="eastAsia" w:ascii="宋体" w:hAnsi="宋体" w:eastAsia="宋体" w:cs="宋体"/>
              </w:rPr>
              <w:t>书面说明应当签字确认或者加盖公章，否则无效。书面说明的签字确认，由其法定代表人/主要负责人/本人或者其授权代表签字确认。</w:t>
            </w:r>
          </w:p>
          <w:p w14:paraId="03024724">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提供书面说明后，评标委员会应当结合采购项目采购需求、专业实际情况、</w:t>
            </w:r>
            <w:r>
              <w:rPr>
                <w:rFonts w:hint="eastAsia" w:ascii="宋体" w:hAnsi="宋体" w:eastAsia="宋体" w:cs="宋体"/>
                <w:lang w:eastAsia="zh-CN"/>
              </w:rPr>
              <w:t>投标人</w:t>
            </w:r>
            <w:r>
              <w:rPr>
                <w:rFonts w:hint="eastAsia" w:ascii="宋体" w:hAnsi="宋体" w:eastAsia="宋体" w:cs="宋体"/>
              </w:rPr>
              <w:t>财务状况报告、与其他</w:t>
            </w:r>
            <w:r>
              <w:rPr>
                <w:rFonts w:hint="eastAsia" w:ascii="宋体" w:hAnsi="宋体" w:eastAsia="宋体" w:cs="宋体"/>
                <w:lang w:eastAsia="zh-CN"/>
              </w:rPr>
              <w:t>投标人</w:t>
            </w:r>
            <w:r>
              <w:rPr>
                <w:rFonts w:hint="eastAsia" w:ascii="宋体" w:hAnsi="宋体" w:eastAsia="宋体" w:cs="宋体"/>
              </w:rPr>
              <w:t>比较情况等就</w:t>
            </w:r>
            <w:r>
              <w:rPr>
                <w:rFonts w:hint="eastAsia" w:ascii="宋体" w:hAnsi="宋体" w:eastAsia="宋体" w:cs="宋体"/>
                <w:lang w:eastAsia="zh-CN"/>
              </w:rPr>
              <w:t>投标人</w:t>
            </w:r>
            <w:r>
              <w:rPr>
                <w:rFonts w:hint="eastAsia" w:ascii="宋体" w:hAnsi="宋体" w:eastAsia="宋体" w:cs="宋体"/>
              </w:rPr>
              <w:t>书面说明进行审查评价。</w:t>
            </w:r>
            <w:r>
              <w:rPr>
                <w:rFonts w:hint="eastAsia" w:ascii="宋体" w:hAnsi="宋体" w:eastAsia="宋体" w:cs="宋体"/>
                <w:lang w:eastAsia="zh-CN"/>
              </w:rPr>
              <w:t>投标人</w:t>
            </w:r>
            <w:r>
              <w:rPr>
                <w:rFonts w:hint="eastAsia" w:ascii="宋体" w:hAnsi="宋体" w:eastAsia="宋体" w:cs="宋体"/>
              </w:rPr>
              <w:t>拒绝或者变相拒绝提供有效书面说明或者书面说明不能证明其报价合理性的或未在规定时间内递交有效书面说明书的，评标委员会应当将其</w:t>
            </w:r>
            <w:r>
              <w:rPr>
                <w:rFonts w:hint="eastAsia" w:ascii="宋体" w:hAnsi="宋体" w:eastAsia="宋体" w:cs="宋体"/>
                <w:lang w:eastAsia="zh-CN"/>
              </w:rPr>
              <w:t>投标文件</w:t>
            </w:r>
            <w:r>
              <w:rPr>
                <w:rFonts w:hint="eastAsia" w:ascii="宋体" w:hAnsi="宋体" w:eastAsia="宋体" w:cs="宋体"/>
              </w:rPr>
              <w:t>作为无效处理。</w:t>
            </w:r>
          </w:p>
        </w:tc>
      </w:tr>
      <w:tr w14:paraId="01EE8622">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6929EA22">
            <w:pPr>
              <w:keepNext w:val="0"/>
              <w:keepLines w:val="0"/>
              <w:pageBreakBefore w:val="0"/>
              <w:widowControl w:val="0"/>
              <w:kinsoku/>
              <w:wordWrap/>
              <w:overflowPunct/>
              <w:topLinePunct w:val="0"/>
              <w:bidi w:val="0"/>
              <w:adjustRightInd/>
              <w:spacing w:line="360" w:lineRule="auto"/>
              <w:textAlignment w:val="auto"/>
              <w:rPr>
                <w:rFonts w:hint="eastAsia" w:ascii="宋体" w:cs="宋体"/>
                <w:b/>
                <w:bCs/>
                <w:color w:val="000000"/>
                <w:highlight w:val="none"/>
                <w:lang w:val="zh-CN"/>
              </w:rPr>
            </w:pPr>
            <w:r>
              <w:rPr>
                <w:rFonts w:hint="eastAsia" w:ascii="宋体" w:cs="宋体"/>
                <w:b/>
                <w:bCs/>
                <w:color w:val="000000"/>
                <w:highlight w:val="none"/>
                <w:lang w:val="zh-CN"/>
              </w:rPr>
              <w:t>　1.招标公告内容有不一致之处，以最新发布的招标公告内容为准。</w:t>
            </w:r>
          </w:p>
          <w:p w14:paraId="4E8216A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b/>
                <w:bCs/>
                <w:color w:val="000000"/>
                <w:highlight w:val="none"/>
                <w:lang w:val="zh-CN"/>
              </w:rPr>
              <w:t>　2.本项目招标公告与招标文件不一致之处，以招标文件为准。</w:t>
            </w:r>
          </w:p>
        </w:tc>
      </w:tr>
    </w:tbl>
    <w:p w14:paraId="41816497">
      <w:pPr>
        <w:rPr>
          <w:rFonts w:hint="eastAsia" w:ascii="宋体" w:cs="宋体"/>
          <w:b/>
          <w:bCs/>
          <w:color w:val="000000"/>
          <w:kern w:val="0"/>
          <w:highlight w:val="none"/>
        </w:rPr>
      </w:pPr>
      <w:r>
        <w:rPr>
          <w:rFonts w:hint="eastAsia" w:ascii="宋体" w:cs="宋体"/>
          <w:b/>
          <w:bCs/>
          <w:color w:val="000000"/>
          <w:kern w:val="0"/>
          <w:highlight w:val="none"/>
        </w:rPr>
        <w:br w:type="page"/>
      </w:r>
    </w:p>
    <w:p w14:paraId="1A7FBE4D">
      <w:pPr>
        <w:snapToGrid w:val="0"/>
        <w:jc w:val="center"/>
        <w:rPr>
          <w:rFonts w:hint="eastAsia" w:ascii="宋体"/>
          <w:b/>
          <w:bCs/>
          <w:color w:val="000000"/>
          <w:kern w:val="0"/>
          <w:sz w:val="32"/>
          <w:szCs w:val="32"/>
          <w:highlight w:val="none"/>
        </w:rPr>
      </w:pPr>
      <w:r>
        <w:rPr>
          <w:rFonts w:hint="eastAsia" w:ascii="宋体"/>
          <w:b/>
          <w:bCs/>
          <w:color w:val="000000"/>
          <w:kern w:val="0"/>
          <w:sz w:val="32"/>
          <w:szCs w:val="32"/>
          <w:highlight w:val="none"/>
        </w:rPr>
        <w:t>投标须知</w:t>
      </w:r>
    </w:p>
    <w:p w14:paraId="00E8650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cs="宋体"/>
          <w:color w:val="000000"/>
          <w:highlight w:val="none"/>
          <w:lang w:val="zh-CN"/>
        </w:rPr>
        <w:t>　　</w:t>
      </w:r>
      <w:r>
        <w:rPr>
          <w:rFonts w:hint="eastAsia" w:ascii="宋体" w:hAnsi="宋体" w:eastAsia="宋体" w:cs="宋体"/>
          <w:color w:val="000000"/>
          <w:sz w:val="21"/>
          <w:szCs w:val="21"/>
          <w:highlight w:val="none"/>
          <w:lang w:val="zh-CN"/>
        </w:rPr>
        <w:t>本项目招标依据为《中华人民共和国政府采购法》、《中华人民共和国政府采购法实施条例》等有关法律、法规及规定。</w:t>
      </w:r>
    </w:p>
    <w:p w14:paraId="75AFCF2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一．总 则</w:t>
      </w:r>
    </w:p>
    <w:p w14:paraId="0076CAF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1．招标范围</w:t>
      </w:r>
    </w:p>
    <w:p w14:paraId="7FEC63E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1.1符合招标公告要求的企业均可对本项目进行密封投标。</w:t>
      </w:r>
    </w:p>
    <w:p w14:paraId="41E9A4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1.2中标人应在签订合同书后在采购人规定的项目实施周期内，完成本项目，并提交相应的资料。</w:t>
      </w:r>
    </w:p>
    <w:p w14:paraId="3B688EC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1.3本项目服务工作应满足下列要求：</w:t>
      </w:r>
    </w:p>
    <w:p w14:paraId="2C0A9D42">
      <w:pPr>
        <w:keepNext w:val="0"/>
        <w:keepLines w:val="0"/>
        <w:pageBreakBefore w:val="0"/>
        <w:widowControl w:val="0"/>
        <w:tabs>
          <w:tab w:val="left" w:pos="7153"/>
        </w:tabs>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（1）应符合国家相关法律法规的规定。</w:t>
      </w:r>
      <w:r>
        <w:rPr>
          <w:rFonts w:hint="eastAsia" w:ascii="宋体" w:hAnsi="宋体" w:eastAsia="宋体" w:cs="宋体"/>
          <w:color w:val="000000"/>
          <w:sz w:val="21"/>
          <w:szCs w:val="21"/>
          <w:highlight w:val="none"/>
          <w:lang w:val="zh-CN"/>
        </w:rPr>
        <w:tab/>
      </w:r>
    </w:p>
    <w:p w14:paraId="0D1DF7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（2）应符合招标文件要求。</w:t>
      </w:r>
    </w:p>
    <w:p w14:paraId="195F299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（3）应满足采购人要求。</w:t>
      </w:r>
    </w:p>
    <w:p w14:paraId="2337541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2．资金来源</w:t>
      </w:r>
    </w:p>
    <w:p w14:paraId="389476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2.1本招标项目资金来源为</w:t>
      </w:r>
      <w:r>
        <w:rPr>
          <w:rFonts w:hint="eastAsia" w:ascii="宋体" w:hAnsi="宋体" w:eastAsia="宋体" w:cs="宋体"/>
          <w:color w:val="000000"/>
          <w:sz w:val="21"/>
          <w:szCs w:val="21"/>
          <w:highlight w:val="none"/>
          <w:lang w:val="en-US" w:eastAsia="zh-CN"/>
        </w:rPr>
        <w:t>专项债和财政资金</w:t>
      </w:r>
      <w:r>
        <w:rPr>
          <w:rFonts w:hint="eastAsia" w:ascii="宋体" w:hAnsi="宋体" w:eastAsia="宋体" w:cs="宋体"/>
          <w:color w:val="000000"/>
          <w:sz w:val="21"/>
          <w:szCs w:val="21"/>
          <w:highlight w:val="none"/>
          <w:lang w:val="zh-CN"/>
        </w:rPr>
        <w:t>。</w:t>
      </w:r>
    </w:p>
    <w:p w14:paraId="4398AA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2.2投标报价和中标后的费用均以人民币计算和支付。</w:t>
      </w:r>
    </w:p>
    <w:p w14:paraId="7C36AE7D">
      <w:pPr>
        <w:keepNext w:val="0"/>
        <w:keepLines w:val="0"/>
        <w:pageBreakBefore w:val="0"/>
        <w:widowControl w:val="0"/>
        <w:numPr>
          <w:ilvl w:val="0"/>
          <w:numId w:val="2"/>
        </w:numPr>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投标人的合格条件</w:t>
      </w:r>
    </w:p>
    <w:p w14:paraId="1D1D19F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  </w:t>
      </w:r>
      <w:r>
        <w:rPr>
          <w:rFonts w:hint="eastAsia" w:ascii="宋体" w:hAnsi="宋体" w:eastAsia="宋体" w:cs="宋体"/>
          <w:color w:val="000000"/>
          <w:sz w:val="21"/>
          <w:szCs w:val="21"/>
          <w:highlight w:val="none"/>
          <w:lang w:val="zh-CN"/>
        </w:rPr>
        <w:t>详见招标公告</w:t>
      </w:r>
    </w:p>
    <w:p w14:paraId="07308EE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4．投标费用</w:t>
      </w:r>
    </w:p>
    <w:p w14:paraId="1756C76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4.1投标人在投标过程中的一切费用，不论中标与否，均由投标人自负，且招标文件售后不退。</w:t>
      </w:r>
    </w:p>
    <w:p w14:paraId="271DF92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5．现场踏勘</w:t>
      </w:r>
    </w:p>
    <w:p w14:paraId="6237D9E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5.1投标人自行对现场及其周围环境进行踏勘，现场踏勘期间的交通和食宿由投标人自行安排，费用自理。</w:t>
      </w:r>
    </w:p>
    <w:p w14:paraId="2F4FDC7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5.2在现场踏勘过程中，投标人如果发生意外人身伤亡、财物或其他损失，除国家法律、法规有规定的之外，采购人均不负责。</w:t>
      </w:r>
    </w:p>
    <w:p w14:paraId="63AF0E0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5.3采购人向投标人提供的有关现场的数据和资料，是采购人现有的能被投标人利用的资料，采购人对投标人做出的任何推论、理解和结论均不负责任。</w:t>
      </w:r>
    </w:p>
    <w:p w14:paraId="65E325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5.4经采购人允许，投标人可为踏勘目的进入采购人的项目现场，但投标人不得因此使采购人承担有关的责任和蒙受损失。投标人应承担踏勘现场的责任和风险。</w:t>
      </w:r>
    </w:p>
    <w:p w14:paraId="68F7167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6．投标答疑</w:t>
      </w:r>
    </w:p>
    <w:p w14:paraId="07FEE85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6.1投标人应在投标人须知前附表规定的时间前，以书面形式将提出的问题送达采购人，以便采购人及时澄清。</w:t>
      </w:r>
    </w:p>
    <w:p w14:paraId="26B759D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6.2本项目召开答疑会情况见前附表。若召开答疑会，则采购人按投标人须知前附表规定的时间和地点召开投标答疑会，澄清投标人提出的问题。</w:t>
      </w:r>
    </w:p>
    <w:p w14:paraId="36455F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6.3投标答疑会后，采购人在投标人须知前附表规定的时间内，将对投标人所提问题的澄清，以书面方式通知所有购买招标文件的投标人。该澄清内容为招标文件的组成部分。</w:t>
      </w:r>
    </w:p>
    <w:p w14:paraId="16BAA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6.4投标人在收到书面答复后，应在 24小时内以书面或传真的方式通知采购人，确认收悉。</w:t>
      </w:r>
    </w:p>
    <w:p w14:paraId="5038314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70ACF8BC">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二．招 标 文 件</w:t>
      </w:r>
    </w:p>
    <w:p w14:paraId="1C43B4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7．招标文件的内容</w:t>
      </w:r>
    </w:p>
    <w:p w14:paraId="5D3A9F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7.1招标文件由下列文件组成：</w:t>
      </w:r>
    </w:p>
    <w:p w14:paraId="0270ECE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第一章 招标公告</w:t>
      </w:r>
    </w:p>
    <w:p w14:paraId="4EBC96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第二章 投标人须知</w:t>
      </w:r>
    </w:p>
    <w:p w14:paraId="55C47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第三章 评标办法</w:t>
      </w:r>
    </w:p>
    <w:p w14:paraId="6D14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第四章 合同格式</w:t>
      </w:r>
    </w:p>
    <w:p w14:paraId="421C89D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第五章</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采购需求</w:t>
      </w:r>
    </w:p>
    <w:p w14:paraId="3EC4430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第六章 投标文件格式</w:t>
      </w:r>
    </w:p>
    <w:p w14:paraId="65A6EAD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采购人在招标期间按本须知第9条规定发出的所有补遗文件和其它正式有效函件，均是招标文件的组成部分。</w:t>
      </w:r>
    </w:p>
    <w:p w14:paraId="79C4AF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7.2投标人应认真检查招标文件是否完整，若发现缺页或附件不全时，应及时向采购人提出，以便补齐。</w:t>
      </w:r>
    </w:p>
    <w:p w14:paraId="60CC9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7.3 投标人应认真阅读招标文件，并按招标文件的规定与要求编写投标文件。如果投标文件不符合招标文件的规定和要求，投标人应自行负责。根据本须知第 21 条的规定，不响应招标文件实质性要求的投标文件将被拒绝。</w:t>
      </w:r>
    </w:p>
    <w:p w14:paraId="16C6CCC0">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8．招标文件的澄清和解答</w:t>
      </w:r>
    </w:p>
    <w:p w14:paraId="32D508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8.1要求对招标文件进行澄清的投标人，均应在知道或者应知其权益受到损害之日起七个工作日内向</w:t>
      </w:r>
      <w:r>
        <w:rPr>
          <w:rFonts w:hint="eastAsia" w:ascii="宋体" w:hAnsi="宋体" w:eastAsia="宋体" w:cs="宋体"/>
          <w:color w:val="000000"/>
          <w:sz w:val="21"/>
          <w:szCs w:val="21"/>
          <w:highlight w:val="none"/>
          <w:lang w:val="zh-CN" w:eastAsia="zh-CN"/>
        </w:rPr>
        <w:t>吉林省捷冠工程管理有限公司</w:t>
      </w:r>
      <w:r>
        <w:rPr>
          <w:rFonts w:hint="eastAsia" w:ascii="宋体" w:hAnsi="宋体" w:eastAsia="宋体" w:cs="宋体"/>
          <w:color w:val="000000"/>
          <w:sz w:val="21"/>
          <w:szCs w:val="21"/>
          <w:highlight w:val="none"/>
          <w:lang w:val="zh-CN"/>
        </w:rPr>
        <w:t>提出，采购人对收到的澄清要求将视所提问题具体情况在</w:t>
      </w:r>
      <w:r>
        <w:rPr>
          <w:rFonts w:hint="eastAsia" w:ascii="宋体" w:hAnsi="宋体" w:eastAsia="宋体" w:cs="宋体"/>
          <w:color w:val="000000"/>
          <w:sz w:val="21"/>
          <w:szCs w:val="21"/>
          <w:highlight w:val="none"/>
          <w:lang w:val="zh-CN" w:eastAsia="zh-CN"/>
        </w:rPr>
        <w:t>吉林省捷冠工程管理有限公司</w:t>
      </w:r>
      <w:r>
        <w:rPr>
          <w:rFonts w:hint="eastAsia" w:ascii="宋体" w:hAnsi="宋体" w:eastAsia="宋体" w:cs="宋体"/>
          <w:color w:val="000000"/>
          <w:sz w:val="21"/>
          <w:szCs w:val="21"/>
          <w:highlight w:val="none"/>
          <w:lang w:val="zh-CN"/>
        </w:rPr>
        <w:t>答复澄清。答复中包括所提的问题，但不包括问题的来源。采购代理机构对收到的投标人质疑，将按照政府采购法律规章的规定处理。</w:t>
      </w:r>
    </w:p>
    <w:p w14:paraId="79BE017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8.2 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招标文件的修改、补充文件将以当面交接、传真或电子邮件的方式向潜在投标人发出，并在发布招标公告的媒体上公告。在这种情况下，采购人和投标人受投标截止时间制约的所有权利和义务均相应延长至新的投标截止时间。</w:t>
      </w:r>
    </w:p>
    <w:p w14:paraId="5553E78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5DA5B1C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9．招标文件的修改</w:t>
      </w:r>
    </w:p>
    <w:p w14:paraId="0D1A68D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9.1在投标截止期以前，由于各种原因，不管是采购人主动提出，或者是答复投标人澄清要求的，采购人可能会以补遗文件的方式修改招标文件。</w:t>
      </w:r>
    </w:p>
    <w:p w14:paraId="203237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9.2补遗文件将以书面或传真的方式发给所有购买招标文件的投标人，投标人收到补遗文件后，应在24小时内以书面或传真的方式通知采购人，确认已经收到补遗文件。</w:t>
      </w:r>
    </w:p>
    <w:p w14:paraId="40FB5B4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9.3为使投标人在编写投标文件有合理的时间将补遗文件的内容考虑进去，采购人可以按照本须知第17条的规定，酌情延长递交投标文件的截止时间。</w:t>
      </w:r>
    </w:p>
    <w:p w14:paraId="7BD33B38">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0E3976E3">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三．投标文件的编制</w:t>
      </w:r>
    </w:p>
    <w:p w14:paraId="0B32A17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10．投标文件的语言</w:t>
      </w:r>
    </w:p>
    <w:p w14:paraId="18A7660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10.1投标文件及投标人与采购人之间来往的一切信函、文件均使用中文。</w:t>
      </w:r>
    </w:p>
    <w:p w14:paraId="4DCF888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11．投标文件的组成</w:t>
      </w:r>
    </w:p>
    <w:p w14:paraId="6C58C5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11.1投标人编写的投标文件，应以下目录编制。应包括但不限于且不得少于下列各项内容：</w:t>
      </w:r>
    </w:p>
    <w:p w14:paraId="2DD4C9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一、投标函及投标函附录</w:t>
      </w:r>
    </w:p>
    <w:p w14:paraId="0BA144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二、开标一览表</w:t>
      </w:r>
    </w:p>
    <w:p w14:paraId="55BB0EF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三、法定代表人身份证明及授权委托书</w:t>
      </w:r>
    </w:p>
    <w:p w14:paraId="60932E8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四、投标保证金</w:t>
      </w:r>
    </w:p>
    <w:p w14:paraId="76FABB8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五、承诺书</w:t>
      </w:r>
    </w:p>
    <w:p w14:paraId="7A1F82B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六、资格审查资料</w:t>
      </w:r>
    </w:p>
    <w:p w14:paraId="0A135C1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七、投标报价明细</w:t>
      </w:r>
    </w:p>
    <w:p w14:paraId="69993E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八、项目实施方案</w:t>
      </w:r>
    </w:p>
    <w:p w14:paraId="27EE5E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九、其他资料</w:t>
      </w:r>
    </w:p>
    <w:p w14:paraId="01BA941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11.2投标文件的编制应遵循如下原则，否则，其投标将被拒绝。</w:t>
      </w:r>
    </w:p>
    <w:p w14:paraId="2B2DF8F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（1）投标文件的内容和格式必须按照招标文件第六章《投标文件格式》的内容和要求编制，除采购人另有规定者外，投标人不得修改。</w:t>
      </w:r>
    </w:p>
    <w:p w14:paraId="1A6E0E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（2）方案应为具有可行性的方案。</w:t>
      </w:r>
    </w:p>
    <w:p w14:paraId="2E574F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（3）投标文件的装订要整齐、牢固、不易拆散和换页，便于保管和利用；投标文件采用左侧胶装装订方式，具体装订详情见前附表。</w:t>
      </w:r>
    </w:p>
    <w:p w14:paraId="4BD0E7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（4）投标文件除制作文本文件外，还需提供电子版。</w:t>
      </w:r>
    </w:p>
    <w:p w14:paraId="2755569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11.3投标文件应印刷清晰整洁，不提倡装帧豪华。高档豪华的投标文件对评标结果不产生任何影响。</w:t>
      </w:r>
    </w:p>
    <w:p w14:paraId="0BDC7C4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11.4投标文件不退还。</w:t>
      </w:r>
    </w:p>
    <w:p w14:paraId="4EBFE7A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12．投标报价</w:t>
      </w:r>
    </w:p>
    <w:p w14:paraId="2DEC8C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12.1投标人的投标报价应附投标报价说明和明细；</w:t>
      </w:r>
    </w:p>
    <w:p w14:paraId="7CCF4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12.2除非合同中另有规定，投标报价应包括承担本招标项目的成本、利润、税金及风险等全部费用；</w:t>
      </w:r>
    </w:p>
    <w:p w14:paraId="177F0FB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12.3投标人所报价格在合同实施期间固定不变，即固定价格（如有调整仅限于现行相关部门规定，其它不变）；</w:t>
      </w:r>
    </w:p>
    <w:p w14:paraId="28A974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12.4投标报价应参照相关行业收费标准并予以优惠。</w:t>
      </w:r>
    </w:p>
    <w:p w14:paraId="114D27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12.5工作费用按人民币计算，费用支付也按人民币支付。</w:t>
      </w:r>
    </w:p>
    <w:p w14:paraId="06B49B2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 投标报价计算内容</w:t>
      </w:r>
    </w:p>
    <w:p w14:paraId="3F2BC52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12.6.1 招标文件中要求的工作范围之内。 </w:t>
      </w:r>
    </w:p>
    <w:p w14:paraId="0B1B3E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12.6.2 其它为满足招标文件规定的服务标准的配套服务。</w:t>
      </w:r>
    </w:p>
    <w:p w14:paraId="6F2866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12.7费用报价方式</w:t>
      </w:r>
    </w:p>
    <w:p w14:paraId="766566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6B6E19A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13．投标文件的有效期</w:t>
      </w:r>
    </w:p>
    <w:p w14:paraId="7052760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13.1投标文件有效期为开标之日后本投标人须知前附表所载明的时间内，在此期限内，所有投标文件均保持有效。</w:t>
      </w:r>
    </w:p>
    <w:p w14:paraId="5194A1B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13.2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在延长期内，本须知第14条关于投标保证金的规定仍然适用。</w:t>
      </w:r>
    </w:p>
    <w:p w14:paraId="0C02532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14．投标保证金</w:t>
      </w:r>
    </w:p>
    <w:p w14:paraId="6FF74D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14.1投标人在送交投标文件时，应同时按本投标人须知前附表规定的数额提交投标保证金，并作为其投标文件的组成部分。联合体投标的，其投标保证金由牵头人递交，并应符合投标人须知前附表的规定。</w:t>
      </w:r>
    </w:p>
    <w:p w14:paraId="7B45AF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14.2投标保证金以人民币计，采用形式及相关要求详见投标人须知前附表26条。</w:t>
      </w:r>
    </w:p>
    <w:p w14:paraId="2BC6642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14.3投标保证金交纳证明的复印件须装入投标文件的正、副本之中。</w:t>
      </w:r>
    </w:p>
    <w:p w14:paraId="3E25680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14.4投标保证金在投标文件有效期内保持有效，采购人如果按本须知13.2 款的规定延长了投标文件有效期，则投标保证金的有效期也相应延长。</w:t>
      </w:r>
    </w:p>
    <w:p w14:paraId="4062B7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14.5采购人或采购代理机构应当自中标通知书发出之日起5个工作日内退还未中标投标人的投标保证金，自合同签订之日起5个工作日内退还中标人的投标保证金。</w:t>
      </w:r>
    </w:p>
    <w:p w14:paraId="5832B8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14.6 投标人如有下列情况，其投标保证金将不予退还：</w:t>
      </w:r>
    </w:p>
    <w:p w14:paraId="573D94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（1）在投标文件有效期内撤销投标文件；</w:t>
      </w:r>
    </w:p>
    <w:p w14:paraId="0160AC9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（2）中标人在收到中标通知书后，无正当理由拒签合同协议书或未按招标文件规定提交履约担保或不配合采购人接受履约能力审查的。</w:t>
      </w:r>
    </w:p>
    <w:p w14:paraId="32F712C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15．资格审查资料</w:t>
      </w:r>
    </w:p>
    <w:p w14:paraId="51F5C07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15.1“投标人基本情况表”应附应附投标人营业执照（副本）、开户许可证等相关证件的复印件等材料。</w:t>
      </w:r>
    </w:p>
    <w:p w14:paraId="568CAA8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15.2“近年财务状况要求”应附经具有审计资格的会计师事务所出具的财务审计报告或财务报表，包括资产负债表、现金流量表、利润表和财务情况说明书，具体年份要求见投标人须知前附表。</w:t>
      </w:r>
    </w:p>
    <w:p w14:paraId="1AF0A22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15.3“近年完成的类似项目情况表”应附中标通知书和(或)合同协议书，具体年份要求见投标人须知前附表。每张表格只填写一个项目，并标明序号。</w:t>
      </w:r>
    </w:p>
    <w:p w14:paraId="6CD35E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15.4“近年发生的诉讼及仲裁情况”应说明相关情况，并附法院或仲裁机构作出的判决、裁决等有关法律文书（如有），具体年份要求见投标人须知前附表。</w:t>
      </w:r>
    </w:p>
    <w:p w14:paraId="236FD64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15.5缴纳投标保证金凭证。</w:t>
      </w:r>
    </w:p>
    <w:p w14:paraId="77C11C1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15.6投标人须在中国裁判文书网自行查询本公司、法人行贿犯罪记录，且提供查询页面截图并加盖公章作为无行贿犯罪记录证明。</w:t>
      </w:r>
    </w:p>
    <w:p w14:paraId="6816FE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投标人须知前附表规定接受联合体投标的，本章第3.5.1项至第3.5.5项规定的表格和资料应包括联合体各方相关情况。</w:t>
      </w:r>
    </w:p>
    <w:p w14:paraId="646C396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16．投标文件的签署</w:t>
      </w:r>
    </w:p>
    <w:p w14:paraId="237063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16.1投标人应按本须知规定，向采购人递交投标文件(正副本份数详见投标人须知前附表)，并明确写明：“正本”和“副本”。</w:t>
      </w:r>
    </w:p>
    <w:p w14:paraId="20ED7D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16.2投标文件的正副本应使用不褪色的墨水书写或打印。</w:t>
      </w:r>
    </w:p>
    <w:p w14:paraId="31AD35D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16.3如果是代理人签署，</w:t>
      </w:r>
      <w:r>
        <w:rPr>
          <w:rFonts w:hint="eastAsia" w:ascii="宋体" w:hAnsi="Times New Roman" w:eastAsia="宋体" w:cs="宋体"/>
          <w:color w:val="000000"/>
          <w:sz w:val="21"/>
          <w:szCs w:val="21"/>
          <w:highlight w:val="none"/>
          <w:lang w:val="zh-CN" w:eastAsia="zh-CN" w:bidi="ar-SA"/>
        </w:rPr>
        <w:t>应附授权委托书</w:t>
      </w:r>
      <w:r>
        <w:rPr>
          <w:rFonts w:hint="eastAsia" w:ascii="宋体" w:hAnsi="宋体" w:eastAsia="宋体" w:cs="宋体"/>
          <w:color w:val="000000"/>
          <w:sz w:val="21"/>
          <w:szCs w:val="21"/>
          <w:highlight w:val="none"/>
          <w:lang w:val="zh-CN"/>
        </w:rPr>
        <w:t>，</w:t>
      </w:r>
      <w:r>
        <w:rPr>
          <w:rFonts w:hint="eastAsia" w:ascii="宋体" w:hAnsi="Times New Roman" w:eastAsia="宋体" w:cs="宋体"/>
          <w:color w:val="000000"/>
          <w:sz w:val="21"/>
          <w:szCs w:val="21"/>
          <w:highlight w:val="none"/>
          <w:lang w:val="zh-CN" w:eastAsia="zh-CN" w:bidi="ar-SA"/>
        </w:rPr>
        <w:t>授权委托书法定代表人身份证正反面复印件、授权委托</w:t>
      </w:r>
      <w:r>
        <w:rPr>
          <w:rFonts w:hint="eastAsia" w:ascii="宋体" w:hAnsi="Times New Roman" w:eastAsia="宋体" w:cs="宋体"/>
          <w:color w:val="000000"/>
          <w:sz w:val="21"/>
          <w:szCs w:val="21"/>
          <w:highlight w:val="none"/>
          <w:lang w:val="en-US" w:eastAsia="zh-CN" w:bidi="ar-SA"/>
        </w:rPr>
        <w:t>书</w:t>
      </w:r>
      <w:r>
        <w:rPr>
          <w:rFonts w:hint="eastAsia" w:ascii="宋体" w:hAnsi="Times New Roman" w:eastAsia="宋体" w:cs="宋体"/>
          <w:color w:val="000000"/>
          <w:sz w:val="21"/>
          <w:szCs w:val="21"/>
          <w:highlight w:val="none"/>
          <w:lang w:val="zh-CN" w:eastAsia="zh-CN" w:bidi="ar-SA"/>
        </w:rPr>
        <w:t>身份证正反面复印件应由法人在法人身份证复印件上签字、授权人在授权委托人身份证正反面复印件上签字</w:t>
      </w:r>
      <w:r>
        <w:rPr>
          <w:rFonts w:hint="eastAsia" w:ascii="宋体" w:hAnsi="宋体" w:eastAsia="宋体" w:cs="宋体"/>
          <w:color w:val="000000"/>
          <w:sz w:val="21"/>
          <w:szCs w:val="21"/>
          <w:highlight w:val="none"/>
          <w:lang w:val="zh-CN"/>
        </w:rPr>
        <w:t>。</w:t>
      </w:r>
    </w:p>
    <w:p w14:paraId="41B3A73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16.4投标文件的任何一页如有修改，必须在修改处由法定代表人或经正式授权的代理人签字确认。</w:t>
      </w:r>
    </w:p>
    <w:p w14:paraId="05737A60">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四．投标文件的递交</w:t>
      </w:r>
    </w:p>
    <w:p w14:paraId="1E6AF4D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17．投标文件的装订、密封和标记</w:t>
      </w:r>
    </w:p>
    <w:p w14:paraId="739032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17.1投标人应将投标文件装订成册（A4幅面）并在密封封套上标明招标项目名称、招标文件编号、投标人名称、地址、联系方式和邮编，在招标文件规定的投标地点和投标截止时间前递交给采购人。如果投标人没有按照要求密封、标记，采购人对于投标人的误投、错投以及提前拆封概不负责。</w:t>
      </w:r>
    </w:p>
    <w:p w14:paraId="40FFC51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17.2投标文件份数投标人须知前附表，当正本与副本内容不一致时，以正本为准，电子文件与文本文件不一致时，以文本文件为准。</w:t>
      </w:r>
    </w:p>
    <w:p w14:paraId="372CE0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w:t>
      </w:r>
      <w:bookmarkStart w:id="3" w:name="_Toc152045556"/>
      <w:bookmarkEnd w:id="3"/>
      <w:bookmarkStart w:id="4" w:name="_Toc246996200"/>
      <w:bookmarkEnd w:id="4"/>
      <w:bookmarkStart w:id="5" w:name="_Toc247085714"/>
      <w:bookmarkEnd w:id="5"/>
      <w:bookmarkStart w:id="6" w:name="_Toc179632574"/>
      <w:bookmarkEnd w:id="6"/>
      <w:bookmarkStart w:id="7" w:name="_Toc152042332"/>
      <w:bookmarkEnd w:id="7"/>
      <w:bookmarkStart w:id="8" w:name="_Toc246996943"/>
      <w:bookmarkEnd w:id="8"/>
      <w:bookmarkStart w:id="9" w:name="_Toc144974524"/>
      <w:bookmarkEnd w:id="9"/>
      <w:bookmarkStart w:id="10" w:name="_Toc321309190"/>
      <w:r>
        <w:rPr>
          <w:rFonts w:hint="eastAsia" w:ascii="宋体" w:hAnsi="宋体" w:eastAsia="宋体" w:cs="宋体"/>
          <w:color w:val="000000"/>
          <w:sz w:val="21"/>
          <w:szCs w:val="21"/>
          <w:highlight w:val="none"/>
          <w:lang w:val="zh-CN"/>
        </w:rPr>
        <w:t>投标文件的密封和标记</w:t>
      </w:r>
      <w:bookmarkEnd w:id="10"/>
    </w:p>
    <w:p w14:paraId="5A84F80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17.3.1 </w:t>
      </w:r>
      <w:r>
        <w:rPr>
          <w:rFonts w:hint="eastAsia" w:ascii="宋体" w:hAnsi="宋体" w:eastAsia="宋体" w:cs="宋体"/>
          <w:sz w:val="21"/>
          <w:szCs w:val="21"/>
          <w:highlight w:val="none"/>
        </w:rPr>
        <w:t>正本1份，副本</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正副本单独密封，</w:t>
      </w:r>
      <w:r>
        <w:rPr>
          <w:rFonts w:hint="eastAsia" w:ascii="宋体" w:hAnsi="宋体" w:eastAsia="宋体" w:cs="宋体"/>
          <w:sz w:val="21"/>
          <w:szCs w:val="21"/>
          <w:highlight w:val="none"/>
        </w:rPr>
        <w:t>同时提供电子版文件一份（提供U盘且不退）（U盘中电子版投标文件需提供可编辑的word版及PDF版，且须单独密封并提交，且包封上须注明项目名称和公司名称）</w:t>
      </w:r>
      <w:r>
        <w:rPr>
          <w:rFonts w:hint="eastAsia" w:ascii="宋体" w:hAnsi="宋体" w:eastAsia="宋体" w:cs="宋体"/>
          <w:color w:val="000000"/>
          <w:sz w:val="21"/>
          <w:szCs w:val="21"/>
          <w:highlight w:val="none"/>
          <w:lang w:val="zh-CN"/>
        </w:rPr>
        <w:t>。</w:t>
      </w:r>
    </w:p>
    <w:p w14:paraId="70E4D5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17.3.2电子版(U盘</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份)与投标文件同时递交。并单独封装。</w:t>
      </w:r>
    </w:p>
    <w:p w14:paraId="674F66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17.3.3 未按本章第17.1项至第17.3项要求密封和加写标记的投标文件，采购人不予受理，并退还给投标人。</w:t>
      </w:r>
    </w:p>
    <w:p w14:paraId="456E48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17.4采购人将拒绝接受并原封退回在其规定的投标截止时间以后送达（收到）的投标文件。</w:t>
      </w:r>
    </w:p>
    <w:p w14:paraId="5397479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17.5投标人在投标时，有下列情形之一的为无效投标：</w:t>
      </w:r>
    </w:p>
    <w:p w14:paraId="144C1B6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（1）在招标文件规定的投标截止时间之后投标的；</w:t>
      </w:r>
    </w:p>
    <w:p w14:paraId="156F781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（2）未按招标文件规定投标保证金的；</w:t>
      </w:r>
    </w:p>
    <w:p w14:paraId="4B80C3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（3）未购买招标文件参加招标的；</w:t>
      </w:r>
    </w:p>
    <w:p w14:paraId="4BDE55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（4）投标文件夹未按招标文件规定密封的；</w:t>
      </w:r>
    </w:p>
    <w:p w14:paraId="20A5B5C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（5）投标人法定代表人或其授权代理人未按规定到开标现场的（以及未能证明其合法身份的，如未出示本人身份证件的）：</w:t>
      </w:r>
      <w:r>
        <w:rPr>
          <w:rFonts w:hint="eastAsia" w:ascii="宋体" w:hAnsi="宋体" w:eastAsia="宋体" w:cs="宋体"/>
          <w:color w:val="000000"/>
          <w:sz w:val="21"/>
          <w:szCs w:val="21"/>
          <w:highlight w:val="none"/>
          <w:lang w:val="en-US" w:eastAsia="zh-CN"/>
        </w:rPr>
        <w:t>本项目线上开标。</w:t>
      </w:r>
    </w:p>
    <w:p w14:paraId="7FF74DB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（6）招标文件规定投标时属于无效投标或者废标的其他情形。</w:t>
      </w:r>
    </w:p>
    <w:p w14:paraId="2DF9A84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18．递交投标文件的截止期</w:t>
      </w:r>
    </w:p>
    <w:p w14:paraId="6CD99BD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18.1 投标人必须按招标文件写明的地址，在本投标人须知前附表中所规定的送交投标文件截止期前，将投标文件送达采购人签收。</w:t>
      </w:r>
    </w:p>
    <w:p w14:paraId="6C0F943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18.2 采购人可按本须知第9条规定，以补遗文件的方式，酌情延长递交投标文件的截止时间，在此情况下，采购人与投标人在原投标截止时间前的全部权利和义务，将适用于延长后新的投标截止时间。</w:t>
      </w:r>
    </w:p>
    <w:p w14:paraId="04D4625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19．迟到的投标文件</w:t>
      </w:r>
    </w:p>
    <w:p w14:paraId="2102B4E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19.1 采购人在按本须知第18条规定的送交投标文件截止期以后收到的投标文件，不予开封，并原封退回投标人。</w:t>
      </w:r>
    </w:p>
    <w:p w14:paraId="47F159D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20．投标文件的更改与撤回</w:t>
      </w:r>
    </w:p>
    <w:p w14:paraId="63C121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20.1 在送交投标文件截止期以前，投标人可以更改或撤回投标文件，但必须书面提出，并由投标人的法定代表人或经正式授权的代理人签署。在时间紧迫的情况下，投标人可将撤回投标文件的要求，先传真通知采购人，但应随即补发一份正式书面函件予以确认。更改、撤回的确认书必须在递交投标文件截止期前送达采购人签收。</w:t>
      </w:r>
    </w:p>
    <w:p w14:paraId="438B7E0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20.2更改的投标文件应同样按照投标文件送交规定的要求进行编制、密封、标记（在内层信封标明“更改”字样）和发送。</w:t>
      </w:r>
    </w:p>
    <w:p w14:paraId="2682342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20.3如果在投标文件有效期内撤销的投标文件，则按本须知第14条第14.6款的规定不退还其投标保证金。</w:t>
      </w:r>
    </w:p>
    <w:p w14:paraId="133D8871">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五．开标</w:t>
      </w:r>
    </w:p>
    <w:p w14:paraId="3965D63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21．开标</w:t>
      </w:r>
    </w:p>
    <w:p w14:paraId="09B1B5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21.1采购人按本须知前附表第20项、第21项和第35项所规定的时间和地点举行开标会议。</w:t>
      </w:r>
    </w:p>
    <w:p w14:paraId="4689360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21.2按规定提交合格撤回通知的投标文件不予开封，并退回给投标人；按本须知第22条规定确定为无效的投标文件，不予送交评审。</w:t>
      </w:r>
    </w:p>
    <w:p w14:paraId="4D5A94E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21.3 开标程序：</w:t>
      </w:r>
    </w:p>
    <w:p w14:paraId="0949CC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主持人按下列程序进行开标：</w:t>
      </w:r>
    </w:p>
    <w:p w14:paraId="1246FB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(1)宣布开标纪律；</w:t>
      </w:r>
    </w:p>
    <w:p w14:paraId="2D24495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(2)公布在投标截止时间前递交投标文件的投标人名称，并点名确认投标人是否派人到场；</w:t>
      </w:r>
    </w:p>
    <w:p w14:paraId="7867BD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(3)宣布开标人、唱标人、记录人、监标人等有关人员姓名；</w:t>
      </w:r>
    </w:p>
    <w:p w14:paraId="102764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(4)按照投标人须知前附表规定检查投标文件的密封情况；</w:t>
      </w:r>
    </w:p>
    <w:p w14:paraId="729BAD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(5)按照投标人须知前附表的规定确定并宣布投标文件开标顺序；</w:t>
      </w:r>
    </w:p>
    <w:p w14:paraId="28BFABD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(6)设有最高投标限价的，公布招标最高投标限价；</w:t>
      </w:r>
    </w:p>
    <w:p w14:paraId="17CBAF7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(7)按照宣布的开标顺序当众开标，公布投标人名称、项目名称、投标保证金的递交情况、投标报价、质量目标、工期及其他内容，并记录在案；</w:t>
      </w:r>
    </w:p>
    <w:p w14:paraId="16B8657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(8)投标人代表、采购人代表、监标人、记录人等有关人员在开标记录上签字确认；</w:t>
      </w:r>
    </w:p>
    <w:p w14:paraId="500681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(9)开标结束。</w:t>
      </w:r>
    </w:p>
    <w:p w14:paraId="152C532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21.3.4 采购人对开标过程进行记录，并存档备查。</w:t>
      </w:r>
    </w:p>
    <w:p w14:paraId="23DCB49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22．投标文件的有效性</w:t>
      </w:r>
    </w:p>
    <w:p w14:paraId="2848C52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22.1开标时，投标文件出现下列情形之一的，应当作为无效投标文件，不得进入评标。    </w:t>
      </w:r>
    </w:p>
    <w:p w14:paraId="52C485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22.1.1投标文件未按照本须知第17条的要求装订、密封和标记的。</w:t>
      </w:r>
    </w:p>
    <w:p w14:paraId="0C8029B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22.1.2本须知第11条规定的投标文件有关内容未按本须知第16条规定加盖投标人印章或未经法定代表人或其委托代理人签字或盖章的。由委托代理人签字或盖章的，但未随投标文件一起提交有效的“授权委托书”的。   </w:t>
      </w:r>
    </w:p>
    <w:p w14:paraId="0A4E34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22.1.3投标文件的关键内容字迹模糊、无法辨认的。</w:t>
      </w:r>
    </w:p>
    <w:p w14:paraId="6B6E4D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22.1.4投标人未按照招标文件的要求提供投标保证金的。</w:t>
      </w:r>
    </w:p>
    <w:p w14:paraId="2E5EFE9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color w:val="000000"/>
          <w:sz w:val="21"/>
          <w:szCs w:val="21"/>
          <w:highlight w:val="none"/>
          <w:lang w:val="zh-CN"/>
        </w:rPr>
        <w:t>22.2采购人将有效投标文件，送评标委员会进行评审、比较。</w:t>
      </w:r>
    </w:p>
    <w:p w14:paraId="022FBA2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br w:type="page"/>
      </w:r>
      <w:r>
        <w:rPr>
          <w:rFonts w:hint="eastAsia" w:ascii="宋体" w:hAnsi="宋体" w:eastAsia="宋体" w:cs="宋体"/>
          <w:b/>
          <w:bCs/>
          <w:color w:val="000000"/>
          <w:kern w:val="0"/>
          <w:sz w:val="21"/>
          <w:szCs w:val="21"/>
          <w:highlight w:val="none"/>
        </w:rPr>
        <w:t>六．评标</w:t>
      </w:r>
    </w:p>
    <w:p w14:paraId="72A783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23．评标委员会与评标</w:t>
      </w:r>
    </w:p>
    <w:p w14:paraId="4414EC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23.1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7EA66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23.2评标委员会成员有下列情形之一的，应当回避：</w:t>
      </w:r>
    </w:p>
    <w:p w14:paraId="604B268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(l)采购人或投标人的主要负责人的近亲属；</w:t>
      </w:r>
    </w:p>
    <w:p w14:paraId="6072BF5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(2)项目主管部门或者行政监督部门的人员；</w:t>
      </w:r>
    </w:p>
    <w:p w14:paraId="357B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(3)与投标人有经济利益关系，可能影响对投标公正评审的；</w:t>
      </w:r>
    </w:p>
    <w:p w14:paraId="77AFB8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(4)曾因在招标、评标以及其他与招标投标有关活动中从事违法行为而受过行政处罚或刑事处罚的。</w:t>
      </w:r>
    </w:p>
    <w:p w14:paraId="46B68A44">
      <w:pPr>
        <w:pStyle w:val="10"/>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24．评标过程的保密</w:t>
      </w:r>
    </w:p>
    <w:p w14:paraId="2B0C677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24.1开标后，直至授予中标人合同为止，凡属于对投标文件的审查、澄清、评价和比较有关的资料以及中标候选人的推荐情况，与评标有关的其他任何情况均严格保密。</w:t>
      </w:r>
    </w:p>
    <w:p w14:paraId="1EDE518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24.2在投标文件的评审和比较、中标候选人推荐以及授予合同的过程中，投标人向采购人和评标委员会施加影响的任何行为，都将会导致其投标被拒绝。</w:t>
      </w:r>
    </w:p>
    <w:p w14:paraId="0C7962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24.3中标人确定后，采购人不对未中标人就评标过程以及未能中标原因作出任何解释。未中标人不得向评标委员会组成人员或其他有关人员索问评标过程的情况和材料。</w:t>
      </w:r>
    </w:p>
    <w:p w14:paraId="362294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24.4投标文件的澄清</w:t>
      </w:r>
    </w:p>
    <w:p w14:paraId="3BBC00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w:t>
      </w:r>
    </w:p>
    <w:p w14:paraId="2C01BB9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24.5投标文件的初步评审</w:t>
      </w:r>
    </w:p>
    <w:p w14:paraId="17C936D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24.5.1开标后，评标委员会根据本须知第22条有关规定审查投标文件的有效性。</w:t>
      </w:r>
    </w:p>
    <w:p w14:paraId="246F23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24.5.2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118FDA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24.5.3 如果投标文件实质上不响应招标文件的要求，评标委员会将予以拒绝，并且不允许投标人通过修改或撤销其不符合要求的差异或保留，使之成为具有响应性的投标。</w:t>
      </w:r>
    </w:p>
    <w:p w14:paraId="71CDEF9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25．投标文件的评审、比较和否决</w:t>
      </w:r>
    </w:p>
    <w:p w14:paraId="0D283E7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25.1 评标委员会将按照本须知第24.5条规定，仅对在实质上响应招标文件要求的投标文件进行评估和比较。    </w:t>
      </w:r>
    </w:p>
    <w:p w14:paraId="2BDEEDE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25.2 在评审过程中，评标委员会可以以书面形式要求投标人就投标文件中含义不明确的内容进行书面说明并提供相关材料。</w:t>
      </w:r>
    </w:p>
    <w:p w14:paraId="23F150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25.3评标方法（见招标文件第三章）</w:t>
      </w:r>
    </w:p>
    <w:p w14:paraId="1082E3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25.4经评标委员会评审，认为所有投标都不符合招标文件要求的，可以否决所有投标。所有投标被否决后，采购人应当依法重新招标。</w:t>
      </w:r>
    </w:p>
    <w:p w14:paraId="0ACF090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26. 评标报告</w:t>
      </w:r>
    </w:p>
    <w:p w14:paraId="6AC814F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26.1评标工作结束时，评标委员会出具评标工作报告。</w:t>
      </w:r>
    </w:p>
    <w:p w14:paraId="5E9383E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七．授予合同</w:t>
      </w:r>
    </w:p>
    <w:p w14:paraId="2779FC4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27．合同授予的标准</w:t>
      </w:r>
    </w:p>
    <w:p w14:paraId="0F150FC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27.1 本招标项目的合同将授予本次评标的评标委员会推荐的中候选标人。</w:t>
      </w:r>
    </w:p>
    <w:p w14:paraId="11A0631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27.2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p w14:paraId="06B79E0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28．</w:t>
      </w:r>
      <w:r>
        <w:rPr>
          <w:rFonts w:hint="eastAsia" w:ascii="宋体" w:hAnsi="宋体" w:eastAsia="宋体" w:cs="宋体"/>
          <w:b/>
          <w:bCs/>
          <w:color w:val="000000"/>
          <w:kern w:val="0"/>
          <w:sz w:val="21"/>
          <w:szCs w:val="21"/>
          <w:highlight w:val="none"/>
          <w:lang w:eastAsia="zh-CN"/>
        </w:rPr>
        <w:t>采购人</w:t>
      </w:r>
      <w:r>
        <w:rPr>
          <w:rFonts w:hint="eastAsia" w:ascii="宋体" w:hAnsi="宋体" w:eastAsia="宋体" w:cs="宋体"/>
          <w:b/>
          <w:bCs/>
          <w:color w:val="000000"/>
          <w:kern w:val="0"/>
          <w:sz w:val="21"/>
          <w:szCs w:val="21"/>
          <w:highlight w:val="none"/>
        </w:rPr>
        <w:t>接受和拒绝投标的权力</w:t>
      </w:r>
    </w:p>
    <w:p w14:paraId="4C523A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28.1采购人在发出中标通知书前因项目发生变化或不可抗力等原因有权宣布投标程序无效或拒绝所有投标，并对由此引起的对投标人的影响不承担任何责任，也无须将这样做的理由通知受影响的投标人，但采购人应将投标保证金退还给投标人。</w:t>
      </w:r>
    </w:p>
    <w:p w14:paraId="1546056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29．中标通知书</w:t>
      </w:r>
    </w:p>
    <w:p w14:paraId="2CBAE16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29.1在投标有效期内，采购人将书面形式向中标人发出中标通知书，确认其投标已被接受。中标通知书中应写明业主将支付给中标人按合同规定完成工作的总价（即合同价格）。</w:t>
      </w:r>
    </w:p>
    <w:p w14:paraId="5E5DE58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29.2中标通知书是合同文件的组成部分。</w:t>
      </w:r>
    </w:p>
    <w:p w14:paraId="0F27753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30．合同协议书的签署</w:t>
      </w:r>
    </w:p>
    <w:p w14:paraId="37514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30.1招标和中标人应当自中标通知书发出之日起30日内，根据招标文件和中标人的投标文件订立书面合同。</w:t>
      </w:r>
    </w:p>
    <w:p w14:paraId="69E63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30.2中标人在收到中标通知书30日内，如不与采购人签订合同，采购人有权委托其他单位负责，中标人不得提出异议，采购人也不承担其相关法律责任。</w:t>
      </w:r>
    </w:p>
    <w:p w14:paraId="2E544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30.3签订合同书时，中标人应出示法定代表人证书或代理人授权书。</w:t>
      </w:r>
    </w:p>
    <w:p w14:paraId="1FCFA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30.4合同经双方法定代表人或其授权代理人签署并加盖公章后生效。</w:t>
      </w:r>
    </w:p>
    <w:p w14:paraId="108FFE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30.5如果中标人未能遵守本须知第29.1 款或30.1 款的规定，采购人则可宣布其中标无效，并没收其投标保证金。在此情况下，采购人可根据本须知第26条第26.2 款的规定,将合同授予下一个符合评标及授予合同要求的中标候选人。</w:t>
      </w:r>
    </w:p>
    <w:p w14:paraId="209AA5B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31．纪律与监督</w:t>
      </w:r>
    </w:p>
    <w:p w14:paraId="6A91402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31.1采购人应当采取必要的措施，保证评标工作在严格保密的情况下进行。</w:t>
      </w:r>
    </w:p>
    <w:p w14:paraId="05AC25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31.2投标人在投标过程中不得串通作弊，不得妨碍其他投标人的公平竞争，不得以行贿、弄虚作假等手段骗取中标，也不能采取任何方式向采购人施加压力或干扰，损害招标的公正性和竞争性，否则将被取消投标资格。</w:t>
      </w:r>
    </w:p>
    <w:p w14:paraId="14CBA0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31.3</w:t>
      </w:r>
      <w:r>
        <w:rPr>
          <w:rFonts w:hint="eastAsia"/>
          <w:lang w:val="en-US" w:eastAsia="zh-CN"/>
        </w:rPr>
        <w:t>投标人需</w:t>
      </w:r>
      <w:r>
        <w:rPr>
          <w:rFonts w:hint="eastAsia"/>
          <w:lang w:val="zh-CN"/>
        </w:rPr>
        <w:t>在</w:t>
      </w:r>
      <w:r>
        <w:rPr>
          <w:rFonts w:hint="eastAsia"/>
          <w:lang w:val="en-US" w:eastAsia="zh-CN"/>
        </w:rPr>
        <w:t>投标</w:t>
      </w:r>
      <w:r>
        <w:rPr>
          <w:rFonts w:hint="eastAsia"/>
          <w:lang w:val="zh-CN"/>
        </w:rPr>
        <w:t>文件</w:t>
      </w:r>
      <w:r>
        <w:rPr>
          <w:rFonts w:hint="eastAsia"/>
          <w:lang w:val="en-US" w:eastAsia="zh-CN"/>
        </w:rPr>
        <w:t>中提供</w:t>
      </w:r>
      <w:r>
        <w:rPr>
          <w:rFonts w:hint="eastAsia"/>
        </w:rPr>
        <w:t>不参与涉黑涉恶承诺书</w:t>
      </w:r>
      <w:r>
        <w:rPr>
          <w:rFonts w:hint="eastAsia"/>
          <w:lang w:eastAsia="zh-CN"/>
        </w:rPr>
        <w:t>，</w:t>
      </w:r>
      <w:r>
        <w:rPr>
          <w:rFonts w:hint="eastAsia"/>
          <w:lang w:val="en-US" w:eastAsia="zh-CN"/>
        </w:rPr>
        <w:t>需加盖公章并由法定代表人或授权委托人签字，格式自拟。</w:t>
      </w:r>
    </w:p>
    <w:p w14:paraId="7F5476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rPr>
        <w:t>专家委员会成员应当客观、公正地履行职责，遵守职业道德，对所提出的评审意见承担个人责任。专家委员会成员不得私下接触投标人，不得收受投标人的财物或者其他好处，不得透露对投标文件的评审、中标候选人的推荐情况以及与评标有关的其他情况。</w:t>
      </w:r>
    </w:p>
    <w:p w14:paraId="3F3D771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八．其  他</w:t>
      </w:r>
    </w:p>
    <w:p w14:paraId="2048DDE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32．适用法律</w:t>
      </w:r>
    </w:p>
    <w:p w14:paraId="1A76092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32.1本招标文件受中华人民共和国法律管辖。若发生纠纷，应适用中国法律，通过采购人当地诉讼机构裁决。</w:t>
      </w:r>
    </w:p>
    <w:p w14:paraId="7AFD336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33．时间标准</w:t>
      </w:r>
    </w:p>
    <w:p w14:paraId="503E37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33.1本次招标活动过程中，采购人提及的时间，均以北京时间计算。</w:t>
      </w:r>
    </w:p>
    <w:p w14:paraId="0BE06C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33.2采购人保留更改时间表的权力，如有改动，将及时通知各投标人</w:t>
      </w:r>
      <w:r>
        <w:rPr>
          <w:rFonts w:hint="eastAsia" w:ascii="宋体" w:hAnsi="宋体" w:eastAsia="宋体" w:cs="宋体"/>
          <w:color w:val="000000"/>
          <w:kern w:val="0"/>
          <w:sz w:val="21"/>
          <w:szCs w:val="21"/>
          <w:highlight w:val="none"/>
        </w:rPr>
        <w:t>。</w:t>
      </w:r>
    </w:p>
    <w:p w14:paraId="687A853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34. 双方承诺</w:t>
      </w:r>
    </w:p>
    <w:p w14:paraId="4D896D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34.1参加本次招标的投标人均视为承认本招标文件所有内容。</w:t>
      </w:r>
    </w:p>
    <w:p w14:paraId="253A57B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34.2中标人在确定并</w:t>
      </w:r>
      <w:r>
        <w:rPr>
          <w:rFonts w:hint="eastAsia" w:ascii="宋体" w:hAnsi="宋体" w:eastAsia="宋体" w:cs="宋体"/>
          <w:color w:val="000000"/>
          <w:sz w:val="21"/>
          <w:szCs w:val="21"/>
          <w:highlight w:val="none"/>
        </w:rPr>
        <w:t>签订</w:t>
      </w:r>
      <w:r>
        <w:rPr>
          <w:rFonts w:hint="eastAsia" w:ascii="宋体" w:hAnsi="宋体" w:eastAsia="宋体" w:cs="宋体"/>
          <w:color w:val="000000"/>
          <w:sz w:val="21"/>
          <w:szCs w:val="21"/>
          <w:highlight w:val="none"/>
          <w:lang w:val="zh-CN"/>
        </w:rPr>
        <w:t>合同后，双方应履行合同各项条款。</w:t>
      </w:r>
      <w:bookmarkStart w:id="11" w:name="_Toc373772560"/>
      <w:bookmarkEnd w:id="11"/>
      <w:bookmarkStart w:id="12" w:name="_Toc476122608"/>
      <w:bookmarkEnd w:id="12"/>
    </w:p>
    <w:p w14:paraId="1C84FE51">
      <w:pPr>
        <w:pStyle w:val="18"/>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000000"/>
          <w:sz w:val="21"/>
          <w:szCs w:val="21"/>
          <w:highlight w:val="none"/>
        </w:rPr>
      </w:pPr>
      <w:bookmarkStart w:id="13" w:name="_Toc16294"/>
      <w:r>
        <w:rPr>
          <w:rFonts w:hint="eastAsia" w:ascii="宋体" w:hAnsi="宋体" w:eastAsia="宋体" w:cs="宋体"/>
          <w:b/>
          <w:bCs/>
          <w:color w:val="000000"/>
          <w:kern w:val="2"/>
          <w:sz w:val="21"/>
          <w:szCs w:val="21"/>
          <w:highlight w:val="none"/>
          <w:lang w:val="zh-CN" w:eastAsia="zh-CN" w:bidi="ar-SA"/>
        </w:rPr>
        <w:t>注：本正文与前附表不一致的，以前附表为准</w:t>
      </w:r>
      <w:r>
        <w:rPr>
          <w:rFonts w:hint="eastAsia" w:ascii="宋体" w:hAnsi="宋体" w:eastAsia="宋体" w:cs="宋体"/>
          <w:color w:val="000000"/>
          <w:sz w:val="21"/>
          <w:szCs w:val="21"/>
          <w:highlight w:val="none"/>
        </w:rPr>
        <w:t>。</w:t>
      </w:r>
      <w:bookmarkEnd w:id="13"/>
    </w:p>
    <w:p w14:paraId="5871A2FC">
      <w:pPr>
        <w:rPr>
          <w:rFonts w:hint="eastAsia"/>
          <w:b/>
          <w:bCs/>
          <w:color w:val="000000"/>
          <w:highlight w:val="none"/>
        </w:rPr>
      </w:pPr>
      <w:r>
        <w:rPr>
          <w:rFonts w:hint="eastAsia"/>
          <w:b/>
          <w:bCs/>
          <w:color w:val="000000"/>
          <w:highlight w:val="none"/>
        </w:rPr>
        <w:br w:type="page"/>
      </w:r>
    </w:p>
    <w:p w14:paraId="44D522F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sz w:val="28"/>
          <w:szCs w:val="28"/>
        </w:rPr>
      </w:pPr>
      <w:r>
        <w:rPr>
          <w:rFonts w:hint="eastAsia"/>
          <w:b/>
          <w:bCs/>
          <w:color w:val="000000"/>
          <w:sz w:val="32"/>
          <w:szCs w:val="32"/>
          <w:highlight w:val="none"/>
        </w:rPr>
        <w:t>政府采购促进中小企业发展管理办法</w:t>
      </w:r>
    </w:p>
    <w:p w14:paraId="33EBAAD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b/>
          <w:bCs/>
          <w:color w:val="000000"/>
          <w:sz w:val="24"/>
          <w:szCs w:val="24"/>
          <w:highlight w:val="none"/>
        </w:rPr>
      </w:pPr>
      <w:r>
        <w:rPr>
          <w:sz w:val="24"/>
          <w:szCs w:val="24"/>
        </w:rPr>
        <w:t>财库〔2020〕46号</w:t>
      </w:r>
    </w:p>
    <w:p w14:paraId="01F427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第一条</w:t>
      </w:r>
    </w:p>
    <w:p w14:paraId="405B55A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为了发挥政府采购的政策功能，促进中小企业健康发展，根据《中华人民共和国政府采购法》、《中华人民共和国中小企业促进法》等有关法律法规，制定本办法。</w:t>
      </w:r>
    </w:p>
    <w:p w14:paraId="3A4C4B5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第二条</w:t>
      </w:r>
    </w:p>
    <w:p w14:paraId="54400A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51368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符合中小企业划分标准的个体工商户，在政府采购活动中视同中小企业。</w:t>
      </w:r>
    </w:p>
    <w:p w14:paraId="01E224E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第三条</w:t>
      </w:r>
    </w:p>
    <w:p w14:paraId="5F441B1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采购人在政府采购活动中应当通过加强采购需求管理，落实预留采购份额、价格评审优惠、优先采购等措施，提高中小企业在政府采购中的份额，支持中小企业发展。</w:t>
      </w:r>
    </w:p>
    <w:p w14:paraId="60CE536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第四条</w:t>
      </w:r>
    </w:p>
    <w:p w14:paraId="056B64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在政府采购活动中，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提供的货物、工程或者服务符合下列情形的，享受本办法规定的中小企业扶持政策：</w:t>
      </w:r>
    </w:p>
    <w:p w14:paraId="21A95AC6">
      <w:pPr>
        <w:spacing w:line="360" w:lineRule="auto"/>
        <w:ind w:firstLine="422" w:firstLineChars="200"/>
        <w:rPr>
          <w:rFonts w:hint="eastAsia" w:ascii="宋体" w:hAnsi="宋体" w:cs="宋体"/>
          <w:color w:val="000000"/>
          <w:highlight w:val="none"/>
        </w:rPr>
      </w:pPr>
      <w:r>
        <w:rPr>
          <w:rFonts w:hint="eastAsia" w:ascii="宋体" w:hAnsi="宋体" w:cs="宋体"/>
          <w:b/>
          <w:bCs/>
          <w:color w:val="000000"/>
          <w:highlight w:val="none"/>
        </w:rPr>
        <w:t>（一）在货物采购项目中，货物由中小企业制造，即货物由中小企业生产且使用该中小企业商号或者注册商标</w:t>
      </w:r>
      <w:r>
        <w:rPr>
          <w:rFonts w:hint="eastAsia" w:ascii="宋体" w:hAnsi="宋体" w:cs="宋体"/>
          <w:color w:val="000000"/>
          <w:highlight w:val="none"/>
        </w:rPr>
        <w:t>；</w:t>
      </w:r>
    </w:p>
    <w:p w14:paraId="360CFBC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（二）在工程采购项目中，工程由中小企业承建，即工程施工单位为中小企业；</w:t>
      </w:r>
    </w:p>
    <w:p w14:paraId="7752C4E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（三）在服务采购项目中，服务由中小企业承接，即提供服务的人员为中小企业依照《中华人民共和国劳动合同法》订立劳动合同的从业人员。在货物采购项目中，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提供的货物既有中小企业制造货物，也有大型企业制造货物的，不享受本办法规定的中小企业扶持政策。</w:t>
      </w:r>
    </w:p>
    <w:p w14:paraId="4E29DE4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以联合体形式参加政府采购活动，联合体各方均为中小企业的，联合体视同中小企业。其中，联合体各方均为小微企业的，联合体视同小微企业。</w:t>
      </w:r>
    </w:p>
    <w:p w14:paraId="4316990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第五条</w:t>
      </w:r>
    </w:p>
    <w:p w14:paraId="52370CB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000000"/>
          <w:highlight w:val="none"/>
          <w:lang w:eastAsia="zh-CN"/>
        </w:rPr>
        <w:t>投标人</w:t>
      </w:r>
      <w:r>
        <w:rPr>
          <w:rFonts w:hint="eastAsia" w:ascii="宋体" w:hAnsi="宋体" w:cs="宋体"/>
          <w:color w:val="000000"/>
          <w:highlight w:val="none"/>
        </w:rPr>
        <w:t>的资格要求或者评审因素，不得在企业股权结构、经营年限等方面对中小企业实行差别待遇或者歧视待遇。</w:t>
      </w:r>
    </w:p>
    <w:p w14:paraId="6F8448D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第六条</w:t>
      </w:r>
    </w:p>
    <w:p w14:paraId="5FE5AA9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19EA1F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符合下列情形之一的，可不专门面向中小企业预留采购份额：</w:t>
      </w:r>
    </w:p>
    <w:p w14:paraId="2D116B6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（一）法律法规和国家有关政策明确规定优先或者应当面向事业单位、社会组织等非企业主体采购的；</w:t>
      </w:r>
    </w:p>
    <w:p w14:paraId="546E64A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（二）因确需使用不可替代的专利、专有技术，基础设施限制，或者提供特定公共服务等原因，只能从中小企业之外的</w:t>
      </w:r>
      <w:r>
        <w:rPr>
          <w:rFonts w:hint="eastAsia" w:ascii="宋体" w:hAnsi="宋体" w:cs="宋体"/>
          <w:color w:val="000000"/>
          <w:highlight w:val="none"/>
          <w:lang w:eastAsia="zh-CN"/>
        </w:rPr>
        <w:t>投标人</w:t>
      </w:r>
      <w:r>
        <w:rPr>
          <w:rFonts w:hint="eastAsia" w:ascii="宋体" w:hAnsi="宋体" w:cs="宋体"/>
          <w:color w:val="000000"/>
          <w:highlight w:val="none"/>
        </w:rPr>
        <w:t>处采购的；</w:t>
      </w:r>
    </w:p>
    <w:p w14:paraId="4D9E063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（三）按照本办法规定预留采购份额无法确保充分供应、充分竞争，或者存在可能影响政府采购目标实现的情形；</w:t>
      </w:r>
    </w:p>
    <w:p w14:paraId="63E6868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（四）框架协议采购项目；</w:t>
      </w:r>
    </w:p>
    <w:p w14:paraId="4988557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（五）省级以上人民政府财政部门规定的其他情形。</w:t>
      </w:r>
    </w:p>
    <w:p w14:paraId="3D3B6D0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除上述情形外，其他均为适宜由中小企业提供的情形。</w:t>
      </w:r>
    </w:p>
    <w:p w14:paraId="4079EA9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w:t>
      </w:r>
    </w:p>
    <w:p w14:paraId="2EFA386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第七条</w:t>
      </w:r>
    </w:p>
    <w:p w14:paraId="27F09E5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采购限额标准以上，200 万元以下的货物和服务采购项目、400 万元以下的工程采购项目，适宜由中小企业提供的，采购人应当专门面向中小企业采购。</w:t>
      </w:r>
    </w:p>
    <w:p w14:paraId="3FD101B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第八条</w:t>
      </w:r>
    </w:p>
    <w:p w14:paraId="34964F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0091E44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（一）将采购项目整体或者设置采购包专门面向中小企业采购；</w:t>
      </w:r>
    </w:p>
    <w:p w14:paraId="38264F7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w:t>
      </w:r>
      <w:r>
        <w:rPr>
          <w:rFonts w:hint="eastAsia" w:ascii="宋体" w:hAnsi="宋体" w:cs="宋体"/>
          <w:color w:val="000000"/>
          <w:highlight w:val="none"/>
          <w:lang w:eastAsia="zh-CN"/>
        </w:rPr>
        <w:t>投标人</w:t>
      </w:r>
      <w:r>
        <w:rPr>
          <w:rFonts w:hint="eastAsia" w:ascii="宋体" w:hAnsi="宋体" w:cs="宋体"/>
          <w:color w:val="000000"/>
          <w:highlight w:val="none"/>
        </w:rPr>
        <w:t>以联合体形式参加采购活动，且联合体中中小企业承担的部分达到一定比例；</w:t>
      </w:r>
    </w:p>
    <w:p w14:paraId="73C99E2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（三）要求获得采购合同的</w:t>
      </w:r>
      <w:r>
        <w:rPr>
          <w:rFonts w:hint="eastAsia" w:ascii="宋体" w:hAnsi="宋体" w:cs="宋体"/>
          <w:color w:val="000000"/>
          <w:highlight w:val="none"/>
          <w:lang w:eastAsia="zh-CN"/>
        </w:rPr>
        <w:t>投标人</w:t>
      </w:r>
      <w:r>
        <w:rPr>
          <w:rFonts w:hint="eastAsia" w:ascii="宋体" w:hAnsi="宋体" w:cs="宋体"/>
          <w:color w:val="000000"/>
          <w:highlight w:val="none"/>
        </w:rPr>
        <w:t>将采购项目中的一定比例分包给一家或者多家中小企业。组成联合体或者接受分包合同的中小企业与联合体内其他企业、分包企业之间不得存在直接控股、管理关系。</w:t>
      </w:r>
    </w:p>
    <w:p w14:paraId="3D6B214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第九条</w:t>
      </w:r>
    </w:p>
    <w:p w14:paraId="2C8FE2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F1CD28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043A6A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第十条</w:t>
      </w:r>
    </w:p>
    <w:p w14:paraId="3BDC784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采购人应当严格按照本办法规定和主管预算单位制定的预留采购份额具体方案开展采购活动。预留份额的采购项目或者采购包，通过发布公告方式邀请</w:t>
      </w:r>
      <w:r>
        <w:rPr>
          <w:rFonts w:hint="eastAsia" w:ascii="宋体" w:hAnsi="宋体" w:cs="宋体"/>
          <w:color w:val="000000"/>
          <w:highlight w:val="none"/>
          <w:lang w:eastAsia="zh-CN"/>
        </w:rPr>
        <w:t>投标人</w:t>
      </w:r>
      <w:r>
        <w:rPr>
          <w:rFonts w:hint="eastAsia" w:ascii="宋体" w:hAnsi="宋体" w:cs="宋体"/>
          <w:color w:val="000000"/>
          <w:highlight w:val="none"/>
        </w:rPr>
        <w:t>后，符合资格条件的中小企业数量不足 3 家的，应当中止采购活动，视同未预留份额的采购项目或者采购包，按照本办法第九条有关规定重新组织采购活动。</w:t>
      </w:r>
    </w:p>
    <w:p w14:paraId="117514D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第十一条</w:t>
      </w:r>
    </w:p>
    <w:p w14:paraId="21C9EB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中小企业参加政府采购活动，应当出具本办法规定的《中小企业声明函》（附 1），否则不得享受相关中小企业扶持政策。任何单位和个人不得要求</w:t>
      </w:r>
      <w:r>
        <w:rPr>
          <w:rFonts w:hint="eastAsia" w:ascii="宋体" w:hAnsi="宋体" w:cs="宋体"/>
          <w:color w:val="000000"/>
          <w:highlight w:val="none"/>
          <w:lang w:eastAsia="zh-CN"/>
        </w:rPr>
        <w:t>投标人</w:t>
      </w:r>
      <w:r>
        <w:rPr>
          <w:rFonts w:hint="eastAsia" w:ascii="宋体" w:hAnsi="宋体" w:cs="宋体"/>
          <w:color w:val="000000"/>
          <w:highlight w:val="none"/>
        </w:rPr>
        <w:t>提供《中小企业声明函》之外的中小企业身份证明文件。</w:t>
      </w:r>
    </w:p>
    <w:p w14:paraId="268E5D9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第十二条</w:t>
      </w:r>
    </w:p>
    <w:p w14:paraId="50AD5A8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采购项目涉及中小企业采购的，采购文件应当明确以下内容：</w:t>
      </w:r>
    </w:p>
    <w:p w14:paraId="1707701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（一）预留份额的采购项目或者采购包，明确该项目或相关采购包专门面向中小企业采购，以及相关标的及预算金额；</w:t>
      </w:r>
    </w:p>
    <w:p w14:paraId="0C98B5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（二）要求以联合体形式参加或者合同分包的，明确联合协议或者分包意向协议中中小企业合同金额应当达到的比例，并作为</w:t>
      </w:r>
      <w:r>
        <w:rPr>
          <w:rFonts w:hint="eastAsia" w:ascii="宋体" w:hAnsi="宋体" w:cs="宋体"/>
          <w:color w:val="000000"/>
          <w:highlight w:val="none"/>
          <w:lang w:eastAsia="zh-CN"/>
        </w:rPr>
        <w:t>投标人</w:t>
      </w:r>
      <w:r>
        <w:rPr>
          <w:rFonts w:hint="eastAsia" w:ascii="宋体" w:hAnsi="宋体" w:cs="宋体"/>
          <w:color w:val="000000"/>
          <w:highlight w:val="none"/>
        </w:rPr>
        <w:t>资格条件；</w:t>
      </w:r>
    </w:p>
    <w:p w14:paraId="24926BF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（三）非预留份额的采购项目或者采购包，明确有关价格扣除比例或者价格分加分比例；</w:t>
      </w:r>
    </w:p>
    <w:p w14:paraId="65613D4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（四）规定依据本办法规定享受扶持政策获得政府采购合同的，小微企业不得将合同分包给大中型企业，中型企业不得将合同分包给大型企业；</w:t>
      </w:r>
    </w:p>
    <w:p w14:paraId="5F5656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（五）采购人认为具备相关条件的，明确对中小企业在资金支付期限、预付款比例等方面的优惠措施；</w:t>
      </w:r>
    </w:p>
    <w:p w14:paraId="4B0ECB5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（六）明确采购标的对应的中小企业划分标准所属行业；</w:t>
      </w:r>
    </w:p>
    <w:p w14:paraId="39A356E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（七）法律法规和省级以上人民政府财政部门规定的其他事项。</w:t>
      </w:r>
    </w:p>
    <w:p w14:paraId="7CAE2E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第十三条</w:t>
      </w:r>
    </w:p>
    <w:p w14:paraId="02ADA71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中标、成交</w:t>
      </w:r>
      <w:r>
        <w:rPr>
          <w:rFonts w:hint="eastAsia" w:ascii="宋体" w:hAnsi="宋体" w:cs="宋体"/>
          <w:color w:val="000000"/>
          <w:highlight w:val="none"/>
          <w:lang w:eastAsia="zh-CN"/>
        </w:rPr>
        <w:t>投标人</w:t>
      </w:r>
      <w:r>
        <w:rPr>
          <w:rFonts w:hint="eastAsia" w:ascii="宋体" w:hAnsi="宋体" w:cs="宋体"/>
          <w:color w:val="000000"/>
          <w:highlight w:val="none"/>
        </w:rPr>
        <w:t>享受本办法规定的中小企业扶持政策的，采购人、采购代理机构应当随中标、成交结果公开中标、成交</w:t>
      </w:r>
      <w:r>
        <w:rPr>
          <w:rFonts w:hint="eastAsia" w:ascii="宋体" w:hAnsi="宋体" w:cs="宋体"/>
          <w:color w:val="000000"/>
          <w:highlight w:val="none"/>
          <w:lang w:eastAsia="zh-CN"/>
        </w:rPr>
        <w:t>投标人</w:t>
      </w:r>
      <w:r>
        <w:rPr>
          <w:rFonts w:hint="eastAsia" w:ascii="宋体" w:hAnsi="宋体" w:cs="宋体"/>
          <w:color w:val="000000"/>
          <w:highlight w:val="none"/>
        </w:rPr>
        <w:t>的《中小企业声明函》。适用招标投标法的政府采购工程建设项目，应当在公示中标候选人时公开中标候选人的《中小企业声明函》。</w:t>
      </w:r>
    </w:p>
    <w:p w14:paraId="29B8436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第十四条</w:t>
      </w:r>
    </w:p>
    <w:p w14:paraId="2BF654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8BBB6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第十五条</w:t>
      </w:r>
    </w:p>
    <w:p w14:paraId="717BFA9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鼓励各地区、各部门在采购活动中允许中小企业引入信用担保手段，为中小企业在投标（响应）保证、履约保证等方面提供专业化服务。鼓励中小企业依法合规通过政府采购合同融资。</w:t>
      </w:r>
    </w:p>
    <w:p w14:paraId="6F4D55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第十六条</w:t>
      </w:r>
    </w:p>
    <w:p w14:paraId="1860D8D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政府采购监督检查、投诉处理及政府采购行政处罚中对中小企业的认定，由货物制造商或者工程、服务</w:t>
      </w:r>
      <w:r>
        <w:rPr>
          <w:rFonts w:hint="eastAsia" w:ascii="宋体" w:hAnsi="宋体" w:cs="宋体"/>
          <w:color w:val="000000"/>
          <w:highlight w:val="none"/>
          <w:lang w:eastAsia="zh-CN"/>
        </w:rPr>
        <w:t>投标人</w:t>
      </w:r>
      <w:r>
        <w:rPr>
          <w:rFonts w:hint="eastAsia" w:ascii="宋体" w:hAnsi="宋体" w:cs="宋体"/>
          <w:color w:val="000000"/>
          <w:highlight w:val="none"/>
        </w:rPr>
        <w:t>注册登记所在地的县级以上人民政府中小企业主管部门负责。中小企业主管部门应当在收到财政部门或者有关招标投标行政监督部门关于协助开展中小企业认定函后 10 个工作日内做出书面答复。</w:t>
      </w:r>
    </w:p>
    <w:p w14:paraId="3FE0B96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第十七条</w:t>
      </w:r>
    </w:p>
    <w:p w14:paraId="06D839C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DBC0A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第十八条</w:t>
      </w:r>
    </w:p>
    <w:p w14:paraId="2328F32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2A203C1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第十九条</w:t>
      </w:r>
    </w:p>
    <w:p w14:paraId="5FC2E957">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50DFA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第二十条</w:t>
      </w:r>
    </w:p>
    <w:p w14:paraId="02C28AC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按照本办法规定提供声明函内容不实的，属于弄虚作假骗取中标，依照《中华人民共和国招标投标法》等国家有关规定追究相应责任。</w:t>
      </w:r>
    </w:p>
    <w:p w14:paraId="53A2124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第二十一条</w:t>
      </w:r>
    </w:p>
    <w:p w14:paraId="17341CC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C4AB8F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有关规定追究相应责任；涉嫌犯罪的，依法移送有关国家机关处理。</w:t>
      </w:r>
    </w:p>
    <w:p w14:paraId="6BE211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第二十二条</w:t>
      </w:r>
    </w:p>
    <w:p w14:paraId="20245B9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对外援助项目、国家相关资格或者资质管理制度另有规定的项目，不适用本办法。</w:t>
      </w:r>
    </w:p>
    <w:p w14:paraId="1A27EF1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第二十三条</w:t>
      </w:r>
    </w:p>
    <w:p w14:paraId="2CECDFD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关于视同中小企业的其他主体的政府采购扶持政策，由财政部会同有关部门另行规定。</w:t>
      </w:r>
    </w:p>
    <w:p w14:paraId="028AB24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第二十四条</w:t>
      </w:r>
    </w:p>
    <w:p w14:paraId="45A5037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省级财政部门可以会同中小企业主管部门根据本办法的规定制定具体实施办法。</w:t>
      </w:r>
    </w:p>
    <w:p w14:paraId="7A90C4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第二十五条</w:t>
      </w:r>
    </w:p>
    <w:p w14:paraId="70C3B83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本办法自2021 年1月1日起施行。 财政部工业和信息化部关于印发〈政府采购促进中小企业发展暂行办法〉的通知》（财库﹝2011﹞181 号）同时废止。</w:t>
      </w:r>
    </w:p>
    <w:p w14:paraId="40A08751">
      <w:pPr>
        <w:keepNext w:val="0"/>
        <w:keepLines w:val="0"/>
        <w:widowControl/>
        <w:suppressLineNumbers w:val="0"/>
        <w:jc w:val="center"/>
        <w:rPr>
          <w:rFonts w:ascii="宋体" w:hAnsi="宋体" w:eastAsia="宋体" w:cs="宋体"/>
          <w:b/>
          <w:bCs/>
          <w:kern w:val="0"/>
          <w:sz w:val="28"/>
          <w:szCs w:val="28"/>
          <w:lang w:val="en-US" w:eastAsia="zh-CN" w:bidi="ar"/>
        </w:rPr>
      </w:pPr>
      <w:r>
        <w:rPr>
          <w:rFonts w:hint="eastAsia" w:ascii="宋体" w:hAnsi="宋体" w:cs="宋体"/>
          <w:color w:val="000000"/>
          <w:sz w:val="24"/>
          <w:highlight w:val="none"/>
        </w:rPr>
        <w:br w:type="page"/>
      </w:r>
      <w:r>
        <w:rPr>
          <w:rFonts w:ascii="宋体" w:hAnsi="宋体" w:eastAsia="宋体" w:cs="宋体"/>
          <w:b/>
          <w:bCs/>
          <w:kern w:val="0"/>
          <w:sz w:val="32"/>
          <w:szCs w:val="32"/>
          <w:lang w:val="en-US" w:eastAsia="zh-CN" w:bidi="ar"/>
        </w:rPr>
        <w:t>财政部司法部关于政府采购支持监狱企业发展有关问题的通知</w:t>
      </w:r>
    </w:p>
    <w:p w14:paraId="221ED8F0">
      <w:pPr>
        <w:keepNext w:val="0"/>
        <w:keepLines w:val="0"/>
        <w:widowControl/>
        <w:suppressLineNumbers w:val="0"/>
        <w:jc w:val="center"/>
        <w:rPr>
          <w:sz w:val="21"/>
          <w:szCs w:val="21"/>
        </w:rPr>
      </w:pPr>
      <w:r>
        <w:rPr>
          <w:rFonts w:ascii="宋体" w:hAnsi="宋体" w:eastAsia="宋体" w:cs="宋体"/>
          <w:b/>
          <w:bCs/>
          <w:kern w:val="0"/>
          <w:sz w:val="21"/>
          <w:szCs w:val="21"/>
          <w:lang w:val="en-US" w:eastAsia="zh-CN" w:bidi="ar"/>
        </w:rPr>
        <w:t>(财库〔2014〕68号)</w:t>
      </w:r>
    </w:p>
    <w:p w14:paraId="1CA2055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BA864E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D988334">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B7049A8">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07A75510">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93C8F66">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0ACDD8B">
      <w:pPr>
        <w:pStyle w:val="17"/>
        <w:keepNext w:val="0"/>
        <w:keepLines w:val="0"/>
        <w:widowControl/>
        <w:suppressLineNumbers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DE9FE70">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中华人民共和国财政部</w:t>
      </w:r>
    </w:p>
    <w:p w14:paraId="3204F2CD">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中华人民共和国司法部</w:t>
      </w:r>
    </w:p>
    <w:p w14:paraId="4048E152">
      <w:pPr>
        <w:snapToGrid w:val="0"/>
        <w:spacing w:line="360" w:lineRule="auto"/>
        <w:jc w:val="right"/>
        <w:rPr>
          <w:rFonts w:hint="eastAsia" w:ascii="宋体" w:cs="宋体"/>
          <w:b/>
          <w:bCs/>
          <w:color w:val="000000"/>
          <w:kern w:val="0"/>
          <w:highlight w:val="none"/>
        </w:rPr>
      </w:pPr>
      <w:r>
        <w:rPr>
          <w:rFonts w:hint="eastAsia" w:ascii="宋体" w:hAnsi="宋体" w:eastAsia="宋体" w:cs="宋体"/>
          <w:color w:val="auto"/>
          <w:sz w:val="21"/>
          <w:szCs w:val="21"/>
        </w:rPr>
        <w:t>2014年6月10日</w:t>
      </w:r>
      <w:r>
        <w:rPr>
          <w:rFonts w:hint="eastAsia" w:ascii="宋体" w:hAnsi="宋体" w:cs="宋体"/>
          <w:color w:val="000000"/>
          <w:sz w:val="20"/>
          <w:highlight w:val="none"/>
        </w:rPr>
        <w:br w:type="page"/>
      </w:r>
    </w:p>
    <w:p w14:paraId="0CEE2CA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《统计上大中小微型企业划分办法（2017）》修订说明</w:t>
      </w:r>
    </w:p>
    <w:p w14:paraId="30939F1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301303C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A6A98A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009A6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301BE2C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F5E1F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68C2A493">
      <w:pPr>
        <w:spacing w:line="360" w:lineRule="auto"/>
        <w:ind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仓储业所包括的行业中类，根据《国民经济行业分类》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29D483F7">
      <w:pPr>
        <w:spacing w:line="360" w:lineRule="auto"/>
        <w:jc w:val="center"/>
        <w:rPr>
          <w:rFonts w:hint="eastAsia" w:ascii="宋体" w:hAnsi="Courier New" w:eastAsia="黑体" w:cs="Century"/>
          <w:b/>
          <w:bCs/>
          <w:color w:val="auto"/>
          <w:sz w:val="36"/>
          <w:szCs w:val="36"/>
          <w:highlight w:val="none"/>
          <w:lang w:val="zh-CN"/>
        </w:rPr>
      </w:pPr>
    </w:p>
    <w:p w14:paraId="1DD494B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5F2E7EE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27924AC4">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6237AF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7C7A22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《中小企业划型标准规定（修订征求意见稿）》</w:t>
      </w:r>
    </w:p>
    <w:p w14:paraId="23D06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p>
    <w:p w14:paraId="435BB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5D290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情况，结合行业特点制定。</w:t>
      </w:r>
    </w:p>
    <w:p w14:paraId="70C26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787C50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1B97BE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430B9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（二）工业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采矿业，制造业，电力、热力、燃气及水生产和供应业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E5A7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117B3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1F4D2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的为小型企业；从业人员300人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2983B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2BBB8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的为中小微型企业。其中：从业人员10人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的为微型企业；从业人员100人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4F54C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BB6A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6E069C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、企业规模类型划分以企业有关指标上年度数据为定量依据。</w:t>
      </w:r>
    </w:p>
    <w:p w14:paraId="78630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w:t>
      </w:r>
    </w:p>
    <w:p w14:paraId="5DA9A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营业收入（年）=企业实际存续期间营业收入/企业实际存续月数*12。</w:t>
      </w:r>
    </w:p>
    <w:p w14:paraId="3F579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、不符合中小企业划型定量标准的企业即为大型企业。国家统计部门据此制定大中小微型企业的统计分类。</w:t>
      </w:r>
    </w:p>
    <w:p w14:paraId="1FA09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、本规定适用于在中华人民共和国境内依法设立的企业，企业的分支机构除外。</w:t>
      </w:r>
    </w:p>
    <w:p w14:paraId="0D0AC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4C208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单个</w:t>
      </w:r>
      <w:r>
        <w:rPr>
          <w:rFonts w:hint="eastAsia" w:ascii="宋体" w:hAnsi="宋体" w:eastAsia="宋体" w:cs="宋体"/>
          <w:sz w:val="21"/>
          <w:szCs w:val="21"/>
          <w:highlight w:val="none"/>
        </w:rPr>
        <w:t>大型企业或大型企业全资子公司直接控股超过50%的企业；</w:t>
      </w:r>
    </w:p>
    <w:p w14:paraId="7CF23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两个以上</w:t>
      </w:r>
      <w:r>
        <w:rPr>
          <w:rFonts w:hint="eastAsia" w:ascii="宋体" w:hAnsi="宋体" w:eastAsia="宋体" w:cs="宋体"/>
          <w:sz w:val="21"/>
          <w:szCs w:val="21"/>
          <w:highlight w:val="none"/>
        </w:rPr>
        <w:t>大型企业或大型企业全资子公司直接控股超过50%的企业；</w:t>
      </w:r>
    </w:p>
    <w:p w14:paraId="329EC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）与大型企业或大型企业全资子公司的法定代表人为同一人的企业。</w:t>
      </w:r>
    </w:p>
    <w:p w14:paraId="55742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、企业规模类型采用自我声明的方式，企业对自我声明内容的真实性负责。</w:t>
      </w:r>
    </w:p>
    <w:p w14:paraId="760E8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34DDA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6E2B0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18D33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58506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6956D5AA">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sz w:val="21"/>
          <w:szCs w:val="21"/>
          <w:highlight w:val="none"/>
          <w:lang w:val="en-US" w:eastAsia="zh-CN"/>
        </w:rPr>
      </w:pPr>
    </w:p>
    <w:p w14:paraId="007A19C9">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关于《中小企业划型标准规定</w:t>
      </w:r>
      <w:r>
        <w:rPr>
          <w:rFonts w:hint="eastAsia" w:ascii="宋体" w:hAnsi="宋体" w:eastAsia="宋体" w:cs="宋体"/>
          <w:b/>
          <w:bCs/>
          <w:sz w:val="32"/>
          <w:szCs w:val="32"/>
          <w:highlight w:val="none"/>
          <w:lang w:eastAsia="zh-CN"/>
        </w:rPr>
        <w:t>》修订情况的说明</w:t>
      </w:r>
    </w:p>
    <w:p w14:paraId="442EFD36">
      <w:pPr>
        <w:keepNext w:val="0"/>
        <w:keepLines w:val="0"/>
        <w:pageBreakBefore w:val="0"/>
        <w:widowControl w:val="0"/>
        <w:kinsoku/>
        <w:wordWrap/>
        <w:overflowPunct/>
        <w:topLinePunct w:val="0"/>
        <w:autoSpaceDE/>
        <w:autoSpaceDN/>
        <w:bidi w:val="0"/>
        <w:adjustRightInd/>
        <w:snapToGrid/>
        <w:spacing w:line="360" w:lineRule="auto"/>
        <w:ind w:right="-334" w:rightChars="-159"/>
        <w:jc w:val="left"/>
        <w:textAlignment w:val="auto"/>
        <w:outlineLvl w:val="9"/>
        <w:rPr>
          <w:rFonts w:hint="eastAsia" w:ascii="宋体" w:hAnsi="宋体" w:eastAsia="宋体" w:cs="宋体"/>
          <w:sz w:val="21"/>
          <w:szCs w:val="21"/>
          <w:highlight w:val="none"/>
          <w:lang w:val="en-US" w:eastAsia="zh-CN"/>
        </w:rPr>
      </w:pPr>
    </w:p>
    <w:p w14:paraId="3E2ADA7C">
      <w:pPr>
        <w:pStyle w:val="8"/>
        <w:spacing w:beforeLines="0" w:afterLines="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一、修订背景</w:t>
      </w:r>
    </w:p>
    <w:p w14:paraId="28FBC76E">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现行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中小企业划型标准</w:t>
      </w:r>
      <w:r>
        <w:rPr>
          <w:rFonts w:hint="eastAsia" w:ascii="宋体" w:hAnsi="宋体" w:eastAsia="宋体" w:cs="宋体"/>
          <w:sz w:val="21"/>
          <w:szCs w:val="21"/>
          <w:highlight w:val="none"/>
          <w:lang w:eastAsia="zh-CN"/>
        </w:rPr>
        <w:t>规定》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工信部联企业〔</w:t>
      </w:r>
      <w:r>
        <w:rPr>
          <w:rFonts w:hint="eastAsia" w:ascii="宋体" w:hAnsi="宋体" w:eastAsia="宋体" w:cs="宋体"/>
          <w:sz w:val="21"/>
          <w:szCs w:val="21"/>
          <w:highlight w:val="none"/>
          <w:lang w:val="en-US" w:eastAsia="zh-CN"/>
        </w:rPr>
        <w:t>2011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300号，</w:t>
      </w:r>
      <w:r>
        <w:rPr>
          <w:rFonts w:hint="eastAsia" w:ascii="宋体" w:hAnsi="宋体" w:eastAsia="宋体" w:cs="宋体"/>
          <w:sz w:val="21"/>
          <w:szCs w:val="21"/>
          <w:highlight w:val="none"/>
        </w:rPr>
        <w:t>以下简称《划型标准》）是经国务院同意，由工业和信息化部、</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统计局、</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发展</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改革</w:t>
      </w:r>
      <w:r>
        <w:rPr>
          <w:rFonts w:hint="eastAsia" w:ascii="宋体" w:hAnsi="宋体" w:eastAsia="宋体" w:cs="宋体"/>
          <w:sz w:val="21"/>
          <w:szCs w:val="21"/>
          <w:highlight w:val="none"/>
          <w:lang w:eastAsia="zh-CN"/>
        </w:rPr>
        <w:t>委员会</w:t>
      </w:r>
      <w:r>
        <w:rPr>
          <w:rFonts w:hint="eastAsia" w:ascii="宋体" w:hAnsi="宋体" w:eastAsia="宋体" w:cs="宋体"/>
          <w:sz w:val="21"/>
          <w:szCs w:val="21"/>
          <w:highlight w:val="none"/>
        </w:rPr>
        <w:t>、财政部于2011年6月发布的。《划型标准》</w:t>
      </w:r>
      <w:r>
        <w:rPr>
          <w:rFonts w:hint="eastAsia" w:ascii="宋体" w:hAnsi="宋体" w:eastAsia="宋体" w:cs="宋体"/>
          <w:sz w:val="21"/>
          <w:szCs w:val="21"/>
          <w:highlight w:val="none"/>
          <w:lang w:eastAsia="zh-CN"/>
        </w:rPr>
        <w:t>作为促进中小企业发展政策实施和国民经济统计分类的基础依据，发布十年来，得到了较好地执行，</w:t>
      </w:r>
      <w:r>
        <w:rPr>
          <w:rFonts w:hint="eastAsia" w:ascii="宋体" w:hAnsi="宋体" w:eastAsia="宋体" w:cs="宋体"/>
          <w:sz w:val="21"/>
          <w:szCs w:val="21"/>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sz w:val="21"/>
          <w:szCs w:val="21"/>
          <w:highlight w:val="none"/>
          <w:lang w:val="en-US" w:eastAsia="zh-CN"/>
        </w:rPr>
        <w:t>一是</w:t>
      </w:r>
      <w:r>
        <w:rPr>
          <w:rFonts w:hint="eastAsia" w:ascii="宋体" w:hAnsi="宋体" w:eastAsia="宋体" w:cs="宋体"/>
          <w:b w:val="0"/>
          <w:bCs w:val="0"/>
          <w:sz w:val="21"/>
          <w:szCs w:val="21"/>
          <w:highlight w:val="none"/>
        </w:rPr>
        <w:t>部分中小企业规模过大</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sz w:val="21"/>
          <w:szCs w:val="21"/>
          <w:highlight w:val="none"/>
          <w:lang w:val="en-US" w:eastAsia="zh-CN"/>
        </w:rPr>
        <w:t>二是</w:t>
      </w:r>
      <w:r>
        <w:rPr>
          <w:rFonts w:hint="eastAsia" w:ascii="宋体" w:hAnsi="宋体" w:eastAsia="宋体" w:cs="宋体"/>
          <w:b w:val="0"/>
          <w:bCs w:val="0"/>
          <w:sz w:val="21"/>
          <w:szCs w:val="21"/>
          <w:highlight w:val="none"/>
        </w:rPr>
        <w:t>行业分类复杂繁琐</w:t>
      </w:r>
      <w:r>
        <w:rPr>
          <w:rFonts w:hint="eastAsia" w:ascii="宋体" w:hAnsi="宋体" w:eastAsia="宋体" w:cs="宋体"/>
          <w:b w:val="0"/>
          <w:bCs w:val="0"/>
          <w:sz w:val="21"/>
          <w:szCs w:val="21"/>
          <w:highlight w:val="none"/>
          <w:lang w:eastAsia="zh-CN"/>
        </w:rPr>
        <w:t>，且未覆盖</w:t>
      </w:r>
      <w:r>
        <w:rPr>
          <w:rFonts w:hint="eastAsia" w:ascii="宋体" w:hAnsi="宋体" w:eastAsia="宋体" w:cs="宋体"/>
          <w:sz w:val="21"/>
          <w:szCs w:val="21"/>
          <w:highlight w:val="none"/>
        </w:rPr>
        <w:t>“教育”门类和“卫生”大类</w:t>
      </w:r>
      <w:r>
        <w:rPr>
          <w:rFonts w:hint="eastAsia" w:ascii="宋体" w:hAnsi="宋体" w:eastAsia="宋体" w:cs="宋体"/>
          <w:b w:val="0"/>
          <w:bCs w:val="0"/>
          <w:sz w:val="21"/>
          <w:szCs w:val="21"/>
          <w:highlight w:val="none"/>
          <w:lang w:eastAsia="zh-CN"/>
        </w:rPr>
        <w:t>。</w:t>
      </w:r>
      <w:bookmarkStart w:id="14" w:name="_Toc534726769"/>
      <w:bookmarkStart w:id="15" w:name="_Toc536690535"/>
      <w:bookmarkStart w:id="16" w:name="_Toc534744176"/>
      <w:r>
        <w:rPr>
          <w:rFonts w:hint="eastAsia" w:ascii="宋体" w:hAnsi="宋体" w:eastAsia="宋体" w:cs="宋体"/>
          <w:b w:val="0"/>
          <w:bCs w:val="0"/>
          <w:sz w:val="21"/>
          <w:szCs w:val="21"/>
          <w:highlight w:val="none"/>
          <w:lang w:val="en-US" w:eastAsia="zh-CN"/>
        </w:rPr>
        <w:t>三是</w:t>
      </w:r>
      <w:r>
        <w:rPr>
          <w:rFonts w:hint="eastAsia" w:ascii="宋体" w:hAnsi="宋体" w:eastAsia="宋体" w:cs="宋体"/>
          <w:b w:val="0"/>
          <w:bCs w:val="0"/>
          <w:sz w:val="21"/>
          <w:szCs w:val="21"/>
          <w:highlight w:val="none"/>
        </w:rPr>
        <w:t>定性标准缺位</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部分行业划型指标不适合行业大多数企业经营特征</w:t>
      </w:r>
      <w:r>
        <w:rPr>
          <w:rFonts w:hint="eastAsia" w:ascii="宋体" w:hAnsi="宋体" w:eastAsia="宋体" w:cs="宋体"/>
          <w:b w:val="0"/>
          <w:bCs w:val="0"/>
          <w:sz w:val="21"/>
          <w:szCs w:val="21"/>
          <w:highlight w:val="none"/>
          <w:lang w:eastAsia="zh-CN"/>
        </w:rPr>
        <w:t>。五是</w:t>
      </w:r>
      <w:r>
        <w:rPr>
          <w:rFonts w:hint="eastAsia" w:ascii="宋体" w:hAnsi="宋体" w:eastAsia="宋体" w:cs="宋体"/>
          <w:b w:val="0"/>
          <w:bCs w:val="0"/>
          <w:sz w:val="21"/>
          <w:szCs w:val="21"/>
          <w:highlight w:val="none"/>
        </w:rPr>
        <w:t>定量标准需随劳动生产率提高</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进行调整</w:t>
      </w:r>
      <w:r>
        <w:rPr>
          <w:rFonts w:hint="eastAsia" w:ascii="宋体" w:hAnsi="宋体" w:eastAsia="宋体" w:cs="宋体"/>
          <w:b w:val="0"/>
          <w:bCs w:val="0"/>
          <w:sz w:val="21"/>
          <w:szCs w:val="21"/>
          <w:highlight w:val="none"/>
          <w:lang w:eastAsia="zh-CN"/>
        </w:rPr>
        <w:t>。</w:t>
      </w:r>
    </w:p>
    <w:bookmarkEnd w:id="14"/>
    <w:bookmarkEnd w:id="15"/>
    <w:bookmarkEnd w:id="16"/>
    <w:p w14:paraId="4A627E54">
      <w:pPr>
        <w:spacing w:beforeLines="0" w:afterLines="0" w:line="360" w:lineRule="auto"/>
        <w:ind w:firstLine="420" w:firstLineChars="200"/>
        <w:outlineLvl w:val="9"/>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二、修订的原则</w:t>
      </w:r>
    </w:p>
    <w:p w14:paraId="18F0D526">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一</w:t>
      </w:r>
      <w:r>
        <w:rPr>
          <w:rFonts w:hint="eastAsia" w:ascii="宋体" w:hAnsi="宋体" w:eastAsia="宋体" w:cs="宋体"/>
          <w:b w:val="0"/>
          <w:bCs w:val="0"/>
          <w:sz w:val="21"/>
          <w:szCs w:val="21"/>
          <w:highlight w:val="none"/>
        </w:rPr>
        <w:t>是坚持问题导向。</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eastAsia="zh-CN"/>
        </w:rPr>
        <w:t>《划型标准》</w:t>
      </w:r>
      <w:r>
        <w:rPr>
          <w:rFonts w:hint="eastAsia" w:ascii="宋体" w:hAnsi="宋体" w:eastAsia="宋体" w:cs="宋体"/>
          <w:sz w:val="21"/>
          <w:szCs w:val="21"/>
          <w:highlight w:val="none"/>
        </w:rPr>
        <w:t>执行中存在的问题，提出解决的方法和路径</w:t>
      </w:r>
      <w:r>
        <w:rPr>
          <w:rFonts w:hint="eastAsia" w:ascii="宋体" w:hAnsi="宋体" w:eastAsia="宋体" w:cs="宋体"/>
          <w:sz w:val="21"/>
          <w:szCs w:val="21"/>
          <w:highlight w:val="none"/>
          <w:lang w:eastAsia="zh-CN"/>
        </w:rPr>
        <w:t>。</w:t>
      </w:r>
    </w:p>
    <w:p w14:paraId="327D4334">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是综合现实发展需要和历史衔接。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划型标准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修订既要适应国</w:t>
      </w:r>
      <w:r>
        <w:rPr>
          <w:rFonts w:hint="eastAsia" w:ascii="宋体" w:hAnsi="宋体" w:eastAsia="宋体" w:cs="宋体"/>
          <w:sz w:val="21"/>
          <w:szCs w:val="21"/>
          <w:highlight w:val="none"/>
          <w:lang w:eastAsia="zh-CN"/>
        </w:rPr>
        <w:t>民</w:t>
      </w:r>
      <w:r>
        <w:rPr>
          <w:rFonts w:hint="eastAsia" w:ascii="宋体" w:hAnsi="宋体" w:eastAsia="宋体" w:cs="宋体"/>
          <w:sz w:val="21"/>
          <w:szCs w:val="21"/>
          <w:highlight w:val="none"/>
        </w:rPr>
        <w:t>经济和促进中小企业发展需要，又要保持相对的稳定性和连续性</w:t>
      </w:r>
      <w:r>
        <w:rPr>
          <w:rFonts w:hint="eastAsia" w:ascii="宋体" w:hAnsi="宋体" w:eastAsia="宋体" w:cs="宋体"/>
          <w:sz w:val="21"/>
          <w:szCs w:val="21"/>
          <w:highlight w:val="none"/>
          <w:lang w:eastAsia="zh-CN"/>
        </w:rPr>
        <w:t>。</w:t>
      </w:r>
    </w:p>
    <w:p w14:paraId="6B69B8D5">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三是注重与国际一般标准的可比性。</w:t>
      </w:r>
      <w:r>
        <w:rPr>
          <w:rFonts w:hint="eastAsia" w:ascii="宋体" w:hAnsi="宋体" w:eastAsia="宋体" w:cs="宋体"/>
          <w:sz w:val="21"/>
          <w:szCs w:val="21"/>
          <w:highlight w:val="none"/>
        </w:rPr>
        <w:t>借鉴国际经验，结合我国实际</w:t>
      </w:r>
      <w:r>
        <w:rPr>
          <w:rFonts w:hint="eastAsia" w:ascii="宋体" w:hAnsi="宋体" w:eastAsia="宋体" w:cs="宋体"/>
          <w:sz w:val="21"/>
          <w:szCs w:val="21"/>
          <w:highlight w:val="none"/>
          <w:lang w:eastAsia="zh-CN"/>
        </w:rPr>
        <w:t>确定各行业划型指标及标准</w:t>
      </w:r>
      <w:r>
        <w:rPr>
          <w:rFonts w:hint="eastAsia" w:ascii="宋体" w:hAnsi="宋体" w:eastAsia="宋体" w:cs="宋体"/>
          <w:sz w:val="21"/>
          <w:szCs w:val="21"/>
          <w:highlight w:val="none"/>
        </w:rPr>
        <w:t>，为中小企业发展国际比较提供参照</w:t>
      </w:r>
      <w:r>
        <w:rPr>
          <w:rFonts w:hint="eastAsia" w:ascii="宋体" w:hAnsi="宋体" w:eastAsia="宋体" w:cs="宋体"/>
          <w:sz w:val="21"/>
          <w:szCs w:val="21"/>
          <w:highlight w:val="none"/>
          <w:lang w:eastAsia="zh-CN"/>
        </w:rPr>
        <w:t>。</w:t>
      </w:r>
    </w:p>
    <w:p w14:paraId="19E9C730">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四是注重简单易行，便于操作。</w:t>
      </w:r>
      <w:r>
        <w:rPr>
          <w:rFonts w:hint="eastAsia" w:ascii="宋体" w:hAnsi="宋体" w:eastAsia="宋体" w:cs="宋体"/>
          <w:sz w:val="21"/>
          <w:szCs w:val="21"/>
          <w:highlight w:val="none"/>
        </w:rPr>
        <w:t>从实际出发，</w:t>
      </w:r>
      <w:r>
        <w:rPr>
          <w:rFonts w:hint="eastAsia" w:ascii="宋体" w:hAnsi="宋体" w:eastAsia="宋体" w:cs="宋体"/>
          <w:sz w:val="21"/>
          <w:szCs w:val="21"/>
          <w:highlight w:val="none"/>
          <w:lang w:eastAsia="zh-CN"/>
        </w:rPr>
        <w:t>注重</w:t>
      </w:r>
      <w:r>
        <w:rPr>
          <w:rFonts w:hint="eastAsia" w:ascii="宋体" w:hAnsi="宋体" w:eastAsia="宋体" w:cs="宋体"/>
          <w:sz w:val="21"/>
          <w:szCs w:val="21"/>
          <w:highlight w:val="none"/>
        </w:rPr>
        <w:t>易于理解、识别和执行。</w:t>
      </w:r>
    </w:p>
    <w:p w14:paraId="4D5BC7B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三、修订的主要内容</w:t>
      </w:r>
    </w:p>
    <w:p w14:paraId="289D68D8">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关于行业分类的修订</w:t>
      </w:r>
    </w:p>
    <w:p w14:paraId="68E8FCBD">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部分行业分类保持不变</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包括农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渔业，工业，建筑业，批发业，零售业</w:t>
      </w:r>
      <w:r>
        <w:rPr>
          <w:rFonts w:hint="eastAsia" w:ascii="宋体" w:hAnsi="宋体" w:eastAsia="宋体" w:cs="宋体"/>
          <w:sz w:val="21"/>
          <w:szCs w:val="21"/>
          <w:highlight w:val="none"/>
          <w:lang w:eastAsia="zh-CN"/>
        </w:rPr>
        <w:t>，房地产开发经营业等（涉及企业数量约占</w:t>
      </w:r>
      <w:r>
        <w:rPr>
          <w:rFonts w:hint="eastAsia" w:ascii="宋体" w:hAnsi="宋体" w:eastAsia="宋体" w:cs="宋体"/>
          <w:sz w:val="21"/>
          <w:szCs w:val="21"/>
          <w:highlight w:val="none"/>
          <w:lang w:val="en-US" w:eastAsia="zh-CN"/>
        </w:rPr>
        <w:t>60%）。</w:t>
      </w:r>
    </w:p>
    <w:p w14:paraId="58D335AD">
      <w:pPr>
        <w:spacing w:beforeLines="0" w:afterLines="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二是</w:t>
      </w:r>
      <w:r>
        <w:rPr>
          <w:rFonts w:hint="eastAsia" w:ascii="宋体" w:hAnsi="宋体" w:eastAsia="宋体" w:cs="宋体"/>
          <w:b w:val="0"/>
          <w:bCs w:val="0"/>
          <w:sz w:val="21"/>
          <w:szCs w:val="21"/>
          <w:highlight w:val="none"/>
        </w:rPr>
        <w:t>以门类为基础调整简并行业分类。</w:t>
      </w:r>
      <w:r>
        <w:rPr>
          <w:rFonts w:hint="eastAsia" w:ascii="宋体" w:hAnsi="宋体" w:eastAsia="宋体" w:cs="宋体"/>
          <w:b w:val="0"/>
          <w:bCs w:val="0"/>
          <w:sz w:val="21"/>
          <w:szCs w:val="21"/>
          <w:highlight w:val="none"/>
          <w:lang w:eastAsia="zh-CN"/>
        </w:rPr>
        <w:t>如</w:t>
      </w:r>
      <w:r>
        <w:rPr>
          <w:rFonts w:hint="eastAsia" w:ascii="宋体" w:hAnsi="宋体" w:eastAsia="宋体" w:cs="宋体"/>
          <w:sz w:val="21"/>
          <w:szCs w:val="21"/>
          <w:highlight w:val="none"/>
        </w:rPr>
        <w:t>将住宿业、餐饮业合并，按“住宿和餐饮业”门类统一划型</w:t>
      </w:r>
      <w:r>
        <w:rPr>
          <w:rFonts w:hint="eastAsia" w:ascii="宋体" w:hAnsi="宋体" w:eastAsia="宋体" w:cs="宋体"/>
          <w:sz w:val="21"/>
          <w:szCs w:val="21"/>
          <w:highlight w:val="none"/>
          <w:lang w:eastAsia="zh-CN"/>
        </w:rPr>
        <w:t>；将信息传输业、软件和信息技术服务业合并，按“信息传输、软件和信息技术服务业”门类统一划型；</w:t>
      </w:r>
      <w:r>
        <w:rPr>
          <w:rFonts w:hint="eastAsia" w:ascii="宋体" w:hAnsi="宋体" w:eastAsia="宋体" w:cs="宋体"/>
          <w:b w:val="0"/>
          <w:sz w:val="21"/>
          <w:szCs w:val="21"/>
          <w:highlight w:val="none"/>
        </w:rPr>
        <w:t>将交通运输业、仓储业、邮政业合并，按“交通运输、仓储和邮政业”门类</w:t>
      </w:r>
      <w:r>
        <w:rPr>
          <w:rFonts w:hint="eastAsia" w:ascii="宋体" w:hAnsi="宋体" w:eastAsia="宋体" w:cs="宋体"/>
          <w:b w:val="0"/>
          <w:sz w:val="21"/>
          <w:szCs w:val="21"/>
          <w:highlight w:val="none"/>
          <w:lang w:eastAsia="zh-CN"/>
        </w:rPr>
        <w:t>与工业统一划型。</w:t>
      </w:r>
    </w:p>
    <w:p w14:paraId="17D3BAEE">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三是</w:t>
      </w:r>
      <w:r>
        <w:rPr>
          <w:rFonts w:hint="eastAsia" w:ascii="宋体" w:hAnsi="宋体" w:eastAsia="宋体" w:cs="宋体"/>
          <w:b w:val="0"/>
          <w:bCs w:val="0"/>
          <w:sz w:val="21"/>
          <w:szCs w:val="21"/>
          <w:highlight w:val="none"/>
        </w:rPr>
        <w:t>增加《划型标准》尚未覆盖的行业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如“教育”门类和“卫生”大类。</w:t>
      </w:r>
    </w:p>
    <w:p w14:paraId="4E670AFC">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四是</w:t>
      </w:r>
      <w:r>
        <w:rPr>
          <w:rFonts w:hint="eastAsia" w:ascii="宋体" w:hAnsi="宋体" w:eastAsia="宋体" w:cs="宋体"/>
          <w:b w:val="0"/>
          <w:bCs w:val="0"/>
          <w:sz w:val="21"/>
          <w:szCs w:val="21"/>
          <w:highlight w:val="none"/>
        </w:rPr>
        <w:t>行业性质或特征相近的行业</w:t>
      </w:r>
      <w:r>
        <w:rPr>
          <w:rFonts w:hint="eastAsia" w:ascii="宋体" w:hAnsi="宋体" w:eastAsia="宋体" w:cs="宋体"/>
          <w:b w:val="0"/>
          <w:bCs w:val="0"/>
          <w:sz w:val="21"/>
          <w:szCs w:val="21"/>
          <w:highlight w:val="none"/>
          <w:lang w:eastAsia="zh-CN"/>
        </w:rPr>
        <w:t>归并</w:t>
      </w:r>
      <w:r>
        <w:rPr>
          <w:rFonts w:hint="eastAsia" w:ascii="宋体" w:hAnsi="宋体" w:eastAsia="宋体" w:cs="宋体"/>
          <w:b w:val="0"/>
          <w:bCs w:val="0"/>
          <w:sz w:val="21"/>
          <w:szCs w:val="21"/>
          <w:highlight w:val="none"/>
        </w:rPr>
        <w:t>划型。</w:t>
      </w:r>
      <w:r>
        <w:rPr>
          <w:rFonts w:hint="eastAsia" w:ascii="宋体" w:hAnsi="宋体" w:eastAsia="宋体" w:cs="宋体"/>
          <w:sz w:val="21"/>
          <w:szCs w:val="21"/>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新增的教育、卫生等八个行业门类归并统一划型。</w:t>
      </w:r>
    </w:p>
    <w:p w14:paraId="67D2B1FD">
      <w:pPr>
        <w:spacing w:beforeLines="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五是</w:t>
      </w:r>
      <w:r>
        <w:rPr>
          <w:rFonts w:hint="eastAsia" w:ascii="宋体" w:hAnsi="宋体" w:eastAsia="宋体" w:cs="宋体"/>
          <w:b w:val="0"/>
          <w:bCs w:val="0"/>
          <w:color w:val="auto"/>
          <w:sz w:val="21"/>
          <w:szCs w:val="21"/>
          <w:highlight w:val="none"/>
          <w:lang w:eastAsia="zh-CN"/>
        </w:rPr>
        <w:t>将</w:t>
      </w:r>
      <w:r>
        <w:rPr>
          <w:rFonts w:hint="eastAsia" w:ascii="宋体" w:hAnsi="宋体" w:eastAsia="宋体" w:cs="宋体"/>
          <w:b w:val="0"/>
          <w:bCs w:val="0"/>
          <w:color w:val="auto"/>
          <w:sz w:val="21"/>
          <w:szCs w:val="21"/>
          <w:highlight w:val="none"/>
        </w:rPr>
        <w:t>不属于中小企业</w:t>
      </w:r>
      <w:r>
        <w:rPr>
          <w:rFonts w:hint="eastAsia" w:ascii="宋体" w:hAnsi="宋体" w:eastAsia="宋体" w:cs="宋体"/>
          <w:b w:val="0"/>
          <w:bCs w:val="0"/>
          <w:color w:val="auto"/>
          <w:sz w:val="21"/>
          <w:szCs w:val="21"/>
          <w:highlight w:val="none"/>
          <w:lang w:eastAsia="zh-CN"/>
        </w:rPr>
        <w:t>扶持重点领域</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组织管理服务</w:t>
      </w:r>
      <w:r>
        <w:rPr>
          <w:rFonts w:hint="eastAsia" w:ascii="宋体" w:hAnsi="宋体" w:eastAsia="宋体" w:cs="宋体"/>
          <w:b w:val="0"/>
          <w:bCs w:val="0"/>
          <w:color w:val="auto"/>
          <w:sz w:val="21"/>
          <w:szCs w:val="21"/>
          <w:highlight w:val="none"/>
          <w:lang w:eastAsia="zh-CN"/>
        </w:rPr>
        <w:t>”（属于</w:t>
      </w:r>
      <w:r>
        <w:rPr>
          <w:rFonts w:hint="eastAsia" w:ascii="宋体" w:hAnsi="宋体" w:eastAsia="宋体" w:cs="宋体"/>
          <w:b w:val="0"/>
          <w:bCs w:val="0"/>
          <w:strike w:val="0"/>
          <w:dstrike w:val="0"/>
          <w:color w:val="auto"/>
          <w:sz w:val="21"/>
          <w:szCs w:val="21"/>
          <w:highlight w:val="none"/>
          <w:lang w:eastAsia="zh-CN"/>
        </w:rPr>
        <w:t>租赁和商务服务业门类，主要包括“企业总部管理”“投资与资产管理”“资源与产权交易服务”等</w:t>
      </w:r>
      <w:r>
        <w:rPr>
          <w:rFonts w:hint="eastAsia" w:ascii="宋体" w:hAnsi="宋体" w:eastAsia="宋体" w:cs="宋体"/>
          <w:color w:val="auto"/>
          <w:sz w:val="21"/>
          <w:szCs w:val="21"/>
          <w:highlight w:val="none"/>
          <w:lang w:eastAsia="zh-CN"/>
        </w:rPr>
        <w:t>资产密集型</w:t>
      </w:r>
      <w:r>
        <w:rPr>
          <w:rFonts w:hint="eastAsia" w:ascii="宋体" w:hAnsi="宋体" w:eastAsia="宋体" w:cs="宋体"/>
          <w:b w:val="0"/>
          <w:bCs w:val="0"/>
          <w:strike w:val="0"/>
          <w:dstrike w:val="0"/>
          <w:color w:val="auto"/>
          <w:sz w:val="21"/>
          <w:szCs w:val="21"/>
          <w:highlight w:val="none"/>
          <w:lang w:eastAsia="zh-CN"/>
        </w:rPr>
        <w:t>行业小类）</w:t>
      </w:r>
      <w:r>
        <w:rPr>
          <w:rFonts w:hint="eastAsia" w:ascii="宋体" w:hAnsi="宋体" w:eastAsia="宋体" w:cs="宋体"/>
          <w:color w:val="auto"/>
          <w:sz w:val="21"/>
          <w:szCs w:val="21"/>
          <w:highlight w:val="none"/>
          <w:lang w:eastAsia="zh-CN"/>
        </w:rPr>
        <w:t>采用建筑业指标划型，</w:t>
      </w:r>
      <w:r>
        <w:rPr>
          <w:rFonts w:hint="eastAsia" w:ascii="宋体" w:hAnsi="宋体" w:eastAsia="宋体" w:cs="宋体"/>
          <w:b w:val="0"/>
          <w:color w:val="auto"/>
          <w:sz w:val="21"/>
          <w:szCs w:val="21"/>
          <w:highlight w:val="none"/>
        </w:rPr>
        <w:t>降低其小微企业占比。</w:t>
      </w:r>
    </w:p>
    <w:p w14:paraId="7531B39C">
      <w:pPr>
        <w:spacing w:beforeLines="0" w:afterLines="0" w:line="360" w:lineRule="auto"/>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修订后，</w:t>
      </w:r>
      <w:r>
        <w:rPr>
          <w:rFonts w:hint="eastAsia" w:ascii="宋体" w:hAnsi="宋体" w:eastAsia="宋体" w:cs="宋体"/>
          <w:color w:val="auto"/>
          <w:sz w:val="21"/>
          <w:szCs w:val="21"/>
          <w:highlight w:val="none"/>
          <w:lang w:eastAsia="zh-CN"/>
        </w:rPr>
        <w:t>行业分类由原来的</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highlight w:val="none"/>
          <w:lang w:val="en-US" w:eastAsia="zh-CN"/>
        </w:rPr>
        <w:t>类减少为9</w:t>
      </w:r>
      <w:r>
        <w:rPr>
          <w:rFonts w:hint="eastAsia" w:ascii="宋体" w:hAnsi="宋体" w:eastAsia="宋体" w:cs="宋体"/>
          <w:sz w:val="21"/>
          <w:szCs w:val="21"/>
          <w:highlight w:val="none"/>
          <w:lang w:eastAsia="zh-CN"/>
        </w:rPr>
        <w:t>类，</w:t>
      </w:r>
      <w:r>
        <w:rPr>
          <w:rFonts w:hint="eastAsia" w:ascii="宋体" w:hAnsi="宋体" w:eastAsia="宋体" w:cs="宋体"/>
          <w:sz w:val="21"/>
          <w:szCs w:val="21"/>
          <w:highlight w:val="none"/>
        </w:rPr>
        <w:t>覆盖</w:t>
      </w:r>
      <w:r>
        <w:rPr>
          <w:rFonts w:hint="eastAsia" w:ascii="宋体" w:hAnsi="宋体" w:eastAsia="宋体" w:cs="宋体"/>
          <w:sz w:val="21"/>
          <w:szCs w:val="21"/>
          <w:highlight w:val="none"/>
          <w:lang w:eastAsia="zh-CN"/>
        </w:rPr>
        <w:t>《国民经济行业分类》（</w:t>
      </w:r>
      <w:r>
        <w:rPr>
          <w:rFonts w:hint="eastAsia" w:ascii="宋体" w:hAnsi="宋体" w:eastAsia="宋体" w:cs="宋体"/>
          <w:sz w:val="21"/>
          <w:szCs w:val="21"/>
          <w:highlight w:val="none"/>
          <w:lang w:val="en-US" w:eastAsia="zh-CN"/>
        </w:rPr>
        <w:t>GB/T 4754-2017）</w:t>
      </w:r>
      <w:r>
        <w:rPr>
          <w:rFonts w:hint="eastAsia" w:ascii="宋体" w:hAnsi="宋体" w:eastAsia="宋体" w:cs="宋体"/>
          <w:sz w:val="21"/>
          <w:szCs w:val="21"/>
          <w:highlight w:val="none"/>
          <w:lang w:eastAsia="zh-CN"/>
        </w:rPr>
        <w:t>除</w:t>
      </w:r>
      <w:r>
        <w:rPr>
          <w:rFonts w:hint="eastAsia" w:ascii="宋体" w:hAnsi="宋体" w:eastAsia="宋体" w:cs="宋体"/>
          <w:color w:val="auto"/>
          <w:sz w:val="21"/>
          <w:szCs w:val="21"/>
          <w:highlight w:val="none"/>
        </w:rPr>
        <w:t>金融业、公共管理和社会组织、国际组织</w:t>
      </w:r>
      <w:r>
        <w:rPr>
          <w:rFonts w:hint="eastAsia" w:ascii="宋体" w:hAnsi="宋体" w:eastAsia="宋体" w:cs="宋体"/>
          <w:color w:val="auto"/>
          <w:sz w:val="21"/>
          <w:szCs w:val="21"/>
          <w:highlight w:val="none"/>
          <w:lang w:eastAsia="zh-CN"/>
        </w:rPr>
        <w:t>三个门类之外的</w:t>
      </w:r>
      <w:r>
        <w:rPr>
          <w:rFonts w:hint="eastAsia" w:ascii="宋体" w:hAnsi="宋体" w:eastAsia="宋体" w:cs="宋体"/>
          <w:sz w:val="21"/>
          <w:szCs w:val="21"/>
          <w:highlight w:val="none"/>
          <w:lang w:eastAsia="zh-CN"/>
        </w:rPr>
        <w:t>所有</w:t>
      </w:r>
      <w:r>
        <w:rPr>
          <w:rFonts w:hint="eastAsia" w:ascii="宋体" w:hAnsi="宋体" w:eastAsia="宋体" w:cs="宋体"/>
          <w:sz w:val="21"/>
          <w:szCs w:val="21"/>
          <w:highlight w:val="none"/>
        </w:rPr>
        <w:t>行业企业。</w:t>
      </w:r>
    </w:p>
    <w:p w14:paraId="0BD28AD5">
      <w:pPr>
        <w:spacing w:beforeLines="0" w:afterLines="0" w:line="360" w:lineRule="auto"/>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（二）关于划型指标的修订</w:t>
      </w:r>
    </w:p>
    <w:p w14:paraId="6EC7A0A6">
      <w:pPr>
        <w:spacing w:beforeLines="0" w:afterLines="0" w:line="360" w:lineRule="auto"/>
        <w:ind w:firstLine="420" w:firstLineChars="200"/>
        <w:jc w:val="both"/>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各行业划型指标基本</w:t>
      </w:r>
      <w:r>
        <w:rPr>
          <w:rFonts w:hint="eastAsia" w:ascii="宋体" w:hAnsi="宋体" w:eastAsia="宋体" w:cs="宋体"/>
          <w:b w:val="0"/>
          <w:sz w:val="21"/>
          <w:szCs w:val="21"/>
          <w:highlight w:val="none"/>
        </w:rPr>
        <w:t>沿用</w:t>
      </w:r>
      <w:r>
        <w:rPr>
          <w:rFonts w:hint="eastAsia" w:ascii="宋体" w:hAnsi="宋体" w:eastAsia="宋体" w:cs="宋体"/>
          <w:b w:val="0"/>
          <w:sz w:val="21"/>
          <w:szCs w:val="21"/>
          <w:highlight w:val="none"/>
          <w:lang w:eastAsia="zh-CN"/>
        </w:rPr>
        <w:t>现行</w:t>
      </w:r>
      <w:r>
        <w:rPr>
          <w:rFonts w:hint="eastAsia" w:ascii="宋体" w:hAnsi="宋体" w:eastAsia="宋体" w:cs="宋体"/>
          <w:b w:val="0"/>
          <w:sz w:val="21"/>
          <w:szCs w:val="21"/>
          <w:highlight w:val="none"/>
        </w:rPr>
        <w:t>《划型标准》，</w:t>
      </w:r>
      <w:r>
        <w:rPr>
          <w:rFonts w:hint="eastAsia" w:ascii="宋体" w:hAnsi="宋体" w:eastAsia="宋体" w:cs="宋体"/>
          <w:b w:val="0"/>
          <w:sz w:val="21"/>
          <w:szCs w:val="21"/>
          <w:highlight w:val="none"/>
          <w:lang w:eastAsia="zh-CN"/>
        </w:rPr>
        <w:t>主要是采用从业人员和营业收入双指标划型，仅有农业采用营业收入、建筑业和组织管理服务采用营业收入和资产总额划型。</w:t>
      </w:r>
    </w:p>
    <w:p w14:paraId="5154ECC6">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关于双指标并集转交集的调整</w:t>
      </w:r>
    </w:p>
    <w:p w14:paraId="5637759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本次修订</w:t>
      </w:r>
      <w:r>
        <w:rPr>
          <w:rFonts w:hint="eastAsia" w:ascii="宋体" w:hAnsi="宋体" w:eastAsia="宋体" w:cs="宋体"/>
          <w:sz w:val="21"/>
          <w:szCs w:val="21"/>
          <w:highlight w:val="none"/>
          <w:lang w:eastAsia="zh-CN"/>
        </w:rPr>
        <w:t>借鉴欧盟</w:t>
      </w:r>
      <w:r>
        <w:rPr>
          <w:rFonts w:hint="eastAsia" w:ascii="宋体" w:hAnsi="宋体" w:eastAsia="宋体" w:cs="宋体"/>
          <w:sz w:val="21"/>
          <w:szCs w:val="21"/>
          <w:highlight w:val="none"/>
        </w:rPr>
        <w:t>双指标</w:t>
      </w:r>
      <w:r>
        <w:rPr>
          <w:rFonts w:hint="eastAsia" w:ascii="宋体" w:hAnsi="宋体" w:eastAsia="宋体" w:cs="宋体"/>
          <w:sz w:val="21"/>
          <w:szCs w:val="21"/>
          <w:highlight w:val="none"/>
          <w:lang w:eastAsia="zh-CN"/>
        </w:rPr>
        <w:t>交</w:t>
      </w:r>
      <w:r>
        <w:rPr>
          <w:rFonts w:hint="eastAsia" w:ascii="宋体" w:hAnsi="宋体" w:eastAsia="宋体" w:cs="宋体"/>
          <w:sz w:val="21"/>
          <w:szCs w:val="21"/>
          <w:highlight w:val="none"/>
        </w:rPr>
        <w:t>集模式，</w:t>
      </w:r>
      <w:r>
        <w:rPr>
          <w:rFonts w:hint="eastAsia" w:ascii="宋体" w:hAnsi="宋体" w:eastAsia="宋体" w:cs="宋体"/>
          <w:b w:val="0"/>
          <w:sz w:val="21"/>
          <w:szCs w:val="21"/>
          <w:highlight w:val="none"/>
        </w:rPr>
        <w:t>即双指标同时低于微型、小型、中型</w:t>
      </w:r>
      <w:r>
        <w:rPr>
          <w:rFonts w:hint="eastAsia" w:ascii="宋体" w:hAnsi="宋体" w:eastAsia="宋体" w:cs="宋体"/>
          <w:b w:val="0"/>
          <w:sz w:val="21"/>
          <w:szCs w:val="21"/>
          <w:highlight w:val="none"/>
          <w:lang w:eastAsia="zh-CN"/>
        </w:rPr>
        <w:t>企业</w:t>
      </w:r>
      <w:r>
        <w:rPr>
          <w:rFonts w:hint="eastAsia" w:ascii="宋体" w:hAnsi="宋体" w:eastAsia="宋体" w:cs="宋体"/>
          <w:b w:val="0"/>
          <w:sz w:val="21"/>
          <w:szCs w:val="21"/>
          <w:highlight w:val="none"/>
        </w:rPr>
        <w:t>的阈值标准，才能划入相应</w:t>
      </w:r>
      <w:r>
        <w:rPr>
          <w:rFonts w:hint="eastAsia" w:ascii="宋体" w:hAnsi="宋体" w:eastAsia="宋体" w:cs="宋体"/>
          <w:b w:val="0"/>
          <w:sz w:val="21"/>
          <w:szCs w:val="21"/>
          <w:highlight w:val="none"/>
          <w:lang w:eastAsia="zh-CN"/>
        </w:rPr>
        <w:t>规模</w:t>
      </w:r>
      <w:r>
        <w:rPr>
          <w:rFonts w:hint="eastAsia" w:ascii="宋体" w:hAnsi="宋体" w:eastAsia="宋体" w:cs="宋体"/>
          <w:b w:val="0"/>
          <w:sz w:val="21"/>
          <w:szCs w:val="21"/>
          <w:highlight w:val="none"/>
        </w:rPr>
        <w:t>类型</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强调“小企业要有小企业的样子”</w:t>
      </w:r>
      <w:r>
        <w:rPr>
          <w:rFonts w:hint="eastAsia" w:ascii="宋体" w:hAnsi="宋体" w:eastAsia="宋体" w:cs="宋体"/>
          <w:sz w:val="21"/>
          <w:szCs w:val="21"/>
          <w:highlight w:val="none"/>
          <w:lang w:eastAsia="zh-CN"/>
        </w:rPr>
        <w:t>。这样可有效解决从业人员少、营业收入高或资产总额大的企业划入中小企业的问题，</w:t>
      </w:r>
      <w:r>
        <w:rPr>
          <w:rFonts w:hint="eastAsia" w:ascii="宋体" w:hAnsi="宋体" w:eastAsia="宋体" w:cs="宋体"/>
          <w:sz w:val="21"/>
          <w:szCs w:val="21"/>
          <w:highlight w:val="none"/>
        </w:rPr>
        <w:t>更为客观地反映中小企业的经营规模</w:t>
      </w:r>
      <w:r>
        <w:rPr>
          <w:rFonts w:hint="eastAsia" w:ascii="宋体" w:hAnsi="宋体" w:eastAsia="宋体" w:cs="宋体"/>
          <w:sz w:val="21"/>
          <w:szCs w:val="21"/>
          <w:highlight w:val="none"/>
          <w:lang w:eastAsia="zh-CN"/>
        </w:rPr>
        <w:t>，并可降低从业人员统计口径对企业规模变化的影响。</w:t>
      </w:r>
    </w:p>
    <w:p w14:paraId="4F505AE9">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关于定量指标阈值的调整</w:t>
      </w:r>
    </w:p>
    <w:p w14:paraId="61A73A16">
      <w:pPr>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关于从业人员指标</w:t>
      </w:r>
      <w:r>
        <w:rPr>
          <w:rFonts w:hint="eastAsia" w:ascii="宋体" w:hAnsi="宋体" w:eastAsia="宋体" w:cs="宋体"/>
          <w:b w:val="0"/>
          <w:bCs w:val="0"/>
          <w:sz w:val="21"/>
          <w:szCs w:val="21"/>
          <w:highlight w:val="none"/>
          <w:lang w:eastAsia="zh-CN"/>
        </w:rPr>
        <w:t>阈值。鉴于</w:t>
      </w:r>
      <w:r>
        <w:rPr>
          <w:rFonts w:hint="eastAsia" w:ascii="宋体" w:hAnsi="宋体" w:eastAsia="宋体" w:cs="宋体"/>
          <w:b w:val="0"/>
          <w:bCs w:val="0"/>
          <w:color w:val="000000"/>
          <w:sz w:val="21"/>
          <w:szCs w:val="21"/>
          <w:highlight w:val="none"/>
        </w:rPr>
        <w:t>现行《</w:t>
      </w:r>
      <w:r>
        <w:rPr>
          <w:rFonts w:hint="eastAsia" w:ascii="宋体" w:hAnsi="宋体" w:eastAsia="宋体" w:cs="宋体"/>
          <w:b w:val="0"/>
          <w:bCs w:val="0"/>
          <w:color w:val="000000"/>
          <w:sz w:val="21"/>
          <w:szCs w:val="21"/>
          <w:highlight w:val="none"/>
          <w:lang w:eastAsia="zh-CN"/>
        </w:rPr>
        <w:t>划型</w:t>
      </w:r>
      <w:r>
        <w:rPr>
          <w:rFonts w:hint="eastAsia" w:ascii="宋体" w:hAnsi="宋体" w:eastAsia="宋体" w:cs="宋体"/>
          <w:b w:val="0"/>
          <w:bCs w:val="0"/>
          <w:color w:val="000000"/>
          <w:sz w:val="21"/>
          <w:szCs w:val="21"/>
          <w:highlight w:val="none"/>
        </w:rPr>
        <w:t>标准》从业人员指标标准基本具有国际可比性且符合国情</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rPr>
        <w:t>微型企</w:t>
      </w:r>
      <w:r>
        <w:rPr>
          <w:rFonts w:hint="eastAsia" w:ascii="宋体" w:hAnsi="宋体" w:eastAsia="宋体" w:cs="宋体"/>
          <w:b w:val="0"/>
          <w:color w:val="000000"/>
          <w:sz w:val="21"/>
          <w:szCs w:val="21"/>
          <w:highlight w:val="none"/>
        </w:rPr>
        <w:t>业的人员标准基本与其他国家接近</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中型和小型企业标准与其他国家有</w:t>
      </w:r>
      <w:r>
        <w:rPr>
          <w:rFonts w:hint="eastAsia" w:ascii="宋体" w:hAnsi="宋体" w:eastAsia="宋体" w:cs="宋体"/>
          <w:b w:val="0"/>
          <w:color w:val="000000"/>
          <w:sz w:val="21"/>
          <w:szCs w:val="21"/>
          <w:highlight w:val="none"/>
          <w:lang w:eastAsia="zh-CN"/>
        </w:rPr>
        <w:t>所</w:t>
      </w:r>
      <w:r>
        <w:rPr>
          <w:rFonts w:hint="eastAsia" w:ascii="宋体" w:hAnsi="宋体" w:eastAsia="宋体" w:cs="宋体"/>
          <w:b w:val="0"/>
          <w:color w:val="000000"/>
          <w:sz w:val="21"/>
          <w:szCs w:val="21"/>
          <w:highlight w:val="none"/>
        </w:rPr>
        <w:t>差异，但</w:t>
      </w:r>
      <w:r>
        <w:rPr>
          <w:rFonts w:hint="eastAsia" w:ascii="宋体" w:hAnsi="宋体" w:eastAsia="宋体" w:cs="宋体"/>
          <w:b w:val="0"/>
          <w:color w:val="000000"/>
          <w:sz w:val="21"/>
          <w:szCs w:val="21"/>
          <w:highlight w:val="none"/>
          <w:lang w:eastAsia="zh-CN"/>
        </w:rPr>
        <w:t>基本适应</w:t>
      </w:r>
      <w:r>
        <w:rPr>
          <w:rFonts w:hint="eastAsia" w:ascii="宋体" w:hAnsi="宋体" w:eastAsia="宋体" w:cs="宋体"/>
          <w:b w:val="0"/>
          <w:color w:val="000000"/>
          <w:sz w:val="21"/>
          <w:szCs w:val="21"/>
          <w:highlight w:val="none"/>
        </w:rPr>
        <w:t>我国</w:t>
      </w:r>
      <w:r>
        <w:rPr>
          <w:rFonts w:hint="eastAsia" w:ascii="宋体" w:hAnsi="宋体" w:eastAsia="宋体" w:cs="宋体"/>
          <w:color w:val="000000"/>
          <w:sz w:val="21"/>
          <w:szCs w:val="21"/>
          <w:highlight w:val="none"/>
        </w:rPr>
        <w:t>人口众多</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劳动生产率</w:t>
      </w:r>
      <w:r>
        <w:rPr>
          <w:rFonts w:hint="eastAsia" w:ascii="宋体" w:hAnsi="宋体" w:eastAsia="宋体" w:cs="宋体"/>
          <w:b w:val="0"/>
          <w:color w:val="000000"/>
          <w:sz w:val="21"/>
          <w:szCs w:val="21"/>
          <w:highlight w:val="none"/>
          <w:lang w:eastAsia="zh-CN"/>
        </w:rPr>
        <w:t>相对</w:t>
      </w:r>
      <w:r>
        <w:rPr>
          <w:rFonts w:hint="eastAsia" w:ascii="宋体" w:hAnsi="宋体" w:eastAsia="宋体" w:cs="宋体"/>
          <w:b w:val="0"/>
          <w:color w:val="000000"/>
          <w:sz w:val="21"/>
          <w:szCs w:val="21"/>
          <w:highlight w:val="none"/>
        </w:rPr>
        <w:t>较低</w:t>
      </w:r>
      <w:r>
        <w:rPr>
          <w:rFonts w:hint="eastAsia" w:ascii="宋体" w:hAnsi="宋体" w:eastAsia="宋体" w:cs="宋体"/>
          <w:color w:val="000000"/>
          <w:sz w:val="21"/>
          <w:szCs w:val="21"/>
          <w:highlight w:val="none"/>
        </w:rPr>
        <w:t>的基本国情。</w:t>
      </w:r>
      <w:r>
        <w:rPr>
          <w:rFonts w:hint="eastAsia" w:ascii="宋体" w:hAnsi="宋体" w:eastAsia="宋体" w:cs="宋体"/>
          <w:color w:val="000000"/>
          <w:sz w:val="21"/>
          <w:szCs w:val="21"/>
          <w:highlight w:val="none"/>
          <w:lang w:eastAsia="zh-CN"/>
        </w:rPr>
        <w:t>因此，</w:t>
      </w:r>
      <w:r>
        <w:rPr>
          <w:rFonts w:hint="eastAsia" w:ascii="宋体" w:hAnsi="宋体" w:eastAsia="宋体" w:cs="宋体"/>
          <w:sz w:val="21"/>
          <w:szCs w:val="21"/>
          <w:highlight w:val="none"/>
        </w:rPr>
        <w:t>本次修订</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eastAsia="zh-CN"/>
        </w:rPr>
        <w:t>指标阈值</w:t>
      </w:r>
      <w:r>
        <w:rPr>
          <w:rFonts w:hint="eastAsia" w:ascii="宋体" w:hAnsi="宋体" w:eastAsia="宋体" w:cs="宋体"/>
          <w:sz w:val="21"/>
          <w:szCs w:val="21"/>
          <w:highlight w:val="none"/>
        </w:rPr>
        <w:t>主要沿用现行《</w:t>
      </w:r>
      <w:r>
        <w:rPr>
          <w:rFonts w:hint="eastAsia" w:ascii="宋体" w:hAnsi="宋体" w:eastAsia="宋体" w:cs="宋体"/>
          <w:sz w:val="21"/>
          <w:szCs w:val="21"/>
          <w:highlight w:val="none"/>
          <w:lang w:eastAsia="zh-CN"/>
        </w:rPr>
        <w:t>划型</w:t>
      </w:r>
      <w:r>
        <w:rPr>
          <w:rFonts w:hint="eastAsia" w:ascii="宋体" w:hAnsi="宋体" w:eastAsia="宋体" w:cs="宋体"/>
          <w:sz w:val="21"/>
          <w:szCs w:val="21"/>
          <w:highlight w:val="none"/>
        </w:rPr>
        <w:t>标准》，仅对</w:t>
      </w:r>
      <w:r>
        <w:rPr>
          <w:rFonts w:hint="eastAsia" w:ascii="宋体" w:hAnsi="宋体" w:eastAsia="宋体" w:cs="宋体"/>
          <w:sz w:val="21"/>
          <w:szCs w:val="21"/>
          <w:highlight w:val="none"/>
          <w:lang w:eastAsia="zh-CN"/>
        </w:rPr>
        <w:t>仓储业，信息传输业、软件和信息技术服务业，</w:t>
      </w:r>
      <w:r>
        <w:rPr>
          <w:rFonts w:hint="eastAsia" w:ascii="宋体" w:hAnsi="宋体" w:eastAsia="宋体" w:cs="宋体"/>
          <w:sz w:val="21"/>
          <w:szCs w:val="21"/>
          <w:highlight w:val="none"/>
        </w:rPr>
        <w:t>物业管理业</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少数</w:t>
      </w:r>
      <w:r>
        <w:rPr>
          <w:rFonts w:hint="eastAsia" w:ascii="宋体" w:hAnsi="宋体" w:eastAsia="宋体" w:cs="宋体"/>
          <w:sz w:val="21"/>
          <w:szCs w:val="21"/>
          <w:highlight w:val="none"/>
          <w:lang w:eastAsia="zh-CN"/>
        </w:rPr>
        <w:t>涉及行业分类调整的</w:t>
      </w:r>
      <w:r>
        <w:rPr>
          <w:rFonts w:hint="eastAsia" w:ascii="宋体" w:hAnsi="宋体" w:eastAsia="宋体" w:cs="宋体"/>
          <w:color w:val="000000"/>
          <w:sz w:val="21"/>
          <w:szCs w:val="21"/>
          <w:highlight w:val="none"/>
          <w:lang w:eastAsia="zh-CN"/>
        </w:rPr>
        <w:t>从业</w:t>
      </w:r>
      <w:r>
        <w:rPr>
          <w:rFonts w:hint="eastAsia" w:ascii="宋体" w:hAnsi="宋体" w:eastAsia="宋体" w:cs="宋体"/>
          <w:sz w:val="21"/>
          <w:szCs w:val="21"/>
          <w:highlight w:val="none"/>
          <w:lang w:eastAsia="zh-CN"/>
        </w:rPr>
        <w:t>人员指标</w:t>
      </w:r>
      <w:r>
        <w:rPr>
          <w:rFonts w:hint="eastAsia" w:ascii="宋体" w:hAnsi="宋体" w:eastAsia="宋体" w:cs="宋体"/>
          <w:sz w:val="21"/>
          <w:szCs w:val="21"/>
          <w:highlight w:val="none"/>
        </w:rPr>
        <w:t>进行调整。</w:t>
      </w:r>
    </w:p>
    <w:p w14:paraId="23A344D7">
      <w:pPr>
        <w:spacing w:line="360" w:lineRule="auto"/>
        <w:ind w:firstLine="643"/>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关于财务指标阈值</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参考国际经验，结合我国国情，</w:t>
      </w:r>
      <w:r>
        <w:rPr>
          <w:rFonts w:hint="eastAsia" w:ascii="宋体" w:hAnsi="宋体" w:eastAsia="宋体" w:cs="宋体"/>
          <w:sz w:val="21"/>
          <w:szCs w:val="21"/>
          <w:highlight w:val="none"/>
          <w:lang w:eastAsia="zh-CN"/>
        </w:rPr>
        <w:t>本次修订</w:t>
      </w:r>
      <w:r>
        <w:rPr>
          <w:rFonts w:hint="eastAsia" w:ascii="宋体" w:hAnsi="宋体" w:eastAsia="宋体" w:cs="宋体"/>
          <w:sz w:val="21"/>
          <w:szCs w:val="21"/>
          <w:highlight w:val="none"/>
        </w:rPr>
        <w:t>主要考虑四方面因素影响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劳动生产率提高的影响</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二是双指标划型区间并集转交集的影响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三是定量指标阈值调整与</w:t>
      </w:r>
      <w:r>
        <w:rPr>
          <w:rFonts w:hint="eastAsia" w:ascii="宋体" w:hAnsi="宋体" w:eastAsia="宋体" w:cs="宋体"/>
          <w:b w:val="0"/>
          <w:bCs w:val="0"/>
          <w:sz w:val="21"/>
          <w:szCs w:val="21"/>
          <w:highlight w:val="none"/>
          <w:lang w:eastAsia="zh-CN"/>
        </w:rPr>
        <w:t>部分行业</w:t>
      </w:r>
      <w:r>
        <w:rPr>
          <w:rFonts w:hint="eastAsia" w:ascii="宋体" w:hAnsi="宋体" w:eastAsia="宋体" w:cs="宋体"/>
          <w:b w:val="0"/>
          <w:bCs w:val="0"/>
          <w:sz w:val="21"/>
          <w:szCs w:val="21"/>
          <w:highlight w:val="none"/>
        </w:rPr>
        <w:t>现有统计规模（或限额）口径衔接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四是各行业规模类型</w:t>
      </w:r>
      <w:r>
        <w:rPr>
          <w:rFonts w:hint="eastAsia" w:ascii="宋体" w:hAnsi="宋体" w:eastAsia="宋体" w:cs="宋体"/>
          <w:b w:val="0"/>
          <w:bCs w:val="0"/>
          <w:sz w:val="21"/>
          <w:szCs w:val="21"/>
          <w:highlight w:val="none"/>
          <w:lang w:eastAsia="zh-CN"/>
        </w:rPr>
        <w:t>比例相对稳定</w:t>
      </w:r>
      <w:r>
        <w:rPr>
          <w:rFonts w:hint="eastAsia" w:ascii="宋体" w:hAnsi="宋体" w:eastAsia="宋体" w:cs="宋体"/>
          <w:b w:val="0"/>
          <w:bCs w:val="0"/>
          <w:sz w:val="21"/>
          <w:szCs w:val="21"/>
          <w:highlight w:val="none"/>
        </w:rPr>
        <w:t>。</w:t>
      </w:r>
    </w:p>
    <w:p w14:paraId="7F500904">
      <w:pPr>
        <w:spacing w:line="360" w:lineRule="auto"/>
        <w:ind w:firstLine="64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修订</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各行业</w:t>
      </w:r>
      <w:r>
        <w:rPr>
          <w:rFonts w:hint="eastAsia" w:ascii="宋体" w:hAnsi="宋体" w:eastAsia="宋体" w:cs="宋体"/>
          <w:sz w:val="21"/>
          <w:szCs w:val="21"/>
          <w:highlight w:val="none"/>
        </w:rPr>
        <w:t>各类型企业比例与《划型标准》制定时的大中小微企业类型分布比例</w:t>
      </w:r>
      <w:r>
        <w:rPr>
          <w:rFonts w:hint="eastAsia" w:ascii="宋体" w:hAnsi="宋体" w:eastAsia="宋体" w:cs="宋体"/>
          <w:sz w:val="21"/>
          <w:szCs w:val="21"/>
          <w:highlight w:val="none"/>
          <w:lang w:eastAsia="zh-CN"/>
        </w:rPr>
        <w:t>相对稳定，</w:t>
      </w:r>
      <w:r>
        <w:rPr>
          <w:rFonts w:hint="eastAsia" w:ascii="宋体" w:hAnsi="宋体" w:eastAsia="宋体" w:cs="宋体"/>
          <w:sz w:val="21"/>
          <w:szCs w:val="21"/>
          <w:highlight w:val="none"/>
        </w:rPr>
        <w:t>中小企业特别是小微企业分布维持相对合理比例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所有行业的规模（限额）以上企业中将不再含有微型企业，微型企业均为规模（限额）以下企业。</w:t>
      </w:r>
    </w:p>
    <w:p w14:paraId="51228152">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（五）</w:t>
      </w:r>
      <w:r>
        <w:rPr>
          <w:rFonts w:hint="eastAsia" w:ascii="宋体" w:hAnsi="宋体" w:eastAsia="宋体" w:cs="宋体"/>
          <w:b/>
          <w:bCs w:val="0"/>
          <w:sz w:val="21"/>
          <w:szCs w:val="21"/>
          <w:highlight w:val="none"/>
        </w:rPr>
        <w:t>增加定性标准</w:t>
      </w:r>
    </w:p>
    <w:p w14:paraId="77CD269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sz w:val="21"/>
          <w:szCs w:val="21"/>
          <w:highlight w:val="none"/>
        </w:rPr>
        <w:t>。</w:t>
      </w:r>
    </w:p>
    <w:p w14:paraId="68C1815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（六）增加有关</w:t>
      </w:r>
      <w:r>
        <w:rPr>
          <w:rFonts w:hint="eastAsia" w:ascii="宋体" w:hAnsi="宋体" w:eastAsia="宋体" w:cs="宋体"/>
          <w:b/>
          <w:bCs w:val="0"/>
          <w:sz w:val="21"/>
          <w:szCs w:val="21"/>
          <w:highlight w:val="none"/>
        </w:rPr>
        <w:t>中小企业规模类型</w:t>
      </w:r>
      <w:r>
        <w:rPr>
          <w:rFonts w:hint="eastAsia" w:ascii="宋体" w:hAnsi="宋体" w:eastAsia="宋体" w:cs="宋体"/>
          <w:b/>
          <w:bCs w:val="0"/>
          <w:sz w:val="21"/>
          <w:szCs w:val="21"/>
          <w:highlight w:val="none"/>
          <w:lang w:eastAsia="zh-CN"/>
        </w:rPr>
        <w:t>自我声明及</w:t>
      </w:r>
      <w:r>
        <w:rPr>
          <w:rFonts w:hint="eastAsia" w:ascii="宋体" w:hAnsi="宋体" w:eastAsia="宋体" w:cs="宋体"/>
          <w:b/>
          <w:bCs w:val="0"/>
          <w:sz w:val="21"/>
          <w:szCs w:val="21"/>
          <w:highlight w:val="none"/>
        </w:rPr>
        <w:t>认定</w:t>
      </w:r>
      <w:r>
        <w:rPr>
          <w:rFonts w:hint="eastAsia" w:ascii="宋体" w:hAnsi="宋体" w:eastAsia="宋体" w:cs="宋体"/>
          <w:b/>
          <w:bCs w:val="0"/>
          <w:sz w:val="21"/>
          <w:szCs w:val="21"/>
          <w:highlight w:val="none"/>
          <w:lang w:eastAsia="zh-CN"/>
        </w:rPr>
        <w:t>内容</w:t>
      </w:r>
    </w:p>
    <w:p w14:paraId="15F9E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sz w:val="21"/>
          <w:szCs w:val="21"/>
          <w:highlight w:val="none"/>
        </w:rPr>
        <w:t>中小企业规模类型采用自我声明的方式，企业对自我声明内容的真实性负责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r>
        <w:rPr>
          <w:rFonts w:hint="eastAsia" w:ascii="宋体" w:hAnsi="宋体" w:eastAsia="宋体" w:cs="宋体"/>
          <w:color w:val="auto"/>
          <w:kern w:val="2"/>
          <w:sz w:val="21"/>
          <w:szCs w:val="21"/>
          <w:highlight w:val="none"/>
          <w:lang w:val="en-US" w:eastAsia="zh-CN" w:bidi="ar-SA"/>
        </w:rPr>
        <w:t>同时，明确“</w:t>
      </w: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p>
    <w:p w14:paraId="69A727D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（七）</w:t>
      </w:r>
      <w:r>
        <w:rPr>
          <w:rFonts w:hint="eastAsia" w:ascii="宋体" w:hAnsi="宋体" w:eastAsia="宋体" w:cs="宋体"/>
          <w:b/>
          <w:bCs w:val="0"/>
          <w:sz w:val="21"/>
          <w:szCs w:val="21"/>
          <w:highlight w:val="none"/>
        </w:rPr>
        <w:t>建立《划型标准》定期评估制度</w:t>
      </w:r>
    </w:p>
    <w:p w14:paraId="622C53D4">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借鉴国际经验，设立我国中小企业划型标准定期评估制度：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sz w:val="21"/>
          <w:szCs w:val="21"/>
          <w:highlight w:val="none"/>
          <w:lang w:eastAsia="zh-CN"/>
        </w:rPr>
        <w:t>”</w:t>
      </w:r>
    </w:p>
    <w:p w14:paraId="1D3BDCBB">
      <w:pPr>
        <w:rPr>
          <w:rFonts w:hint="eastAsia"/>
        </w:rPr>
      </w:pPr>
      <w:r>
        <w:rPr>
          <w:rFonts w:hint="eastAsia"/>
        </w:rPr>
        <w:br w:type="page"/>
      </w:r>
    </w:p>
    <w:p w14:paraId="13B0E389">
      <w:pPr>
        <w:pStyle w:val="18"/>
        <w:spacing w:line="360" w:lineRule="auto"/>
        <w:outlineLvl w:val="0"/>
        <w:rPr>
          <w:color w:val="000000"/>
          <w:sz w:val="32"/>
          <w:szCs w:val="32"/>
          <w:highlight w:val="none"/>
        </w:rPr>
      </w:pPr>
      <w:bookmarkStart w:id="17" w:name="_Toc1779"/>
      <w:r>
        <w:rPr>
          <w:rFonts w:hint="eastAsia"/>
          <w:color w:val="000000"/>
          <w:sz w:val="32"/>
          <w:szCs w:val="32"/>
          <w:highlight w:val="none"/>
        </w:rPr>
        <w:t>第三章</w:t>
      </w:r>
      <w:bookmarkStart w:id="18" w:name="_Hlt101846155"/>
      <w:bookmarkEnd w:id="18"/>
      <w:bookmarkStart w:id="19" w:name="_Toc208849007"/>
      <w:bookmarkStart w:id="20" w:name="_Toc183582280"/>
      <w:bookmarkStart w:id="21" w:name="_Toc217446097"/>
      <w:bookmarkStart w:id="22" w:name="_Toc183682415"/>
      <w:r>
        <w:rPr>
          <w:rFonts w:hint="eastAsia"/>
          <w:color w:val="000000"/>
          <w:sz w:val="32"/>
          <w:szCs w:val="32"/>
          <w:highlight w:val="none"/>
        </w:rPr>
        <w:t xml:space="preserve"> 评标方法及标准</w:t>
      </w:r>
      <w:bookmarkEnd w:id="17"/>
    </w:p>
    <w:bookmarkEnd w:id="19"/>
    <w:bookmarkEnd w:id="20"/>
    <w:bookmarkEnd w:id="21"/>
    <w:bookmarkEnd w:id="22"/>
    <w:p w14:paraId="20126A16">
      <w:pPr>
        <w:autoSpaceDE w:val="0"/>
        <w:autoSpaceDN w:val="0"/>
        <w:adjustRightInd w:val="0"/>
        <w:spacing w:line="360" w:lineRule="auto"/>
        <w:jc w:val="center"/>
        <w:rPr>
          <w:rFonts w:hint="eastAsia" w:ascii="宋体" w:hAnsi="宋体" w:cs="宋体-18030"/>
          <w:kern w:val="0"/>
          <w:sz w:val="28"/>
          <w:szCs w:val="28"/>
          <w:highlight w:val="none"/>
        </w:rPr>
      </w:pPr>
      <w:r>
        <w:rPr>
          <w:rFonts w:hint="eastAsia" w:ascii="宋体" w:hAnsi="宋体" w:cs="宋体-18030"/>
          <w:kern w:val="0"/>
          <w:sz w:val="28"/>
          <w:szCs w:val="28"/>
          <w:highlight w:val="none"/>
        </w:rPr>
        <w:t>评标办法前附表(一)</w:t>
      </w:r>
    </w:p>
    <w:p w14:paraId="2E66C45F">
      <w:pPr>
        <w:spacing w:line="360" w:lineRule="auto"/>
        <w:jc w:val="center"/>
        <w:rPr>
          <w:rFonts w:hint="eastAsia" w:ascii="宋体"/>
          <w:highlight w:val="none"/>
        </w:rPr>
      </w:pPr>
      <w:r>
        <w:rPr>
          <w:rFonts w:hint="eastAsia" w:ascii="宋体"/>
          <w:b/>
          <w:bCs/>
          <w:sz w:val="28"/>
          <w:szCs w:val="28"/>
          <w:highlight w:val="none"/>
        </w:rPr>
        <w:t>初步评审表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5B9CA526">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0F6FEB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A2338B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16AB6D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评审标准</w:t>
            </w:r>
          </w:p>
        </w:tc>
      </w:tr>
      <w:tr w14:paraId="1F8DDAF3">
        <w:tblPrEx>
          <w:shd w:val="clear" w:color="auto" w:fill="auto"/>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18FED176">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kern w:val="0"/>
                <w:sz w:val="22"/>
                <w:szCs w:val="22"/>
                <w:highlight w:val="none"/>
                <w:lang w:val="en-US" w:eastAsia="zh-CN"/>
              </w:rPr>
            </w:pPr>
            <w:r>
              <w:rPr>
                <w:rFonts w:hint="eastAsia" w:ascii="宋体" w:hAnsi="宋体" w:cs="宋体"/>
                <w:kern w:val="0"/>
                <w:highlight w:val="none"/>
              </w:rPr>
              <w:t>2.1.</w:t>
            </w:r>
            <w:r>
              <w:rPr>
                <w:rFonts w:hint="eastAsia" w:ascii="宋体" w:hAnsi="宋体" w:cs="宋体"/>
                <w:kern w:val="0"/>
                <w:highlight w:val="none"/>
                <w:lang w:val="en-US" w:eastAsia="zh-CN"/>
              </w:rPr>
              <w:t>1</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739B8D4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资格评审标准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560F4E7">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kern w:val="0"/>
                <w:highlight w:val="none"/>
                <w:lang w:val="zh-CN"/>
              </w:rPr>
            </w:pPr>
            <w:r>
              <w:rPr>
                <w:rFonts w:hint="eastAsia" w:ascii="宋体" w:hAnsi="宋体" w:eastAsia="宋体" w:cs="宋体"/>
                <w:sz w:val="21"/>
                <w:szCs w:val="21"/>
                <w:highlight w:val="none"/>
              </w:rPr>
              <w:t>独立承担民事责任能力的法人、自然人或具备国家认可经营资格的其他组织</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15EE30">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①如投标人是企业，提供在工商部门注册的有效“企业法人营业执照”或“营业执照”；</w:t>
            </w:r>
          </w:p>
          <w:p w14:paraId="68B27B8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②如投标人是事业单位，提供有效的“事业单位法人证书”；</w:t>
            </w:r>
          </w:p>
          <w:p w14:paraId="4B65447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③如投标人是非企业专业服务机构的，提供执业许可证等证明文件；</w:t>
            </w:r>
          </w:p>
          <w:p w14:paraId="51B0F207">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④如投标人是个体工商户，提供有效的“个体工商户营业执照”；</w:t>
            </w:r>
          </w:p>
          <w:p w14:paraId="0EA0737A">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⑤如投标人是自然人，提供有效的自然人身份证明（居民身份证正反面或公安机关出具的临时居民身份证正反面或港澳台胞证或护照）。</w:t>
            </w:r>
          </w:p>
          <w:p w14:paraId="79A41A44">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投标文件内附营业执照（副本）复印件加盖投标单位公章。</w:t>
            </w:r>
          </w:p>
        </w:tc>
      </w:tr>
      <w:tr w14:paraId="56FA2368">
        <w:tblPrEx>
          <w:shd w:val="clear" w:color="auto" w:fill="auto"/>
          <w:tblCellMar>
            <w:top w:w="0" w:type="dxa"/>
            <w:left w:w="108" w:type="dxa"/>
            <w:bottom w:w="0" w:type="dxa"/>
            <w:right w:w="108" w:type="dxa"/>
          </w:tblCellMar>
        </w:tblPrEx>
        <w:trPr>
          <w:trHeight w:val="1397" w:hRule="atLeast"/>
        </w:trPr>
        <w:tc>
          <w:tcPr>
            <w:tcW w:w="435" w:type="pct"/>
            <w:vMerge w:val="continue"/>
            <w:tcBorders>
              <w:left w:val="single" w:color="000000" w:sz="2" w:space="0"/>
              <w:right w:val="single" w:color="000000" w:sz="2" w:space="0"/>
            </w:tcBorders>
            <w:shd w:val="clear" w:color="auto" w:fill="auto"/>
            <w:noWrap w:val="0"/>
            <w:vAlign w:val="center"/>
          </w:tcPr>
          <w:p w14:paraId="1EA9139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41518B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6FCD798">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财务状况、纳税及社保</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DFB2886">
            <w:pPr>
              <w:keepNext w:val="0"/>
              <w:keepLines w:val="0"/>
              <w:pageBreakBefore w:val="0"/>
              <w:widowControl/>
              <w:kinsoku/>
              <w:wordWrap/>
              <w:overflowPunct/>
              <w:topLinePunct w:val="0"/>
              <w:bidi w:val="0"/>
              <w:spacing w:line="360" w:lineRule="auto"/>
              <w:jc w:val="left"/>
              <w:textAlignment w:val="center"/>
              <w:rPr>
                <w:rFonts w:hint="eastAsia" w:ascii="宋体" w:hAnsi="宋体" w:cs="宋体" w:eastAsiaTheme="minorEastAsia"/>
                <w:color w:val="auto"/>
                <w:kern w:val="0"/>
                <w:highlight w:val="none"/>
                <w:lang w:val="zh-CN" w:eastAsia="zh-CN"/>
              </w:rPr>
            </w:pPr>
            <w:r>
              <w:rPr>
                <w:rFonts w:hint="eastAsia" w:ascii="宋体" w:hAnsi="宋体" w:cs="宋体"/>
                <w:bCs/>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hAnsi="宋体" w:cs="宋体"/>
                <w:bCs/>
                <w:color w:val="auto"/>
                <w:highlight w:val="none"/>
                <w:lang w:eastAsia="zh-CN"/>
              </w:rPr>
              <w:t>投标人</w:t>
            </w:r>
            <w:r>
              <w:rPr>
                <w:rFonts w:hint="eastAsia" w:ascii="宋体" w:hAnsi="宋体" w:cs="宋体"/>
                <w:bCs/>
                <w:color w:val="auto"/>
                <w:highlight w:val="none"/>
              </w:rPr>
              <w:t>资格条件有关事项的通知提供资格条件承诺函</w:t>
            </w:r>
            <w:r>
              <w:rPr>
                <w:rFonts w:hint="eastAsia" w:ascii="宋体" w:hAnsi="宋体" w:cs="宋体"/>
                <w:bCs/>
                <w:color w:val="auto"/>
                <w:highlight w:val="none"/>
                <w:lang w:eastAsia="zh-CN"/>
              </w:rPr>
              <w:t>。</w:t>
            </w:r>
          </w:p>
        </w:tc>
      </w:tr>
      <w:tr w14:paraId="00369FB7">
        <w:tblPrEx>
          <w:shd w:val="clear" w:color="auto" w:fill="auto"/>
          <w:tblCellMar>
            <w:top w:w="0" w:type="dxa"/>
            <w:left w:w="108" w:type="dxa"/>
            <w:bottom w:w="0" w:type="dxa"/>
            <w:right w:w="108" w:type="dxa"/>
          </w:tblCellMar>
        </w:tblPrEx>
        <w:trPr>
          <w:trHeight w:val="272" w:hRule="atLeast"/>
        </w:trPr>
        <w:tc>
          <w:tcPr>
            <w:tcW w:w="435" w:type="pct"/>
            <w:vMerge w:val="continue"/>
            <w:tcBorders>
              <w:left w:val="single" w:color="000000" w:sz="2" w:space="0"/>
              <w:right w:val="single" w:color="000000" w:sz="2" w:space="0"/>
            </w:tcBorders>
            <w:shd w:val="clear" w:color="auto" w:fill="auto"/>
            <w:noWrap w:val="0"/>
            <w:vAlign w:val="center"/>
          </w:tcPr>
          <w:p w14:paraId="6E0DBB2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CD7DAB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BEB7A7">
            <w:pPr>
              <w:keepNext w:val="0"/>
              <w:keepLines w:val="0"/>
              <w:pageBreakBefore w:val="0"/>
              <w:kinsoku/>
              <w:wordWrap/>
              <w:overflowPunct/>
              <w:topLinePunct w:val="0"/>
              <w:bidi w:val="0"/>
              <w:adjustRightInd w:val="0"/>
              <w:snapToGrid w:val="0"/>
              <w:spacing w:beforeLines="25" w:line="360" w:lineRule="auto"/>
              <w:jc w:val="center"/>
              <w:rPr>
                <w:rFonts w:ascii="宋体" w:hAnsi="宋体" w:cs="宋体"/>
                <w:color w:val="auto"/>
                <w:szCs w:val="21"/>
                <w:highlight w:val="none"/>
                <w:lang w:val="zh-CN"/>
              </w:rPr>
            </w:pPr>
            <w:r>
              <w:rPr>
                <w:rFonts w:ascii="宋体" w:hAnsi="宋体" w:cs="宋体"/>
                <w:color w:val="auto"/>
                <w:szCs w:val="21"/>
                <w:highlight w:val="none"/>
                <w:lang w:val="zh-CN"/>
              </w:rPr>
              <w:t>授权委托书</w:t>
            </w:r>
          </w:p>
          <w:p w14:paraId="1D7F4102">
            <w:pPr>
              <w:keepNext w:val="0"/>
              <w:keepLines w:val="0"/>
              <w:pageBreakBefore w:val="0"/>
              <w:kinsoku/>
              <w:wordWrap/>
              <w:overflowPunct/>
              <w:topLinePunct w:val="0"/>
              <w:bidi w:val="0"/>
              <w:adjustRightInd w:val="0"/>
              <w:snapToGrid w:val="0"/>
              <w:spacing w:beforeLines="25" w:line="360" w:lineRule="auto"/>
              <w:jc w:val="center"/>
              <w:rPr>
                <w:rFonts w:hint="eastAsia" w:ascii="宋体" w:hAnsi="宋体" w:cs="宋体-18030" w:eastAsiaTheme="minorEastAsia"/>
                <w:color w:val="auto"/>
                <w:kern w:val="2"/>
                <w:sz w:val="21"/>
                <w:szCs w:val="21"/>
                <w:highlight w:val="none"/>
                <w:lang w:val="zh-CN" w:eastAsia="zh-CN" w:bidi="ar-SA"/>
              </w:rPr>
            </w:pPr>
            <w:r>
              <w:rPr>
                <w:rFonts w:hint="eastAsia" w:ascii="宋体" w:hAnsi="宋体" w:cs="宋体"/>
                <w:color w:val="auto"/>
                <w:szCs w:val="21"/>
                <w:highlight w:val="none"/>
                <w:lang w:val="zh-CN"/>
              </w:rPr>
              <w:t>（</w:t>
            </w:r>
            <w:r>
              <w:rPr>
                <w:rFonts w:hint="eastAsia" w:ascii="宋体" w:hAnsi="宋体" w:cs="宋体"/>
                <w:color w:val="auto"/>
                <w:szCs w:val="21"/>
                <w:highlight w:val="none"/>
              </w:rPr>
              <w:t>如有</w:t>
            </w:r>
            <w:r>
              <w:rPr>
                <w:rFonts w:hint="eastAsia" w:ascii="宋体" w:hAnsi="宋体" w:cs="宋体"/>
                <w:color w:val="auto"/>
                <w:szCs w:val="21"/>
                <w:highlight w:val="none"/>
                <w:lang w:val="zh-CN"/>
              </w:rPr>
              <w:t>）</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C56C8F">
            <w:pPr>
              <w:keepNext w:val="0"/>
              <w:keepLines w:val="0"/>
              <w:pageBreakBefore w:val="0"/>
              <w:kinsoku/>
              <w:wordWrap/>
              <w:overflowPunct/>
              <w:topLinePunct w:val="0"/>
              <w:bidi w:val="0"/>
              <w:adjustRightInd w:val="0"/>
              <w:snapToGrid w:val="0"/>
              <w:spacing w:beforeLines="25" w:line="360" w:lineRule="auto"/>
              <w:rPr>
                <w:rFonts w:hint="default"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附</w:t>
            </w:r>
            <w:r>
              <w:rPr>
                <w:rFonts w:ascii="宋体" w:hAnsi="宋体" w:cs="宋体"/>
                <w:color w:val="auto"/>
                <w:szCs w:val="21"/>
                <w:highlight w:val="none"/>
                <w:lang w:val="zh-CN"/>
              </w:rPr>
              <w:t>由法定代表人及</w:t>
            </w:r>
            <w:r>
              <w:rPr>
                <w:rFonts w:hint="eastAsia" w:ascii="宋体" w:hAnsi="宋体" w:cs="宋体"/>
                <w:color w:val="auto"/>
                <w:szCs w:val="21"/>
                <w:highlight w:val="none"/>
                <w:lang w:val="zh-CN"/>
              </w:rPr>
              <w:t>授权委托人</w:t>
            </w:r>
            <w:r>
              <w:rPr>
                <w:rFonts w:ascii="宋体" w:hAnsi="宋体" w:cs="宋体"/>
                <w:color w:val="auto"/>
                <w:szCs w:val="21"/>
                <w:highlight w:val="none"/>
                <w:lang w:val="zh-CN"/>
              </w:rPr>
              <w:t>签字并加盖</w:t>
            </w:r>
            <w:r>
              <w:rPr>
                <w:rFonts w:hint="eastAsia" w:ascii="宋体" w:hAnsi="宋体" w:cs="宋体"/>
                <w:color w:val="auto"/>
                <w:szCs w:val="21"/>
                <w:highlight w:val="none"/>
                <w:lang w:val="zh-CN"/>
              </w:rPr>
              <w:t>投标人</w:t>
            </w:r>
            <w:r>
              <w:rPr>
                <w:rFonts w:ascii="宋体" w:hAnsi="宋体" w:cs="宋体"/>
                <w:color w:val="auto"/>
                <w:szCs w:val="21"/>
                <w:highlight w:val="none"/>
                <w:lang w:val="zh-CN"/>
              </w:rPr>
              <w:t>公章</w:t>
            </w:r>
            <w:r>
              <w:rPr>
                <w:rFonts w:hint="eastAsia" w:ascii="宋体" w:hAnsi="宋体" w:cs="宋体"/>
                <w:color w:val="auto"/>
                <w:szCs w:val="21"/>
                <w:highlight w:val="none"/>
                <w:lang w:val="zh-CN"/>
              </w:rPr>
              <w:t>的授权委托书</w:t>
            </w:r>
            <w:r>
              <w:rPr>
                <w:rFonts w:ascii="宋体" w:hAnsi="宋体" w:cs="宋体"/>
                <w:color w:val="auto"/>
                <w:szCs w:val="21"/>
                <w:highlight w:val="none"/>
                <w:lang w:val="zh-CN"/>
              </w:rPr>
              <w:t>。</w:t>
            </w:r>
          </w:p>
        </w:tc>
      </w:tr>
      <w:tr w14:paraId="572C394F">
        <w:tblPrEx>
          <w:shd w:val="clear" w:color="auto" w:fill="auto"/>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1E6569AE">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392195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B290B">
            <w:pPr>
              <w:keepNext w:val="0"/>
              <w:keepLines w:val="0"/>
              <w:pageBreakBefore w:val="0"/>
              <w:kinsoku/>
              <w:wordWrap/>
              <w:overflowPunct/>
              <w:topLinePunct w:val="0"/>
              <w:bidi w:val="0"/>
              <w:adjustRightInd w:val="0"/>
              <w:snapToGrid w:val="0"/>
              <w:spacing w:beforeLines="25" w:line="360" w:lineRule="auto"/>
              <w:jc w:val="center"/>
              <w:rPr>
                <w:rFonts w:ascii="宋体" w:hAnsi="宋体" w:cs="宋体-18030" w:eastAsiaTheme="minorEastAsia"/>
                <w:color w:val="auto"/>
                <w:kern w:val="2"/>
                <w:sz w:val="21"/>
                <w:szCs w:val="21"/>
                <w:highlight w:val="none"/>
                <w:lang w:val="zh-CN" w:eastAsia="zh-CN" w:bidi="ar-SA"/>
              </w:rPr>
            </w:pPr>
            <w:r>
              <w:rPr>
                <w:rFonts w:hint="eastAsia" w:ascii="宋体" w:hAnsi="宋体" w:cs="宋体-18030"/>
                <w:color w:val="auto"/>
                <w:szCs w:val="21"/>
                <w:highlight w:val="none"/>
                <w:lang w:val="zh-CN"/>
              </w:rPr>
              <w:t>信誉要求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B83AB8">
            <w:pPr>
              <w:keepNext w:val="0"/>
              <w:keepLines w:val="0"/>
              <w:pageBreakBefore w:val="0"/>
              <w:kinsoku/>
              <w:wordWrap/>
              <w:overflowPunct/>
              <w:topLinePunct w:val="0"/>
              <w:bidi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须在“中国裁判文书网”自行查询本公司近三年内无行贿行为记录。</w:t>
            </w:r>
          </w:p>
          <w:p w14:paraId="24FAF1C5">
            <w:pPr>
              <w:keepNext w:val="0"/>
              <w:keepLines w:val="0"/>
              <w:pageBreakBefore w:val="0"/>
              <w:kinsoku/>
              <w:wordWrap/>
              <w:overflowPunct/>
              <w:topLinePunct w:val="0"/>
              <w:bidi w:val="0"/>
              <w:spacing w:line="360" w:lineRule="auto"/>
              <w:rPr>
                <w:rFonts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（附由法定代表人或授权委托人签字或盖章并加盖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cs="宋体"/>
                <w:b w:val="0"/>
                <w:bCs w:val="0"/>
                <w:color w:val="auto"/>
                <w:szCs w:val="21"/>
                <w:highlight w:val="none"/>
              </w:rPr>
              <w:t>公章的承诺书）</w:t>
            </w:r>
          </w:p>
        </w:tc>
      </w:tr>
      <w:tr w14:paraId="410ACC3A">
        <w:tblPrEx>
          <w:shd w:val="clear" w:color="auto" w:fill="auto"/>
          <w:tblCellMar>
            <w:top w:w="0" w:type="dxa"/>
            <w:left w:w="108" w:type="dxa"/>
            <w:bottom w:w="0" w:type="dxa"/>
            <w:right w:w="108" w:type="dxa"/>
          </w:tblCellMar>
        </w:tblPrEx>
        <w:trPr>
          <w:trHeight w:val="602" w:hRule="atLeast"/>
        </w:trPr>
        <w:tc>
          <w:tcPr>
            <w:tcW w:w="435" w:type="pct"/>
            <w:vMerge w:val="continue"/>
            <w:tcBorders>
              <w:left w:val="single" w:color="000000" w:sz="2" w:space="0"/>
              <w:right w:val="single" w:color="000000" w:sz="2" w:space="0"/>
            </w:tcBorders>
            <w:shd w:val="clear" w:color="auto" w:fill="auto"/>
            <w:noWrap w:val="0"/>
            <w:vAlign w:val="center"/>
          </w:tcPr>
          <w:p w14:paraId="31DBC15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F8331D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BF0A5A">
            <w:pPr>
              <w:keepNext w:val="0"/>
              <w:keepLines w:val="0"/>
              <w:pageBreakBefore w:val="0"/>
              <w:kinsoku/>
              <w:wordWrap/>
              <w:overflowPunct/>
              <w:topLinePunct w:val="0"/>
              <w:bidi w:val="0"/>
              <w:adjustRightInd w:val="0"/>
              <w:snapToGrid w:val="0"/>
              <w:spacing w:beforeLines="25" w:line="360" w:lineRule="auto"/>
              <w:jc w:val="center"/>
              <w:rPr>
                <w:rFonts w:hint="default" w:ascii="宋体" w:hAnsi="宋体" w:cs="宋体-18030" w:eastAsiaTheme="minorEastAsia"/>
                <w:color w:val="auto"/>
                <w:kern w:val="2"/>
                <w:sz w:val="21"/>
                <w:szCs w:val="21"/>
                <w:highlight w:val="none"/>
                <w:lang w:val="en-US" w:eastAsia="zh-CN" w:bidi="ar-SA"/>
              </w:rPr>
            </w:pPr>
            <w:r>
              <w:rPr>
                <w:rFonts w:hint="eastAsia" w:ascii="宋体" w:hAnsi="宋体" w:cs="宋体-18030"/>
                <w:color w:val="auto"/>
                <w:szCs w:val="21"/>
                <w:highlight w:val="none"/>
                <w:lang w:val="zh-CN"/>
              </w:rPr>
              <w:t>其他要求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D8993">
            <w:pPr>
              <w:keepNext w:val="0"/>
              <w:keepLines w:val="0"/>
              <w:pageBreakBefore w:val="0"/>
              <w:kinsoku/>
              <w:wordWrap/>
              <w:overflowPunct/>
              <w:topLinePunct w:val="0"/>
              <w:bidi w:val="0"/>
              <w:adjustRightInd w:val="0"/>
              <w:snapToGrid w:val="0"/>
              <w:spacing w:beforeLines="25" w:line="360" w:lineRule="auto"/>
              <w:rPr>
                <w:rFonts w:ascii="宋体" w:hAnsi="宋体"/>
                <w:b w:val="0"/>
                <w:bCs w:val="0"/>
                <w:color w:val="auto"/>
                <w:highlight w:val="none"/>
              </w:rPr>
            </w:pPr>
            <w:r>
              <w:rPr>
                <w:rFonts w:hint="eastAsia" w:ascii="宋体" w:hAnsi="宋体"/>
                <w:b w:val="0"/>
                <w:bCs w:val="0"/>
                <w:color w:val="auto"/>
                <w:highlight w:val="none"/>
              </w:rPr>
              <w:t>1、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0B8F5EC">
            <w:pPr>
              <w:keepNext w:val="0"/>
              <w:keepLines w:val="0"/>
              <w:pageBreakBefore w:val="0"/>
              <w:kinsoku/>
              <w:wordWrap/>
              <w:overflowPunct/>
              <w:topLinePunct w:val="0"/>
              <w:bidi w:val="0"/>
              <w:adjustRightInd w:val="0"/>
              <w:snapToGrid w:val="0"/>
              <w:spacing w:beforeLines="25" w:line="360" w:lineRule="auto"/>
              <w:rPr>
                <w:rFonts w:hint="eastAsia" w:ascii="宋体" w:hAnsi="宋体" w:cs="宋体" w:eastAsiaTheme="minorEastAsia"/>
                <w:b w:val="0"/>
                <w:bCs w:val="0"/>
                <w:color w:val="auto"/>
                <w:kern w:val="2"/>
                <w:sz w:val="21"/>
                <w:szCs w:val="21"/>
                <w:highlight w:val="none"/>
                <w:lang w:val="zh-CN" w:eastAsia="zh-CN" w:bidi="ar-SA"/>
              </w:rPr>
            </w:pPr>
            <w:r>
              <w:rPr>
                <w:rFonts w:hint="eastAsia" w:ascii="宋体" w:hAnsi="宋体" w:cs="宋体"/>
                <w:b w:val="0"/>
                <w:bCs w:val="0"/>
                <w:color w:val="auto"/>
                <w:szCs w:val="21"/>
                <w:highlight w:val="none"/>
              </w:rPr>
              <w:t>2</w:t>
            </w:r>
            <w:r>
              <w:rPr>
                <w:rFonts w:hint="eastAsia" w:ascii="宋体" w:hAnsi="宋体"/>
                <w:b w:val="0"/>
                <w:bCs w:val="0"/>
                <w:color w:val="auto"/>
                <w:highlight w:val="none"/>
              </w:rPr>
              <w:t>、法定代表人为同一人的两个及两个以上的法人，母公司与全资子公司/由其控股的子公司不得同时参与本项目</w:t>
            </w:r>
            <w:r>
              <w:rPr>
                <w:rFonts w:hint="eastAsia" w:ascii="宋体" w:hAnsi="宋体" w:cs="宋体"/>
                <w:b w:val="0"/>
                <w:bCs w:val="0"/>
                <w:color w:val="auto"/>
                <w:szCs w:val="21"/>
                <w:highlight w:val="none"/>
              </w:rPr>
              <w:t>（附</w:t>
            </w:r>
            <w:r>
              <w:rPr>
                <w:rFonts w:hint="eastAsia" w:ascii="宋体" w:hAnsi="宋体"/>
                <w:b w:val="0"/>
                <w:bCs w:val="0"/>
                <w:color w:val="auto"/>
                <w:szCs w:val="21"/>
                <w:highlight w:val="none"/>
              </w:rPr>
              <w:t>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b w:val="0"/>
                <w:bCs w:val="0"/>
                <w:color w:val="auto"/>
                <w:szCs w:val="21"/>
                <w:highlight w:val="none"/>
              </w:rPr>
              <w:t>公章的承诺书）</w:t>
            </w:r>
          </w:p>
        </w:tc>
      </w:tr>
      <w:tr w14:paraId="44842C00">
        <w:tblPrEx>
          <w:shd w:val="clear" w:color="auto" w:fill="auto"/>
          <w:tblCellMar>
            <w:top w:w="0" w:type="dxa"/>
            <w:left w:w="108" w:type="dxa"/>
            <w:bottom w:w="0" w:type="dxa"/>
            <w:right w:w="108" w:type="dxa"/>
          </w:tblCellMar>
        </w:tblPrEx>
        <w:trPr>
          <w:trHeight w:val="602" w:hRule="atLeast"/>
        </w:trPr>
        <w:tc>
          <w:tcPr>
            <w:tcW w:w="435" w:type="pct"/>
            <w:tcBorders>
              <w:left w:val="single" w:color="000000" w:sz="2" w:space="0"/>
              <w:right w:val="single" w:color="000000" w:sz="2" w:space="0"/>
            </w:tcBorders>
            <w:shd w:val="clear" w:color="auto" w:fill="auto"/>
            <w:noWrap w:val="0"/>
            <w:vAlign w:val="center"/>
          </w:tcPr>
          <w:p w14:paraId="1A226CF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tcBorders>
              <w:left w:val="single" w:color="000000" w:sz="2" w:space="0"/>
              <w:right w:val="single" w:color="000000" w:sz="2" w:space="0"/>
            </w:tcBorders>
            <w:shd w:val="clear" w:color="auto" w:fill="auto"/>
            <w:noWrap w:val="0"/>
            <w:vAlign w:val="center"/>
          </w:tcPr>
          <w:p w14:paraId="22CEC96F">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D50BBA">
            <w:pPr>
              <w:keepNext w:val="0"/>
              <w:keepLines w:val="0"/>
              <w:pageBreakBefore w:val="0"/>
              <w:kinsoku/>
              <w:wordWrap/>
              <w:overflowPunct/>
              <w:topLinePunct w:val="0"/>
              <w:bidi w:val="0"/>
              <w:adjustRightInd w:val="0"/>
              <w:snapToGrid w:val="0"/>
              <w:spacing w:beforeLines="25" w:line="360" w:lineRule="auto"/>
              <w:jc w:val="center"/>
              <w:rPr>
                <w:rFonts w:hint="eastAsia" w:ascii="宋体" w:hAnsi="宋体" w:cs="宋体-18030"/>
                <w:color w:val="auto"/>
                <w:szCs w:val="21"/>
                <w:highlight w:val="none"/>
                <w:lang w:val="zh-CN"/>
              </w:rPr>
            </w:pPr>
            <w:r>
              <w:rPr>
                <w:rFonts w:hint="eastAsia" w:ascii="宋体" w:hAnsi="宋体" w:cs="宋体-18030"/>
                <w:color w:val="auto"/>
                <w:szCs w:val="21"/>
                <w:highlight w:val="none"/>
                <w:lang w:val="zh-CN"/>
              </w:rPr>
              <w:t>承诺函</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B68B6">
            <w:pPr>
              <w:keepNext w:val="0"/>
              <w:keepLines w:val="0"/>
              <w:pageBreakBefore w:val="0"/>
              <w:kinsoku/>
              <w:wordWrap/>
              <w:overflowPunct/>
              <w:topLinePunct w:val="0"/>
              <w:bidi w:val="0"/>
              <w:adjustRightInd w:val="0"/>
              <w:snapToGrid w:val="0"/>
              <w:spacing w:beforeLines="25"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中小企业须提供中小企业声明函(中小企业提供);“大型供应商须将本采购项目中 30%份额分包给一家或多家中小企业”的承诺函</w:t>
            </w:r>
            <w:r>
              <w:rPr>
                <w:rFonts w:hint="eastAsia" w:ascii="宋体" w:hAnsi="宋体" w:cs="宋体"/>
                <w:b w:val="0"/>
                <w:bCs w:val="0"/>
                <w:color w:val="auto"/>
                <w:szCs w:val="21"/>
                <w:highlight w:val="none"/>
                <w:lang w:val="en-US" w:eastAsia="zh-CN"/>
              </w:rPr>
              <w:t>及</w:t>
            </w:r>
            <w:r>
              <w:rPr>
                <w:rFonts w:hint="eastAsia" w:ascii="宋体" w:hAnsi="宋体" w:cs="宋体"/>
                <w:color w:val="auto"/>
                <w:kern w:val="0"/>
                <w:sz w:val="21"/>
                <w:szCs w:val="21"/>
                <w:highlight w:val="none"/>
              </w:rPr>
              <w:t>签订分包意向协议的中小企业</w:t>
            </w:r>
            <w:r>
              <w:rPr>
                <w:rFonts w:hint="eastAsia" w:ascii="宋体" w:hAnsi="宋体" w:cs="宋体"/>
                <w:color w:val="auto"/>
                <w:kern w:val="0"/>
                <w:sz w:val="21"/>
                <w:szCs w:val="21"/>
                <w:highlight w:val="none"/>
                <w:lang w:val="en-US" w:eastAsia="zh-CN"/>
              </w:rPr>
              <w:t>的</w:t>
            </w:r>
            <w:r>
              <w:rPr>
                <w:rFonts w:hint="eastAsia" w:ascii="宋体" w:hAnsi="宋体" w:cs="宋体"/>
                <w:b w:val="0"/>
                <w:bCs w:val="0"/>
                <w:color w:val="auto"/>
                <w:szCs w:val="21"/>
                <w:highlight w:val="none"/>
              </w:rPr>
              <w:t>中小企业声明函(大型企业提供)。</w:t>
            </w:r>
          </w:p>
        </w:tc>
      </w:tr>
      <w:tr w14:paraId="169F65D1">
        <w:tblPrEx>
          <w:shd w:val="clear" w:color="auto" w:fill="auto"/>
          <w:tblCellMar>
            <w:top w:w="0" w:type="dxa"/>
            <w:left w:w="108" w:type="dxa"/>
            <w:bottom w:w="0" w:type="dxa"/>
            <w:right w:w="108" w:type="dxa"/>
          </w:tblCellMar>
        </w:tblPrEx>
        <w:trPr>
          <w:trHeight w:val="400"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4400B940">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kern w:val="0"/>
                <w:sz w:val="22"/>
                <w:szCs w:val="22"/>
                <w:highlight w:val="none"/>
                <w:lang w:val="zh-CN" w:eastAsia="zh-CN"/>
              </w:rPr>
            </w:pPr>
            <w:r>
              <w:rPr>
                <w:rFonts w:hint="eastAsia" w:ascii="宋体" w:hAnsi="宋体" w:cs="宋体"/>
                <w:kern w:val="0"/>
                <w:highlight w:val="none"/>
              </w:rPr>
              <w:t>2.1.</w:t>
            </w:r>
            <w:r>
              <w:rPr>
                <w:rFonts w:hint="eastAsia" w:ascii="宋体" w:hAnsi="宋体" w:cs="宋体"/>
                <w:kern w:val="0"/>
                <w:highlight w:val="none"/>
                <w:lang w:val="en-US" w:eastAsia="zh-CN"/>
              </w:rPr>
              <w:t>2</w:t>
            </w:r>
          </w:p>
        </w:tc>
        <w:tc>
          <w:tcPr>
            <w:tcW w:w="391" w:type="pct"/>
            <w:vMerge w:val="restart"/>
            <w:tcBorders>
              <w:top w:val="single" w:color="auto" w:sz="4" w:space="0"/>
              <w:left w:val="single" w:color="000000" w:sz="2" w:space="0"/>
              <w:right w:val="single" w:color="000000" w:sz="2" w:space="0"/>
            </w:tcBorders>
            <w:shd w:val="clear" w:color="auto" w:fill="auto"/>
            <w:noWrap w:val="0"/>
            <w:vAlign w:val="center"/>
          </w:tcPr>
          <w:p w14:paraId="6DA8E55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响应性评审标准</w:t>
            </w:r>
          </w:p>
        </w:tc>
        <w:tc>
          <w:tcPr>
            <w:tcW w:w="1050"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35B1743">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投标内容</w:t>
            </w:r>
          </w:p>
        </w:tc>
        <w:tc>
          <w:tcPr>
            <w:tcW w:w="3123"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E16E456">
            <w:pPr>
              <w:keepNext w:val="0"/>
              <w:keepLines w:val="0"/>
              <w:pageBreakBefore w:val="0"/>
              <w:kinsoku/>
              <w:wordWrap/>
              <w:overflowPunct/>
              <w:topLinePunct w:val="0"/>
              <w:bidi w:val="0"/>
              <w:spacing w:line="360" w:lineRule="auto"/>
              <w:jc w:val="left"/>
              <w:rPr>
                <w:rFonts w:hint="default" w:ascii="宋体" w:hAnsi="宋体" w:eastAsia="宋体" w:cs="宋体"/>
                <w:kern w:val="0"/>
                <w:sz w:val="22"/>
                <w:szCs w:val="22"/>
                <w:highlight w:val="none"/>
                <w:lang w:val="en-US" w:eastAsia="zh-CN"/>
              </w:rPr>
            </w:pPr>
            <w:r>
              <w:rPr>
                <w:rFonts w:hint="eastAsia" w:ascii="宋体" w:hAnsi="宋体" w:cs="宋体"/>
                <w:bCs/>
                <w:highlight w:val="none"/>
              </w:rPr>
              <w:t>符合</w:t>
            </w:r>
            <w:r>
              <w:rPr>
                <w:rFonts w:hint="eastAsia" w:ascii="宋体" w:hAnsi="宋体" w:cs="宋体"/>
                <w:bCs/>
                <w:highlight w:val="none"/>
                <w:lang w:val="en-US" w:eastAsia="zh-CN"/>
              </w:rPr>
              <w:t>招标文件要求</w:t>
            </w:r>
          </w:p>
        </w:tc>
      </w:tr>
      <w:tr w14:paraId="0B54BA60">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1CCF0E3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8BE618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4136E4">
            <w:pPr>
              <w:keepNext w:val="0"/>
              <w:keepLines w:val="0"/>
              <w:pageBreakBefore w:val="0"/>
              <w:kinsoku/>
              <w:wordWrap/>
              <w:overflowPunct/>
              <w:topLinePunct w:val="0"/>
              <w:bidi w:val="0"/>
              <w:spacing w:line="360" w:lineRule="auto"/>
              <w:jc w:val="center"/>
              <w:rPr>
                <w:rFonts w:hint="default" w:ascii="宋体" w:hAnsi="宋体" w:cs="宋体"/>
                <w:color w:val="auto"/>
                <w:highlight w:val="none"/>
                <w:lang w:val="en-US" w:eastAsia="zh-CN"/>
              </w:rPr>
            </w:pPr>
            <w:r>
              <w:rPr>
                <w:rFonts w:hint="default" w:ascii="宋体" w:hAnsi="宋体" w:cs="宋体"/>
                <w:color w:val="auto"/>
                <w:highlight w:val="none"/>
                <w:lang w:val="en-US" w:eastAsia="zh-CN"/>
              </w:rPr>
              <w:t>合同履行期限(交货期限)</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0E8C0DD">
            <w:pPr>
              <w:keepNext w:val="0"/>
              <w:keepLines w:val="0"/>
              <w:pageBreakBefore w:val="0"/>
              <w:kinsoku/>
              <w:wordWrap/>
              <w:overflowPunct/>
              <w:topLinePunct w:val="0"/>
              <w:bidi w:val="0"/>
              <w:spacing w:line="360" w:lineRule="auto"/>
              <w:jc w:val="left"/>
              <w:rPr>
                <w:rFonts w:hint="eastAsia" w:ascii="宋体" w:hAnsi="宋体" w:cs="宋体"/>
                <w:color w:val="auto"/>
                <w:highlight w:val="none"/>
                <w:lang w:val="zh-CN"/>
              </w:rPr>
            </w:pPr>
            <w:r>
              <w:rPr>
                <w:rFonts w:hint="eastAsia" w:ascii="宋体" w:hAnsi="宋体" w:cs="宋体"/>
                <w:color w:val="auto"/>
                <w:highlight w:val="none"/>
                <w:lang w:val="zh-CN"/>
              </w:rPr>
              <w:t>合同订立后</w:t>
            </w:r>
            <w:r>
              <w:rPr>
                <w:rFonts w:hint="eastAsia" w:ascii="宋体" w:hAnsi="宋体" w:cs="宋体"/>
                <w:color w:val="auto"/>
                <w:highlight w:val="none"/>
                <w:lang w:val="en-US" w:eastAsia="zh-CN"/>
              </w:rPr>
              <w:t>30</w:t>
            </w:r>
            <w:r>
              <w:rPr>
                <w:rFonts w:hint="eastAsia" w:ascii="宋体" w:hAnsi="宋体" w:cs="宋体"/>
                <w:color w:val="auto"/>
                <w:highlight w:val="none"/>
                <w:lang w:val="zh-CN"/>
              </w:rPr>
              <w:t>天内交货</w:t>
            </w:r>
            <w:r>
              <w:rPr>
                <w:rFonts w:hint="eastAsia" w:ascii="宋体" w:hAnsi="宋体" w:cs="宋体"/>
                <w:color w:val="auto"/>
                <w:highlight w:val="none"/>
                <w:lang w:val="zh-CN" w:eastAsia="zh-CN"/>
              </w:rPr>
              <w:t>，并安装完毕</w:t>
            </w:r>
            <w:r>
              <w:rPr>
                <w:rFonts w:hint="eastAsia" w:ascii="宋体" w:hAnsi="宋体" w:cs="宋体"/>
                <w:color w:val="auto"/>
                <w:highlight w:val="none"/>
                <w:lang w:val="zh-CN"/>
              </w:rPr>
              <w:t>。</w:t>
            </w:r>
          </w:p>
        </w:tc>
      </w:tr>
      <w:tr w14:paraId="5A5B671B">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0796570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D8B9E1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5644C3D">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rPr>
            </w:pPr>
            <w:r>
              <w:rPr>
                <w:rFonts w:hint="eastAsia" w:ascii="宋体" w:hAnsi="宋体" w:cs="宋体"/>
                <w:highlight w:val="none"/>
              </w:rPr>
              <w:t>质量要求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C614918">
            <w:pPr>
              <w:keepNext w:val="0"/>
              <w:keepLines w:val="0"/>
              <w:pageBreakBefore w:val="0"/>
              <w:kinsoku/>
              <w:wordWrap/>
              <w:overflowPunct/>
              <w:topLinePunct w:val="0"/>
              <w:bidi w:val="0"/>
              <w:spacing w:line="360" w:lineRule="auto"/>
              <w:jc w:val="left"/>
              <w:rPr>
                <w:rFonts w:ascii="宋体" w:hAnsi="宋体" w:cs="宋体"/>
                <w:kern w:val="0"/>
                <w:highlight w:val="none"/>
                <w:lang w:val="zh-CN"/>
              </w:rPr>
            </w:pPr>
            <w:r>
              <w:rPr>
                <w:rFonts w:hint="eastAsia" w:ascii="宋体" w:hAnsi="宋体" w:cs="宋体"/>
                <w:kern w:val="0"/>
                <w:highlight w:val="none"/>
                <w:lang w:val="zh-CN"/>
              </w:rPr>
              <w:t>符合现行国家、行业、地方或者其他相关标准的合格要求</w:t>
            </w:r>
          </w:p>
        </w:tc>
      </w:tr>
      <w:tr w14:paraId="0ECD6B7E">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B58AE3F">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8CEC4E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CFE44C9">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投标有效期</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7EE05F6">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投标截止之日起90日历天</w:t>
            </w:r>
          </w:p>
        </w:tc>
      </w:tr>
      <w:tr w14:paraId="26CD5893">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3A846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E3C02E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FB37A5">
            <w:pPr>
              <w:keepNext w:val="0"/>
              <w:keepLines w:val="0"/>
              <w:pageBreakBefore w:val="0"/>
              <w:kinsoku/>
              <w:wordWrap/>
              <w:overflowPunct/>
              <w:topLinePunct w:val="0"/>
              <w:bidi w:val="0"/>
              <w:adjustRightInd w:val="0"/>
              <w:snapToGrid w:val="0"/>
              <w:spacing w:line="360" w:lineRule="auto"/>
              <w:jc w:val="center"/>
              <w:rPr>
                <w:rFonts w:ascii="宋体" w:hAnsi="宋体" w:cs="宋体"/>
                <w:kern w:val="0"/>
                <w:sz w:val="22"/>
                <w:szCs w:val="22"/>
                <w:highlight w:val="none"/>
                <w:lang w:val="zh-CN"/>
              </w:rPr>
            </w:pPr>
            <w:r>
              <w:rPr>
                <w:rFonts w:hint="eastAsia" w:ascii="宋体" w:hAnsi="宋体" w:cs="宋体"/>
                <w:bCs/>
                <w:kern w:val="15"/>
                <w:highlight w:val="none"/>
              </w:rPr>
              <w:t>权利义务</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441927">
            <w:pPr>
              <w:keepNext w:val="0"/>
              <w:keepLines w:val="0"/>
              <w:pageBreakBefore w:val="0"/>
              <w:kinsoku/>
              <w:wordWrap/>
              <w:overflowPunct/>
              <w:topLinePunct w:val="0"/>
              <w:bidi w:val="0"/>
              <w:adjustRightInd w:val="0"/>
              <w:snapToGrid w:val="0"/>
              <w:spacing w:line="360" w:lineRule="auto"/>
              <w:rPr>
                <w:rFonts w:ascii="宋体" w:hAnsi="宋体" w:cs="宋体"/>
                <w:kern w:val="0"/>
                <w:sz w:val="22"/>
                <w:szCs w:val="22"/>
                <w:highlight w:val="none"/>
                <w:lang w:val="zh-CN"/>
              </w:rPr>
            </w:pPr>
            <w:r>
              <w:rPr>
                <w:rFonts w:hint="eastAsia" w:ascii="宋体" w:hAnsi="宋体" w:cs="宋体"/>
                <w:bCs/>
                <w:kern w:val="15"/>
                <w:highlight w:val="none"/>
              </w:rPr>
              <w:t>符合第四章“合同条款及格式”规定</w:t>
            </w:r>
          </w:p>
        </w:tc>
      </w:tr>
      <w:tr w14:paraId="788333F2">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9F2D56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60A7B9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BB3385F">
            <w:pPr>
              <w:keepNext w:val="0"/>
              <w:keepLines w:val="0"/>
              <w:pageBreakBefore w:val="0"/>
              <w:kinsoku/>
              <w:wordWrap/>
              <w:overflowPunct/>
              <w:topLinePunct w:val="0"/>
              <w:bidi w:val="0"/>
              <w:adjustRightInd w:val="0"/>
              <w:snapToGrid w:val="0"/>
              <w:spacing w:line="360" w:lineRule="auto"/>
              <w:jc w:val="center"/>
              <w:rPr>
                <w:rFonts w:hint="default" w:ascii="宋体" w:hAnsi="宋体" w:eastAsia="宋体" w:cs="宋体"/>
                <w:bCs/>
                <w:kern w:val="15"/>
                <w:highlight w:val="none"/>
                <w:lang w:val="en-US" w:eastAsia="zh-CN"/>
              </w:rPr>
            </w:pPr>
            <w:r>
              <w:rPr>
                <w:rFonts w:hint="eastAsia" w:ascii="宋体" w:hAnsi="宋体" w:cs="宋体"/>
                <w:bCs/>
                <w:kern w:val="15"/>
                <w:highlight w:val="none"/>
                <w:lang w:val="en-US" w:eastAsia="zh-CN"/>
              </w:rPr>
              <w:t>投标报价</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686535A">
            <w:pPr>
              <w:keepNext w:val="0"/>
              <w:keepLines w:val="0"/>
              <w:pageBreakBefore w:val="0"/>
              <w:kinsoku/>
              <w:wordWrap/>
              <w:overflowPunct/>
              <w:topLinePunct w:val="0"/>
              <w:bidi w:val="0"/>
              <w:adjustRightInd w:val="0"/>
              <w:snapToGrid w:val="0"/>
              <w:spacing w:line="360" w:lineRule="auto"/>
              <w:rPr>
                <w:rFonts w:hint="default" w:ascii="宋体" w:hAnsi="宋体" w:eastAsia="宋体" w:cs="宋体"/>
                <w:bCs/>
                <w:kern w:val="15"/>
                <w:highlight w:val="none"/>
                <w:lang w:val="en-US" w:eastAsia="zh-CN"/>
              </w:rPr>
            </w:pPr>
            <w:r>
              <w:rPr>
                <w:rFonts w:hint="eastAsia" w:hAnsi="宋体" w:cs="宋体"/>
                <w:b w:val="0"/>
                <w:bCs w:val="0"/>
                <w:color w:val="auto"/>
                <w:highlight w:val="none"/>
                <w:lang w:val="en-US" w:eastAsia="zh-CN"/>
              </w:rPr>
              <w:t>投标报价总价不得超过采购预算最高投标限价，各分项报价不得超过采购人提供各分项报价最高投标限价。</w:t>
            </w:r>
          </w:p>
        </w:tc>
      </w:tr>
      <w:tr w14:paraId="1A318102">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right w:val="single" w:color="000000" w:sz="2" w:space="0"/>
            </w:tcBorders>
            <w:shd w:val="clear" w:color="auto" w:fill="auto"/>
            <w:noWrap w:val="0"/>
            <w:vAlign w:val="center"/>
          </w:tcPr>
          <w:p w14:paraId="4D2B659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4F0CF82">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6444DA">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技术标准与要求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3819B13">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符合采购需求</w:t>
            </w:r>
            <w:r>
              <w:rPr>
                <w:rFonts w:hint="eastAsia" w:ascii="宋体" w:hAnsi="宋体" w:cs="宋体"/>
                <w:bCs/>
                <w:highlight w:val="none"/>
                <w:lang w:val="zh-CN"/>
              </w:rPr>
              <w:t>要求</w:t>
            </w:r>
            <w:r>
              <w:rPr>
                <w:rFonts w:hint="eastAsia" w:ascii="宋体" w:hAnsi="宋体" w:cs="宋体"/>
                <w:bCs/>
                <w:highlight w:val="none"/>
              </w:rPr>
              <w:t>规定</w:t>
            </w:r>
            <w:r>
              <w:rPr>
                <w:rFonts w:hint="eastAsia" w:ascii="宋体" w:hAnsi="宋体" w:cs="宋体"/>
                <w:bCs/>
                <w:highlight w:val="none"/>
                <w:lang w:eastAsia="zh-CN"/>
              </w:rPr>
              <w:t>（</w:t>
            </w: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r>
              <w:rPr>
                <w:rFonts w:hint="eastAsia" w:ascii="宋体" w:hAnsi="宋体" w:cs="宋体"/>
                <w:bCs/>
                <w:highlight w:val="none"/>
                <w:lang w:eastAsia="zh-CN"/>
              </w:rPr>
              <w:t>）</w:t>
            </w:r>
          </w:p>
        </w:tc>
      </w:tr>
      <w:tr w14:paraId="25C01215">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38479F7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bottom w:val="single" w:color="000000" w:sz="2" w:space="0"/>
              <w:right w:val="single" w:color="000000" w:sz="2" w:space="0"/>
            </w:tcBorders>
            <w:shd w:val="clear" w:color="auto" w:fill="auto"/>
            <w:noWrap w:val="0"/>
            <w:vAlign w:val="center"/>
          </w:tcPr>
          <w:p w14:paraId="3C927A4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B6F748">
            <w:pPr>
              <w:keepNext w:val="0"/>
              <w:keepLines w:val="0"/>
              <w:pageBreakBefore w:val="0"/>
              <w:kinsoku/>
              <w:wordWrap/>
              <w:overflowPunct/>
              <w:topLinePunct w:val="0"/>
              <w:bidi w:val="0"/>
              <w:spacing w:line="360" w:lineRule="auto"/>
              <w:jc w:val="center"/>
              <w:rPr>
                <w:rFonts w:hint="eastAsia" w:ascii="宋体" w:hAnsi="宋体" w:cs="宋体" w:eastAsiaTheme="minorEastAsia"/>
                <w:bCs/>
                <w:highlight w:val="none"/>
                <w:lang w:eastAsia="zh-CN"/>
              </w:rPr>
            </w:pPr>
            <w:r>
              <w:rPr>
                <w:rFonts w:hint="eastAsia" w:ascii="宋体" w:hAnsi="宋体" w:cs="宋体"/>
                <w:bCs/>
                <w:highlight w:val="none"/>
                <w:lang w:eastAsia="zh-CN"/>
              </w:rPr>
              <w:t>其他要求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A8D66DE">
            <w:pPr>
              <w:keepNext w:val="0"/>
              <w:keepLines w:val="0"/>
              <w:pageBreakBefore w:val="0"/>
              <w:kinsoku/>
              <w:wordWrap/>
              <w:overflowPunct/>
              <w:topLinePunct w:val="0"/>
              <w:bidi w:val="0"/>
              <w:spacing w:line="360" w:lineRule="auto"/>
              <w:jc w:val="left"/>
              <w:rPr>
                <w:rFonts w:hint="eastAsia" w:ascii="宋体" w:hAnsi="宋体" w:cs="宋体"/>
                <w:bCs/>
                <w:highlight w:val="none"/>
              </w:rPr>
            </w:pPr>
            <w:r>
              <w:rPr>
                <w:rFonts w:hint="eastAsia" w:ascii="宋体" w:hAnsi="宋体" w:cs="宋体"/>
                <w:bCs/>
                <w:highlight w:val="none"/>
              </w:rPr>
              <w:t>满足招标文件的其他实质性要求</w:t>
            </w:r>
          </w:p>
        </w:tc>
      </w:tr>
    </w:tbl>
    <w:p w14:paraId="0F479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评审。每项审查内容合格打“√”，不合格打“×”。评审结论写“合格”或“不合格”。不合格须注明原因。</w:t>
      </w:r>
    </w:p>
    <w:p w14:paraId="7A75D7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630DA780">
      <w:pPr>
        <w:autoSpaceDE w:val="0"/>
        <w:autoSpaceDN w:val="0"/>
        <w:adjustRightInd w:val="0"/>
        <w:spacing w:line="360" w:lineRule="auto"/>
        <w:jc w:val="center"/>
        <w:rPr>
          <w:rFonts w:hint="eastAsia" w:ascii="宋体" w:hAnsi="宋体" w:cs="宋体-18030"/>
          <w:kern w:val="0"/>
          <w:highlight w:val="none"/>
        </w:rPr>
      </w:pPr>
      <w:r>
        <w:rPr>
          <w:rFonts w:hint="eastAsia" w:ascii="宋体"/>
          <w:b/>
          <w:bCs/>
          <w:sz w:val="32"/>
          <w:highlight w:val="none"/>
        </w:rPr>
        <w:br w:type="page"/>
      </w:r>
      <w:r>
        <w:rPr>
          <w:rFonts w:hint="eastAsia" w:ascii="宋体" w:hAnsi="宋体" w:cs="宋体-18030"/>
          <w:kern w:val="0"/>
          <w:sz w:val="28"/>
          <w:szCs w:val="28"/>
          <w:highlight w:val="none"/>
        </w:rPr>
        <w:t>评标办法前附表(二)</w:t>
      </w:r>
    </w:p>
    <w:p w14:paraId="31F428E2">
      <w:pPr>
        <w:spacing w:line="360" w:lineRule="auto"/>
        <w:jc w:val="center"/>
        <w:rPr>
          <w:rFonts w:hint="eastAsia" w:ascii="宋体"/>
          <w:b/>
          <w:bCs/>
          <w:sz w:val="28"/>
          <w:szCs w:val="28"/>
          <w:highlight w:val="none"/>
          <w:lang w:eastAsia="zh-CN"/>
        </w:rPr>
      </w:pPr>
      <w:r>
        <w:rPr>
          <w:rFonts w:hint="eastAsia" w:ascii="宋体"/>
          <w:b/>
          <w:bCs/>
          <w:sz w:val="28"/>
          <w:szCs w:val="28"/>
          <w:highlight w:val="none"/>
          <w:lang w:eastAsia="zh-CN"/>
        </w:rPr>
        <w:t>详细评审表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746"/>
        <w:gridCol w:w="954"/>
        <w:gridCol w:w="5130"/>
        <w:gridCol w:w="775"/>
      </w:tblGrid>
      <w:tr w14:paraId="367E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33" w:type="pct"/>
            <w:shd w:val="pct10" w:color="auto" w:fill="auto"/>
            <w:vAlign w:val="center"/>
          </w:tcPr>
          <w:p w14:paraId="718DEAC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31E41C8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权重比例</w:t>
            </w:r>
          </w:p>
        </w:tc>
        <w:tc>
          <w:tcPr>
            <w:tcW w:w="3572" w:type="pct"/>
            <w:gridSpan w:val="2"/>
            <w:shd w:val="pct10" w:color="auto" w:fill="auto"/>
            <w:vAlign w:val="center"/>
          </w:tcPr>
          <w:p w14:paraId="178E660C">
            <w:pPr>
              <w:keepNext w:val="0"/>
              <w:keepLines w:val="0"/>
              <w:pageBreakBefore w:val="0"/>
              <w:kinsoku/>
              <w:wordWrap/>
              <w:overflowPunct/>
              <w:topLinePunct w:val="0"/>
              <w:autoSpaceDE/>
              <w:autoSpaceDN/>
              <w:bidi w:val="0"/>
              <w:adjustRightInd/>
              <w:spacing w:line="360" w:lineRule="auto"/>
              <w:ind w:firstLine="480"/>
              <w:jc w:val="center"/>
              <w:textAlignment w:val="auto"/>
              <w:rPr>
                <w:rFonts w:eastAsia="宋体"/>
                <w:b/>
                <w:bCs/>
                <w:sz w:val="21"/>
                <w:szCs w:val="21"/>
              </w:rPr>
            </w:pPr>
            <w:r>
              <w:rPr>
                <w:rFonts w:hint="eastAsia" w:eastAsia="宋体"/>
                <w:b/>
                <w:bCs/>
                <w:sz w:val="21"/>
                <w:szCs w:val="21"/>
              </w:rPr>
              <w:t>评议子项</w:t>
            </w:r>
          </w:p>
        </w:tc>
        <w:tc>
          <w:tcPr>
            <w:tcW w:w="455" w:type="pct"/>
            <w:shd w:val="pct10" w:color="auto" w:fill="auto"/>
            <w:vAlign w:val="center"/>
          </w:tcPr>
          <w:p w14:paraId="1A45203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分值</w:t>
            </w:r>
          </w:p>
        </w:tc>
      </w:tr>
      <w:tr w14:paraId="7497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3" w:type="pct"/>
            <w:vAlign w:val="center"/>
          </w:tcPr>
          <w:p w14:paraId="2936977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价格</w:t>
            </w:r>
          </w:p>
          <w:p w14:paraId="7C920B6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sz w:val="21"/>
                <w:szCs w:val="21"/>
              </w:rPr>
            </w:pPr>
            <w:r>
              <w:rPr>
                <w:rFonts w:hint="eastAsia" w:eastAsia="宋体"/>
                <w:sz w:val="21"/>
                <w:szCs w:val="21"/>
              </w:rPr>
              <w:t>因素</w:t>
            </w:r>
          </w:p>
        </w:tc>
        <w:tc>
          <w:tcPr>
            <w:tcW w:w="438" w:type="pct"/>
            <w:vAlign w:val="center"/>
          </w:tcPr>
          <w:p w14:paraId="64DB074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72" w:type="pct"/>
            <w:gridSpan w:val="2"/>
            <w:vAlign w:val="center"/>
          </w:tcPr>
          <w:p w14:paraId="606C407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满足采购文件要求且价格最低的有效报价为评审基准价，其价格分为满分。其他</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的价格分统一按照下列公式计算：</w:t>
            </w:r>
          </w:p>
          <w:p w14:paraId="32D5C1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415B4B7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44D7FE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bidi="ar"/>
              </w:rPr>
              <w:t>评标委员会认为</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的报价明显低于其他通过符合性审查</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的报价，有可能影响产品质量或者不能诚信履约的，应当要求其在合理的时间内提供书面说明，必要时提交相关证明材料；</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不能证明其报价合理性的，评标委员会应当将其作为无效投标处理。(《中华人民共和国财政部令》第87号第六十条)。</w:t>
            </w:r>
          </w:p>
        </w:tc>
        <w:tc>
          <w:tcPr>
            <w:tcW w:w="455" w:type="pct"/>
            <w:vAlign w:val="center"/>
          </w:tcPr>
          <w:p w14:paraId="7E9F6E8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7B2C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restart"/>
            <w:vAlign w:val="center"/>
          </w:tcPr>
          <w:p w14:paraId="38DB7C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商务</w:t>
            </w:r>
          </w:p>
          <w:p w14:paraId="3CD2919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部分</w:t>
            </w:r>
          </w:p>
        </w:tc>
        <w:tc>
          <w:tcPr>
            <w:tcW w:w="438" w:type="pct"/>
            <w:vMerge w:val="restart"/>
            <w:vAlign w:val="center"/>
          </w:tcPr>
          <w:p w14:paraId="0CAF916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560" w:type="pct"/>
            <w:vAlign w:val="center"/>
          </w:tcPr>
          <w:p w14:paraId="392A54C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类似</w:t>
            </w:r>
          </w:p>
          <w:p w14:paraId="7993DD4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业绩</w:t>
            </w:r>
          </w:p>
        </w:tc>
        <w:tc>
          <w:tcPr>
            <w:tcW w:w="3012" w:type="pct"/>
            <w:vAlign w:val="center"/>
          </w:tcPr>
          <w:p w14:paraId="5626C10C">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投标人须提供近年(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月1日-至今）</w:t>
            </w:r>
            <w:r>
              <w:rPr>
                <w:rFonts w:hint="eastAsia" w:ascii="宋体" w:hAnsi="宋体" w:eastAsia="宋体" w:cs="宋体"/>
                <w:sz w:val="21"/>
                <w:szCs w:val="21"/>
                <w:highlight w:val="none"/>
                <w:lang w:val="zh-CN" w:eastAsia="zh-CN"/>
              </w:rPr>
              <w:t>类似业绩，每有一项得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w:t>
            </w:r>
          </w:p>
          <w:p w14:paraId="36E619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注：标书内须提供相关证明材料扫描件(中标通知书或合同协议书复印件)。</w:t>
            </w:r>
          </w:p>
        </w:tc>
        <w:tc>
          <w:tcPr>
            <w:tcW w:w="455" w:type="pct"/>
            <w:vAlign w:val="center"/>
          </w:tcPr>
          <w:p w14:paraId="7D96A17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w:t>
            </w:r>
          </w:p>
        </w:tc>
      </w:tr>
      <w:tr w14:paraId="70D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continue"/>
            <w:vAlign w:val="center"/>
          </w:tcPr>
          <w:p w14:paraId="04363CD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38CEE92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4606D53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p>
          <w:p w14:paraId="4A1D409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承诺</w:t>
            </w:r>
          </w:p>
        </w:tc>
        <w:tc>
          <w:tcPr>
            <w:tcW w:w="3012" w:type="pct"/>
            <w:shd w:val="clear" w:color="auto" w:fill="auto"/>
            <w:vAlign w:val="center"/>
          </w:tcPr>
          <w:p w14:paraId="0BC822F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对提出的采购人可以接受的合理服务承诺进行打分，每有一项实质性承诺得1分，最多得4分。</w:t>
            </w:r>
          </w:p>
        </w:tc>
        <w:tc>
          <w:tcPr>
            <w:tcW w:w="455" w:type="pct"/>
            <w:shd w:val="clear" w:color="auto" w:fill="auto"/>
            <w:vAlign w:val="center"/>
          </w:tcPr>
          <w:p w14:paraId="490ACB5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08C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continue"/>
            <w:vAlign w:val="center"/>
          </w:tcPr>
          <w:p w14:paraId="2CDE6E4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6B6EFD4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7855C94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w:t>
            </w:r>
          </w:p>
          <w:p w14:paraId="13CDFE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服务</w:t>
            </w:r>
          </w:p>
        </w:tc>
        <w:tc>
          <w:tcPr>
            <w:tcW w:w="3012" w:type="pct"/>
            <w:shd w:val="clear" w:color="auto" w:fill="auto"/>
            <w:vAlign w:val="center"/>
          </w:tcPr>
          <w:p w14:paraId="1192042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对提出的采购人可以接受的实质</w:t>
            </w:r>
            <w:r>
              <w:rPr>
                <w:rFonts w:hint="eastAsia" w:ascii="宋体" w:hAnsi="宋体" w:eastAsia="宋体" w:cs="宋体"/>
                <w:sz w:val="21"/>
                <w:szCs w:val="21"/>
                <w:lang w:val="en-US" w:eastAsia="zh-CN"/>
              </w:rPr>
              <w:t>增值服务</w:t>
            </w:r>
            <w:r>
              <w:rPr>
                <w:rFonts w:hint="eastAsia" w:ascii="宋体" w:hAnsi="宋体" w:eastAsia="宋体" w:cs="宋体"/>
                <w:color w:val="auto"/>
                <w:kern w:val="2"/>
                <w:sz w:val="21"/>
                <w:szCs w:val="21"/>
                <w:highlight w:val="none"/>
                <w:lang w:val="en-US" w:eastAsia="zh-CN" w:bidi="ar-SA"/>
              </w:rPr>
              <w:t>进行打分，每有一项实质性承诺得1分，最多得4分。</w:t>
            </w:r>
          </w:p>
        </w:tc>
        <w:tc>
          <w:tcPr>
            <w:tcW w:w="455" w:type="pct"/>
            <w:shd w:val="clear" w:color="auto" w:fill="auto"/>
            <w:vAlign w:val="center"/>
          </w:tcPr>
          <w:p w14:paraId="148BF8D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296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restart"/>
            <w:vAlign w:val="center"/>
          </w:tcPr>
          <w:p w14:paraId="50C1037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9D395F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CCE04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BBA993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228F26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7CE7E8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FFC003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935D66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197FA2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7ED762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93F715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40FE3C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D95F88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965EBC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80B438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5ADD39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ABB74D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118B97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6CDBBD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AA859C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E1808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85D4DF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2B3AE5F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16C51C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46E0AC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EEC675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566D483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r>
              <w:rPr>
                <w:rFonts w:hint="eastAsia" w:ascii="宋体" w:hAnsi="宋体" w:eastAsia="宋体" w:cs="宋体"/>
                <w:sz w:val="21"/>
                <w:szCs w:val="21"/>
                <w:highlight w:val="none"/>
                <w:lang w:val="en-US" w:eastAsia="zh-CN"/>
              </w:rPr>
              <w:t>部分</w:t>
            </w:r>
          </w:p>
          <w:p w14:paraId="07B3E32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restart"/>
            <w:vAlign w:val="center"/>
          </w:tcPr>
          <w:p w14:paraId="67E7C57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569978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7054F0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902701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9F8BCC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87BA77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069FB9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425CCA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230BDF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EDE5B0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4C9BFC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46BEEA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4B66A2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2BD7AC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A1F616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78C4F7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E4B106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DE33F1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00DA81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7A9968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6DD433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983B1D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12FF8B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66CE48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A20B9A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DD8F9E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188F2A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60分</w:t>
            </w:r>
          </w:p>
        </w:tc>
        <w:tc>
          <w:tcPr>
            <w:tcW w:w="560" w:type="pct"/>
            <w:shd w:val="clear" w:color="auto" w:fill="auto"/>
            <w:vAlign w:val="center"/>
          </w:tcPr>
          <w:p w14:paraId="2FB65D0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技术指标</w:t>
            </w:r>
          </w:p>
        </w:tc>
        <w:tc>
          <w:tcPr>
            <w:tcW w:w="3012" w:type="pct"/>
            <w:shd w:val="clear" w:color="auto" w:fill="auto"/>
            <w:vAlign w:val="center"/>
          </w:tcPr>
          <w:p w14:paraId="7075927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投标产品技术参数、规格型号、品牌、性能等有详细说明，无缺漏项，选型合理，配置齐全，优于或完全满足招标文件要求得10分。每有一项负偏离扣 1 分，扣完为止。</w:t>
            </w:r>
          </w:p>
          <w:p w14:paraId="6152A47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技术参数需提供证明材料进行佐证，否则视为负偏离，包括但不限于产品彩页、产品说明书、官网功能截图等任一技术支持性文件（资料）等，并经评审专家审定方可计分。）（具体技术参数中有明确的证明材料要求的以具体技术参数中的要求为准）</w:t>
            </w:r>
          </w:p>
        </w:tc>
        <w:tc>
          <w:tcPr>
            <w:tcW w:w="455" w:type="pct"/>
            <w:vAlign w:val="center"/>
          </w:tcPr>
          <w:p w14:paraId="42DB460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F0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continue"/>
            <w:vAlign w:val="center"/>
          </w:tcPr>
          <w:p w14:paraId="186A86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continue"/>
            <w:vAlign w:val="center"/>
          </w:tcPr>
          <w:p w14:paraId="21C327E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p>
        </w:tc>
        <w:tc>
          <w:tcPr>
            <w:tcW w:w="560" w:type="pct"/>
            <w:vAlign w:val="center"/>
          </w:tcPr>
          <w:p w14:paraId="7512525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供货</w:t>
            </w:r>
          </w:p>
          <w:p w14:paraId="7B368B6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0000FF"/>
                <w:sz w:val="21"/>
                <w:szCs w:val="21"/>
                <w:lang w:val="en-US" w:eastAsia="zh-CN"/>
              </w:rPr>
            </w:pPr>
            <w:r>
              <w:rPr>
                <w:rFonts w:hint="eastAsia" w:eastAsia="宋体" w:cs="宋体"/>
                <w:sz w:val="21"/>
                <w:szCs w:val="21"/>
                <w:lang w:val="en-US" w:eastAsia="zh-CN"/>
              </w:rPr>
              <w:t>方案</w:t>
            </w:r>
          </w:p>
        </w:tc>
        <w:tc>
          <w:tcPr>
            <w:tcW w:w="3012" w:type="pct"/>
            <w:vAlign w:val="center"/>
          </w:tcPr>
          <w:p w14:paraId="6B758F6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lang w:val="en-US" w:eastAsia="zh-CN"/>
              </w:rPr>
              <w:t>供应商针对于本项目制定相应的供货方案,包含但不限于以下几个方面：</w:t>
            </w:r>
          </w:p>
          <w:p w14:paraId="62EDA99A">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1、货物检验；</w:t>
            </w:r>
          </w:p>
          <w:p w14:paraId="4C8F418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2、检验措施</w:t>
            </w:r>
          </w:p>
          <w:p w14:paraId="30DF3DA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3、供货人员配置；</w:t>
            </w:r>
          </w:p>
          <w:p w14:paraId="1D2FB289">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4、货物保障；</w:t>
            </w:r>
          </w:p>
          <w:p w14:paraId="2C4E7F5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5、供货计划，</w:t>
            </w:r>
          </w:p>
          <w:p w14:paraId="6B260B6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FF"/>
                <w:sz w:val="21"/>
                <w:szCs w:val="21"/>
                <w:lang w:val="en-US" w:eastAsia="zh-CN"/>
              </w:rPr>
            </w:pPr>
            <w:r>
              <w:rPr>
                <w:rFonts w:hint="eastAsia" w:ascii="宋体" w:hAnsi="宋体" w:eastAsia="宋体" w:cs="宋体"/>
                <w:sz w:val="21"/>
                <w:szCs w:val="21"/>
                <w:highlight w:val="none"/>
                <w:lang w:val="en-US" w:eastAsia="zh-CN"/>
              </w:rPr>
              <w:t>以上五项内容每提供一小项内容适用于项目且无缺失的方案得2分，方案有缺失的得1分，满分10分，未提供的得0分。</w:t>
            </w:r>
          </w:p>
        </w:tc>
        <w:tc>
          <w:tcPr>
            <w:tcW w:w="455" w:type="pct"/>
            <w:vAlign w:val="center"/>
          </w:tcPr>
          <w:p w14:paraId="2B614F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6FD7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3C4DEF4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pPr>
          </w:p>
        </w:tc>
        <w:tc>
          <w:tcPr>
            <w:tcW w:w="438" w:type="pct"/>
            <w:vMerge w:val="continue"/>
            <w:vAlign w:val="center"/>
          </w:tcPr>
          <w:p w14:paraId="56C6E31B">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p>
        </w:tc>
        <w:tc>
          <w:tcPr>
            <w:tcW w:w="560" w:type="pct"/>
            <w:vAlign w:val="center"/>
          </w:tcPr>
          <w:p w14:paraId="67BA872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运输</w:t>
            </w:r>
          </w:p>
          <w:p w14:paraId="2E46470A">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r>
              <w:rPr>
                <w:rFonts w:hint="eastAsia" w:eastAsia="宋体" w:cs="宋体"/>
                <w:sz w:val="21"/>
                <w:szCs w:val="21"/>
                <w:lang w:val="en-US" w:eastAsia="zh-CN"/>
              </w:rPr>
              <w:t>方案</w:t>
            </w:r>
          </w:p>
        </w:tc>
        <w:tc>
          <w:tcPr>
            <w:tcW w:w="3012" w:type="pct"/>
            <w:vAlign w:val="center"/>
          </w:tcPr>
          <w:p w14:paraId="197D38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供应商针对于本项目编制切实可行的配送运输方案，保证货物的安全抵达，包含但不限于以下几个方面：</w:t>
            </w:r>
          </w:p>
          <w:p w14:paraId="1F90747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1、运输车辆配备；</w:t>
            </w:r>
          </w:p>
          <w:p w14:paraId="2BD5B8C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2、运行安全控制；</w:t>
            </w:r>
          </w:p>
          <w:p w14:paraId="630B4EA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3、运输安全保障控制；</w:t>
            </w:r>
          </w:p>
          <w:p w14:paraId="01831C5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4、技术安全措施；</w:t>
            </w:r>
          </w:p>
          <w:p w14:paraId="3BAB2D2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5、运输应急预案及处理。</w:t>
            </w:r>
          </w:p>
          <w:p w14:paraId="5B7FE7BC">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64854F7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B6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6D95CCE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5087363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6D0C01D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质量保证措施方案</w:t>
            </w:r>
          </w:p>
        </w:tc>
        <w:tc>
          <w:tcPr>
            <w:tcW w:w="3012" w:type="pct"/>
            <w:vAlign w:val="center"/>
          </w:tcPr>
          <w:p w14:paraId="0042A5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供应商针对于本项目制定相应的产品质量保证措施方案,包含但不限于以下几个方面：</w:t>
            </w:r>
          </w:p>
          <w:p w14:paraId="7E0023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1、质量保障措施；</w:t>
            </w:r>
          </w:p>
          <w:p w14:paraId="13643B0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2、质量方针及目标；</w:t>
            </w:r>
          </w:p>
          <w:p w14:paraId="0A2C9D4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3、质量标准及技术响应；</w:t>
            </w:r>
          </w:p>
          <w:p w14:paraId="6F9BEF6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4、质量保证依据；</w:t>
            </w:r>
          </w:p>
          <w:p w14:paraId="265C6FF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5、质量保证原则， </w:t>
            </w:r>
          </w:p>
          <w:p w14:paraId="7294013B">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AE406B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EC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43351B9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7C67EDF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10271E5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安装实施方案</w:t>
            </w:r>
          </w:p>
        </w:tc>
        <w:tc>
          <w:tcPr>
            <w:tcW w:w="3012" w:type="pct"/>
            <w:vAlign w:val="center"/>
          </w:tcPr>
          <w:p w14:paraId="2FB61F3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供应商针对于本项目制定相应的产品安装实施方案,包含但不限于以下几个方面：</w:t>
            </w:r>
          </w:p>
          <w:p w14:paraId="0EA62E8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1、安装施工流程；</w:t>
            </w:r>
          </w:p>
          <w:p w14:paraId="34BF663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2、安装人员配置；</w:t>
            </w:r>
          </w:p>
          <w:p w14:paraId="0D7CE57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3、安装应急预案；</w:t>
            </w:r>
          </w:p>
          <w:p w14:paraId="07618E6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4、工具设备清单；</w:t>
            </w:r>
          </w:p>
          <w:p w14:paraId="754EDD36">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5、安全管理措施，</w:t>
            </w:r>
          </w:p>
          <w:p w14:paraId="7A42A042">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23B6B4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4FA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4DEC97C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0677E5D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4DD2CEB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设备调试方案</w:t>
            </w:r>
          </w:p>
        </w:tc>
        <w:tc>
          <w:tcPr>
            <w:tcW w:w="3012" w:type="pct"/>
            <w:vAlign w:val="center"/>
          </w:tcPr>
          <w:p w14:paraId="6F7D083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供应商针对于本项目制定相应的产品设备调试方案,包含但不限于以下几个方面：</w:t>
            </w:r>
          </w:p>
          <w:p w14:paraId="0744E52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1、调试准备方案；</w:t>
            </w:r>
          </w:p>
          <w:p w14:paraId="091A40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2、调试流程与步骤；</w:t>
            </w:r>
          </w:p>
          <w:p w14:paraId="1C9AE1A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3、调试测试内容；</w:t>
            </w:r>
          </w:p>
          <w:p w14:paraId="0C9240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4、调试问题处理措施；</w:t>
            </w:r>
          </w:p>
          <w:p w14:paraId="601F26BA">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5、调试后验收衔接方案，</w:t>
            </w:r>
          </w:p>
          <w:p w14:paraId="7C0BBABB">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以上五项方案每提供一小项内容适用于项目且无缺失的方案得1分，方案有缺失的得0.5分，满分5分，未提供的得0分。</w:t>
            </w:r>
          </w:p>
        </w:tc>
        <w:tc>
          <w:tcPr>
            <w:tcW w:w="455" w:type="pct"/>
            <w:vAlign w:val="center"/>
          </w:tcPr>
          <w:p w14:paraId="6C5A20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5</w:t>
            </w:r>
          </w:p>
        </w:tc>
      </w:tr>
      <w:tr w14:paraId="3D59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3" w:type="pct"/>
            <w:vMerge w:val="continue"/>
            <w:vAlign w:val="center"/>
          </w:tcPr>
          <w:p w14:paraId="2639F7F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continue"/>
            <w:vAlign w:val="center"/>
          </w:tcPr>
          <w:p w14:paraId="037E7D3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p>
        </w:tc>
        <w:tc>
          <w:tcPr>
            <w:tcW w:w="560" w:type="pct"/>
            <w:vAlign w:val="center"/>
          </w:tcPr>
          <w:p w14:paraId="1ABB46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售后服务方案</w:t>
            </w:r>
          </w:p>
        </w:tc>
        <w:tc>
          <w:tcPr>
            <w:tcW w:w="3012" w:type="pct"/>
            <w:vAlign w:val="center"/>
          </w:tcPr>
          <w:p w14:paraId="7505B8C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供应商针对于本项目编制切实可行的售后服务方案，包含但不限于以下几个方面：</w:t>
            </w:r>
          </w:p>
          <w:p w14:paraId="6DAE8CD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1、响应机制；</w:t>
            </w:r>
          </w:p>
          <w:p w14:paraId="73AB9A4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2、售后服务流程；</w:t>
            </w:r>
          </w:p>
          <w:p w14:paraId="79A4D56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3、售后服务保障措施；</w:t>
            </w:r>
          </w:p>
          <w:p w14:paraId="72CDA75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4、应急保障措施；</w:t>
            </w:r>
          </w:p>
          <w:p w14:paraId="147B098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5、培训方案。</w:t>
            </w:r>
          </w:p>
          <w:p w14:paraId="17A6FED6">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sz w:val="21"/>
                <w:szCs w:val="21"/>
                <w:lang w:val="en-US" w:eastAsia="zh-CN"/>
              </w:rPr>
            </w:pPr>
            <w:r>
              <w:rPr>
                <w:rFonts w:hint="eastAsia" w:ascii="宋体" w:hAnsi="宋体" w:eastAsia="宋体" w:cs="宋体"/>
                <w:b w:val="0"/>
                <w:bCs w:val="0"/>
                <w:sz w:val="21"/>
                <w:szCs w:val="21"/>
                <w:lang w:val="en-US" w:eastAsia="zh-CN"/>
              </w:rPr>
              <w:t>以上五项方案每提供一小项内容适用于项目且无缺失的方案得1分，方案有缺失的得0.5分，满分5分，未提供的得0分。</w:t>
            </w:r>
          </w:p>
        </w:tc>
        <w:tc>
          <w:tcPr>
            <w:tcW w:w="455" w:type="pct"/>
            <w:vAlign w:val="center"/>
          </w:tcPr>
          <w:p w14:paraId="14CAF4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5</w:t>
            </w:r>
          </w:p>
        </w:tc>
      </w:tr>
    </w:tbl>
    <w:p w14:paraId="738C52AA">
      <w:pPr>
        <w:rPr>
          <w:rFonts w:hint="eastAsia" w:ascii="宋体" w:hAnsi="宋体" w:eastAsia="宋体" w:cs="宋体"/>
          <w:b/>
          <w:highlight w:val="none"/>
        </w:rPr>
      </w:pPr>
      <w:r>
        <w:rPr>
          <w:rFonts w:hint="eastAsia" w:ascii="宋体" w:hAnsi="宋体" w:eastAsia="宋体" w:cs="宋体"/>
          <w:b/>
          <w:highlight w:val="none"/>
        </w:rPr>
        <w:br w:type="page"/>
      </w:r>
    </w:p>
    <w:p w14:paraId="34BE25D2">
      <w:pPr>
        <w:rPr>
          <w:rFonts w:hint="eastAsia" w:ascii="宋体" w:hAnsi="宋体" w:eastAsia="宋体" w:cs="宋体"/>
          <w:b/>
          <w:highlight w:val="none"/>
        </w:rPr>
      </w:pPr>
    </w:p>
    <w:p w14:paraId="29A667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hint="eastAsia" w:ascii="宋体" w:hAnsi="宋体" w:eastAsia="宋体" w:cs="宋体"/>
          <w:b/>
          <w:highlight w:val="none"/>
        </w:rPr>
        <w:t xml:space="preserve">1.评标方法 </w:t>
      </w:r>
    </w:p>
    <w:p w14:paraId="70CBF6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highlight w:val="none"/>
        </w:rPr>
      </w:pPr>
      <w:r>
        <w:rPr>
          <w:rFonts w:hint="eastAsia" w:ascii="宋体" w:hAnsi="宋体" w:cs="宋体"/>
          <w:highlight w:val="none"/>
        </w:rPr>
        <w:t>本次评标采用综合评分法。评标委员会对满足招标文件实质性要求的投标文件，按照本章第2.2 款规定的评分标准进行打分，并按得分由高到低顺序推荐中标候选人，或根据</w:t>
      </w:r>
      <w:r>
        <w:rPr>
          <w:rFonts w:hint="eastAsia" w:ascii="宋体" w:hAnsi="宋体" w:cs="宋体"/>
          <w:highlight w:val="none"/>
          <w:lang w:eastAsia="zh-CN"/>
        </w:rPr>
        <w:t>采购人</w:t>
      </w:r>
      <w:r>
        <w:rPr>
          <w:rFonts w:hint="eastAsia" w:ascii="宋体" w:hAnsi="宋体" w:cs="宋体"/>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4AA50E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2.评审标准 </w:t>
      </w:r>
    </w:p>
    <w:p w14:paraId="651D554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2.1  初步评审标准 </w:t>
      </w:r>
    </w:p>
    <w:p w14:paraId="323B24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2.1.1 形式评审标准：见评标办法前附表。 </w:t>
      </w:r>
    </w:p>
    <w:p w14:paraId="3AC1EC3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2.1.2 资格评审标准：见评标办法前附表。 </w:t>
      </w:r>
    </w:p>
    <w:p w14:paraId="3D75C07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2.1.3 响应性评审标准：见评标办法前附表。 </w:t>
      </w:r>
    </w:p>
    <w:p w14:paraId="7FBF213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ascii="宋体" w:hAnsi="宋体"/>
          <w:b/>
          <w:highlight w:val="none"/>
        </w:rPr>
        <w:t xml:space="preserve">2.2  分值构成与评分标准 </w:t>
      </w:r>
    </w:p>
    <w:p w14:paraId="48F511AD">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2.2.1 分值构成 </w:t>
      </w:r>
    </w:p>
    <w:p w14:paraId="1C82D06C">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（1）</w:t>
      </w:r>
      <w:r>
        <w:rPr>
          <w:rFonts w:hint="eastAsia" w:ascii="宋体" w:hAnsi="宋体"/>
          <w:highlight w:val="none"/>
        </w:rPr>
        <w:t>技术</w:t>
      </w:r>
      <w:r>
        <w:rPr>
          <w:rFonts w:ascii="宋体" w:hAnsi="宋体"/>
          <w:highlight w:val="none"/>
        </w:rPr>
        <w:t xml:space="preserve">部分：见评标办法前附表； </w:t>
      </w:r>
    </w:p>
    <w:p w14:paraId="72F2C2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）投标报价：见评标办法前附表； </w:t>
      </w:r>
    </w:p>
    <w:p w14:paraId="63109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w:t>
      </w:r>
      <w:r>
        <w:rPr>
          <w:rFonts w:hint="eastAsia" w:ascii="宋体" w:hAnsi="宋体"/>
          <w:highlight w:val="none"/>
        </w:rPr>
        <w:t>商务部分</w:t>
      </w:r>
      <w:r>
        <w:rPr>
          <w:rFonts w:ascii="宋体" w:hAnsi="宋体"/>
          <w:highlight w:val="none"/>
        </w:rPr>
        <w:t xml:space="preserve">：见评标办法前附表。 </w:t>
      </w:r>
    </w:p>
    <w:p w14:paraId="202DBA63">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2.2.2 评标基准价计算 </w:t>
      </w:r>
    </w:p>
    <w:p w14:paraId="3809681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见评标办法前附表。 </w:t>
      </w:r>
    </w:p>
    <w:p w14:paraId="297C2EE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2.2.3 投标报价</w:t>
      </w:r>
      <w:r>
        <w:rPr>
          <w:rFonts w:hint="eastAsia" w:ascii="宋体" w:hAnsi="宋体"/>
          <w:highlight w:val="none"/>
        </w:rPr>
        <w:t>得分</w:t>
      </w:r>
      <w:r>
        <w:rPr>
          <w:rFonts w:ascii="宋体" w:hAnsi="宋体"/>
          <w:highlight w:val="none"/>
        </w:rPr>
        <w:t xml:space="preserve">计算 </w:t>
      </w:r>
    </w:p>
    <w:p w14:paraId="49D09AF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见评标办法前附表。 </w:t>
      </w:r>
    </w:p>
    <w:p w14:paraId="4996F7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2.2.4 评分标准 </w:t>
      </w:r>
    </w:p>
    <w:p w14:paraId="0AEFE00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技术部分</w:t>
      </w:r>
      <w:r>
        <w:rPr>
          <w:rFonts w:ascii="宋体" w:hAnsi="宋体"/>
          <w:highlight w:val="none"/>
        </w:rPr>
        <w:t xml:space="preserve">评分标准：见评标办法前附表； </w:t>
      </w:r>
    </w:p>
    <w:p w14:paraId="235351A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）投标报价评分标准：见评标办法前附表； </w:t>
      </w:r>
    </w:p>
    <w:p w14:paraId="69BC440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 xml:space="preserve">）评分标准：见评标办法前附表。 </w:t>
      </w:r>
    </w:p>
    <w:p w14:paraId="199A84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3.评标程序 </w:t>
      </w:r>
    </w:p>
    <w:p w14:paraId="2FE8F3B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3.1  初步评审 </w:t>
      </w:r>
    </w:p>
    <w:p w14:paraId="2F6467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highlight w:val="none"/>
        </w:rPr>
        <w:t>只有当通过初步评审的投标单位超过3家（包含3家），此次招标才能进入详细评审，否则视为具有竞争性的投标单位不足3家，应重新组织招标。</w:t>
      </w:r>
    </w:p>
    <w:p w14:paraId="3F7785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5A01E7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3.1.2  投标人有以下情形之一的，评标委员会应当否决其投标： </w:t>
      </w:r>
    </w:p>
    <w:p w14:paraId="5FB8E0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（1）投标文件没有对招标文件的实质性要求和条件作出响应，或者对招标文件的偏差超出招标文件规定的偏差范围或最高项数； </w:t>
      </w:r>
    </w:p>
    <w:p w14:paraId="3F0F5CE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（2）有串通投标、弄虚作假、行贿等违法行为。 </w:t>
      </w:r>
    </w:p>
    <w:p w14:paraId="6CBF77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5A30AF7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投标文件中开标一览表（报价表）内容与投标文件中相应内容不一致的，以开标一览表（报价表）为准；</w:t>
      </w:r>
      <w:r>
        <w:rPr>
          <w:rFonts w:ascii="宋体" w:hAnsi="宋体"/>
          <w:highlight w:val="none"/>
        </w:rPr>
        <w:t xml:space="preserve"> </w:t>
      </w:r>
    </w:p>
    <w:p w14:paraId="4E3C00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（2）投标文件中的大写金额与小写金额不一致的，以大写金额为准；</w:t>
      </w:r>
    </w:p>
    <w:p w14:paraId="745960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w:t>
      </w:r>
      <w:r>
        <w:rPr>
          <w:rFonts w:ascii="宋体" w:hAnsi="宋体"/>
          <w:highlight w:val="none"/>
        </w:rPr>
        <w:t>总价金额与单价金额不一致的，以单价金额为准，但单价金额小数点有明显错误的除外</w:t>
      </w:r>
      <w:r>
        <w:rPr>
          <w:rFonts w:hint="eastAsia" w:ascii="宋体" w:hAnsi="宋体"/>
          <w:highlight w:val="none"/>
        </w:rPr>
        <w:t>；</w:t>
      </w:r>
    </w:p>
    <w:p w14:paraId="3CDAF9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（4）单价金额小数点或者百分比有明显错位的，以开标一览表的总价为准，并修改单价；</w:t>
      </w:r>
    </w:p>
    <w:p w14:paraId="1800DD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3.1.4 投标人存在下列情形之一的，投标无效：</w:t>
      </w:r>
    </w:p>
    <w:p w14:paraId="7CF0F2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（1）投标文件未按采购文件要求签署、盖章的；</w:t>
      </w:r>
    </w:p>
    <w:p w14:paraId="3FB6C4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（2）不具备采购文件中规定的资格要求的；</w:t>
      </w:r>
    </w:p>
    <w:p w14:paraId="26A89A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（3）报价超过采购文件中规定的预算金额或者最高限价的；</w:t>
      </w:r>
    </w:p>
    <w:p w14:paraId="68BC55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（4）投标文件含有采购人不能接受的附加条件的;</w:t>
      </w:r>
    </w:p>
    <w:p w14:paraId="253A28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（5）法律、法规和采购文件规定的其他无效情形。</w:t>
      </w:r>
    </w:p>
    <w:p w14:paraId="47C4EF4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 xml:space="preserve"> 3.1.4有下列情形之一的，视为投标人串通投标，其投标无效：</w:t>
      </w:r>
    </w:p>
    <w:p w14:paraId="64512C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（1）不同投标人的投标文件由同一单位或者个人编制；</w:t>
      </w:r>
    </w:p>
    <w:p w14:paraId="37B7E6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（2）不同投标人委托同一单位或者个人办理投标事宜；</w:t>
      </w:r>
    </w:p>
    <w:p w14:paraId="199DD6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（3）不同投标人的投标文件载明的项目管理成员或者联系人员为同一人；</w:t>
      </w:r>
    </w:p>
    <w:p w14:paraId="352412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（4）不同投标人的投标文件异常一致或者投标报价呈规律性差异；</w:t>
      </w:r>
    </w:p>
    <w:p w14:paraId="760024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（5）不同投标人的投标文件相互混装；</w:t>
      </w:r>
    </w:p>
    <w:p w14:paraId="5F429D1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3.2  详细评审 </w:t>
      </w:r>
    </w:p>
    <w:p w14:paraId="7FCC96B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3.2.1</w:t>
      </w:r>
      <w:r>
        <w:rPr>
          <w:rFonts w:hint="eastAsia" w:ascii="宋体" w:hAnsi="宋体"/>
          <w:highlight w:val="none"/>
        </w:rPr>
        <w:t>只有通过初步评审的投标人才能进入后续评审。</w:t>
      </w:r>
      <w:r>
        <w:rPr>
          <w:rFonts w:ascii="宋体" w:hAnsi="宋体"/>
          <w:highlight w:val="none"/>
        </w:rPr>
        <w:t xml:space="preserve">评标委员会按本章第2.2 款规定的量化因素和分值进行打分，并计算出综合评估得分。 </w:t>
      </w:r>
    </w:p>
    <w:p w14:paraId="380872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（1）按本章第2.2.4（1）目规定的评审因素和分值对技术部分计算出得分A； </w:t>
      </w:r>
    </w:p>
    <w:p w14:paraId="0FCF02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（2）按本章第2.2.4（2）目规定的评审因素和分值对</w:t>
      </w:r>
      <w:r>
        <w:rPr>
          <w:rFonts w:hint="eastAsia" w:ascii="宋体" w:hAnsi="宋体"/>
          <w:highlight w:val="none"/>
        </w:rPr>
        <w:t>投标</w:t>
      </w:r>
      <w:r>
        <w:rPr>
          <w:rFonts w:ascii="宋体" w:hAnsi="宋体"/>
          <w:highlight w:val="none"/>
        </w:rPr>
        <w:t xml:space="preserve">报价部分计算出得分B； </w:t>
      </w:r>
    </w:p>
    <w:p w14:paraId="467537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（3）按本章第2.2.4（3）目规定的评审因素和分值对</w:t>
      </w:r>
      <w:r>
        <w:rPr>
          <w:rFonts w:hint="eastAsia" w:ascii="宋体" w:hAnsi="宋体"/>
          <w:highlight w:val="none"/>
        </w:rPr>
        <w:t>商务部分</w:t>
      </w:r>
      <w:r>
        <w:rPr>
          <w:rFonts w:ascii="宋体" w:hAnsi="宋体"/>
          <w:highlight w:val="none"/>
        </w:rPr>
        <w:t xml:space="preserve">计算出得分C； </w:t>
      </w:r>
    </w:p>
    <w:p w14:paraId="7313348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3.2.2 评分分值计算保留小数点后两位，小数点后第三位“四舍五入”。 </w:t>
      </w:r>
    </w:p>
    <w:p w14:paraId="795B31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3.2.3 得分汇总E=A+B+C。</w:t>
      </w:r>
    </w:p>
    <w:p w14:paraId="535C92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Theme="minorEastAsia"/>
          <w:highlight w:val="none"/>
          <w:lang w:eastAsia="zh-CN"/>
        </w:rPr>
      </w:pPr>
      <w:r>
        <w:rPr>
          <w:rFonts w:hint="eastAsia" w:ascii="宋体" w:hAnsi="宋体"/>
          <w:highlight w:val="none"/>
        </w:rPr>
        <w:t xml:space="preserve">3.2.4 </w:t>
      </w:r>
      <w:r>
        <w:rPr>
          <w:rFonts w:hint="eastAsia" w:ascii="宋体" w:hAnsi="宋体"/>
          <w:highlight w:val="none"/>
          <w:lang w:eastAsia="zh-CN"/>
        </w:rPr>
        <w:t>投标人</w:t>
      </w:r>
      <w:r>
        <w:rPr>
          <w:rFonts w:hint="eastAsia" w:ascii="宋体" w:hAnsi="宋体"/>
          <w:highlight w:val="none"/>
        </w:rPr>
        <w:t>得分E=（E1+E2+E3+E4+E5）/</w:t>
      </w:r>
      <w:r>
        <w:rPr>
          <w:rFonts w:hint="eastAsia" w:ascii="宋体" w:hAnsi="宋体"/>
          <w:highlight w:val="none"/>
          <w:lang w:val="en-US" w:eastAsia="zh-CN"/>
        </w:rPr>
        <w:t>5</w:t>
      </w:r>
    </w:p>
    <w:p w14:paraId="02F75A76">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3.2.</w:t>
      </w:r>
      <w:r>
        <w:rPr>
          <w:rFonts w:hint="eastAsia" w:ascii="宋体" w:hAnsi="宋体"/>
          <w:highlight w:val="none"/>
        </w:rPr>
        <w:t>5</w:t>
      </w:r>
      <w:r>
        <w:rPr>
          <w:rFonts w:ascii="宋体" w:hAnsi="宋体"/>
          <w:highlight w:val="none"/>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4A4E5EC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hint="eastAsia" w:ascii="宋体" w:hAnsi="宋体"/>
          <w:highlight w:val="none"/>
        </w:rPr>
        <w:t>3.2.6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68C5A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3.3  投标文件的澄清 </w:t>
      </w:r>
    </w:p>
    <w:p w14:paraId="7E20BB7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420C22D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3.3.2  澄清、说明或补正不得超出投标文件的范围且不得改变投标文件的实质性内容，并构成投标文件的组成部分。 </w:t>
      </w:r>
    </w:p>
    <w:p w14:paraId="287B6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3.3.3  评标委员会对投标人提交的澄清、说明或补正有疑问的，可以要求投标人进一步澄清、说明或补正，直至满足评标委员会的要求。 </w:t>
      </w:r>
    </w:p>
    <w:p w14:paraId="376CC0B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3.4  评标结果 </w:t>
      </w:r>
    </w:p>
    <w:p w14:paraId="7CBE6F5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3.4.1 除第二章“投标人须知”前附表授权直接确定中标人外，评标委员会按照得分由高到低的顺序推荐中标候选人，并标明排序。 </w:t>
      </w:r>
    </w:p>
    <w:p w14:paraId="4CE8533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highlight w:val="none"/>
        </w:rPr>
      </w:pPr>
      <w:r>
        <w:rPr>
          <w:rFonts w:ascii="宋体" w:hAnsi="宋体"/>
          <w:highlight w:val="none"/>
        </w:rPr>
        <w:t>3.4.2  评标委员会完成评标后，应当向</w:t>
      </w:r>
      <w:r>
        <w:rPr>
          <w:rFonts w:hint="eastAsia" w:ascii="宋体" w:hAnsi="宋体"/>
          <w:highlight w:val="none"/>
          <w:lang w:eastAsia="zh-CN"/>
        </w:rPr>
        <w:t>采购人</w:t>
      </w:r>
      <w:r>
        <w:rPr>
          <w:rFonts w:ascii="宋体" w:hAnsi="宋体"/>
          <w:highlight w:val="none"/>
        </w:rPr>
        <w:t>提交书面评标报告和中标候选人名单。</w:t>
      </w:r>
      <w:r>
        <w:rPr>
          <w:rFonts w:hint="eastAsia" w:ascii="宋体" w:hAnsi="宋体" w:cs="宋体"/>
          <w:highlight w:val="none"/>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EEC6A20">
      <w:pPr>
        <w:rPr>
          <w:rFonts w:hint="eastAsia"/>
        </w:rPr>
      </w:pPr>
      <w:r>
        <w:rPr>
          <w:rFonts w:hint="eastAsia"/>
        </w:rPr>
        <w:br w:type="page"/>
      </w:r>
    </w:p>
    <w:p w14:paraId="23D50A50">
      <w:pPr>
        <w:numPr>
          <w:ilvl w:val="0"/>
          <w:numId w:val="4"/>
        </w:numPr>
        <w:jc w:val="center"/>
        <w:outlineLvl w:val="0"/>
        <w:rPr>
          <w:rFonts w:hint="eastAsia"/>
          <w:b/>
          <w:bCs/>
          <w:color w:val="000000"/>
          <w:sz w:val="32"/>
          <w:szCs w:val="32"/>
          <w:highlight w:val="none"/>
        </w:rPr>
      </w:pPr>
      <w:bookmarkStart w:id="23" w:name="_Toc7822"/>
      <w:r>
        <w:rPr>
          <w:rFonts w:hint="eastAsia"/>
          <w:b/>
          <w:bCs/>
          <w:color w:val="000000"/>
          <w:sz w:val="32"/>
          <w:szCs w:val="32"/>
          <w:highlight w:val="none"/>
        </w:rPr>
        <w:t xml:space="preserve"> </w:t>
      </w:r>
      <w:bookmarkStart w:id="24" w:name="_Toc25838"/>
      <w:r>
        <w:rPr>
          <w:rFonts w:hint="eastAsia"/>
          <w:b/>
          <w:bCs/>
          <w:color w:val="000000"/>
          <w:sz w:val="32"/>
          <w:szCs w:val="32"/>
          <w:highlight w:val="none"/>
        </w:rPr>
        <w:t>合同主要条款及格式</w:t>
      </w:r>
      <w:bookmarkEnd w:id="23"/>
      <w:r>
        <w:rPr>
          <w:rFonts w:hint="eastAsia" w:ascii="宋体" w:hAnsi="宋体" w:eastAsia="宋体" w:cs="宋体"/>
          <w:b/>
          <w:sz w:val="32"/>
          <w:szCs w:val="32"/>
          <w:highlight w:val="none"/>
        </w:rPr>
        <w:t>（参考格式）</w:t>
      </w:r>
      <w:bookmarkEnd w:id="24"/>
    </w:p>
    <w:p w14:paraId="4B66636A">
      <w:pPr>
        <w:spacing w:line="320" w:lineRule="exact"/>
        <w:rPr>
          <w:rFonts w:hint="eastAsia" w:ascii="宋体" w:cs="宋体"/>
          <w:highlight w:val="none"/>
        </w:rPr>
      </w:pPr>
    </w:p>
    <w:p w14:paraId="2C3A56FD">
      <w:pPr>
        <w:spacing w:line="320" w:lineRule="exact"/>
        <w:rPr>
          <w:rFonts w:hint="default" w:ascii="宋体" w:eastAsia="宋体" w:cs="宋体"/>
          <w:b/>
          <w:bCs/>
          <w:highlight w:val="none"/>
          <w:lang w:val="en-US" w:eastAsia="zh-CN"/>
        </w:rPr>
      </w:pPr>
      <w:r>
        <w:rPr>
          <w:rFonts w:hint="eastAsia" w:ascii="宋体" w:cs="宋体"/>
          <w:highlight w:val="none"/>
        </w:rPr>
        <w:t xml:space="preserve">      </w:t>
      </w:r>
    </w:p>
    <w:p w14:paraId="71518229">
      <w:pPr>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rPr>
        <w:t>以实际签订为准。</w:t>
      </w:r>
    </w:p>
    <w:p w14:paraId="53B7E181">
      <w:pPr>
        <w:pStyle w:val="9"/>
        <w:spacing w:line="240" w:lineRule="exact"/>
        <w:ind w:firstLine="800" w:firstLineChars="250"/>
        <w:rPr>
          <w:color w:val="FF0000"/>
          <w:highlight w:val="none"/>
        </w:rPr>
      </w:pPr>
    </w:p>
    <w:p w14:paraId="402CE2E0">
      <w:pPr>
        <w:autoSpaceDE w:val="0"/>
        <w:autoSpaceDN w:val="0"/>
        <w:adjustRightInd w:val="0"/>
        <w:rPr>
          <w:rFonts w:hint="eastAsia" w:ascii="宋体" w:cs="宋体"/>
          <w:color w:val="FF0000"/>
          <w:sz w:val="24"/>
          <w:szCs w:val="24"/>
          <w:highlight w:val="none"/>
        </w:rPr>
      </w:pPr>
    </w:p>
    <w:p w14:paraId="56C0EE42">
      <w:pPr>
        <w:rPr>
          <w:rFonts w:hint="eastAsia"/>
          <w:color w:val="FF0000"/>
          <w:highlight w:val="none"/>
        </w:rPr>
        <w:sectPr>
          <w:pgSz w:w="11906" w:h="16838"/>
          <w:pgMar w:top="1440" w:right="1803" w:bottom="1440" w:left="1803" w:header="708" w:footer="964" w:gutter="0"/>
          <w:pgNumType w:fmt="decimal" w:start="1"/>
          <w:cols w:space="720" w:num="1"/>
          <w:docGrid w:linePitch="360" w:charSpace="0"/>
        </w:sectPr>
      </w:pPr>
      <w:r>
        <w:rPr>
          <w:rFonts w:hint="eastAsia"/>
          <w:color w:val="FF0000"/>
          <w:highlight w:val="none"/>
        </w:rPr>
        <w:br w:type="page"/>
      </w:r>
    </w:p>
    <w:p w14:paraId="17CA1E16">
      <w:pPr>
        <w:spacing w:line="460" w:lineRule="exact"/>
        <w:jc w:val="center"/>
        <w:rPr>
          <w:rFonts w:hint="eastAsia" w:ascii="宋体" w:hAnsi="宋体"/>
          <w:b/>
          <w:sz w:val="32"/>
          <w:szCs w:val="32"/>
        </w:rPr>
      </w:pPr>
      <w:r>
        <w:rPr>
          <w:rFonts w:hint="eastAsia" w:ascii="宋体" w:hAnsi="宋体"/>
          <w:b/>
          <w:sz w:val="32"/>
          <w:szCs w:val="32"/>
        </w:rPr>
        <w:t>办公家具采购合同</w:t>
      </w:r>
    </w:p>
    <w:p w14:paraId="36B51045">
      <w:pPr>
        <w:spacing w:line="480" w:lineRule="exact"/>
        <w:jc w:val="center"/>
        <w:rPr>
          <w:rFonts w:hint="eastAsia" w:ascii="楷体_GB2312" w:eastAsia="仿宋_GB2312"/>
          <w:b/>
          <w:sz w:val="36"/>
        </w:rPr>
      </w:pPr>
    </w:p>
    <w:p w14:paraId="5BD394A6">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甲方（需方）：</w:t>
      </w:r>
    </w:p>
    <w:p w14:paraId="604FBDEA">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乙方（供方）：</w:t>
      </w:r>
    </w:p>
    <w:p w14:paraId="6B1B7196">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根据《中华人民共和国合同法》及相关法律规定，双方本着平等互利的原则，经双方协商，就乙方为甲方提供办公桌椅项目，一致达成如下协议：</w:t>
      </w:r>
    </w:p>
    <w:p w14:paraId="41C7104D">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一、质量要求：以甲方的要求为准。</w:t>
      </w:r>
    </w:p>
    <w:p w14:paraId="7D70BE85">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14:paraId="72D71A60">
      <w:pPr>
        <w:spacing w:line="480" w:lineRule="exact"/>
        <w:ind w:firstLine="420" w:firstLineChars="200"/>
        <w:rPr>
          <w:rFonts w:hint="eastAsia" w:ascii="宋体" w:hAnsi="宋体"/>
          <w:szCs w:val="24"/>
        </w:rPr>
      </w:pPr>
      <w:r>
        <w:rPr>
          <w:rFonts w:hint="eastAsia" w:ascii="宋体" w:hAnsi="宋体"/>
          <w:szCs w:val="24"/>
        </w:rPr>
        <w:t>三、交货时间：</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日内，乙方将货物送达甲方指定地点，并安装到位。</w:t>
      </w:r>
    </w:p>
    <w:p w14:paraId="6722DF6E">
      <w:pPr>
        <w:tabs>
          <w:tab w:val="left" w:pos="6360"/>
        </w:tabs>
        <w:spacing w:line="480" w:lineRule="exact"/>
        <w:ind w:firstLine="420" w:firstLineChars="200"/>
        <w:jc w:val="both"/>
        <w:rPr>
          <w:rFonts w:hint="eastAsia" w:ascii="宋体" w:hAnsi="宋体"/>
          <w:szCs w:val="24"/>
        </w:rPr>
      </w:pPr>
      <w:r>
        <w:rPr>
          <w:rFonts w:hint="eastAsia" w:ascii="宋体" w:hAnsi="宋体"/>
          <w:szCs w:val="24"/>
        </w:rPr>
        <w:t>四、交货地点：甲方指定地点。</w:t>
      </w:r>
    </w:p>
    <w:p w14:paraId="112DCCF9">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五、合同总价款(含税含运费)：</w:t>
      </w:r>
      <w:r>
        <w:rPr>
          <w:rFonts w:hint="eastAsia" w:ascii="宋体" w:hAnsi="宋体"/>
          <w:b/>
          <w:szCs w:val="24"/>
          <w:u w:val="single"/>
        </w:rPr>
        <w:t xml:space="preserve">                    </w:t>
      </w:r>
      <w:r>
        <w:rPr>
          <w:rFonts w:hint="eastAsia" w:ascii="宋体" w:hAnsi="宋体"/>
          <w:szCs w:val="24"/>
        </w:rPr>
        <w:t>元。购置清单附后。</w:t>
      </w:r>
    </w:p>
    <w:p w14:paraId="551BF6CD">
      <w:pPr>
        <w:spacing w:line="480" w:lineRule="exact"/>
        <w:ind w:firstLine="420" w:firstLineChars="200"/>
        <w:rPr>
          <w:rFonts w:hint="eastAsia" w:ascii="宋体" w:hAnsi="宋体"/>
          <w:szCs w:val="24"/>
        </w:rPr>
      </w:pPr>
      <w:r>
        <w:rPr>
          <w:rFonts w:hint="eastAsia" w:ascii="宋体" w:hAnsi="宋体"/>
          <w:szCs w:val="24"/>
        </w:rPr>
        <w:t>具体到货数量以甲方电话通知为准，乙方应在甲方通知后</w:t>
      </w:r>
      <w:r>
        <w:rPr>
          <w:rFonts w:hint="eastAsia" w:ascii="宋体" w:hAnsi="宋体"/>
          <w:szCs w:val="24"/>
          <w:lang w:val="en-US" w:eastAsia="zh-CN"/>
        </w:rPr>
        <w:t>按甲方要求</w:t>
      </w:r>
      <w:r>
        <w:rPr>
          <w:rFonts w:hint="eastAsia" w:ascii="宋体" w:hAnsi="宋体"/>
          <w:szCs w:val="24"/>
        </w:rPr>
        <w:t>把货物送至到甲方指定的地点，并负责卸车安装。</w:t>
      </w:r>
    </w:p>
    <w:p w14:paraId="6E6AF20A">
      <w:pPr>
        <w:spacing w:line="480" w:lineRule="exact"/>
        <w:ind w:firstLine="420" w:firstLineChars="200"/>
        <w:rPr>
          <w:rFonts w:hint="eastAsia" w:ascii="宋体" w:hAnsi="宋体"/>
          <w:szCs w:val="24"/>
          <w:highlight w:val="yellow"/>
        </w:rPr>
      </w:pPr>
      <w:r>
        <w:rPr>
          <w:rFonts w:hint="eastAsia" w:ascii="宋体" w:hAnsi="宋体"/>
          <w:szCs w:val="24"/>
        </w:rPr>
        <w:t>六、付款方式：</w:t>
      </w:r>
    </w:p>
    <w:p w14:paraId="063030BC">
      <w:pPr>
        <w:tabs>
          <w:tab w:val="left" w:pos="6360"/>
          <w:tab w:val="left" w:pos="8280"/>
        </w:tabs>
        <w:spacing w:line="480" w:lineRule="exact"/>
        <w:ind w:firstLine="359" w:firstLineChars="171"/>
        <w:jc w:val="both"/>
        <w:rPr>
          <w:rFonts w:hint="eastAsia" w:ascii="宋体" w:hAnsi="宋体"/>
          <w:szCs w:val="24"/>
        </w:rPr>
      </w:pPr>
      <w:r>
        <w:rPr>
          <w:rFonts w:hint="eastAsia" w:ascii="宋体" w:hAnsi="宋体"/>
          <w:szCs w:val="24"/>
        </w:rPr>
        <w:t>七、甲方责任：</w:t>
      </w:r>
    </w:p>
    <w:p w14:paraId="01C51B05">
      <w:pPr>
        <w:tabs>
          <w:tab w:val="left" w:pos="6360"/>
          <w:tab w:val="left" w:pos="8280"/>
        </w:tabs>
        <w:spacing w:line="480" w:lineRule="exact"/>
        <w:ind w:firstLine="464" w:firstLineChars="221"/>
        <w:jc w:val="both"/>
        <w:rPr>
          <w:rFonts w:hint="eastAsia" w:ascii="宋体" w:hAnsi="宋体"/>
          <w:szCs w:val="24"/>
        </w:rPr>
      </w:pPr>
      <w:r>
        <w:rPr>
          <w:rFonts w:hint="eastAsia" w:ascii="宋体" w:hAnsi="宋体"/>
          <w:szCs w:val="24"/>
        </w:rPr>
        <w:t>1、甲方应配合乙方向楼上运送货物，提供安装场地照明。</w:t>
      </w:r>
    </w:p>
    <w:p w14:paraId="70EADDBF">
      <w:pPr>
        <w:tabs>
          <w:tab w:val="left" w:pos="6360"/>
        </w:tabs>
        <w:spacing w:line="480" w:lineRule="exact"/>
        <w:ind w:firstLine="420" w:firstLineChars="200"/>
        <w:jc w:val="both"/>
        <w:rPr>
          <w:rFonts w:hint="eastAsia" w:ascii="宋体" w:hAnsi="宋体"/>
          <w:szCs w:val="24"/>
        </w:rPr>
      </w:pPr>
      <w:r>
        <w:rPr>
          <w:rFonts w:hint="eastAsia" w:ascii="宋体" w:hAnsi="宋体"/>
          <w:szCs w:val="24"/>
        </w:rPr>
        <w:t>2、甲方应按合同约定的时间及金额付款。</w:t>
      </w:r>
    </w:p>
    <w:p w14:paraId="11925735">
      <w:pPr>
        <w:spacing w:line="480" w:lineRule="exact"/>
        <w:ind w:firstLine="420" w:firstLineChars="200"/>
        <w:rPr>
          <w:rFonts w:hint="eastAsia" w:ascii="宋体" w:hAnsi="宋体"/>
          <w:szCs w:val="24"/>
        </w:rPr>
      </w:pPr>
      <w:r>
        <w:rPr>
          <w:rFonts w:hint="eastAsia" w:ascii="宋体" w:hAnsi="宋体"/>
          <w:szCs w:val="24"/>
        </w:rPr>
        <w:t>八、乙方责任：</w:t>
      </w:r>
    </w:p>
    <w:p w14:paraId="1FCD5103">
      <w:pPr>
        <w:spacing w:line="480" w:lineRule="exact"/>
        <w:ind w:firstLine="420" w:firstLineChars="200"/>
        <w:rPr>
          <w:rFonts w:hint="eastAsia" w:ascii="宋体" w:hAnsi="宋体"/>
          <w:szCs w:val="24"/>
        </w:rPr>
      </w:pPr>
      <w:r>
        <w:rPr>
          <w:rFonts w:hint="eastAsia" w:ascii="宋体" w:hAnsi="宋体"/>
          <w:szCs w:val="24"/>
        </w:rPr>
        <w:t>1、乙方所提供的产品，必须达到合同约定的规格、材质及相关质量、技术标准</w:t>
      </w:r>
      <w:r>
        <w:rPr>
          <w:rFonts w:hint="eastAsia" w:ascii="宋体" w:hAnsi="宋体"/>
          <w:szCs w:val="24"/>
          <w:lang w:eastAsia="zh-CN"/>
        </w:rPr>
        <w:t>，</w:t>
      </w:r>
      <w:r>
        <w:rPr>
          <w:rFonts w:hint="eastAsia" w:ascii="宋体" w:hAnsi="宋体"/>
          <w:color w:val="FF0000"/>
          <w:szCs w:val="24"/>
          <w:lang w:val="en-US" w:eastAsia="zh-CN"/>
        </w:rPr>
        <w:t>按清单要求</w:t>
      </w:r>
      <w:r>
        <w:rPr>
          <w:rFonts w:hint="eastAsia" w:ascii="宋体" w:hAnsi="宋体"/>
          <w:color w:val="FF0000"/>
          <w:szCs w:val="24"/>
        </w:rPr>
        <w:t>提供第三方检测机构（检测报告需带CMA标识）出具检测报告以及在全国认证认可信息公共服务平台的查询截图</w:t>
      </w:r>
      <w:r>
        <w:rPr>
          <w:rFonts w:hint="eastAsia" w:ascii="宋体" w:hAnsi="宋体"/>
          <w:szCs w:val="24"/>
        </w:rPr>
        <w:t>。否则，甲方有权拒收且不付货款，或扣除总货款的</w:t>
      </w:r>
      <w:r>
        <w:rPr>
          <w:rFonts w:hint="eastAsia" w:ascii="宋体" w:hAnsi="宋体"/>
          <w:szCs w:val="24"/>
          <w:highlight w:val="yellow"/>
          <w:lang w:val="en-US" w:eastAsia="zh-CN"/>
        </w:rPr>
        <w:t>1</w:t>
      </w:r>
      <w:r>
        <w:rPr>
          <w:rFonts w:hint="eastAsia" w:ascii="宋体" w:hAnsi="宋体"/>
          <w:szCs w:val="24"/>
          <w:highlight w:val="yellow"/>
        </w:rPr>
        <w:t>0％～</w:t>
      </w:r>
      <w:r>
        <w:rPr>
          <w:rFonts w:hint="eastAsia" w:ascii="宋体" w:hAnsi="宋体"/>
          <w:szCs w:val="24"/>
          <w:highlight w:val="yellow"/>
          <w:lang w:val="en-US" w:eastAsia="zh-CN"/>
        </w:rPr>
        <w:t>3</w:t>
      </w:r>
      <w:r>
        <w:rPr>
          <w:rFonts w:hint="eastAsia" w:ascii="宋体" w:hAnsi="宋体"/>
          <w:szCs w:val="24"/>
          <w:highlight w:val="yellow"/>
        </w:rPr>
        <w:t>0％</w:t>
      </w:r>
      <w:r>
        <w:rPr>
          <w:rFonts w:hint="eastAsia" w:ascii="宋体" w:hAnsi="宋体"/>
          <w:szCs w:val="24"/>
        </w:rPr>
        <w:t>的违约金。</w:t>
      </w:r>
    </w:p>
    <w:p w14:paraId="3E1DD445">
      <w:pPr>
        <w:spacing w:line="480" w:lineRule="exact"/>
        <w:ind w:firstLine="420" w:firstLineChars="200"/>
        <w:rPr>
          <w:rFonts w:hint="eastAsia" w:ascii="宋体" w:hAnsi="宋体"/>
          <w:szCs w:val="24"/>
        </w:rPr>
      </w:pPr>
      <w:r>
        <w:rPr>
          <w:rFonts w:hint="eastAsia" w:ascii="宋体" w:hAnsi="宋体"/>
          <w:szCs w:val="24"/>
        </w:rPr>
        <w:t>2、乙方应保障在合同约定的保修期内，为甲方无偿提维修服务，除非人为损坏，否则不得以任何理由收取任何费用。</w:t>
      </w:r>
    </w:p>
    <w:p w14:paraId="3EBCBAC0">
      <w:pPr>
        <w:spacing w:line="480" w:lineRule="exact"/>
        <w:ind w:firstLine="420" w:firstLineChars="200"/>
        <w:rPr>
          <w:rFonts w:hint="eastAsia" w:ascii="宋体" w:hAnsi="宋体"/>
          <w:szCs w:val="24"/>
        </w:rPr>
      </w:pPr>
      <w:r>
        <w:rPr>
          <w:rFonts w:hint="eastAsia" w:ascii="宋体" w:hAnsi="宋体"/>
          <w:szCs w:val="24"/>
        </w:rPr>
        <w:t>3、乙方应提供长期维护的技术支持。家具的清洗、维护由甲方负责，乙方负责提供技术支持，并处理维护过程中出现的问题。一般报修应在12小时内到达现场。否则甲方有权扣除相应质量保证金。</w:t>
      </w:r>
    </w:p>
    <w:p w14:paraId="72AE14F4">
      <w:pPr>
        <w:spacing w:line="480" w:lineRule="exact"/>
        <w:ind w:firstLine="420" w:firstLineChars="200"/>
        <w:rPr>
          <w:rFonts w:hint="eastAsia" w:ascii="宋体" w:hAnsi="宋体"/>
          <w:szCs w:val="24"/>
        </w:rPr>
      </w:pPr>
      <w:r>
        <w:rPr>
          <w:rFonts w:hint="eastAsia" w:ascii="宋体" w:hAnsi="宋体"/>
          <w:szCs w:val="24"/>
        </w:rPr>
        <w:t>4、乙方应妥善保护甲方提供的设备及现场陈设和工程成品，如造成损失应照价赔偿。</w:t>
      </w:r>
    </w:p>
    <w:p w14:paraId="01FBE44A">
      <w:pPr>
        <w:spacing w:line="480" w:lineRule="exact"/>
        <w:ind w:firstLine="420" w:firstLineChars="200"/>
        <w:rPr>
          <w:rFonts w:hint="eastAsia" w:ascii="宋体" w:hAnsi="宋体"/>
          <w:szCs w:val="24"/>
        </w:rPr>
      </w:pPr>
      <w:r>
        <w:rPr>
          <w:rFonts w:hint="eastAsia" w:ascii="宋体" w:hAnsi="宋体"/>
          <w:szCs w:val="24"/>
        </w:rPr>
        <w:t>5、由于乙方在安装过程中违反有关安全操作规程，导致发生安全和火灾等一切事故，应承担由此造成的一切经济损失。</w:t>
      </w:r>
    </w:p>
    <w:p w14:paraId="6D813E99">
      <w:pPr>
        <w:tabs>
          <w:tab w:val="left" w:pos="6360"/>
        </w:tabs>
        <w:spacing w:line="480" w:lineRule="exact"/>
        <w:ind w:firstLine="420" w:firstLineChars="200"/>
        <w:jc w:val="both"/>
        <w:rPr>
          <w:rFonts w:hint="eastAsia" w:ascii="宋体" w:hAnsi="宋体"/>
          <w:szCs w:val="24"/>
        </w:rPr>
      </w:pPr>
      <w:r>
        <w:rPr>
          <w:rFonts w:hint="eastAsia" w:ascii="宋体" w:hAnsi="宋体"/>
          <w:szCs w:val="24"/>
        </w:rPr>
        <w:t>九、安装调试：</w:t>
      </w:r>
    </w:p>
    <w:p w14:paraId="6659FF0B">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1、组装期：货到后2个工作日。</w:t>
      </w:r>
    </w:p>
    <w:p w14:paraId="0495B859">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2、甲方应确保组装现场具备组装条件，并通知乙方。否则，交货日期顺延，造成组装延误及损失，乙方不承担责任。</w:t>
      </w:r>
    </w:p>
    <w:p w14:paraId="161BB3D7">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3、乙方根据甲方确认货物安装调试。</w:t>
      </w:r>
    </w:p>
    <w:p w14:paraId="5F96E257">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十、货物接收和验收：</w:t>
      </w:r>
    </w:p>
    <w:p w14:paraId="7C2CF957">
      <w:pPr>
        <w:tabs>
          <w:tab w:val="left" w:pos="6360"/>
          <w:tab w:val="left" w:pos="8280"/>
        </w:tabs>
        <w:spacing w:line="480" w:lineRule="exact"/>
        <w:ind w:firstLine="359" w:firstLineChars="171"/>
        <w:jc w:val="both"/>
        <w:rPr>
          <w:rFonts w:hint="eastAsia" w:ascii="宋体" w:hAnsi="宋体"/>
          <w:szCs w:val="24"/>
        </w:rPr>
      </w:pPr>
      <w:r>
        <w:rPr>
          <w:rFonts w:hint="eastAsia" w:ascii="宋体" w:hAnsi="宋体"/>
          <w:szCs w:val="24"/>
        </w:rPr>
        <w:t>1、乙方依合同所订交货日期将货物运至交货地点组装完毕后，甲方应即时接收清点并妥善保管全部货物。但甲方在办公桌椅验收合格后承担办公桌椅损坏等风险。</w:t>
      </w:r>
    </w:p>
    <w:p w14:paraId="6F6CD098">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14:paraId="23F488EB">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3、甲方应在相关验收单上签字或盖章（公章或合同专用章）。</w:t>
      </w:r>
    </w:p>
    <w:p w14:paraId="3027A5FE">
      <w:pPr>
        <w:tabs>
          <w:tab w:val="left" w:pos="6360"/>
        </w:tabs>
        <w:spacing w:line="480" w:lineRule="exact"/>
        <w:ind w:firstLine="420" w:firstLineChars="200"/>
        <w:jc w:val="both"/>
        <w:rPr>
          <w:rFonts w:hint="eastAsia" w:ascii="宋体" w:hAnsi="宋体"/>
          <w:szCs w:val="24"/>
        </w:rPr>
      </w:pPr>
      <w:r>
        <w:rPr>
          <w:rFonts w:hint="eastAsia" w:ascii="宋体" w:hAnsi="宋体"/>
          <w:szCs w:val="24"/>
        </w:rPr>
        <w:t>十一、品质保证：</w:t>
      </w:r>
    </w:p>
    <w:p w14:paraId="55DE4797">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1、乙方所有提供的办公桌椅必须通过国家家具产品质量监督检验中心的检验，达到合格标准的要求。</w:t>
      </w:r>
    </w:p>
    <w:p w14:paraId="01DB3283">
      <w:pPr>
        <w:spacing w:line="480" w:lineRule="exact"/>
        <w:ind w:firstLine="420" w:firstLineChars="200"/>
        <w:rPr>
          <w:rFonts w:hint="eastAsia" w:ascii="宋体" w:hAnsi="宋体"/>
          <w:szCs w:val="24"/>
        </w:rPr>
      </w:pPr>
      <w:r>
        <w:rPr>
          <w:rFonts w:hint="eastAsia" w:ascii="宋体" w:hAnsi="宋体"/>
          <w:szCs w:val="24"/>
        </w:rPr>
        <w:t>2、保修期两年，办公桌椅出现任何褪色、脱皮、起泡、脱胶等质量问题，乙方免费更换。</w:t>
      </w:r>
    </w:p>
    <w:p w14:paraId="342D2074">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14:paraId="44C225A2">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十二、违约责任：</w:t>
      </w:r>
    </w:p>
    <w:p w14:paraId="6B126DB2">
      <w:pPr>
        <w:tabs>
          <w:tab w:val="left" w:pos="6360"/>
          <w:tab w:val="left" w:pos="8280"/>
        </w:tabs>
        <w:spacing w:line="480" w:lineRule="exact"/>
        <w:ind w:firstLine="420" w:firstLineChars="200"/>
        <w:jc w:val="both"/>
        <w:outlineLvl w:val="0"/>
        <w:rPr>
          <w:rFonts w:hint="eastAsia" w:ascii="宋体" w:hAnsi="宋体"/>
          <w:szCs w:val="24"/>
        </w:rPr>
      </w:pPr>
      <w:r>
        <w:rPr>
          <w:rFonts w:hint="eastAsia" w:ascii="宋体" w:hAnsi="宋体"/>
          <w:szCs w:val="24"/>
        </w:rPr>
        <w:t>（一）乙方责任</w:t>
      </w:r>
    </w:p>
    <w:p w14:paraId="7AA2D3C6">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1、除依本合同约定外，乙方单方面解除合同，应向甲方支付货款总价20%的违约金。</w:t>
      </w:r>
    </w:p>
    <w:p w14:paraId="69E1AF3C">
      <w:pPr>
        <w:spacing w:line="480" w:lineRule="exact"/>
        <w:ind w:firstLine="359" w:firstLineChars="171"/>
        <w:jc w:val="both"/>
        <w:rPr>
          <w:rFonts w:hint="eastAsia" w:ascii="宋体" w:hAnsi="宋体"/>
          <w:szCs w:val="24"/>
        </w:rPr>
      </w:pPr>
      <w:r>
        <w:rPr>
          <w:rFonts w:hint="eastAsia" w:ascii="宋体" w:hAnsi="宋体"/>
          <w:szCs w:val="24"/>
        </w:rPr>
        <w:t>２、除依本合同约定外，乙方逾期交货的，每逾期一天，向甲方支付货款总金额千分之五的违约金。逾期7天的，甲方有权解除合同，乙方需向甲方支付合同总价款30%的违约金。</w:t>
      </w:r>
    </w:p>
    <w:p w14:paraId="607C1F73">
      <w:pPr>
        <w:spacing w:line="480" w:lineRule="exact"/>
        <w:ind w:firstLine="420" w:firstLineChars="200"/>
        <w:jc w:val="both"/>
        <w:rPr>
          <w:rFonts w:hint="eastAsia" w:ascii="宋体" w:hAnsi="宋体"/>
          <w:szCs w:val="24"/>
        </w:rPr>
      </w:pPr>
      <w:r>
        <w:rPr>
          <w:rFonts w:hint="eastAsia" w:ascii="宋体" w:hAnsi="宋体"/>
          <w:szCs w:val="24"/>
        </w:rPr>
        <w:t>3、乙方违反本合同中任何条款，即构成违约，应赔偿因此给甲方造成的损失。</w:t>
      </w:r>
    </w:p>
    <w:p w14:paraId="50115C1F">
      <w:pPr>
        <w:spacing w:line="480" w:lineRule="exact"/>
        <w:ind w:firstLine="420" w:firstLineChars="200"/>
        <w:jc w:val="both"/>
        <w:rPr>
          <w:rFonts w:hint="eastAsia" w:ascii="宋体" w:hAnsi="宋体"/>
          <w:szCs w:val="24"/>
        </w:rPr>
      </w:pPr>
      <w:r>
        <w:rPr>
          <w:rFonts w:hint="eastAsia" w:ascii="宋体" w:hAnsi="宋体"/>
          <w:szCs w:val="24"/>
        </w:rPr>
        <w:t>4、乙方应保证在组装家具过程中谨慎操作，若因乙方操作的原因，造成我行或第三人的人身财产受到损害的，由乙方承担全部责任。</w:t>
      </w:r>
    </w:p>
    <w:p w14:paraId="68307940">
      <w:pPr>
        <w:spacing w:line="480" w:lineRule="exact"/>
        <w:ind w:firstLine="420" w:firstLineChars="200"/>
        <w:jc w:val="both"/>
        <w:outlineLvl w:val="0"/>
        <w:rPr>
          <w:rFonts w:hint="eastAsia" w:ascii="宋体" w:hAnsi="宋体"/>
          <w:szCs w:val="24"/>
        </w:rPr>
      </w:pPr>
      <w:r>
        <w:rPr>
          <w:rFonts w:hint="eastAsia" w:ascii="宋体" w:hAnsi="宋体"/>
          <w:szCs w:val="24"/>
        </w:rPr>
        <w:t>（二）甲方责任</w:t>
      </w:r>
    </w:p>
    <w:p w14:paraId="5A21B0E1">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1、除依本合同约定外，甲方单方面解除合同，应向卖方支付货款总价20%的违约金。</w:t>
      </w:r>
    </w:p>
    <w:p w14:paraId="7168156C">
      <w:pPr>
        <w:tabs>
          <w:tab w:val="left" w:pos="6360"/>
        </w:tabs>
        <w:spacing w:line="480" w:lineRule="exact"/>
        <w:ind w:firstLine="464" w:firstLineChars="221"/>
        <w:jc w:val="both"/>
        <w:rPr>
          <w:rFonts w:hint="eastAsia" w:ascii="宋体" w:hAnsi="宋体"/>
          <w:szCs w:val="24"/>
        </w:rPr>
      </w:pPr>
      <w:r>
        <w:rPr>
          <w:rFonts w:hint="eastAsia" w:ascii="宋体" w:hAnsi="宋体"/>
          <w:szCs w:val="24"/>
        </w:rPr>
        <w:t>2、除依本合同约定外，如因甲方原因导致的损坏，甲方要求退、换货的，乙方可以不接受退换。</w:t>
      </w:r>
    </w:p>
    <w:p w14:paraId="59459A9E">
      <w:pPr>
        <w:tabs>
          <w:tab w:val="left" w:pos="6360"/>
          <w:tab w:val="left" w:pos="8280"/>
        </w:tabs>
        <w:spacing w:line="480" w:lineRule="exact"/>
        <w:ind w:firstLine="420" w:firstLineChars="200"/>
        <w:jc w:val="both"/>
        <w:outlineLvl w:val="0"/>
        <w:rPr>
          <w:rFonts w:hint="eastAsia" w:ascii="宋体" w:hAnsi="宋体"/>
          <w:szCs w:val="24"/>
        </w:rPr>
      </w:pPr>
      <w:r>
        <w:rPr>
          <w:rFonts w:hint="eastAsia" w:ascii="宋体" w:hAnsi="宋体"/>
          <w:szCs w:val="24"/>
        </w:rPr>
        <w:t>（三）因不可抗力造成的迟延付款或迟延交货等，双方均不承担违约责任。</w:t>
      </w:r>
    </w:p>
    <w:p w14:paraId="4E35F00D">
      <w:pPr>
        <w:pStyle w:val="16"/>
        <w:tabs>
          <w:tab w:val="left" w:pos="6360"/>
        </w:tabs>
        <w:spacing w:line="480" w:lineRule="exact"/>
        <w:ind w:left="0" w:firstLine="480" w:firstLineChars="200"/>
        <w:rPr>
          <w:rFonts w:hint="eastAsia" w:ascii="宋体" w:hAnsi="宋体" w:eastAsia="宋体"/>
          <w:szCs w:val="24"/>
        </w:rPr>
      </w:pPr>
      <w:r>
        <w:rPr>
          <w:rFonts w:hint="eastAsia" w:ascii="宋体" w:hAnsi="宋体" w:eastAsia="宋体"/>
          <w:szCs w:val="24"/>
        </w:rPr>
        <w:t>十三、争议的解决方式。因本合同涉讼时，甲、乙双方应协商解决；协商不成的应则提交甲方所在地有管辖权的人民法院诉讼解决。</w:t>
      </w:r>
    </w:p>
    <w:p w14:paraId="0DCC1196">
      <w:pPr>
        <w:tabs>
          <w:tab w:val="left" w:pos="6360"/>
        </w:tabs>
        <w:spacing w:line="480" w:lineRule="exact"/>
        <w:ind w:firstLine="420" w:firstLineChars="200"/>
        <w:rPr>
          <w:rFonts w:hint="eastAsia" w:ascii="宋体" w:hAnsi="宋体"/>
          <w:szCs w:val="24"/>
        </w:rPr>
      </w:pPr>
      <w:r>
        <w:rPr>
          <w:rFonts w:hint="eastAsia" w:ascii="宋体" w:hAnsi="宋体"/>
          <w:szCs w:val="24"/>
        </w:rPr>
        <w:t>十四、本合同一式贰份，双方各执一份。各份具有同等法律效应。</w:t>
      </w:r>
    </w:p>
    <w:p w14:paraId="50A4C038">
      <w:pPr>
        <w:spacing w:line="500" w:lineRule="exact"/>
        <w:rPr>
          <w:rFonts w:hint="eastAsia" w:ascii="宋体" w:hAnsi="宋体"/>
          <w:sz w:val="28"/>
          <w:szCs w:val="28"/>
        </w:rPr>
      </w:pPr>
    </w:p>
    <w:p w14:paraId="4E20B833">
      <w:pPr>
        <w:spacing w:line="500" w:lineRule="exact"/>
        <w:ind w:firstLine="472" w:firstLineChars="225"/>
        <w:rPr>
          <w:rFonts w:ascii="宋体" w:hAnsi="宋体"/>
          <w:szCs w:val="24"/>
        </w:rPr>
      </w:pPr>
      <w:r>
        <w:rPr>
          <w:rFonts w:hint="eastAsia" w:ascii="宋体" w:hAnsi="宋体"/>
          <w:szCs w:val="24"/>
        </w:rPr>
        <w:t xml:space="preserve">甲方：                                 乙方： </w:t>
      </w:r>
    </w:p>
    <w:p w14:paraId="7259CC57">
      <w:pPr>
        <w:spacing w:line="500" w:lineRule="exact"/>
        <w:ind w:firstLine="472" w:firstLineChars="225"/>
        <w:rPr>
          <w:rFonts w:ascii="宋体" w:hAnsi="宋体"/>
          <w:szCs w:val="24"/>
        </w:rPr>
      </w:pPr>
      <w:r>
        <w:rPr>
          <w:rFonts w:hint="eastAsia" w:ascii="宋体" w:hAnsi="宋体"/>
          <w:szCs w:val="24"/>
        </w:rPr>
        <w:t>法人或委托代理人：                     法人或委托代理人：</w:t>
      </w:r>
    </w:p>
    <w:p w14:paraId="20BAD9B0">
      <w:pPr>
        <w:spacing w:line="500" w:lineRule="exact"/>
        <w:ind w:firstLine="3570" w:firstLineChars="1700"/>
        <w:rPr>
          <w:rFonts w:ascii="宋体" w:hAnsi="宋体"/>
          <w:szCs w:val="24"/>
        </w:rPr>
      </w:pPr>
      <w:r>
        <w:rPr>
          <w:rFonts w:hint="eastAsia" w:ascii="宋体" w:hAnsi="宋体"/>
          <w:szCs w:val="24"/>
        </w:rPr>
        <w:t xml:space="preserve">   </w:t>
      </w:r>
    </w:p>
    <w:p w14:paraId="75CF9823">
      <w:pPr>
        <w:spacing w:line="500" w:lineRule="exact"/>
        <w:ind w:firstLine="4410" w:firstLineChars="2100"/>
        <w:rPr>
          <w:rFonts w:hint="eastAsia" w:ascii="宋体" w:hAnsi="宋体"/>
          <w:szCs w:val="24"/>
        </w:rPr>
      </w:pPr>
      <w:r>
        <w:rPr>
          <w:rFonts w:hint="eastAsia" w:ascii="宋体" w:hAnsi="宋体"/>
          <w:szCs w:val="24"/>
        </w:rPr>
        <w:t xml:space="preserve">  年    月    日</w:t>
      </w:r>
    </w:p>
    <w:p w14:paraId="1ED91708">
      <w:pPr>
        <w:rPr>
          <w:rFonts w:hint="eastAsia"/>
          <w:color w:val="FF0000"/>
          <w:highlight w:val="none"/>
        </w:rPr>
      </w:pPr>
    </w:p>
    <w:p w14:paraId="1C462057">
      <w:pPr>
        <w:rPr>
          <w:rFonts w:hint="eastAsia"/>
          <w:color w:val="FF0000"/>
          <w:highlight w:val="none"/>
        </w:rPr>
      </w:pPr>
    </w:p>
    <w:p w14:paraId="1AC4E74E">
      <w:pPr>
        <w:rPr>
          <w:rFonts w:hint="eastAsia"/>
          <w:color w:val="FF0000"/>
          <w:highlight w:val="none"/>
        </w:rPr>
      </w:pPr>
    </w:p>
    <w:p w14:paraId="1CF2BF5C">
      <w:pPr>
        <w:rPr>
          <w:rFonts w:hint="eastAsia"/>
          <w:color w:val="FF0000"/>
          <w:highlight w:val="none"/>
        </w:rPr>
      </w:pPr>
    </w:p>
    <w:p w14:paraId="2F7643C9">
      <w:pPr>
        <w:rPr>
          <w:rFonts w:hint="eastAsia"/>
          <w:color w:val="FF0000"/>
          <w:highlight w:val="none"/>
        </w:rPr>
      </w:pPr>
    </w:p>
    <w:p w14:paraId="7DA3024C">
      <w:pPr>
        <w:rPr>
          <w:rFonts w:hint="eastAsia"/>
          <w:color w:val="FF0000"/>
          <w:highlight w:val="none"/>
        </w:rPr>
      </w:pPr>
    </w:p>
    <w:p w14:paraId="48D69450">
      <w:pPr>
        <w:rPr>
          <w:rFonts w:hint="eastAsia"/>
          <w:color w:val="FF0000"/>
          <w:highlight w:val="none"/>
        </w:rPr>
      </w:pPr>
    </w:p>
    <w:p w14:paraId="7E542B43">
      <w:pPr>
        <w:rPr>
          <w:rFonts w:hint="eastAsia"/>
          <w:color w:val="FF0000"/>
          <w:highlight w:val="none"/>
        </w:rPr>
      </w:pPr>
    </w:p>
    <w:p w14:paraId="46BC05F8">
      <w:pPr>
        <w:rPr>
          <w:rFonts w:hint="eastAsia"/>
          <w:color w:val="FF0000"/>
          <w:highlight w:val="none"/>
        </w:rPr>
      </w:pPr>
    </w:p>
    <w:p w14:paraId="4226A5B1">
      <w:pPr>
        <w:rPr>
          <w:rFonts w:hint="eastAsia"/>
          <w:color w:val="FF0000"/>
          <w:highlight w:val="none"/>
        </w:rPr>
      </w:pPr>
    </w:p>
    <w:p w14:paraId="2DFBE809">
      <w:pPr>
        <w:rPr>
          <w:rFonts w:hint="eastAsia"/>
          <w:color w:val="FF0000"/>
          <w:highlight w:val="none"/>
        </w:rPr>
      </w:pPr>
    </w:p>
    <w:p w14:paraId="3F697B3A">
      <w:pPr>
        <w:rPr>
          <w:rFonts w:hint="eastAsia"/>
          <w:color w:val="FF0000"/>
          <w:highlight w:val="none"/>
        </w:rPr>
      </w:pPr>
    </w:p>
    <w:p w14:paraId="7193FB10">
      <w:pPr>
        <w:rPr>
          <w:rFonts w:hint="eastAsia"/>
          <w:color w:val="FF0000"/>
          <w:highlight w:val="none"/>
        </w:rPr>
      </w:pPr>
    </w:p>
    <w:p w14:paraId="35E5F6F9">
      <w:pPr>
        <w:rPr>
          <w:rFonts w:hint="eastAsia"/>
          <w:color w:val="FF0000"/>
          <w:highlight w:val="none"/>
        </w:rPr>
      </w:pPr>
    </w:p>
    <w:p w14:paraId="059CCC5A">
      <w:pPr>
        <w:rPr>
          <w:rFonts w:hint="eastAsia"/>
          <w:color w:val="FF0000"/>
          <w:highlight w:val="none"/>
        </w:rPr>
      </w:pPr>
    </w:p>
    <w:p w14:paraId="778FAD10">
      <w:pPr>
        <w:rPr>
          <w:rFonts w:hint="eastAsia"/>
          <w:color w:val="FF0000"/>
          <w:highlight w:val="none"/>
        </w:rPr>
      </w:pPr>
    </w:p>
    <w:p w14:paraId="403E94ED">
      <w:pPr>
        <w:rPr>
          <w:rFonts w:hint="eastAsia"/>
          <w:color w:val="FF0000"/>
          <w:highlight w:val="none"/>
        </w:rPr>
      </w:pPr>
    </w:p>
    <w:p w14:paraId="371B5687">
      <w:pPr>
        <w:rPr>
          <w:rFonts w:hint="eastAsia"/>
          <w:color w:val="FF0000"/>
          <w:highlight w:val="none"/>
        </w:rPr>
      </w:pPr>
    </w:p>
    <w:p w14:paraId="3C9BE868">
      <w:pPr>
        <w:rPr>
          <w:rFonts w:hint="eastAsia"/>
          <w:color w:val="FF0000"/>
          <w:highlight w:val="none"/>
        </w:rPr>
      </w:pPr>
    </w:p>
    <w:p w14:paraId="73A8B548">
      <w:pPr>
        <w:pStyle w:val="18"/>
        <w:spacing w:before="0" w:after="0"/>
        <w:jc w:val="left"/>
        <w:rPr>
          <w:rFonts w:hint="eastAsia" w:ascii="宋体" w:hAnsi="宋体" w:eastAsia="宋体" w:cs="宋体"/>
          <w:b w:val="0"/>
          <w:kern w:val="0"/>
          <w:sz w:val="21"/>
          <w:szCs w:val="21"/>
          <w:highlight w:val="none"/>
          <w:lang w:val="en-US" w:eastAsia="zh-CN"/>
        </w:rPr>
      </w:pPr>
      <w:bookmarkStart w:id="25" w:name="_Toc10180"/>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一</w:t>
      </w:r>
      <w:bookmarkEnd w:id="25"/>
    </w:p>
    <w:p w14:paraId="60103151">
      <w:pPr>
        <w:pStyle w:val="6"/>
        <w:adjustRightInd w:val="0"/>
        <w:snapToGrid w:val="0"/>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廉洁协议书</w:t>
      </w:r>
    </w:p>
    <w:p w14:paraId="2CBA7B68">
      <w:pPr>
        <w:pStyle w:val="6"/>
        <w:adjustRightInd w:val="0"/>
        <w:snapToGrid w:val="0"/>
        <w:ind w:left="4843" w:hanging="4237" w:hangingChars="2018"/>
        <w:rPr>
          <w:rFonts w:hint="eastAsia" w:ascii="宋体" w:hAnsi="宋体" w:eastAsia="宋体" w:cs="宋体"/>
          <w:sz w:val="21"/>
          <w:szCs w:val="21"/>
          <w:highlight w:val="none"/>
        </w:rPr>
      </w:pPr>
    </w:p>
    <w:p w14:paraId="7C49DA1C">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为增强甲乙双方依法廉洁履约，防止发生违纪违法行为，根据国家有关法律法规和相关规定，特订立本廉洁协议书：</w:t>
      </w:r>
    </w:p>
    <w:p w14:paraId="54BB92A9">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第一条  甲、乙双方的共同义务</w:t>
      </w:r>
    </w:p>
    <w:p w14:paraId="6FBC7FCC">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（一）严格遵守国家有关物资采购、招标投标等市场经济活动的法律法规、政策以及廉洁规定。</w:t>
      </w:r>
    </w:p>
    <w:p w14:paraId="65789E4E">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（二）严格履行合同约定，自觉承担合同义务。</w:t>
      </w:r>
    </w:p>
    <w:p w14:paraId="3ABE2A12">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（三）双方合作活动必须坚持公平、公正、公开和诚信守法的原则（法律法规另有规定除外），不得为获取不正当利益损害国家、集体和对方利益，不得违反物资采购、招标投标等方面的规章制度。</w:t>
      </w:r>
    </w:p>
    <w:p w14:paraId="6385F3E5">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（四）建立健全自我监督制度，开展廉洁教育，公布举报电话，监督并认真查处违法违纪行为。</w:t>
      </w:r>
    </w:p>
    <w:p w14:paraId="5DFF0272">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（五）发现对方在业务活动中有违规、违纪、违法行为的，应及时提醒对方，情节严重的，应向有关纪检监察部门举报。</w:t>
      </w:r>
    </w:p>
    <w:p w14:paraId="031D1B2A">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第二条  甲方的义务</w:t>
      </w:r>
    </w:p>
    <w:p w14:paraId="265D12DD">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甲方相关工作人员，在业务活动的事前、事中、事后，应遵守以下规定：</w:t>
      </w:r>
    </w:p>
    <w:p w14:paraId="4ED502DF">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（一）按照公平、公正、公开和诚实守信的原则开展各项业务活动，为乙方提供公平的竞争环境与平台； </w:t>
      </w:r>
    </w:p>
    <w:p w14:paraId="1A4019B0">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（二）不向乙方泄漏涉及有关业务活动的秘密； </w:t>
      </w:r>
    </w:p>
    <w:p w14:paraId="2C8B4C3D">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（三）不参与影响相关工作正常和公正开展的其他活动；</w:t>
      </w:r>
    </w:p>
    <w:p w14:paraId="51C6C797">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（四）不在乙方及/或相关单位报销任何应由甲方或个人支付的费用；</w:t>
      </w:r>
    </w:p>
    <w:p w14:paraId="2AF0EA9F">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（五）不要求、暗示或接受乙方及/或相关单位为个人装修住房、婚丧嫁娶、配偶子女的工作安排以及境内外旅游等提供方便；</w:t>
      </w:r>
    </w:p>
    <w:p w14:paraId="4B24D863">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（六）不收受或索取红包、礼金、购物卡、有价证券、贵重物品、感谢费和好处费等非正当利益；</w:t>
      </w:r>
    </w:p>
    <w:p w14:paraId="079F0CDD">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（七）不向乙方介绍配偶、子女、亲属参与与甲方有关的经济活动，不得以任何理由向乙方和相关单位推荐第三方单位；</w:t>
      </w:r>
    </w:p>
    <w:p w14:paraId="0B7031A1">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（八）不违反《中国共产党廉洁自律准则》等规定的内容。</w:t>
      </w:r>
    </w:p>
    <w:p w14:paraId="3EC16EEA">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  乙方的义务</w:t>
      </w:r>
    </w:p>
    <w:p w14:paraId="4F9645A4">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在与甲方业务交往过程中，按照有关法律法规和程序开展工作，严格执行国家的有关方针、政策，并遵守以下规定：</w:t>
      </w:r>
    </w:p>
    <w:p w14:paraId="00AE591A">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（一）不以任何理由为甲方及/或相关单位报销应由对方或个人支付的费用；</w:t>
      </w:r>
    </w:p>
    <w:p w14:paraId="7D5DD457">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（二）不以任何理由向甲方负责人及/或其工作人员赠送红包、礼金、购物卡、有价证券、贵重物品、感谢费和好处费等非正当利益；</w:t>
      </w:r>
    </w:p>
    <w:p w14:paraId="2542992B">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（三）不准为甲方、与甲方相关的单位及/或个人装修住房、婚丧嫁取、配偶子女的工作安排以及境内外旅游等提供方便；</w:t>
      </w:r>
    </w:p>
    <w:p w14:paraId="01907C9C">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（四）不得以谋取非正当利益为目的，擅自与甲方工作人员就业务问题进行私下商谈或者达成利益默契；</w:t>
      </w:r>
    </w:p>
    <w:p w14:paraId="3BFADC10">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（五）乙方不得向甲方员工及/或其利益代言人提供任何形式的借款；</w:t>
      </w:r>
    </w:p>
    <w:p w14:paraId="3882EE20">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（六）乙方的股东、董事、监事、经理、高级管理人员、合作项目负责人及项目成员系甲方员工或其利益代言人的，应在合作前以书面方式如实、全面告知甲方。</w:t>
      </w:r>
    </w:p>
    <w:p w14:paraId="746ECE6D">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合作过程中，乙方不得允许甲方员工及/或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且不限于建立正式劳动关系、劳务派遣、外包服务、兼职、咨询顾问等其他形式）。乙方如有聘用甲方员工配偶及其他利益代言人任职于乙方的，应在聘用之日起三日内以书面方式如实、全面告知甲方。</w:t>
      </w:r>
    </w:p>
    <w:p w14:paraId="1EABD00C">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（八）发现甲方工作人员有违反本廉洁协议书及党和国家相关法律、法规等文件规定的，应向甲方单位举报，甲方会对所有信息提供者及所提供的全部资料严格保密。</w:t>
      </w:r>
    </w:p>
    <w:p w14:paraId="0D42A360">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  相关责任</w:t>
      </w:r>
    </w:p>
    <w:p w14:paraId="2EA51600">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（一）甲方员工违反本廉洁协议书第一、二条规定的，一经查实，严格按照管理权限，依据有关党纪、法律法规、规章制度给予纪律处分或组织处理；涉嫌犯罪的，移送司法机关依法追究刑事责任。</w:t>
      </w:r>
    </w:p>
    <w:p w14:paraId="51A35CA9">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违反本廉洁协议书第一、三条规定的，一经查实，甲方有权单方部分或全部终止与乙方的合同，同时乙方应向甲方支付所涉订单（合同）金额的10%作为违约金。乙方应于甲方发现违约行为之日起10个工作日内支付违约金，如未及时支付，甲方有权从合同款项和履约保证金中直接扣除。同时，乙方将被列入投标人黑名单。乙方涉嫌犯罪的，甲方将依法移送司法机关依法追究其刑事责任。</w:t>
      </w:r>
    </w:p>
    <w:p w14:paraId="68A7AE87">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若乙方违反本协议第三条第（六）款及/或第（七）款之规定，除应根据上述第（二）款之规定承担违约责任外，乙方还应将因此行为所得的全部收益支付给甲方。乙方应于甲方发现该等违约行为之日起10个工作日内向甲方支付其所得的全部收益，如未及时支付，甲方有权从合同款项中直接扣除，不足部分甲方有权向乙方进行追偿。</w:t>
      </w:r>
    </w:p>
    <w:p w14:paraId="512F952A">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对于乙方，无论是主动还是被动发生第一条、第二条、第三条所示行为的，如果主动向甲方提供有效信息，甲方可以考虑继续与乙方合作并给予相应的奖励，对于上述情形的处理甲方有完全的判断权和自主权，乙方认可并自愿接受处理结果。</w:t>
      </w:r>
    </w:p>
    <w:p w14:paraId="3C8673A5">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  协议书生效及法律效力</w:t>
      </w:r>
    </w:p>
    <w:p w14:paraId="2EC9A7B7">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（一）本廉洁协议书经双方盖章后生效。</w:t>
      </w:r>
    </w:p>
    <w:p w14:paraId="61A3EEEB">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（二）除非甲乙双方另行签订新的廉洁协议书，否则本廉洁协议书在甲方与乙方存在业务关系期间均对双方产生约束力。</w:t>
      </w:r>
    </w:p>
    <w:p w14:paraId="02176D9F">
      <w:pPr>
        <w:pStyle w:val="6"/>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第六条  其他</w:t>
      </w:r>
    </w:p>
    <w:p w14:paraId="408E3688">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（一）本廉洁协议书作为主合同附件，与主合同具有同等法律效力。</w:t>
      </w:r>
    </w:p>
    <w:p w14:paraId="72142D18">
      <w:pPr>
        <w:pStyle w:val="6"/>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（二）甲乙双方确认在订立本廉洁协议书前已仔细阅读条款内容，甲乙双方对本廉洁协议书所产生的法律责任已清楚知悉并承诺遵守。</w:t>
      </w:r>
    </w:p>
    <w:p w14:paraId="3FDE66F0">
      <w:pPr>
        <w:spacing w:line="360" w:lineRule="auto"/>
        <w:rPr>
          <w:rFonts w:hint="eastAsia" w:ascii="宋体" w:hAnsi="宋体" w:eastAsia="宋体" w:cs="宋体"/>
          <w:sz w:val="21"/>
          <w:szCs w:val="21"/>
          <w:highlight w:val="none"/>
        </w:rPr>
      </w:pPr>
    </w:p>
    <w:p w14:paraId="12FC15A4">
      <w:pPr>
        <w:pStyle w:val="19"/>
        <w:spacing w:line="360" w:lineRule="auto"/>
        <w:ind w:firstLine="210"/>
        <w:rPr>
          <w:rFonts w:hint="eastAsia" w:ascii="宋体" w:hAnsi="宋体" w:eastAsia="宋体" w:cs="宋体"/>
          <w:sz w:val="21"/>
          <w:szCs w:val="21"/>
          <w:highlight w:val="none"/>
        </w:rPr>
      </w:pPr>
    </w:p>
    <w:p w14:paraId="3593A35F">
      <w:pPr>
        <w:widowControl/>
        <w:spacing w:line="360" w:lineRule="auto"/>
        <w:jc w:val="left"/>
        <w:rPr>
          <w:rFonts w:hint="eastAsia" w:ascii="宋体" w:hAnsi="宋体" w:eastAsia="宋体" w:cs="宋体"/>
          <w:sz w:val="21"/>
          <w:szCs w:val="21"/>
          <w:highlight w:val="none"/>
        </w:rPr>
      </w:pPr>
    </w:p>
    <w:p w14:paraId="74394752">
      <w:pPr>
        <w:pStyle w:val="6"/>
        <w:spacing w:line="360" w:lineRule="auto"/>
        <w:ind w:firstLine="0" w:firstLineChars="0"/>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 xml:space="preserve">甲方（盖章）：                                  </w:t>
      </w:r>
      <w:r>
        <w:rPr>
          <w:rFonts w:hint="eastAsia" w:ascii="宋体" w:hAnsi="宋体" w:eastAsia="宋体" w:cs="宋体"/>
          <w:spacing w:val="-20"/>
          <w:sz w:val="21"/>
          <w:szCs w:val="21"/>
          <w:highlight w:val="none"/>
        </w:rPr>
        <w:t>乙方（盖章）：</w:t>
      </w:r>
    </w:p>
    <w:p w14:paraId="4BEA72C7">
      <w:pPr>
        <w:pStyle w:val="6"/>
        <w:spacing w:line="360" w:lineRule="auto"/>
        <w:ind w:firstLine="0" w:firstLineChars="0"/>
        <w:rPr>
          <w:rFonts w:hint="eastAsia" w:ascii="宋体" w:hAnsi="宋体" w:eastAsia="宋体" w:cs="宋体"/>
          <w:sz w:val="21"/>
          <w:szCs w:val="21"/>
          <w:highlight w:val="none"/>
        </w:rPr>
      </w:pPr>
    </w:p>
    <w:p w14:paraId="6D3FA177">
      <w:pPr>
        <w:pStyle w:val="6"/>
        <w:spacing w:line="360" w:lineRule="auto"/>
        <w:rPr>
          <w:rFonts w:hint="eastAsia" w:ascii="宋体" w:hAnsi="宋体" w:eastAsia="宋体" w:cs="宋体"/>
          <w:sz w:val="21"/>
          <w:szCs w:val="21"/>
          <w:highlight w:val="none"/>
        </w:rPr>
      </w:pPr>
    </w:p>
    <w:p w14:paraId="4591BA08">
      <w:pPr>
        <w:pStyle w:val="6"/>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日期：    年    月   日</w:t>
      </w:r>
    </w:p>
    <w:p w14:paraId="377D7408">
      <w:pPr>
        <w:rPr>
          <w:rFonts w:hint="eastAsia" w:ascii="宋体" w:hAnsi="宋体" w:eastAsia="宋体" w:cs="宋体"/>
          <w:kern w:val="0"/>
          <w:sz w:val="28"/>
          <w:szCs w:val="28"/>
          <w:highlight w:val="none"/>
        </w:rPr>
      </w:pPr>
    </w:p>
    <w:p w14:paraId="1E2846A5">
      <w:pP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p>
    <w:p w14:paraId="36A1189D">
      <w:pPr>
        <w:pStyle w:val="18"/>
        <w:spacing w:before="0" w:after="0"/>
        <w:jc w:val="left"/>
        <w:rPr>
          <w:rFonts w:hint="eastAsia" w:ascii="宋体" w:hAnsi="宋体" w:eastAsia="宋体" w:cs="宋体"/>
          <w:b/>
          <w:bCs w:val="0"/>
          <w:kern w:val="0"/>
          <w:sz w:val="21"/>
          <w:szCs w:val="21"/>
          <w:highlight w:val="none"/>
          <w:lang w:eastAsia="zh-CN"/>
        </w:rPr>
      </w:pPr>
      <w:bookmarkStart w:id="26" w:name="_Toc8097"/>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二</w:t>
      </w:r>
      <w:bookmarkEnd w:id="26"/>
    </w:p>
    <w:p w14:paraId="48AFEC03">
      <w:pPr>
        <w:pStyle w:val="6"/>
        <w:spacing w:line="480" w:lineRule="exact"/>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发货清单</w:t>
      </w:r>
    </w:p>
    <w:tbl>
      <w:tblPr>
        <w:tblStyle w:val="21"/>
        <w:tblW w:w="5000" w:type="pct"/>
        <w:jc w:val="center"/>
        <w:shd w:val="clear" w:color="auto" w:fill="auto"/>
        <w:tblLayout w:type="autofit"/>
        <w:tblCellMar>
          <w:top w:w="0" w:type="dxa"/>
          <w:left w:w="108" w:type="dxa"/>
          <w:bottom w:w="0" w:type="dxa"/>
          <w:right w:w="108" w:type="dxa"/>
        </w:tblCellMar>
      </w:tblPr>
      <w:tblGrid>
        <w:gridCol w:w="523"/>
        <w:gridCol w:w="1541"/>
        <w:gridCol w:w="1541"/>
        <w:gridCol w:w="778"/>
        <w:gridCol w:w="83"/>
        <w:gridCol w:w="1993"/>
        <w:gridCol w:w="2057"/>
      </w:tblGrid>
      <w:tr w14:paraId="173A29BF">
        <w:tblPrEx>
          <w:shd w:val="clear" w:color="auto" w:fill="auto"/>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F76625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收物单位：</w:t>
            </w:r>
          </w:p>
        </w:tc>
      </w:tr>
      <w:tr w14:paraId="4CFE5CDF">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D5D6275">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收物地址：</w:t>
            </w:r>
          </w:p>
        </w:tc>
      </w:tr>
      <w:tr w14:paraId="1143EEDC">
        <w:tblPrEx>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28C299D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收物人：                   手机：</w:t>
            </w:r>
          </w:p>
        </w:tc>
      </w:tr>
      <w:tr w14:paraId="7CA33509">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4C87761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发物单位（盖章）：</w:t>
            </w:r>
          </w:p>
        </w:tc>
      </w:tr>
      <w:tr w14:paraId="3061B9A7">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3DE736A">
            <w:pPr>
              <w:widowControl/>
              <w:jc w:val="left"/>
              <w:rPr>
                <w:rFonts w:hint="eastAsia" w:ascii="宋体" w:hAnsi="宋体" w:eastAsia="宋体" w:cs="宋体"/>
                <w:kern w:val="0"/>
                <w:sz w:val="21"/>
                <w:szCs w:val="21"/>
                <w:highlight w:val="none"/>
              </w:rPr>
            </w:pPr>
          </w:p>
        </w:tc>
      </w:tr>
      <w:tr w14:paraId="0ECB9A81">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F0B220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发物地址：</w:t>
            </w:r>
          </w:p>
        </w:tc>
      </w:tr>
      <w:tr w14:paraId="695467A4">
        <w:tblPrEx>
          <w:shd w:val="clear" w:color="auto" w:fill="auto"/>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637AC6E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发物人：                   手机：</w:t>
            </w:r>
          </w:p>
        </w:tc>
      </w:tr>
      <w:tr w14:paraId="2BE51ED1">
        <w:tblPrEx>
          <w:shd w:val="clear" w:color="auto" w:fill="auto"/>
          <w:tblCellMar>
            <w:top w:w="0" w:type="dxa"/>
            <w:left w:w="108" w:type="dxa"/>
            <w:bottom w:w="0" w:type="dxa"/>
            <w:right w:w="108" w:type="dxa"/>
          </w:tblCellMar>
        </w:tblPrEx>
        <w:trPr>
          <w:trHeight w:val="383"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B1ACD">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9CBDB5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品名</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F16CC8B">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型号</w:t>
            </w:r>
          </w:p>
        </w:tc>
        <w:tc>
          <w:tcPr>
            <w:tcW w:w="457" w:type="pct"/>
            <w:tcBorders>
              <w:top w:val="single" w:color="000000" w:sz="4" w:space="0"/>
              <w:left w:val="nil"/>
              <w:bottom w:val="single" w:color="000000" w:sz="4" w:space="0"/>
              <w:right w:val="single" w:color="auto" w:sz="4" w:space="0"/>
            </w:tcBorders>
            <w:shd w:val="clear" w:color="auto" w:fill="auto"/>
            <w:noWrap w:val="0"/>
            <w:vAlign w:val="center"/>
          </w:tcPr>
          <w:p w14:paraId="3A0BFAAA">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计量</w:t>
            </w:r>
          </w:p>
          <w:p w14:paraId="3E46E83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c>
          <w:tcPr>
            <w:tcW w:w="1219" w:type="pct"/>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0A286FB1">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合同约定交货数量</w:t>
            </w:r>
          </w:p>
          <w:p w14:paraId="7E88C01D">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c>
          <w:tcPr>
            <w:tcW w:w="120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53A7BCC">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本次交货和到货数量</w:t>
            </w:r>
          </w:p>
          <w:p w14:paraId="5D9B4819">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r>
      <w:tr w14:paraId="3C8BB095">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526608C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905" w:type="pct"/>
            <w:tcBorders>
              <w:top w:val="nil"/>
              <w:left w:val="nil"/>
              <w:bottom w:val="single" w:color="000000" w:sz="4" w:space="0"/>
              <w:right w:val="single" w:color="000000" w:sz="4" w:space="0"/>
            </w:tcBorders>
            <w:shd w:val="clear" w:color="auto" w:fill="auto"/>
            <w:noWrap w:val="0"/>
            <w:vAlign w:val="center"/>
          </w:tcPr>
          <w:p w14:paraId="11D8E687">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2CB2B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164683E">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35E1823E">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2F152DC4">
            <w:pPr>
              <w:widowControl/>
              <w:jc w:val="center"/>
              <w:rPr>
                <w:rFonts w:hint="eastAsia" w:ascii="宋体" w:hAnsi="宋体" w:eastAsia="宋体" w:cs="宋体"/>
                <w:kern w:val="0"/>
                <w:sz w:val="21"/>
                <w:szCs w:val="21"/>
                <w:highlight w:val="none"/>
              </w:rPr>
            </w:pPr>
          </w:p>
        </w:tc>
      </w:tr>
      <w:tr w14:paraId="708C5170">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624A17C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905" w:type="pct"/>
            <w:tcBorders>
              <w:top w:val="nil"/>
              <w:left w:val="nil"/>
              <w:bottom w:val="single" w:color="000000" w:sz="4" w:space="0"/>
              <w:right w:val="single" w:color="000000" w:sz="4" w:space="0"/>
            </w:tcBorders>
            <w:shd w:val="clear" w:color="auto" w:fill="auto"/>
            <w:noWrap w:val="0"/>
            <w:vAlign w:val="center"/>
          </w:tcPr>
          <w:p w14:paraId="11FCF870">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4620F6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4E080D6D">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DA3954C">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754E2908">
            <w:pPr>
              <w:widowControl/>
              <w:jc w:val="center"/>
              <w:rPr>
                <w:rFonts w:hint="eastAsia" w:ascii="宋体" w:hAnsi="宋体" w:eastAsia="宋体" w:cs="宋体"/>
                <w:kern w:val="0"/>
                <w:sz w:val="21"/>
                <w:szCs w:val="21"/>
                <w:highlight w:val="none"/>
              </w:rPr>
            </w:pPr>
          </w:p>
        </w:tc>
      </w:tr>
      <w:tr w14:paraId="1032F687">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3211F8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905" w:type="pct"/>
            <w:tcBorders>
              <w:top w:val="nil"/>
              <w:left w:val="nil"/>
              <w:bottom w:val="single" w:color="000000" w:sz="4" w:space="0"/>
              <w:right w:val="single" w:color="000000" w:sz="4" w:space="0"/>
            </w:tcBorders>
            <w:shd w:val="clear" w:color="auto" w:fill="auto"/>
            <w:noWrap w:val="0"/>
            <w:vAlign w:val="center"/>
          </w:tcPr>
          <w:p w14:paraId="00E8F689">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A573D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E9E4565">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148CAC4">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B9A8962">
            <w:pPr>
              <w:widowControl/>
              <w:jc w:val="center"/>
              <w:rPr>
                <w:rFonts w:hint="eastAsia" w:ascii="宋体" w:hAnsi="宋体" w:eastAsia="宋体" w:cs="宋体"/>
                <w:kern w:val="0"/>
                <w:sz w:val="21"/>
                <w:szCs w:val="21"/>
                <w:highlight w:val="none"/>
              </w:rPr>
            </w:pPr>
          </w:p>
        </w:tc>
      </w:tr>
      <w:tr w14:paraId="43A51A6B">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150F5D4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905" w:type="pct"/>
            <w:tcBorders>
              <w:top w:val="nil"/>
              <w:left w:val="nil"/>
              <w:bottom w:val="single" w:color="000000" w:sz="4" w:space="0"/>
              <w:right w:val="single" w:color="000000" w:sz="4" w:space="0"/>
            </w:tcBorders>
            <w:shd w:val="clear" w:color="auto" w:fill="auto"/>
            <w:noWrap w:val="0"/>
            <w:vAlign w:val="center"/>
          </w:tcPr>
          <w:p w14:paraId="1CE027AA">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CEA6968">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516C77BF">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CBD5617">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159A69EE">
            <w:pPr>
              <w:widowControl/>
              <w:jc w:val="center"/>
              <w:rPr>
                <w:rFonts w:hint="eastAsia" w:ascii="宋体" w:hAnsi="宋体" w:eastAsia="宋体" w:cs="宋体"/>
                <w:kern w:val="0"/>
                <w:sz w:val="21"/>
                <w:szCs w:val="21"/>
                <w:highlight w:val="none"/>
              </w:rPr>
            </w:pPr>
          </w:p>
        </w:tc>
      </w:tr>
      <w:tr w14:paraId="132953BD">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40B9272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905" w:type="pct"/>
            <w:tcBorders>
              <w:top w:val="nil"/>
              <w:left w:val="nil"/>
              <w:bottom w:val="single" w:color="000000" w:sz="4" w:space="0"/>
              <w:right w:val="single" w:color="000000" w:sz="4" w:space="0"/>
            </w:tcBorders>
            <w:shd w:val="clear" w:color="auto" w:fill="auto"/>
            <w:noWrap w:val="0"/>
            <w:vAlign w:val="center"/>
          </w:tcPr>
          <w:p w14:paraId="2153869C">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427D5B30">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0B63CCD0">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1BE6E963">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3468006">
            <w:pPr>
              <w:widowControl/>
              <w:jc w:val="center"/>
              <w:rPr>
                <w:rFonts w:hint="eastAsia" w:ascii="宋体" w:hAnsi="宋体" w:eastAsia="宋体" w:cs="宋体"/>
                <w:kern w:val="0"/>
                <w:sz w:val="21"/>
                <w:szCs w:val="21"/>
                <w:highlight w:val="none"/>
              </w:rPr>
            </w:pPr>
          </w:p>
        </w:tc>
      </w:tr>
      <w:tr w14:paraId="2FEDADC1">
        <w:tblPrEx>
          <w:tblCellMar>
            <w:top w:w="0" w:type="dxa"/>
            <w:left w:w="108" w:type="dxa"/>
            <w:bottom w:w="0" w:type="dxa"/>
            <w:right w:w="108" w:type="dxa"/>
          </w:tblCellMar>
        </w:tblPrEx>
        <w:trPr>
          <w:trHeight w:val="328" w:hRule="atLeast"/>
          <w:jc w:val="center"/>
        </w:trPr>
        <w:tc>
          <w:tcPr>
            <w:tcW w:w="307" w:type="pct"/>
            <w:vMerge w:val="restart"/>
            <w:tcBorders>
              <w:top w:val="nil"/>
              <w:left w:val="single" w:color="000000" w:sz="4" w:space="0"/>
              <w:bottom w:val="single" w:color="000000" w:sz="4" w:space="0"/>
              <w:right w:val="single" w:color="000000" w:sz="4" w:space="0"/>
            </w:tcBorders>
            <w:shd w:val="clear" w:color="auto" w:fill="auto"/>
            <w:noWrap w:val="0"/>
            <w:vAlign w:val="center"/>
          </w:tcPr>
          <w:p w14:paraId="2F4203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3B35418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1.收货单位对照此清单，确认货物包装完好、品名、数量、号型准确无误后，收货单位方可盖章、签字。</w:t>
            </w:r>
          </w:p>
        </w:tc>
      </w:tr>
      <w:tr w14:paraId="6B7E183F">
        <w:tblPrEx>
          <w:shd w:val="clear" w:color="auto" w:fill="auto"/>
          <w:tblCellMar>
            <w:top w:w="0" w:type="dxa"/>
            <w:left w:w="108" w:type="dxa"/>
            <w:bottom w:w="0" w:type="dxa"/>
            <w:right w:w="108" w:type="dxa"/>
          </w:tblCellMar>
        </w:tblPrEx>
        <w:trPr>
          <w:trHeight w:val="328"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00420835">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F84BBD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2.本交货清单一式三份，接收单位留存一份，发货单位留存二份（一份交</w:t>
            </w:r>
            <w:r>
              <w:rPr>
                <w:rFonts w:hint="eastAsia" w:ascii="宋体" w:hAnsi="宋体" w:eastAsia="宋体" w:cs="宋体"/>
                <w:kern w:val="0"/>
                <w:sz w:val="21"/>
                <w:szCs w:val="21"/>
                <w:highlight w:val="none"/>
                <w:lang w:val="en-US" w:eastAsia="zh-CN"/>
              </w:rPr>
              <w:t>采购人</w:t>
            </w:r>
            <w:r>
              <w:rPr>
                <w:rFonts w:hint="eastAsia" w:ascii="宋体" w:hAnsi="宋体" w:eastAsia="宋体" w:cs="宋体"/>
                <w:kern w:val="0"/>
                <w:sz w:val="21"/>
                <w:szCs w:val="21"/>
                <w:highlight w:val="none"/>
              </w:rPr>
              <w:t>。</w:t>
            </w:r>
          </w:p>
        </w:tc>
      </w:tr>
      <w:tr w14:paraId="3E455DA4">
        <w:tblPrEx>
          <w:tblCellMar>
            <w:top w:w="0" w:type="dxa"/>
            <w:left w:w="108" w:type="dxa"/>
            <w:bottom w:w="0" w:type="dxa"/>
            <w:right w:w="108" w:type="dxa"/>
          </w:tblCellMar>
        </w:tblPrEx>
        <w:trPr>
          <w:trHeight w:val="504"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13F61498">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BF3935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3.确认收货和盖章、签字后，收货单位将此清单的彩色扫描件发至发货厂家邮箱： </w:t>
            </w:r>
          </w:p>
        </w:tc>
      </w:tr>
      <w:tr w14:paraId="02DC8C7A">
        <w:tblPrEx>
          <w:tblCellMar>
            <w:top w:w="0" w:type="dxa"/>
            <w:left w:w="108" w:type="dxa"/>
            <w:bottom w:w="0" w:type="dxa"/>
            <w:right w:w="108" w:type="dxa"/>
          </w:tblCellMar>
        </w:tblPrEx>
        <w:trPr>
          <w:trHeight w:val="439" w:hRule="atLeast"/>
          <w:jc w:val="center"/>
        </w:trPr>
        <w:tc>
          <w:tcPr>
            <w:tcW w:w="5000" w:type="pct"/>
            <w:gridSpan w:val="7"/>
            <w:tcBorders>
              <w:top w:val="single" w:color="000000" w:sz="4" w:space="0"/>
              <w:left w:val="nil"/>
              <w:bottom w:val="nil"/>
              <w:right w:val="nil"/>
            </w:tcBorders>
            <w:shd w:val="clear" w:color="auto" w:fill="auto"/>
            <w:noWrap w:val="0"/>
            <w:vAlign w:val="center"/>
          </w:tcPr>
          <w:p w14:paraId="621897A3">
            <w:pPr>
              <w:widowControl/>
              <w:jc w:val="left"/>
              <w:rPr>
                <w:rFonts w:hint="eastAsia" w:ascii="宋体" w:hAnsi="宋体" w:eastAsia="宋体" w:cs="宋体"/>
                <w:kern w:val="0"/>
                <w:sz w:val="21"/>
                <w:szCs w:val="21"/>
                <w:highlight w:val="none"/>
              </w:rPr>
            </w:pPr>
          </w:p>
        </w:tc>
      </w:tr>
      <w:tr w14:paraId="6444A56F">
        <w:tblPrEx>
          <w:shd w:val="clear" w:color="auto" w:fill="auto"/>
          <w:tblCellMar>
            <w:top w:w="0" w:type="dxa"/>
            <w:left w:w="108" w:type="dxa"/>
            <w:bottom w:w="0" w:type="dxa"/>
            <w:right w:w="108" w:type="dxa"/>
          </w:tblCellMar>
        </w:tblPrEx>
        <w:trPr>
          <w:trHeight w:val="1018" w:hRule="atLeast"/>
          <w:jc w:val="center"/>
        </w:trPr>
        <w:tc>
          <w:tcPr>
            <w:tcW w:w="2623" w:type="pct"/>
            <w:gridSpan w:val="5"/>
            <w:shd w:val="clear" w:color="auto" w:fill="auto"/>
            <w:noWrap w:val="0"/>
            <w:vAlign w:val="center"/>
          </w:tcPr>
          <w:p w14:paraId="61D00626">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收货单位（盖章）：</w:t>
            </w:r>
          </w:p>
        </w:tc>
        <w:tc>
          <w:tcPr>
            <w:tcW w:w="2376" w:type="pct"/>
            <w:gridSpan w:val="2"/>
            <w:shd w:val="clear" w:color="auto" w:fill="auto"/>
            <w:noWrap w:val="0"/>
            <w:vAlign w:val="center"/>
          </w:tcPr>
          <w:p w14:paraId="7F0772C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签收人(双人签字)：</w:t>
            </w:r>
          </w:p>
        </w:tc>
      </w:tr>
      <w:tr w14:paraId="59181F65">
        <w:tblPrEx>
          <w:shd w:val="clear" w:color="auto" w:fill="auto"/>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5D636CE0">
            <w:pPr>
              <w:widowControl/>
              <w:jc w:val="left"/>
              <w:rPr>
                <w:rFonts w:hint="eastAsia" w:ascii="宋体" w:hAnsi="宋体" w:eastAsia="宋体" w:cs="宋体"/>
                <w:kern w:val="0"/>
                <w:sz w:val="21"/>
                <w:szCs w:val="21"/>
                <w:highlight w:val="none"/>
              </w:rPr>
            </w:pPr>
          </w:p>
        </w:tc>
      </w:tr>
      <w:tr w14:paraId="0EF4934B">
        <w:tblPrEx>
          <w:shd w:val="clear" w:color="auto" w:fill="auto"/>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68E374E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签收时间：    年   月   日</w:t>
            </w:r>
          </w:p>
        </w:tc>
      </w:tr>
    </w:tbl>
    <w:p w14:paraId="17A78F31">
      <w:pPr>
        <w:rPr>
          <w:rFonts w:hint="eastAsia"/>
        </w:rPr>
      </w:pPr>
    </w:p>
    <w:p w14:paraId="206487CC">
      <w:pPr>
        <w:rPr>
          <w:rFonts w:hint="eastAsia" w:ascii="宋体" w:hAnsi="宋体" w:eastAsia="宋体" w:cs="宋体"/>
          <w:sz w:val="28"/>
          <w:szCs w:val="28"/>
        </w:rPr>
      </w:pPr>
      <w:r>
        <w:rPr>
          <w:rFonts w:hint="eastAsia" w:ascii="宋体" w:hAnsi="宋体" w:eastAsia="宋体" w:cs="宋体"/>
          <w:sz w:val="28"/>
          <w:szCs w:val="28"/>
        </w:rPr>
        <w:br w:type="page"/>
      </w:r>
    </w:p>
    <w:p w14:paraId="4517F185">
      <w:pPr>
        <w:numPr>
          <w:ilvl w:val="0"/>
          <w:numId w:val="0"/>
        </w:numPr>
        <w:tabs>
          <w:tab w:val="left" w:pos="0"/>
        </w:tabs>
        <w:bidi w:val="0"/>
        <w:ind w:leftChars="0"/>
        <w:jc w:val="center"/>
        <w:outlineLvl w:val="0"/>
        <w:rPr>
          <w:rFonts w:hint="eastAsia"/>
          <w:b/>
          <w:bCs/>
          <w:color w:val="000000"/>
          <w:sz w:val="32"/>
          <w:szCs w:val="32"/>
          <w:highlight w:val="yellow"/>
        </w:rPr>
      </w:pPr>
      <w:bookmarkStart w:id="27" w:name="_Toc13023"/>
      <w:r>
        <w:rPr>
          <w:rFonts w:hint="eastAsia"/>
          <w:b/>
          <w:bCs/>
          <w:color w:val="000000"/>
          <w:sz w:val="32"/>
          <w:szCs w:val="32"/>
          <w:highlight w:val="none"/>
          <w:lang w:val="en-US" w:eastAsia="zh-CN"/>
        </w:rPr>
        <w:t xml:space="preserve">第五章 </w:t>
      </w:r>
      <w:r>
        <w:rPr>
          <w:rFonts w:hint="eastAsia"/>
          <w:b/>
          <w:bCs/>
          <w:color w:val="000000"/>
          <w:sz w:val="32"/>
          <w:szCs w:val="32"/>
          <w:highlight w:val="none"/>
        </w:rPr>
        <w:t>采购需求</w:t>
      </w:r>
      <w:bookmarkEnd w:id="27"/>
    </w:p>
    <w:p w14:paraId="1A0DFAC7">
      <w:pPr>
        <w:numPr>
          <w:ilvl w:val="0"/>
          <w:numId w:val="0"/>
        </w:numPr>
        <w:tabs>
          <w:tab w:val="left" w:pos="0"/>
        </w:tabs>
        <w:bidi w:val="0"/>
        <w:ind w:leftChars="0"/>
        <w:jc w:val="both"/>
        <w:rPr>
          <w:rFonts w:hint="eastAsia"/>
          <w:b/>
          <w:bCs/>
          <w:color w:val="000000"/>
          <w:sz w:val="36"/>
          <w:szCs w:val="36"/>
          <w:highlight w:val="none"/>
        </w:rPr>
      </w:pPr>
    </w:p>
    <w:p w14:paraId="33FAA27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hAnsi="宋体" w:cs="宋体"/>
          <w:b w:val="0"/>
          <w:bCs w:val="0"/>
          <w:color w:val="auto"/>
          <w:highlight w:val="none"/>
          <w:lang w:val="en-US" w:eastAsia="zh-CN"/>
        </w:rPr>
      </w:pPr>
      <w:r>
        <w:rPr>
          <w:rFonts w:hint="eastAsia" w:hAnsi="宋体" w:cs="宋体"/>
          <w:b w:val="0"/>
          <w:bCs w:val="0"/>
          <w:color w:val="auto"/>
          <w:highlight w:val="none"/>
          <w:lang w:val="en-US" w:eastAsia="zh-CN"/>
        </w:rPr>
        <w:t>详见附件。</w:t>
      </w:r>
    </w:p>
    <w:p w14:paraId="1BE3CE5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hAnsi="宋体" w:cs="宋体"/>
          <w:b w:val="0"/>
          <w:bCs w:val="0"/>
          <w:color w:val="auto"/>
          <w:highlight w:val="none"/>
          <w:lang w:val="en-US" w:eastAsia="zh-CN"/>
        </w:rPr>
        <w:t>注：1.</w:t>
      </w:r>
      <w:r>
        <w:rPr>
          <w:rFonts w:hint="eastAsia" w:ascii="宋体" w:hAnsi="宋体" w:cs="宋体"/>
          <w:b w:val="0"/>
          <w:bCs w:val="0"/>
          <w:color w:val="auto"/>
          <w:highlight w:val="none"/>
          <w:lang w:val="en-US" w:eastAsia="zh-CN"/>
        </w:rPr>
        <w:t>投标人按采购需求逐项</w:t>
      </w:r>
      <w:r>
        <w:rPr>
          <w:rFonts w:hint="eastAsia" w:hAnsi="宋体" w:cs="宋体"/>
          <w:b w:val="0"/>
          <w:bCs w:val="0"/>
          <w:color w:val="auto"/>
          <w:highlight w:val="none"/>
          <w:lang w:val="en-US" w:eastAsia="zh-CN"/>
        </w:rPr>
        <w:t>进行报价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最高投标限价，各分项报价不得超过采购人提供各分项报价最高投标限价。</w:t>
      </w:r>
    </w:p>
    <w:p w14:paraId="3EF7697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2.</w:t>
      </w:r>
      <w:r>
        <w:rPr>
          <w:rFonts w:hint="eastAsia" w:ascii="宋体" w:hAnsi="宋体" w:cs="宋体"/>
          <w:b w:val="0"/>
          <w:bCs w:val="0"/>
          <w:color w:val="auto"/>
          <w:highlight w:val="none"/>
          <w:lang w:val="en-US" w:eastAsia="zh-CN"/>
        </w:rPr>
        <w:t>以上报价含生产制作、包装、运输、保险、安装调试、利润、税金、专利技术、培训、技术支持等一切费用。</w:t>
      </w:r>
    </w:p>
    <w:p w14:paraId="125C513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highlight w:val="none"/>
          <w:lang w:val="en-US" w:eastAsia="zh-CN"/>
        </w:rPr>
      </w:pPr>
      <w:r>
        <w:rPr>
          <w:rFonts w:hint="eastAsia" w:cs="宋体"/>
          <w:color w:val="auto"/>
          <w:highlight w:val="none"/>
          <w:lang w:val="en-US" w:eastAsia="zh-CN"/>
        </w:rPr>
        <w:t>3</w:t>
      </w:r>
      <w:r>
        <w:rPr>
          <w:rFonts w:hint="eastAsia" w:cs="宋体"/>
          <w:color w:val="auto"/>
          <w:highlight w:val="none"/>
        </w:rPr>
        <w:t>.</w:t>
      </w:r>
      <w:r>
        <w:rPr>
          <w:rFonts w:hint="eastAsia" w:cs="宋体"/>
          <w:color w:val="auto"/>
          <w:highlight w:val="none"/>
          <w:lang w:val="en-US" w:eastAsia="zh-CN"/>
        </w:rPr>
        <w:t>根据采购清单内容和要求，</w:t>
      </w:r>
      <w:r>
        <w:rPr>
          <w:rFonts w:hint="eastAsia" w:hAnsi="宋体" w:cs="宋体"/>
          <w:b w:val="0"/>
          <w:bCs w:val="0"/>
          <w:color w:val="auto"/>
          <w:highlight w:val="none"/>
          <w:lang w:val="en-US" w:eastAsia="zh-CN"/>
        </w:rPr>
        <w:t>提供技术参数需提供证明材料进行佐证，否则视为负偏离，包括但不限于产品彩页、产品说明书、官网功能截图等任一技术支持性文件（资料）等。</w:t>
      </w:r>
    </w:p>
    <w:p w14:paraId="0A02E32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4.详细采购清单及最高投标限价见附件。</w:t>
      </w:r>
    </w:p>
    <w:p w14:paraId="45FE0D3F">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highlight w:val="none"/>
          <w:lang w:val="en-US" w:eastAsia="zh-CN"/>
        </w:rPr>
      </w:pPr>
      <w:r>
        <w:rPr>
          <w:rFonts w:hint="eastAsia" w:ascii="宋体" w:hAnsi="宋体" w:cs="宋体"/>
          <w:b w:val="0"/>
          <w:bCs w:val="0"/>
          <w:color w:val="auto"/>
          <w:highlight w:val="none"/>
          <w:lang w:val="en-US" w:eastAsia="zh-CN"/>
        </w:rPr>
        <w:t>5.核心产品：</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772"/>
        <w:gridCol w:w="866"/>
        <w:gridCol w:w="377"/>
        <w:gridCol w:w="1470"/>
        <w:gridCol w:w="4990"/>
      </w:tblGrid>
      <w:tr w14:paraId="1932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2898CF1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候诊椅</w:t>
            </w:r>
          </w:p>
        </w:tc>
        <w:tc>
          <w:tcPr>
            <w:tcW w:w="772" w:type="dxa"/>
            <w:shd w:val="clear" w:color="auto" w:fill="FFFF00"/>
            <w:vAlign w:val="center"/>
          </w:tcPr>
          <w:p w14:paraId="706959B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1785*620*895</w:t>
            </w:r>
          </w:p>
        </w:tc>
        <w:tc>
          <w:tcPr>
            <w:tcW w:w="866" w:type="dxa"/>
            <w:shd w:val="clear" w:color="auto" w:fill="FFFF00"/>
            <w:noWrap/>
            <w:vAlign w:val="center"/>
          </w:tcPr>
          <w:p w14:paraId="5760E504">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377" w:type="dxa"/>
            <w:shd w:val="clear" w:color="auto" w:fill="FFFF00"/>
            <w:noWrap/>
            <w:vAlign w:val="center"/>
          </w:tcPr>
          <w:p w14:paraId="2E8377D6">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744E6CF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162560</wp:posOffset>
                  </wp:positionV>
                  <wp:extent cx="670560" cy="416560"/>
                  <wp:effectExtent l="0" t="0" r="15240" b="2540"/>
                  <wp:wrapNone/>
                  <wp:docPr id="11" name="图片_13"/>
                  <wp:cNvGraphicFramePr/>
                  <a:graphic xmlns:a="http://schemas.openxmlformats.org/drawingml/2006/main">
                    <a:graphicData uri="http://schemas.openxmlformats.org/drawingml/2006/picture">
                      <pic:pic xmlns:pic="http://schemas.openxmlformats.org/drawingml/2006/picture">
                        <pic:nvPicPr>
                          <pic:cNvPr id="11" name="图片_13"/>
                          <pic:cNvPicPr/>
                        </pic:nvPicPr>
                        <pic:blipFill>
                          <a:blip r:embed="rId8"/>
                          <a:stretch>
                            <a:fillRect/>
                          </a:stretch>
                        </pic:blipFill>
                        <pic:spPr>
                          <a:xfrm>
                            <a:off x="0" y="0"/>
                            <a:ext cx="670560" cy="416560"/>
                          </a:xfrm>
                          <a:prstGeom prst="rect">
                            <a:avLst/>
                          </a:prstGeom>
                          <a:noFill/>
                          <a:ln>
                            <a:noFill/>
                          </a:ln>
                        </pic:spPr>
                      </pic:pic>
                    </a:graphicData>
                  </a:graphic>
                </wp:anchor>
              </w:drawing>
            </w:r>
          </w:p>
        </w:tc>
        <w:tc>
          <w:tcPr>
            <w:tcW w:w="4990" w:type="dxa"/>
            <w:shd w:val="clear" w:color="auto" w:fill="FFFF00"/>
            <w:vAlign w:val="center"/>
          </w:tcPr>
          <w:p w14:paraId="4D66147A">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（3）扶手脚：采用优质冷轧钢板材料一次性压铸成型，易拆装，无锐角，表面圆滑，外观美丽大方。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（4）椅面与横梁之间采用钢制夹码上下卡扣式紧固连接，使整排座椅使用后保持一条水平线，加强椅面稳固性能。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候诊椅；需符合GB/T 3325或同类相关检测标准；检测内容包括但不限于：①金属喷漆（塑）涂层理化性能硬度≥5H；②金属喷漆(塑)涂层耐腐蚀，100h内，观察在溶液中样板上划道两侧3mm以外,应无气泡产生，100h后，检查划道两侧3mm外，应无锈迹、剥落、起皱、变色和失光等现象；③抗菌性能：抑菌率≥99.97%；                                                                                                                                                 </w:t>
            </w:r>
          </w:p>
        </w:tc>
      </w:tr>
      <w:tr w14:paraId="434F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22957120">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候诊椅</w:t>
            </w:r>
          </w:p>
        </w:tc>
        <w:tc>
          <w:tcPr>
            <w:tcW w:w="772" w:type="dxa"/>
            <w:shd w:val="clear" w:color="auto" w:fill="FFFF00"/>
            <w:vAlign w:val="center"/>
          </w:tcPr>
          <w:p w14:paraId="72DF3E86">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两人位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1215*620*895</w:t>
            </w:r>
          </w:p>
        </w:tc>
        <w:tc>
          <w:tcPr>
            <w:tcW w:w="866" w:type="dxa"/>
            <w:shd w:val="clear" w:color="auto" w:fill="FFFF00"/>
            <w:noWrap/>
            <w:vAlign w:val="center"/>
          </w:tcPr>
          <w:p w14:paraId="69D79892">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377" w:type="dxa"/>
            <w:shd w:val="clear" w:color="auto" w:fill="FFFF00"/>
            <w:noWrap/>
            <w:vAlign w:val="center"/>
          </w:tcPr>
          <w:p w14:paraId="4CF87235">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5597EE69">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441325</wp:posOffset>
                  </wp:positionV>
                  <wp:extent cx="510540" cy="398780"/>
                  <wp:effectExtent l="0" t="0" r="3810" b="1270"/>
                  <wp:wrapNone/>
                  <wp:docPr id="9" name="图片_88"/>
                  <wp:cNvGraphicFramePr/>
                  <a:graphic xmlns:a="http://schemas.openxmlformats.org/drawingml/2006/main">
                    <a:graphicData uri="http://schemas.openxmlformats.org/drawingml/2006/picture">
                      <pic:pic xmlns:pic="http://schemas.openxmlformats.org/drawingml/2006/picture">
                        <pic:nvPicPr>
                          <pic:cNvPr id="9" name="图片_88"/>
                          <pic:cNvPicPr/>
                        </pic:nvPicPr>
                        <pic:blipFill>
                          <a:blip r:embed="rId9"/>
                          <a:stretch>
                            <a:fillRect/>
                          </a:stretch>
                        </pic:blipFill>
                        <pic:spPr>
                          <a:xfrm>
                            <a:off x="0" y="0"/>
                            <a:ext cx="510540" cy="398780"/>
                          </a:xfrm>
                          <a:prstGeom prst="rect">
                            <a:avLst/>
                          </a:prstGeom>
                          <a:noFill/>
                          <a:ln>
                            <a:noFill/>
                          </a:ln>
                        </pic:spPr>
                      </pic:pic>
                    </a:graphicData>
                  </a:graphic>
                </wp:anchor>
              </w:drawing>
            </w:r>
          </w:p>
        </w:tc>
        <w:tc>
          <w:tcPr>
            <w:tcW w:w="4990" w:type="dxa"/>
            <w:shd w:val="clear" w:color="auto" w:fill="FFFF00"/>
            <w:vAlign w:val="center"/>
          </w:tcPr>
          <w:p w14:paraId="5678BF27">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（3）扶手脚：采用优质冷轧钢板材料一次性压铸成型，易拆装，无锐角，表面圆滑，外观美丽大方。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（4）椅面与横梁之间采用钢制夹码上下卡扣式紧固连接，使整排座椅使用后保持一条水平线，加强椅面稳固性能。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候诊椅；需符合GB/T 3325或同类相关检测标准；检测内容包括但不限于：①金属喷漆（塑）涂层理化性能硬度≥5H；②金属喷漆(塑)涂层耐腐蚀，100h内，观察在溶液中样板上划道两侧3mm以外,应无气泡产生，100h后，检查划道两侧3mm外，应无锈迹、剥落、起皱、变色和失光等现象；③抗菌性能：抑菌率≥99.97%；                                                                                                                                                  </w:t>
            </w:r>
          </w:p>
        </w:tc>
      </w:tr>
      <w:tr w14:paraId="0D15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7FE0C18">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操作台</w:t>
            </w:r>
          </w:p>
        </w:tc>
        <w:tc>
          <w:tcPr>
            <w:tcW w:w="772" w:type="dxa"/>
            <w:shd w:val="clear" w:color="auto" w:fill="FFFF00"/>
            <w:vAlign w:val="center"/>
          </w:tcPr>
          <w:p w14:paraId="7E1A8FE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630D*860H</w:t>
            </w:r>
          </w:p>
        </w:tc>
        <w:tc>
          <w:tcPr>
            <w:tcW w:w="866" w:type="dxa"/>
            <w:shd w:val="clear" w:color="auto" w:fill="FFFF00"/>
            <w:noWrap/>
            <w:vAlign w:val="center"/>
          </w:tcPr>
          <w:p w14:paraId="50A737C8">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17.25</w:t>
            </w:r>
          </w:p>
        </w:tc>
        <w:tc>
          <w:tcPr>
            <w:tcW w:w="377" w:type="dxa"/>
            <w:shd w:val="clear" w:color="auto" w:fill="FFFF00"/>
            <w:noWrap/>
            <w:vAlign w:val="center"/>
          </w:tcPr>
          <w:p w14:paraId="7005554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3D6609C5">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209550</wp:posOffset>
                  </wp:positionV>
                  <wp:extent cx="480060" cy="476250"/>
                  <wp:effectExtent l="0" t="0" r="15240" b="0"/>
                  <wp:wrapNone/>
                  <wp:docPr id="10" name="ID_5D859AE81B2B41A48B046F5FE7BBAB73"/>
                  <wp:cNvGraphicFramePr/>
                  <a:graphic xmlns:a="http://schemas.openxmlformats.org/drawingml/2006/main">
                    <a:graphicData uri="http://schemas.openxmlformats.org/drawingml/2006/picture">
                      <pic:pic xmlns:pic="http://schemas.openxmlformats.org/drawingml/2006/picture">
                        <pic:nvPicPr>
                          <pic:cNvPr id="10" name="ID_5D859AE81B2B41A48B046F5FE7BBAB73"/>
                          <pic:cNvPicPr/>
                        </pic:nvPicPr>
                        <pic:blipFill>
                          <a:blip r:embed="rId10"/>
                          <a:stretch>
                            <a:fillRect/>
                          </a:stretch>
                        </pic:blipFill>
                        <pic:spPr>
                          <a:xfrm>
                            <a:off x="0" y="0"/>
                            <a:ext cx="480060" cy="476250"/>
                          </a:xfrm>
                          <a:prstGeom prst="rect">
                            <a:avLst/>
                          </a:prstGeom>
                          <a:noFill/>
                          <a:ln>
                            <a:noFill/>
                          </a:ln>
                        </pic:spPr>
                      </pic:pic>
                    </a:graphicData>
                  </a:graphic>
                </wp:anchor>
              </w:drawing>
            </w:r>
          </w:p>
        </w:tc>
        <w:tc>
          <w:tcPr>
            <w:tcW w:w="4990" w:type="dxa"/>
            <w:shd w:val="clear" w:color="auto" w:fill="FFFF00"/>
            <w:vAlign w:val="center"/>
          </w:tcPr>
          <w:p w14:paraId="07BACDB4">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1、主体材质：采用厚度1.0mm优质电解钢板制作，表面采用环保室内型环氧树脂静电粉末喷涂，符合国家基本要求。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2、台面：台面采用医用复合亚克力人造石，厚度12mm。</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3、五金配件：一体折弯拉手、叶片转舌锁、三节卡口式导轨。拉手；需符合GB/T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结构：整体采用电阻焊接，门与柜体连接采用304不锈钢合页铰链，柜体边框宽度为1.0cm。采用双层门板设计，并且内有加强筋，提高门的使用寿命。活动层板四边折弯，可自由调节高度，层板挂钩可自由拆卸，可调整高度。门框与柜体之间采用优质磁铁门吸互相吸附。结构要求无死角，产品简洁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理化板；需符合GB 18580或同类相关检测标准；检测内容包括但不限于：①外观质量：干花、湿花，纤维、发状物，划痕，压痕，污斑，颜色与图案，表面光泽，边缘缺损，缺角均符合要求；②理化性能：耐磨性能≥3级，耐沸水：质量增加率≤0.9%，厚度増加率≤1.0%，外观不低于1级，耐干热（180°）不低于1级，耐湿热不低于1级，耐水蒸气不低于1级，尺寸稳定性合格，抗大球冲击合格，耐划痕≥3级，耐污染不低于1级，耐香烟灼烧不低于2级，耐龟裂性能不低于5级，弯曲弹性模量合格，弯曲强度合格，甲醛释放量≤0.065mg/m³，耐老化性能符合要求；③滞然性能：氧指数≥33%，水平燃烧达到HB级，垂直燃烧达到V-0级，均合格；④抗菌性能：抗菌率≥99.99%；</w:t>
            </w:r>
          </w:p>
        </w:tc>
      </w:tr>
      <w:tr w14:paraId="3C54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C7811F9">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治疗柜</w:t>
            </w:r>
          </w:p>
        </w:tc>
        <w:tc>
          <w:tcPr>
            <w:tcW w:w="772" w:type="dxa"/>
            <w:shd w:val="clear" w:color="auto" w:fill="FFFF00"/>
            <w:vAlign w:val="center"/>
          </w:tcPr>
          <w:p w14:paraId="3C615EF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630D*2400H</w:t>
            </w:r>
          </w:p>
        </w:tc>
        <w:tc>
          <w:tcPr>
            <w:tcW w:w="866" w:type="dxa"/>
            <w:shd w:val="clear" w:color="auto" w:fill="FFFF00"/>
            <w:noWrap/>
            <w:vAlign w:val="center"/>
          </w:tcPr>
          <w:p w14:paraId="0A0F0D5B">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115.9</w:t>
            </w:r>
          </w:p>
        </w:tc>
        <w:tc>
          <w:tcPr>
            <w:tcW w:w="377" w:type="dxa"/>
            <w:shd w:val="clear" w:color="auto" w:fill="FFFF00"/>
            <w:noWrap/>
            <w:vAlign w:val="center"/>
          </w:tcPr>
          <w:p w14:paraId="73B4ABFB">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A2D594F">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2127885</wp:posOffset>
                  </wp:positionV>
                  <wp:extent cx="666115" cy="638810"/>
                  <wp:effectExtent l="0" t="0" r="635" b="8890"/>
                  <wp:wrapNone/>
                  <wp:docPr id="12" name="图片_119"/>
                  <wp:cNvGraphicFramePr/>
                  <a:graphic xmlns:a="http://schemas.openxmlformats.org/drawingml/2006/main">
                    <a:graphicData uri="http://schemas.openxmlformats.org/drawingml/2006/picture">
                      <pic:pic xmlns:pic="http://schemas.openxmlformats.org/drawingml/2006/picture">
                        <pic:nvPicPr>
                          <pic:cNvPr id="12" name="图片_119"/>
                          <pic:cNvPicPr/>
                        </pic:nvPicPr>
                        <pic:blipFill>
                          <a:blip r:embed="rId11"/>
                          <a:stretch>
                            <a:fillRect/>
                          </a:stretch>
                        </pic:blipFill>
                        <pic:spPr>
                          <a:xfrm>
                            <a:off x="0" y="0"/>
                            <a:ext cx="666115" cy="638810"/>
                          </a:xfrm>
                          <a:prstGeom prst="rect">
                            <a:avLst/>
                          </a:prstGeom>
                          <a:noFill/>
                          <a:ln>
                            <a:noFill/>
                          </a:ln>
                        </pic:spPr>
                      </pic:pic>
                    </a:graphicData>
                  </a:graphic>
                </wp:anchor>
              </w:drawing>
            </w:r>
          </w:p>
        </w:tc>
        <w:tc>
          <w:tcPr>
            <w:tcW w:w="4990" w:type="dxa"/>
            <w:shd w:val="clear" w:color="auto" w:fill="FFFF00"/>
            <w:vAlign w:val="center"/>
          </w:tcPr>
          <w:p w14:paraId="51292935">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上柜铁门，地柜两个垃圾桶，1个推拉，台面采用医用复合亚克力人造石，厚度≥12mm。中标后按用户需求设计订制。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（1）基材：采用1.0MM厚一级电解钢板，静电喷涂。电解钢板；需符合GB/T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（2）门板；需符合GB/T4340.1或同类相关检测标准；检测内容包括但不限于：①维氏硬度HV10≥129；非金属夹杂物：（细系:A≤0.5，B≤0.5，C≤0.5，D≤0.5粗系:A≤0.5，B≤0.5，C≤0.50，D≤0.5,）,弹性模量 E(GPa)≥145，均符合；②疲劳试验经10万次疲劳试验后，部件未发生开裂；③应力腐蚀试验（经100h应力腐蚀试验，不断裂）恒定应力值:150MPa周期:100h没有断裂，符合；④磁导率试验≥1.0000000；⑤抗菌性能：抑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侧板；需符合GB/T228或同类相关检测标准；检测内容包括但不限于：①力学性能：规定塑性延伸强度≥337MPa，抗拉强度：410~430MPa，断后伸长率≥34%；拉伸应变硬化指数(n值)≥0.2；②布氏硬度HBW≥120；③全浸腐蚀试验23℃（mm/a)≥0.14，④疲劳试验：经10万次疲劳试验后，部件未发生开裂；⑤电阻率试验；⑥抗菌性能：抑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V形加强筋防护搁板；需符合GB/T3325或同类相关检测标准；检测内容包括但不限于：①金属件外观性能要求：（喷涂层：涂层应无漏喷、锈蚀和脱色、掉色现象，涂层应光滑均匀，色泽一致，应无流挂、疙瘩、皱皮、飞漆等缺陷）符合要求；②金属喷漆涂层理化性能：（硬度≥5H，冲击高度400mm，应无剥落、裂纹皱纹，耐腐蚀：100h内，观察在溶剂中样板上划道两侧 3mm 以外，应无鼓泡产生，100h后，检查划道两侧3mm以外，应无锈迹、剥落、起皱、变色和失光等现象，附着力不低于1级）；③表面电阻率≥5.4x1016</w:t>
            </w:r>
            <w:r>
              <w:rPr>
                <w:rFonts w:ascii="Calibri" w:hAnsi="Calibri" w:eastAsia="宋体" w:cs="Calibri"/>
                <w:i w:val="0"/>
                <w:iCs w:val="0"/>
                <w:color w:val="000000"/>
                <w:kern w:val="0"/>
                <w:sz w:val="13"/>
                <w:szCs w:val="13"/>
                <w:highlight w:val="none"/>
                <w:u w:val="none"/>
                <w:lang w:val="en-US" w:eastAsia="zh-CN" w:bidi="ar"/>
              </w:rPr>
              <w:t>Ω</w:t>
            </w:r>
            <w:r>
              <w:rPr>
                <w:rFonts w:hint="eastAsia" w:ascii="宋体" w:hAnsi="宋体" w:eastAsia="宋体" w:cs="宋体"/>
                <w:i w:val="0"/>
                <w:iCs w:val="0"/>
                <w:color w:val="000000"/>
                <w:kern w:val="0"/>
                <w:sz w:val="13"/>
                <w:szCs w:val="13"/>
                <w:highlight w:val="none"/>
                <w:u w:val="none"/>
                <w:lang w:val="en-US" w:eastAsia="zh-CN" w:bidi="ar"/>
              </w:rPr>
              <w:t xml:space="preserve">。                                                                                                                                                           （5）顶板；需符合GB/T230.1或同类相关检测标准；检测内容包括但不限于：①洛氏硬度HRBW≥70，冲击试验≥20，非金属夹杂物：（细系:A≤2.0，B≤2.0，C≤2.0，D≤2.0粗系:A≤2.0，B≤2.0，C≤2.0，D≤2.0），塑性应变比(r值)≥1.8，均符合；②锌层质量(g/㎡)≥36；③直流磁性能试验；④抗菌性能：抑菌率≥99.99%；                                                                                                                                                      （6）锁具；需符合GB21556或同类相关检测标准；检测内容包括但不限于：①保密度：锁舌仲出长度≥10mm；②牢固度（锁头固定连接静拉力：锁头直径不小于20mm的，在承受200N静拉力后，应无松动；锁舌侧向静载荷：锁舌在承受200N侧向静载荷后，应能正常使用；弹子锁、叶片锁使用寿命：锁头直径不小于20mm的弹子锁,叶片锁，使用寿命不应少于20000次）均合格；③灵活度（钥匙插拔、旋转：钥匙插拔应灵活，无卡滞现象;钥匙插入锁芯旋转灵活，锁开、关无卡阻现象；钥匙拔出静拉力：弹子锁不应大于6N，叶片锁不应大于9N；钥匙开启扭矩≤0.38N/m）均合格；④外观质量（锁头、钥匙：锁头、钥匙表面应平整光洁，商标字迹应清晰、端正）符合要求；⑤（锁头结构：锁头结构应具有不少于1项的防拨安全装置；锁舌伸出长度：锁舌仲出长度不少于8mm；锁头固定连接静拉力：锁头直径不大于20mm，承受140N后，无松动；锁头固定连接扭矩：锁头直径不大于20mm，承受1.80N.m后，无松动；锁芯拔动件承受扭矩：锁芯拔动件在承受0.70N·m扭矩后，仍能正常使用；锁舌侧向静载荷试验：锁舌在承受200N侧向静载荷后，仍能正常使用；铆接件：各铆接件在承受200N静拉力后，仍能正常使用；使用寿命：锁头直径不大于20 mm，不少于5000次）均合格；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复合亚克力人造石（台面板）；需符合GB/T 32487或同类相关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p>
        </w:tc>
      </w:tr>
      <w:tr w14:paraId="1D2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073B32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输液椅</w:t>
            </w:r>
          </w:p>
        </w:tc>
        <w:tc>
          <w:tcPr>
            <w:tcW w:w="772" w:type="dxa"/>
            <w:shd w:val="clear" w:color="auto" w:fill="FFFF00"/>
            <w:vAlign w:val="center"/>
          </w:tcPr>
          <w:p w14:paraId="081F741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1630*650*1013</w:t>
            </w:r>
          </w:p>
        </w:tc>
        <w:tc>
          <w:tcPr>
            <w:tcW w:w="866" w:type="dxa"/>
            <w:shd w:val="clear" w:color="auto" w:fill="FFFF00"/>
            <w:noWrap/>
            <w:vAlign w:val="center"/>
          </w:tcPr>
          <w:p w14:paraId="6A417E82">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377" w:type="dxa"/>
            <w:shd w:val="clear" w:color="auto" w:fill="FFFF00"/>
            <w:noWrap/>
            <w:vAlign w:val="center"/>
          </w:tcPr>
          <w:p w14:paraId="4366E34F">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09B1861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36830</wp:posOffset>
                  </wp:positionV>
                  <wp:extent cx="587375" cy="565785"/>
                  <wp:effectExtent l="0" t="0" r="3175" b="5715"/>
                  <wp:wrapNone/>
                  <wp:docPr id="8" name="图片_8"/>
                  <wp:cNvGraphicFramePr/>
                  <a:graphic xmlns:a="http://schemas.openxmlformats.org/drawingml/2006/main">
                    <a:graphicData uri="http://schemas.openxmlformats.org/drawingml/2006/picture">
                      <pic:pic xmlns:pic="http://schemas.openxmlformats.org/drawingml/2006/picture">
                        <pic:nvPicPr>
                          <pic:cNvPr id="8" name="图片_8"/>
                          <pic:cNvPicPr/>
                        </pic:nvPicPr>
                        <pic:blipFill>
                          <a:blip r:embed="rId12"/>
                          <a:stretch>
                            <a:fillRect/>
                          </a:stretch>
                        </pic:blipFill>
                        <pic:spPr>
                          <a:xfrm>
                            <a:off x="0" y="0"/>
                            <a:ext cx="587375" cy="565785"/>
                          </a:xfrm>
                          <a:prstGeom prst="rect">
                            <a:avLst/>
                          </a:prstGeom>
                          <a:noFill/>
                          <a:ln>
                            <a:noFill/>
                          </a:ln>
                        </pic:spPr>
                      </pic:pic>
                    </a:graphicData>
                  </a:graphic>
                </wp:anchor>
              </w:drawing>
            </w:r>
          </w:p>
        </w:tc>
        <w:tc>
          <w:tcPr>
            <w:tcW w:w="4990" w:type="dxa"/>
            <w:shd w:val="clear" w:color="auto" w:fill="FFFF00"/>
            <w:vAlign w:val="center"/>
          </w:tcPr>
          <w:p w14:paraId="64FFEBA2">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（3）PU材质扶手：带水杯架。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（4）配有3只不锈钢输液架。</w:t>
            </w:r>
          </w:p>
        </w:tc>
      </w:tr>
      <w:tr w14:paraId="07D6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CA169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单面药架</w:t>
            </w:r>
          </w:p>
        </w:tc>
        <w:tc>
          <w:tcPr>
            <w:tcW w:w="772" w:type="dxa"/>
            <w:shd w:val="clear" w:color="auto" w:fill="FFFF00"/>
            <w:vAlign w:val="center"/>
          </w:tcPr>
          <w:p w14:paraId="3F7DA6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800*460*2000</w:t>
            </w:r>
          </w:p>
        </w:tc>
        <w:tc>
          <w:tcPr>
            <w:tcW w:w="866" w:type="dxa"/>
            <w:shd w:val="clear" w:color="auto" w:fill="FFFF00"/>
            <w:noWrap/>
            <w:vAlign w:val="center"/>
          </w:tcPr>
          <w:p w14:paraId="39C0E1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5CB758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613F01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0288" behindDoc="0" locked="0" layoutInCell="1" allowOverlap="1">
                  <wp:simplePos x="0" y="0"/>
                  <wp:positionH relativeFrom="column">
                    <wp:posOffset>485140</wp:posOffset>
                  </wp:positionH>
                  <wp:positionV relativeFrom="paragraph">
                    <wp:posOffset>476250</wp:posOffset>
                  </wp:positionV>
                  <wp:extent cx="190500" cy="260350"/>
                  <wp:effectExtent l="0" t="0" r="0" b="6350"/>
                  <wp:wrapNone/>
                  <wp:docPr id="40" name="图片_90"/>
                  <wp:cNvGraphicFramePr/>
                  <a:graphic xmlns:a="http://schemas.openxmlformats.org/drawingml/2006/main">
                    <a:graphicData uri="http://schemas.openxmlformats.org/drawingml/2006/picture">
                      <pic:pic xmlns:pic="http://schemas.openxmlformats.org/drawingml/2006/picture">
                        <pic:nvPicPr>
                          <pic:cNvPr id="40" name="图片_90"/>
                          <pic:cNvPicPr/>
                        </pic:nvPicPr>
                        <pic:blipFill>
                          <a:blip r:embed="rId13"/>
                          <a:stretch>
                            <a:fillRect/>
                          </a:stretch>
                        </pic:blipFill>
                        <pic:spPr>
                          <a:xfrm>
                            <a:off x="0" y="0"/>
                            <a:ext cx="190500" cy="260350"/>
                          </a:xfrm>
                          <a:prstGeom prst="rect">
                            <a:avLst/>
                          </a:prstGeom>
                          <a:noFill/>
                          <a:ln>
                            <a:noFill/>
                          </a:ln>
                        </pic:spPr>
                      </pic:pic>
                    </a:graphicData>
                  </a:graphic>
                </wp:anchor>
              </w:drawing>
            </w: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0288" behindDoc="0" locked="0" layoutInCell="1" allowOverlap="1">
                  <wp:simplePos x="0" y="0"/>
                  <wp:positionH relativeFrom="column">
                    <wp:posOffset>102235</wp:posOffset>
                  </wp:positionH>
                  <wp:positionV relativeFrom="paragraph">
                    <wp:posOffset>453390</wp:posOffset>
                  </wp:positionV>
                  <wp:extent cx="248285" cy="281940"/>
                  <wp:effectExtent l="0" t="0" r="18415" b="3810"/>
                  <wp:wrapNone/>
                  <wp:docPr id="39" name="图片_89"/>
                  <wp:cNvGraphicFramePr/>
                  <a:graphic xmlns:a="http://schemas.openxmlformats.org/drawingml/2006/main">
                    <a:graphicData uri="http://schemas.openxmlformats.org/drawingml/2006/picture">
                      <pic:pic xmlns:pic="http://schemas.openxmlformats.org/drawingml/2006/picture">
                        <pic:nvPicPr>
                          <pic:cNvPr id="39" name="图片_89"/>
                          <pic:cNvPicPr/>
                        </pic:nvPicPr>
                        <pic:blipFill>
                          <a:blip r:embed="rId14"/>
                          <a:stretch>
                            <a:fillRect/>
                          </a:stretch>
                        </pic:blipFill>
                        <pic:spPr>
                          <a:xfrm>
                            <a:off x="0" y="0"/>
                            <a:ext cx="248285" cy="281940"/>
                          </a:xfrm>
                          <a:prstGeom prst="rect">
                            <a:avLst/>
                          </a:prstGeom>
                          <a:noFill/>
                          <a:ln>
                            <a:noFill/>
                          </a:ln>
                        </pic:spPr>
                      </pic:pic>
                    </a:graphicData>
                  </a:graphic>
                </wp:anchor>
              </w:drawing>
            </w:r>
          </w:p>
        </w:tc>
        <w:tc>
          <w:tcPr>
            <w:tcW w:w="4990" w:type="dxa"/>
            <w:shd w:val="clear" w:color="auto" w:fill="FFFF00"/>
            <w:vAlign w:val="center"/>
          </w:tcPr>
          <w:p w14:paraId="3F72508E">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西药（柜）架；需符合GB/T 3325或同类相关检测标准；检测内容包括但不限于：①理化性能金属喷漆（塑）涂层：附着力不低于0级；②金属喷漆(塑)涂层：硬度≥5H；③金属喷漆(塑)涂层耐腐蚀：100h内，无气泡产生，100h后，无锈迹、剥落、起皱、变色和失光等现象；④抗菌性能：抑菌率≥99.96%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采用冷轧钢板制作，立柱1.2mm，横档1.0mm，托板0.8mm，双面挂斗设计，层板为抽屉式设计，安装三节导轨，每面共7层，可根据需求自由调节宽度和层板之间的高度，带顶板，可有效防止灰尘，每层装有价目条，可放置药品信息标插，中间有钢网隔断，防止药品掉落，抽斗可平挂，斜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2.所有工件经磨具冲压折弯焊接而成，焊接部分打磨、抛光处理平滑过渡，焊接口表面光滑；每层高度可调，可快速拆卸，日常使用方便。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冷轧钢板；需符合GB/T 3325或同类相关检测标准；检测内容包括但不限于：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①金属件外观性能要求/喷涂层:涂层应无漏喷、锈蚀和脱色、掉色现象，涂层应光滑均匀，色泽一致，应无流挂、疙瘩、皱皮、飞漆等缺陷；</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②金属喷漆(塑)涂层：硬度≥3H，附着力不低于0级，冲击强度：冲击高度 400mm，应无剥落、裂纹、皱纹，耐腐蚀：100h内，观察在溶剂中样板上划道两侧 3mm 以外，应无鼓泡产生，100h后，检查划道两侧3mm以外，应无锈迹、剥落、起皱、变色和失光等现象； </w:t>
            </w:r>
          </w:p>
        </w:tc>
      </w:tr>
      <w:tr w14:paraId="33B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66C41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双面药架</w:t>
            </w:r>
          </w:p>
        </w:tc>
        <w:tc>
          <w:tcPr>
            <w:tcW w:w="772" w:type="dxa"/>
            <w:shd w:val="clear" w:color="auto" w:fill="FFFF00"/>
            <w:vAlign w:val="center"/>
          </w:tcPr>
          <w:p w14:paraId="6A22A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800*880*2000</w:t>
            </w:r>
          </w:p>
        </w:tc>
        <w:tc>
          <w:tcPr>
            <w:tcW w:w="866" w:type="dxa"/>
            <w:shd w:val="clear" w:color="auto" w:fill="FFFF00"/>
            <w:noWrap/>
            <w:vAlign w:val="center"/>
          </w:tcPr>
          <w:p w14:paraId="6DAF9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w:t>
            </w:r>
          </w:p>
        </w:tc>
        <w:tc>
          <w:tcPr>
            <w:tcW w:w="377" w:type="dxa"/>
            <w:shd w:val="clear" w:color="auto" w:fill="FFFF00"/>
            <w:noWrap/>
            <w:vAlign w:val="center"/>
          </w:tcPr>
          <w:p w14:paraId="79C3D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24AB4A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268605</wp:posOffset>
                  </wp:positionH>
                  <wp:positionV relativeFrom="paragraph">
                    <wp:posOffset>979170</wp:posOffset>
                  </wp:positionV>
                  <wp:extent cx="342265" cy="371475"/>
                  <wp:effectExtent l="0" t="0" r="635" b="9525"/>
                  <wp:wrapNone/>
                  <wp:docPr id="41" name="图片_91"/>
                  <wp:cNvGraphicFramePr/>
                  <a:graphic xmlns:a="http://schemas.openxmlformats.org/drawingml/2006/main">
                    <a:graphicData uri="http://schemas.openxmlformats.org/drawingml/2006/picture">
                      <pic:pic xmlns:pic="http://schemas.openxmlformats.org/drawingml/2006/picture">
                        <pic:nvPicPr>
                          <pic:cNvPr id="41" name="图片_91"/>
                          <pic:cNvPicPr/>
                        </pic:nvPicPr>
                        <pic:blipFill>
                          <a:blip r:embed="rId15"/>
                          <a:stretch>
                            <a:fillRect/>
                          </a:stretch>
                        </pic:blipFill>
                        <pic:spPr>
                          <a:xfrm>
                            <a:off x="0" y="0"/>
                            <a:ext cx="342265" cy="371475"/>
                          </a:xfrm>
                          <a:prstGeom prst="rect">
                            <a:avLst/>
                          </a:prstGeom>
                          <a:noFill/>
                          <a:ln>
                            <a:noFill/>
                          </a:ln>
                        </pic:spPr>
                      </pic:pic>
                    </a:graphicData>
                  </a:graphic>
                </wp:anchor>
              </w:drawing>
            </w:r>
          </w:p>
        </w:tc>
        <w:tc>
          <w:tcPr>
            <w:tcW w:w="4990" w:type="dxa"/>
            <w:shd w:val="clear" w:color="auto" w:fill="FFFF00"/>
            <w:vAlign w:val="center"/>
          </w:tcPr>
          <w:p w14:paraId="3A28C5BC">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西药（柜）架；需符合GB/T 3325或同类相关检测标准；检测内容包括但不限于：①理化性能金属喷漆（塑）涂层：附着力不低于0级；②金属喷漆(塑)涂层：硬度≥5H；③金属喷漆(塑)涂层耐腐蚀：100h内，无气泡产生，100h后，无锈迹、剥落、起皱、变色和失光等现象；④抗菌性能：抑菌率≥99.96%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采用冷轧钢板制作，立柱1.2mm，横档1.0mm，托板0.8mm，双面挂斗设计，层板为抽屉式设计，安装三节导轨，每面共7层，可根据需求自由调节宽度和层板之间的高度，带顶板，可有效防止灰尘，每层装有价目条，可放置药品信息标插，中间有钢网隔断，防止药品掉落，抽斗可平挂，斜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2.所有工件经磨具冲压折弯焊接而成，焊接部分打磨、抛光处理平滑过渡，焊接口表面光滑；每层高度可调，可快速拆卸，日常使用方便。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冷轧钢板；需符合GB/T 3325或同类相关检测标准；检测内容包括但不限于：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①金属件外观性能要求/喷涂层:涂层应无漏喷、锈蚀和脱色、掉色现象，涂层应光滑均匀，色泽一致，应无流挂、疙瘩、皱皮、飞漆等缺陷；</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②金属喷漆(塑)涂层：硬度≥3H，附着力不低于0级，冲击强度：冲击高度 400mm，应无剥落、裂纹、皱纹，耐腐蚀：100h内，观察在溶剂中样板上划道两侧 3mm 以外，应无鼓泡产生，100h后，检查划道两侧3mm以外，应无锈迹、剥落、起皱、变色和失光等现象； </w:t>
            </w:r>
          </w:p>
        </w:tc>
      </w:tr>
      <w:tr w14:paraId="3816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F0933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中药药斗</w:t>
            </w:r>
          </w:p>
        </w:tc>
        <w:tc>
          <w:tcPr>
            <w:tcW w:w="772" w:type="dxa"/>
            <w:shd w:val="clear" w:color="auto" w:fill="FFFF00"/>
            <w:vAlign w:val="center"/>
          </w:tcPr>
          <w:p w14:paraId="18D687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1200*600*2150</w:t>
            </w:r>
          </w:p>
        </w:tc>
        <w:tc>
          <w:tcPr>
            <w:tcW w:w="866" w:type="dxa"/>
            <w:shd w:val="clear" w:color="auto" w:fill="FFFF00"/>
            <w:noWrap/>
            <w:vAlign w:val="center"/>
          </w:tcPr>
          <w:p w14:paraId="5040E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10D371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44495F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2336" behindDoc="0" locked="0" layoutInCell="1" allowOverlap="1">
                  <wp:simplePos x="0" y="0"/>
                  <wp:positionH relativeFrom="column">
                    <wp:posOffset>257175</wp:posOffset>
                  </wp:positionH>
                  <wp:positionV relativeFrom="paragraph">
                    <wp:posOffset>747395</wp:posOffset>
                  </wp:positionV>
                  <wp:extent cx="347980" cy="760730"/>
                  <wp:effectExtent l="0" t="0" r="13970" b="1270"/>
                  <wp:wrapNone/>
                  <wp:docPr id="42" name="图片_62"/>
                  <wp:cNvGraphicFramePr/>
                  <a:graphic xmlns:a="http://schemas.openxmlformats.org/drawingml/2006/main">
                    <a:graphicData uri="http://schemas.openxmlformats.org/drawingml/2006/picture">
                      <pic:pic xmlns:pic="http://schemas.openxmlformats.org/drawingml/2006/picture">
                        <pic:nvPicPr>
                          <pic:cNvPr id="42" name="图片_62"/>
                          <pic:cNvPicPr/>
                        </pic:nvPicPr>
                        <pic:blipFill>
                          <a:blip r:embed="rId16"/>
                          <a:stretch>
                            <a:fillRect/>
                          </a:stretch>
                        </pic:blipFill>
                        <pic:spPr>
                          <a:xfrm>
                            <a:off x="0" y="0"/>
                            <a:ext cx="347980" cy="760730"/>
                          </a:xfrm>
                          <a:prstGeom prst="rect">
                            <a:avLst/>
                          </a:prstGeom>
                          <a:noFill/>
                          <a:ln>
                            <a:noFill/>
                          </a:ln>
                        </pic:spPr>
                      </pic:pic>
                    </a:graphicData>
                  </a:graphic>
                </wp:anchor>
              </w:drawing>
            </w:r>
          </w:p>
        </w:tc>
        <w:tc>
          <w:tcPr>
            <w:tcW w:w="4990" w:type="dxa"/>
            <w:shd w:val="clear" w:color="auto" w:fill="FFFF00"/>
            <w:vAlign w:val="center"/>
          </w:tcPr>
          <w:p w14:paraId="661235BF">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钢制中药药斗柜，多抽屉设计，抽屉内部带食品级塑料原料制作而成的方盒，颜色和样式可选，抽屉数量和规格可选，中标后按用户需求进行细化设计。</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1、基材：钢板选用0.8mm电解钢板，材质坚固耐用，表面喷粉。</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3、产品结构：小抽屉独立空间；每门配独立拉手，五金件采用优质五金件，抽屉内配置塑料药盒。拉手；需符合GB/T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4、焊接：采用二氧化碳保护焊，无砂眼、折角处圆滑、无毛刺，各结合部连接合理。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p>
        </w:tc>
      </w:tr>
      <w:tr w14:paraId="1A6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1F39D1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调剂台</w:t>
            </w:r>
          </w:p>
        </w:tc>
        <w:tc>
          <w:tcPr>
            <w:tcW w:w="772" w:type="dxa"/>
            <w:shd w:val="clear" w:color="auto" w:fill="FFFF00"/>
            <w:vAlign w:val="center"/>
          </w:tcPr>
          <w:p w14:paraId="5CB6C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750D*800H</w:t>
            </w:r>
          </w:p>
        </w:tc>
        <w:tc>
          <w:tcPr>
            <w:tcW w:w="866" w:type="dxa"/>
            <w:shd w:val="clear" w:color="auto" w:fill="FFFF00"/>
            <w:noWrap/>
            <w:vAlign w:val="center"/>
          </w:tcPr>
          <w:p w14:paraId="09F428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9.2</w:t>
            </w:r>
          </w:p>
        </w:tc>
        <w:tc>
          <w:tcPr>
            <w:tcW w:w="377" w:type="dxa"/>
            <w:shd w:val="clear" w:color="auto" w:fill="FFFF00"/>
            <w:noWrap/>
            <w:vAlign w:val="center"/>
          </w:tcPr>
          <w:p w14:paraId="6EAC4F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4018BC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3360" behindDoc="0" locked="0" layoutInCell="1" allowOverlap="1">
                  <wp:simplePos x="0" y="0"/>
                  <wp:positionH relativeFrom="column">
                    <wp:posOffset>85725</wp:posOffset>
                  </wp:positionH>
                  <wp:positionV relativeFrom="paragraph">
                    <wp:posOffset>1548765</wp:posOffset>
                  </wp:positionV>
                  <wp:extent cx="705485" cy="334010"/>
                  <wp:effectExtent l="0" t="0" r="18415" b="8890"/>
                  <wp:wrapNone/>
                  <wp:docPr id="43" name="图片_94"/>
                  <wp:cNvGraphicFramePr/>
                  <a:graphic xmlns:a="http://schemas.openxmlformats.org/drawingml/2006/main">
                    <a:graphicData uri="http://schemas.openxmlformats.org/drawingml/2006/picture">
                      <pic:pic xmlns:pic="http://schemas.openxmlformats.org/drawingml/2006/picture">
                        <pic:nvPicPr>
                          <pic:cNvPr id="43" name="图片_94"/>
                          <pic:cNvPicPr/>
                        </pic:nvPicPr>
                        <pic:blipFill>
                          <a:blip r:embed="rId17"/>
                          <a:stretch>
                            <a:fillRect/>
                          </a:stretch>
                        </pic:blipFill>
                        <pic:spPr>
                          <a:xfrm>
                            <a:off x="0" y="0"/>
                            <a:ext cx="705485" cy="334010"/>
                          </a:xfrm>
                          <a:prstGeom prst="rect">
                            <a:avLst/>
                          </a:prstGeom>
                          <a:noFill/>
                          <a:ln>
                            <a:noFill/>
                          </a:ln>
                        </pic:spPr>
                      </pic:pic>
                    </a:graphicData>
                  </a:graphic>
                </wp:anchor>
              </w:drawing>
            </w:r>
          </w:p>
        </w:tc>
        <w:tc>
          <w:tcPr>
            <w:tcW w:w="4990" w:type="dxa"/>
            <w:shd w:val="clear" w:color="auto" w:fill="FFFF00"/>
            <w:vAlign w:val="center"/>
          </w:tcPr>
          <w:p w14:paraId="285C59E2">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（1）台面采用医用复合亚克力人造石，厚度12mm，台面周边双层加厚及上下双R5圆角处理。具有抗菌、防霉、耐酸碱、耐磨、耐冲击、易清洁等特性；符合医院环境卫生要求；采用无缝拼接。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     体：采用1.0MM厚医用喷涂电解钢板，龙骨采用2.0mm厚医用喷涂电解钢板。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（4）拉手：需符合GB/T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（6）所有工件经数控激光切割、模具冲压、数控折弯、机器打磨、抛光，整体采用电阻焊接，无外露焊点。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复合亚克力人造石；需符合JC/T908或同类相关检测标准；检测内容包括但不限于：①外观质量：样品色泽均匀一致，无明显色差，板边四边平整，无缺棱掉角现象，板面光滑平整、无波纹、方料痕、刮痕等明显缺陷。不合格数:0；②规格尺寸偏差：长度、宽度、厚度均符合；③对角线偏差，边缘不直度，平整度，耐磨性，巴氏硬度，落球冲击，冲击韧性均符合；④耐燃烧性能(香烟燃烧)：未见明火燃烧及阴燃，未见损伤；⑤放射性：内照射指数、外照射指数均符合。 </w:t>
            </w:r>
          </w:p>
        </w:tc>
      </w:tr>
      <w:tr w14:paraId="51D0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5220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病历车</w:t>
            </w:r>
          </w:p>
        </w:tc>
        <w:tc>
          <w:tcPr>
            <w:tcW w:w="772" w:type="dxa"/>
            <w:shd w:val="clear" w:color="auto" w:fill="FFFF00"/>
            <w:vAlign w:val="center"/>
          </w:tcPr>
          <w:p w14:paraId="18E142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690*405*1210</w:t>
            </w:r>
          </w:p>
        </w:tc>
        <w:tc>
          <w:tcPr>
            <w:tcW w:w="866" w:type="dxa"/>
            <w:shd w:val="clear" w:color="auto" w:fill="FFFF00"/>
            <w:noWrap/>
            <w:vAlign w:val="center"/>
          </w:tcPr>
          <w:p w14:paraId="490DDA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21E4E6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个</w:t>
            </w:r>
          </w:p>
        </w:tc>
        <w:tc>
          <w:tcPr>
            <w:tcW w:w="1470" w:type="dxa"/>
            <w:shd w:val="clear" w:color="auto" w:fill="FFFF00"/>
            <w:noWrap/>
            <w:vAlign w:val="center"/>
          </w:tcPr>
          <w:p w14:paraId="4B0E8C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4384" behindDoc="0" locked="0" layoutInCell="1" allowOverlap="1">
                  <wp:simplePos x="0" y="0"/>
                  <wp:positionH relativeFrom="column">
                    <wp:posOffset>234950</wp:posOffset>
                  </wp:positionH>
                  <wp:positionV relativeFrom="paragraph">
                    <wp:posOffset>606425</wp:posOffset>
                  </wp:positionV>
                  <wp:extent cx="439420" cy="659130"/>
                  <wp:effectExtent l="0" t="0" r="17780" b="7620"/>
                  <wp:wrapNone/>
                  <wp:docPr id="44" name="图片_97"/>
                  <wp:cNvGraphicFramePr/>
                  <a:graphic xmlns:a="http://schemas.openxmlformats.org/drawingml/2006/main">
                    <a:graphicData uri="http://schemas.openxmlformats.org/drawingml/2006/picture">
                      <pic:pic xmlns:pic="http://schemas.openxmlformats.org/drawingml/2006/picture">
                        <pic:nvPicPr>
                          <pic:cNvPr id="44" name="图片_97"/>
                          <pic:cNvPicPr/>
                        </pic:nvPicPr>
                        <pic:blipFill>
                          <a:blip r:embed="rId18"/>
                          <a:stretch>
                            <a:fillRect/>
                          </a:stretch>
                        </pic:blipFill>
                        <pic:spPr>
                          <a:xfrm>
                            <a:off x="0" y="0"/>
                            <a:ext cx="439420" cy="659130"/>
                          </a:xfrm>
                          <a:prstGeom prst="rect">
                            <a:avLst/>
                          </a:prstGeom>
                          <a:noFill/>
                          <a:ln>
                            <a:noFill/>
                          </a:ln>
                        </pic:spPr>
                      </pic:pic>
                    </a:graphicData>
                  </a:graphic>
                </wp:anchor>
              </w:drawing>
            </w:r>
          </w:p>
        </w:tc>
        <w:tc>
          <w:tcPr>
            <w:tcW w:w="4990" w:type="dxa"/>
            <w:shd w:val="clear" w:color="auto" w:fill="FFFF00"/>
            <w:vAlign w:val="center"/>
          </w:tcPr>
          <w:p w14:paraId="2548AE57">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主体钢喷塑、顶板ABS塑脚，侧部配有钢线制杂物蓝，下部四角配防撞塑胶包角，4寸静音轮4个（对角刹车）,ABS塑胶病例夹，每个60格。</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1、整体以ABS 高级工程塑料材料制作。</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2、台面为模压伸成形，方便病历对号入档；</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3、病历车具设锁装置，排架档锁上后，病历不可以随意抽取、存放，确保了病人病历的保密性。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4、该病历夹推车为单抽屉优质ABS 高级工程塑料材料制作，整体光滑，美观牢固。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静音轮；需符合GB/T 32487或同类相关检测标准；检测内容包括但不限于：①塑料件外观：（应无裂纹、明显变形、缩水、针孔；应无凹陷、飞边、折皱、疙瘩；应无气泡、杂质、伤痕、白印；表面应光洁，应无划痕、毛刺、拉毛、污渍；应无明显色差）符合要求；②塑料件：邵氏D硬度≥HD67；塑料材料理化性能：冲击强度≥46.22kJ/㎡；③邻苯二甲酸酯：（DBP、BBP、DEHP、DNOP、DINP、DIDP）未检出，合格；④滚动阻力，静载荷，符合要求；⑤抗菌性能：抑菌率≥99.92%；                                                                                                    </w:t>
            </w:r>
          </w:p>
        </w:tc>
      </w:tr>
      <w:tr w14:paraId="7ED3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76254C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备餐柜</w:t>
            </w:r>
          </w:p>
        </w:tc>
        <w:tc>
          <w:tcPr>
            <w:tcW w:w="772" w:type="dxa"/>
            <w:shd w:val="clear" w:color="auto" w:fill="FFFF00"/>
            <w:vAlign w:val="center"/>
          </w:tcPr>
          <w:p w14:paraId="63E357A8">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650D*2000H</w:t>
            </w:r>
          </w:p>
        </w:tc>
        <w:tc>
          <w:tcPr>
            <w:tcW w:w="866" w:type="dxa"/>
            <w:shd w:val="clear" w:color="auto" w:fill="FFFF00"/>
            <w:noWrap/>
            <w:vAlign w:val="center"/>
          </w:tcPr>
          <w:p w14:paraId="60015C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14.4</w:t>
            </w:r>
          </w:p>
        </w:tc>
        <w:tc>
          <w:tcPr>
            <w:tcW w:w="377" w:type="dxa"/>
            <w:shd w:val="clear" w:color="auto" w:fill="FFFF00"/>
            <w:noWrap/>
            <w:vAlign w:val="center"/>
          </w:tcPr>
          <w:p w14:paraId="49EC8F54">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1DF5FAF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5408" behindDoc="0" locked="0" layoutInCell="1" allowOverlap="1">
                  <wp:simplePos x="0" y="0"/>
                  <wp:positionH relativeFrom="column">
                    <wp:posOffset>161290</wp:posOffset>
                  </wp:positionH>
                  <wp:positionV relativeFrom="paragraph">
                    <wp:posOffset>1259205</wp:posOffset>
                  </wp:positionV>
                  <wp:extent cx="641985" cy="717550"/>
                  <wp:effectExtent l="0" t="0" r="5715" b="6350"/>
                  <wp:wrapNone/>
                  <wp:docPr id="47" name="图片_113"/>
                  <wp:cNvGraphicFramePr/>
                  <a:graphic xmlns:a="http://schemas.openxmlformats.org/drawingml/2006/main">
                    <a:graphicData uri="http://schemas.openxmlformats.org/drawingml/2006/picture">
                      <pic:pic xmlns:pic="http://schemas.openxmlformats.org/drawingml/2006/picture">
                        <pic:nvPicPr>
                          <pic:cNvPr id="47" name="图片_113"/>
                          <pic:cNvPicPr/>
                        </pic:nvPicPr>
                        <pic:blipFill>
                          <a:blip r:embed="rId19"/>
                          <a:stretch>
                            <a:fillRect/>
                          </a:stretch>
                        </pic:blipFill>
                        <pic:spPr>
                          <a:xfrm>
                            <a:off x="0" y="0"/>
                            <a:ext cx="641985" cy="717550"/>
                          </a:xfrm>
                          <a:prstGeom prst="rect">
                            <a:avLst/>
                          </a:prstGeom>
                          <a:noFill/>
                          <a:ln>
                            <a:noFill/>
                          </a:ln>
                        </pic:spPr>
                      </pic:pic>
                    </a:graphicData>
                  </a:graphic>
                </wp:anchor>
              </w:drawing>
            </w:r>
          </w:p>
        </w:tc>
        <w:tc>
          <w:tcPr>
            <w:tcW w:w="4990" w:type="dxa"/>
            <w:shd w:val="clear" w:color="auto" w:fill="FFFF00"/>
            <w:vAlign w:val="center"/>
          </w:tcPr>
          <w:p w14:paraId="34CD3A9B">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1、产品结构：医用复合亚克力人造石台面，厚度12mm，配置优质水龙头洗手盆套件。中标后按用户需求设计订制。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医用复合亚克力人造石（台面板）；需符合GB/T 32487或同类相关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水龙头水盆套件；需符合QB/T 3827或同类相关检测标准；检测内容包括但不限于：①乙酸盐雾试验≥40小时，涂层本身耐腐蚀等级10级，涂层对基体保护等级10级；②铜加速乙酸盐雾（CASS）试验≥40小时，外观评级10级，保护评级10级；③屈服强度≥274N/mm²、抗拉强度≥411~500N/mm²、断后伸长率≥47%，合格；④抗菌性能：抑菌率≥99.95%；⑤耐人工气候老化性24h（变色：1级，失光：1级，有无异常现象：无粉化、起泡、开裂、剥落等异常现象）；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00A7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4914B6F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妇科诊床</w:t>
            </w:r>
          </w:p>
        </w:tc>
        <w:tc>
          <w:tcPr>
            <w:tcW w:w="772" w:type="dxa"/>
            <w:shd w:val="clear" w:color="auto" w:fill="FFFF00"/>
            <w:vAlign w:val="center"/>
          </w:tcPr>
          <w:p w14:paraId="2030573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1900*550*800</w:t>
            </w:r>
          </w:p>
        </w:tc>
        <w:tc>
          <w:tcPr>
            <w:tcW w:w="866" w:type="dxa"/>
            <w:shd w:val="clear" w:color="auto" w:fill="FFFF00"/>
            <w:noWrap/>
            <w:vAlign w:val="center"/>
          </w:tcPr>
          <w:p w14:paraId="2CE559A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5</w:t>
            </w:r>
          </w:p>
        </w:tc>
        <w:tc>
          <w:tcPr>
            <w:tcW w:w="377" w:type="dxa"/>
            <w:shd w:val="clear" w:color="auto" w:fill="FFFF00"/>
            <w:noWrap/>
            <w:vAlign w:val="center"/>
          </w:tcPr>
          <w:p w14:paraId="55E4983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6EBE7E6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6432" behindDoc="0" locked="0" layoutInCell="1" allowOverlap="1">
                  <wp:simplePos x="0" y="0"/>
                  <wp:positionH relativeFrom="column">
                    <wp:posOffset>164465</wp:posOffset>
                  </wp:positionH>
                  <wp:positionV relativeFrom="paragraph">
                    <wp:posOffset>781685</wp:posOffset>
                  </wp:positionV>
                  <wp:extent cx="500380" cy="419100"/>
                  <wp:effectExtent l="0" t="0" r="13970" b="0"/>
                  <wp:wrapNone/>
                  <wp:docPr id="48" name="ID_A32F7D0A38A64B68BDD067151623C2B0"/>
                  <wp:cNvGraphicFramePr/>
                  <a:graphic xmlns:a="http://schemas.openxmlformats.org/drawingml/2006/main">
                    <a:graphicData uri="http://schemas.openxmlformats.org/drawingml/2006/picture">
                      <pic:pic xmlns:pic="http://schemas.openxmlformats.org/drawingml/2006/picture">
                        <pic:nvPicPr>
                          <pic:cNvPr id="48" name="ID_A32F7D0A38A64B68BDD067151623C2B0"/>
                          <pic:cNvPicPr/>
                        </pic:nvPicPr>
                        <pic:blipFill>
                          <a:blip r:embed="rId20"/>
                          <a:stretch>
                            <a:fillRect/>
                          </a:stretch>
                        </pic:blipFill>
                        <pic:spPr>
                          <a:xfrm>
                            <a:off x="0" y="0"/>
                            <a:ext cx="500380" cy="419100"/>
                          </a:xfrm>
                          <a:prstGeom prst="rect">
                            <a:avLst/>
                          </a:prstGeom>
                          <a:noFill/>
                          <a:ln>
                            <a:noFill/>
                          </a:ln>
                        </pic:spPr>
                      </pic:pic>
                    </a:graphicData>
                  </a:graphic>
                </wp:anchor>
              </w:drawing>
            </w:r>
          </w:p>
        </w:tc>
        <w:tc>
          <w:tcPr>
            <w:tcW w:w="4990" w:type="dxa"/>
            <w:shd w:val="clear" w:color="auto" w:fill="FFFF00"/>
            <w:vAlign w:val="center"/>
          </w:tcPr>
          <w:p w14:paraId="6B749EC3">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背板上折≥60°，背板下折≥20°腿板下折≥90°</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1、选用优质不锈钢板和圆管，经高频焊接而成，背部腿部可调节角度，背部有6档，腿部5档可调，手动调节方式 ，满足手术中所需体位， 两个搁脚托架，采用人体工学设计，可旋转，可升降，全方位贴合人体腿型，还方便医生操作，调整病人体位，椅子下有一块活动搁物板；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2、座椅面开设有方形收集用槽，可接收手术过程中产生的物体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3、外表紧固件采用不锈钢标准件，耐磨抗腐性能更强。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4、床垫采用4cm高密度海绵外包人造革制成。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5、附件垫采用软质人造革包覆，均耐磨损抗老化，可使用消毒液或紫外线消毒。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6、床腿装有塑胶套脚，防止与地面摩擦而产生噪音，床垫采用优质医用人造革发泡成型，清洁保养容易，防污防静电性能；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配置：主床1台，拉手架2件，托腿架2件，排污漏斗1只，床垫（含附件套）1套</w:t>
            </w:r>
          </w:p>
        </w:tc>
      </w:tr>
      <w:tr w14:paraId="5316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0DB7717">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分诊台</w:t>
            </w:r>
          </w:p>
        </w:tc>
        <w:tc>
          <w:tcPr>
            <w:tcW w:w="772" w:type="dxa"/>
            <w:shd w:val="clear" w:color="auto" w:fill="FFFF00"/>
            <w:vAlign w:val="center"/>
          </w:tcPr>
          <w:p w14:paraId="56CD372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600D*1050H</w:t>
            </w:r>
          </w:p>
        </w:tc>
        <w:tc>
          <w:tcPr>
            <w:tcW w:w="866" w:type="dxa"/>
            <w:shd w:val="clear" w:color="auto" w:fill="FFFF00"/>
            <w:noWrap/>
            <w:vAlign w:val="center"/>
          </w:tcPr>
          <w:p w14:paraId="28C46EA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9.6</w:t>
            </w:r>
          </w:p>
        </w:tc>
        <w:tc>
          <w:tcPr>
            <w:tcW w:w="377" w:type="dxa"/>
            <w:shd w:val="clear" w:color="auto" w:fill="FFFF00"/>
            <w:noWrap/>
            <w:vAlign w:val="center"/>
          </w:tcPr>
          <w:p w14:paraId="0C9BF3B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DAE681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7456" behindDoc="0" locked="0" layoutInCell="1" allowOverlap="1">
                  <wp:simplePos x="0" y="0"/>
                  <wp:positionH relativeFrom="column">
                    <wp:posOffset>148590</wp:posOffset>
                  </wp:positionH>
                  <wp:positionV relativeFrom="paragraph">
                    <wp:posOffset>706120</wp:posOffset>
                  </wp:positionV>
                  <wp:extent cx="563880" cy="395605"/>
                  <wp:effectExtent l="0" t="0" r="7620" b="4445"/>
                  <wp:wrapNone/>
                  <wp:docPr id="53" name="图片_128"/>
                  <wp:cNvGraphicFramePr/>
                  <a:graphic xmlns:a="http://schemas.openxmlformats.org/drawingml/2006/main">
                    <a:graphicData uri="http://schemas.openxmlformats.org/drawingml/2006/picture">
                      <pic:pic xmlns:pic="http://schemas.openxmlformats.org/drawingml/2006/picture">
                        <pic:nvPicPr>
                          <pic:cNvPr id="53" name="图片_128"/>
                          <pic:cNvPicPr/>
                        </pic:nvPicPr>
                        <pic:blipFill>
                          <a:blip r:embed="rId21"/>
                          <a:stretch>
                            <a:fillRect/>
                          </a:stretch>
                        </pic:blipFill>
                        <pic:spPr>
                          <a:xfrm>
                            <a:off x="0" y="0"/>
                            <a:ext cx="563880" cy="395605"/>
                          </a:xfrm>
                          <a:prstGeom prst="rect">
                            <a:avLst/>
                          </a:prstGeom>
                          <a:noFill/>
                          <a:ln>
                            <a:noFill/>
                          </a:ln>
                        </pic:spPr>
                      </pic:pic>
                    </a:graphicData>
                  </a:graphic>
                </wp:anchor>
              </w:drawing>
            </w:r>
          </w:p>
        </w:tc>
        <w:tc>
          <w:tcPr>
            <w:tcW w:w="4990" w:type="dxa"/>
            <w:shd w:val="clear" w:color="auto" w:fill="FFFF00"/>
            <w:vAlign w:val="center"/>
          </w:tcPr>
          <w:p w14:paraId="6F1ABF2A">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台面板需符合GB/T 32487或同类相关检测标准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塑粉；需符合HG/T2006或同类相关检测标准；检测内容包括但不限于：①外观:搅拌混合后无硬块，呈均匀状态；筛余物:全部通过；涂膜外观：正常；胶化时间：≤32S；铅笔硬度≥H，附着力≤0级；耐冲击性：50cm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4、主台+高看台+医用人造石+304#不锈钢踢脚线+主机位+键盘架+三抽柜。（根据实际情况选配）每个抽屉和门板上配标签塑胶卡槽。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6、所有工件经数控激光切割、模具冲压、数控折弯、机器打磨、抛光，整体采用电阻焊接工艺，无外露焊点。中标后按用户需求设计订制。                                                                     </w:t>
            </w:r>
          </w:p>
        </w:tc>
      </w:tr>
      <w:tr w14:paraId="1E0E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C1F7D0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分诊台</w:t>
            </w:r>
          </w:p>
        </w:tc>
        <w:tc>
          <w:tcPr>
            <w:tcW w:w="772" w:type="dxa"/>
            <w:shd w:val="clear" w:color="auto" w:fill="FFFF00"/>
            <w:vAlign w:val="center"/>
          </w:tcPr>
          <w:p w14:paraId="2AAB1FE7">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1800*600D*1050H</w:t>
            </w:r>
          </w:p>
        </w:tc>
        <w:tc>
          <w:tcPr>
            <w:tcW w:w="866" w:type="dxa"/>
            <w:shd w:val="clear" w:color="auto" w:fill="FFFF00"/>
            <w:noWrap/>
            <w:vAlign w:val="center"/>
          </w:tcPr>
          <w:p w14:paraId="61F0EA4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4</w:t>
            </w:r>
          </w:p>
        </w:tc>
        <w:tc>
          <w:tcPr>
            <w:tcW w:w="377" w:type="dxa"/>
            <w:shd w:val="clear" w:color="auto" w:fill="FFFF00"/>
            <w:noWrap/>
            <w:vAlign w:val="center"/>
          </w:tcPr>
          <w:p w14:paraId="3B3CA7A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个</w:t>
            </w:r>
          </w:p>
        </w:tc>
        <w:tc>
          <w:tcPr>
            <w:tcW w:w="1470" w:type="dxa"/>
            <w:shd w:val="clear" w:color="auto" w:fill="FFFF00"/>
            <w:noWrap/>
            <w:vAlign w:val="center"/>
          </w:tcPr>
          <w:p w14:paraId="1BD2B95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8480" behindDoc="0" locked="0" layoutInCell="1" allowOverlap="1">
                  <wp:simplePos x="0" y="0"/>
                  <wp:positionH relativeFrom="column">
                    <wp:posOffset>152400</wp:posOffset>
                  </wp:positionH>
                  <wp:positionV relativeFrom="paragraph">
                    <wp:posOffset>2309495</wp:posOffset>
                  </wp:positionV>
                  <wp:extent cx="563880" cy="395605"/>
                  <wp:effectExtent l="0" t="0" r="7620" b="4445"/>
                  <wp:wrapNone/>
                  <wp:docPr id="54" name="图片_33"/>
                  <wp:cNvGraphicFramePr/>
                  <a:graphic xmlns:a="http://schemas.openxmlformats.org/drawingml/2006/main">
                    <a:graphicData uri="http://schemas.openxmlformats.org/drawingml/2006/picture">
                      <pic:pic xmlns:pic="http://schemas.openxmlformats.org/drawingml/2006/picture">
                        <pic:nvPicPr>
                          <pic:cNvPr id="54" name="图片_33"/>
                          <pic:cNvPicPr/>
                        </pic:nvPicPr>
                        <pic:blipFill>
                          <a:blip r:embed="rId21"/>
                          <a:stretch>
                            <a:fillRect/>
                          </a:stretch>
                        </pic:blipFill>
                        <pic:spPr>
                          <a:xfrm>
                            <a:off x="0" y="0"/>
                            <a:ext cx="563880" cy="395605"/>
                          </a:xfrm>
                          <a:prstGeom prst="rect">
                            <a:avLst/>
                          </a:prstGeom>
                          <a:noFill/>
                          <a:ln>
                            <a:noFill/>
                          </a:ln>
                        </pic:spPr>
                      </pic:pic>
                    </a:graphicData>
                  </a:graphic>
                </wp:anchor>
              </w:drawing>
            </w:r>
          </w:p>
        </w:tc>
        <w:tc>
          <w:tcPr>
            <w:tcW w:w="4990" w:type="dxa"/>
            <w:shd w:val="clear" w:color="auto" w:fill="FFFF00"/>
            <w:vAlign w:val="center"/>
          </w:tcPr>
          <w:p w14:paraId="5675D68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台面板需符合GB/T 32487或同类相关检测标准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塑粉；需符合HG/T2006或同类相关检测标准；检测内容包括但不限于：①外观:搅拌混合后无硬块，呈均匀状态；筛余物:全部通过；涂膜外观：正常；胶化时间：≤32S；铅笔硬度≥H，附着力≤0级；耐冲击性：50cm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4、主台+高看台+医用人造石+304#不锈钢踢脚线+主机位+键盘架+三抽柜。（根据实际情况选配）每个抽屉和门板上配标签塑胶卡槽。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6、所有工件经数控激光切割、模具冲压、数控折弯、机器打磨、抛光，整体采用电阻焊接工艺，无外露焊点。中标后按用户需求设计订制。                                                                     </w:t>
            </w:r>
          </w:p>
        </w:tc>
      </w:tr>
      <w:tr w14:paraId="74E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1FB388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病房衣柜</w:t>
            </w:r>
          </w:p>
        </w:tc>
        <w:tc>
          <w:tcPr>
            <w:tcW w:w="772" w:type="dxa"/>
            <w:shd w:val="clear" w:color="auto" w:fill="FFFF00"/>
            <w:vAlign w:val="center"/>
          </w:tcPr>
          <w:p w14:paraId="0186E3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1200*400*1900</w:t>
            </w:r>
          </w:p>
        </w:tc>
        <w:tc>
          <w:tcPr>
            <w:tcW w:w="866" w:type="dxa"/>
            <w:shd w:val="clear" w:color="auto" w:fill="FFFF00"/>
            <w:noWrap/>
            <w:vAlign w:val="center"/>
          </w:tcPr>
          <w:p w14:paraId="3AC786F4">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w:t>
            </w:r>
          </w:p>
        </w:tc>
        <w:tc>
          <w:tcPr>
            <w:tcW w:w="377" w:type="dxa"/>
            <w:shd w:val="clear" w:color="auto" w:fill="FFFF00"/>
            <w:noWrap/>
            <w:vAlign w:val="center"/>
          </w:tcPr>
          <w:p w14:paraId="5609C53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2FA34BD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shd w:val="clear" w:fill="FFFF00"/>
                <w:lang w:val="en-US" w:eastAsia="zh-CN" w:bidi="ar"/>
              </w:rPr>
              <w:drawing>
                <wp:anchor distT="0" distB="0" distL="114300" distR="114300" simplePos="0" relativeHeight="251669504" behindDoc="0" locked="0" layoutInCell="1" allowOverlap="1">
                  <wp:simplePos x="0" y="0"/>
                  <wp:positionH relativeFrom="column">
                    <wp:posOffset>149225</wp:posOffset>
                  </wp:positionH>
                  <wp:positionV relativeFrom="paragraph">
                    <wp:posOffset>483235</wp:posOffset>
                  </wp:positionV>
                  <wp:extent cx="509905" cy="892175"/>
                  <wp:effectExtent l="0" t="0" r="4445" b="3175"/>
                  <wp:wrapNone/>
                  <wp:docPr id="55" name="图片_46"/>
                  <wp:cNvGraphicFramePr/>
                  <a:graphic xmlns:a="http://schemas.openxmlformats.org/drawingml/2006/main">
                    <a:graphicData uri="http://schemas.openxmlformats.org/drawingml/2006/picture">
                      <pic:pic xmlns:pic="http://schemas.openxmlformats.org/drawingml/2006/picture">
                        <pic:nvPicPr>
                          <pic:cNvPr id="55" name="图片_46"/>
                          <pic:cNvPicPr/>
                        </pic:nvPicPr>
                        <pic:blipFill>
                          <a:blip r:embed="rId22"/>
                          <a:stretch>
                            <a:fillRect/>
                          </a:stretch>
                        </pic:blipFill>
                        <pic:spPr>
                          <a:xfrm>
                            <a:off x="0" y="0"/>
                            <a:ext cx="509905" cy="892175"/>
                          </a:xfrm>
                          <a:prstGeom prst="rect">
                            <a:avLst/>
                          </a:prstGeom>
                          <a:noFill/>
                          <a:ln>
                            <a:noFill/>
                          </a:ln>
                        </pic:spPr>
                      </pic:pic>
                    </a:graphicData>
                  </a:graphic>
                </wp:anchor>
              </w:drawing>
            </w:r>
          </w:p>
        </w:tc>
        <w:tc>
          <w:tcPr>
            <w:tcW w:w="4990" w:type="dxa"/>
            <w:shd w:val="clear" w:color="auto" w:fill="FFFF00"/>
            <w:vAlign w:val="center"/>
          </w:tcPr>
          <w:p w14:paraId="3757E19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木质六门更衣柜，木质结构。板材厚度18mm。每门内设活动层板一块。中标后按用户需求设计订制。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1.4配置：分上下两部分，门内带一块活动层板。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更衣柜；需符合GB/T 3324或同类相关检测标准；检测内容包括但不限于：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①木工要求，五金件外观均符合；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②软、硬质覆面理化性能：耐冷热循环无裂缝、开裂、起皱、鼓泡现象，耐湿热不低于5级，耐干热不低于5级，表面耐磨性符合；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③拉门垂直加载试验、拉门水平加载试验、拉门耐久性试验8万次、拉门猛关试验、活动部件关闭时的空载稳定性、活动部件打开时的空载稳定性、均符合；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p>
        </w:tc>
      </w:tr>
      <w:tr w14:paraId="0553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7BB82E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高床头柜</w:t>
            </w:r>
          </w:p>
        </w:tc>
        <w:tc>
          <w:tcPr>
            <w:tcW w:w="772" w:type="dxa"/>
            <w:shd w:val="clear" w:color="auto" w:fill="FFFF00"/>
            <w:vAlign w:val="center"/>
          </w:tcPr>
          <w:p w14:paraId="4969BF5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650*500*2000</w:t>
            </w:r>
          </w:p>
        </w:tc>
        <w:tc>
          <w:tcPr>
            <w:tcW w:w="866" w:type="dxa"/>
            <w:shd w:val="clear" w:color="auto" w:fill="FFFF00"/>
            <w:noWrap/>
            <w:vAlign w:val="center"/>
          </w:tcPr>
          <w:p w14:paraId="036E9E7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20</w:t>
            </w:r>
          </w:p>
        </w:tc>
        <w:tc>
          <w:tcPr>
            <w:tcW w:w="377" w:type="dxa"/>
            <w:shd w:val="clear" w:color="auto" w:fill="FFFF00"/>
            <w:noWrap/>
            <w:vAlign w:val="center"/>
          </w:tcPr>
          <w:p w14:paraId="26E13B2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13C1BA1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shd w:val="clear" w:fill="FFFF00"/>
                <w:lang w:val="en-US" w:eastAsia="zh-CN" w:bidi="ar"/>
              </w:rPr>
              <w:drawing>
                <wp:anchor distT="0" distB="0" distL="114300" distR="114300" simplePos="0" relativeHeight="251670528" behindDoc="0" locked="0" layoutInCell="1" allowOverlap="1">
                  <wp:simplePos x="0" y="0"/>
                  <wp:positionH relativeFrom="column">
                    <wp:posOffset>237490</wp:posOffset>
                  </wp:positionH>
                  <wp:positionV relativeFrom="paragraph">
                    <wp:posOffset>1040765</wp:posOffset>
                  </wp:positionV>
                  <wp:extent cx="485140" cy="1083310"/>
                  <wp:effectExtent l="0" t="0" r="10160" b="2540"/>
                  <wp:wrapNone/>
                  <wp:docPr id="56" name="图片_39"/>
                  <wp:cNvGraphicFramePr/>
                  <a:graphic xmlns:a="http://schemas.openxmlformats.org/drawingml/2006/main">
                    <a:graphicData uri="http://schemas.openxmlformats.org/drawingml/2006/picture">
                      <pic:pic xmlns:pic="http://schemas.openxmlformats.org/drawingml/2006/picture">
                        <pic:nvPicPr>
                          <pic:cNvPr id="56" name="图片_39"/>
                          <pic:cNvPicPr/>
                        </pic:nvPicPr>
                        <pic:blipFill>
                          <a:blip r:embed="rId23"/>
                          <a:stretch>
                            <a:fillRect/>
                          </a:stretch>
                        </pic:blipFill>
                        <pic:spPr>
                          <a:xfrm>
                            <a:off x="0" y="0"/>
                            <a:ext cx="485140" cy="1083310"/>
                          </a:xfrm>
                          <a:prstGeom prst="rect">
                            <a:avLst/>
                          </a:prstGeom>
                          <a:noFill/>
                          <a:ln>
                            <a:noFill/>
                          </a:ln>
                        </pic:spPr>
                      </pic:pic>
                    </a:graphicData>
                  </a:graphic>
                </wp:anchor>
              </w:drawing>
            </w:r>
          </w:p>
        </w:tc>
        <w:tc>
          <w:tcPr>
            <w:tcW w:w="4990" w:type="dxa"/>
            <w:shd w:val="clear" w:color="auto" w:fill="FFFF00"/>
            <w:vAlign w:val="center"/>
          </w:tcPr>
          <w:p w14:paraId="339994CA">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木质多功能高床头柜，木质结构。可操作台面厚度25mm，其它板材厚度18mm。左侧为多功能置物区，由开门柜和抽屉柜组成，右侧为衣柜，内设挂衣杆、穿衣镜、两块托板。中标后按用户需求设计订制。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1.4配置：分上下两部分，门内带一块活动层板。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更衣柜；需符合GB/T 3324或同类相关检测标准；检测内容包括但不限于：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①木工要求，五金件外观均符合；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②软、硬质覆面理化性能：耐冷热循环无裂缝、开裂、起皱、鼓泡现象，耐湿热不低于5级，耐干热不低于5级，表面耐磨性符合；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③拉门垂直加载试验、拉门水平加载试验、拉门耐久性试验8万次、拉门猛关试验、活动部件关闭时的空载稳定性、活动部件打开时的空载稳定性、均符合；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34E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BE401F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儿童诊床</w:t>
            </w:r>
          </w:p>
        </w:tc>
        <w:tc>
          <w:tcPr>
            <w:tcW w:w="772" w:type="dxa"/>
            <w:shd w:val="clear" w:color="auto" w:fill="FFFF00"/>
            <w:vAlign w:val="center"/>
          </w:tcPr>
          <w:p w14:paraId="7C4FFE4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1200*600*650</w:t>
            </w:r>
          </w:p>
        </w:tc>
        <w:tc>
          <w:tcPr>
            <w:tcW w:w="866" w:type="dxa"/>
            <w:shd w:val="clear" w:color="auto" w:fill="FFFF00"/>
            <w:noWrap/>
            <w:vAlign w:val="center"/>
          </w:tcPr>
          <w:p w14:paraId="557B932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5</w:t>
            </w:r>
          </w:p>
        </w:tc>
        <w:tc>
          <w:tcPr>
            <w:tcW w:w="377" w:type="dxa"/>
            <w:shd w:val="clear" w:color="auto" w:fill="FFFF00"/>
            <w:noWrap/>
            <w:vAlign w:val="center"/>
          </w:tcPr>
          <w:p w14:paraId="1691EE5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4B02788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1552" behindDoc="0" locked="0" layoutInCell="1" allowOverlap="1">
                  <wp:simplePos x="0" y="0"/>
                  <wp:positionH relativeFrom="column">
                    <wp:posOffset>129540</wp:posOffset>
                  </wp:positionH>
                  <wp:positionV relativeFrom="paragraph">
                    <wp:posOffset>624840</wp:posOffset>
                  </wp:positionV>
                  <wp:extent cx="718820" cy="688340"/>
                  <wp:effectExtent l="0" t="0" r="5080" b="16510"/>
                  <wp:wrapNone/>
                  <wp:docPr id="60" name="图片_35"/>
                  <wp:cNvGraphicFramePr/>
                  <a:graphic xmlns:a="http://schemas.openxmlformats.org/drawingml/2006/main">
                    <a:graphicData uri="http://schemas.openxmlformats.org/drawingml/2006/picture">
                      <pic:pic xmlns:pic="http://schemas.openxmlformats.org/drawingml/2006/picture">
                        <pic:nvPicPr>
                          <pic:cNvPr id="60" name="图片_35"/>
                          <pic:cNvPicPr/>
                        </pic:nvPicPr>
                        <pic:blipFill>
                          <a:blip r:embed="rId24"/>
                          <a:stretch>
                            <a:fillRect/>
                          </a:stretch>
                        </pic:blipFill>
                        <pic:spPr>
                          <a:xfrm>
                            <a:off x="0" y="0"/>
                            <a:ext cx="718820" cy="688340"/>
                          </a:xfrm>
                          <a:prstGeom prst="rect">
                            <a:avLst/>
                          </a:prstGeom>
                          <a:noFill/>
                          <a:ln>
                            <a:noFill/>
                          </a:ln>
                        </pic:spPr>
                      </pic:pic>
                    </a:graphicData>
                  </a:graphic>
                </wp:anchor>
              </w:drawing>
            </w:r>
          </w:p>
        </w:tc>
        <w:tc>
          <w:tcPr>
            <w:tcW w:w="4990" w:type="dxa"/>
            <w:shd w:val="clear" w:color="auto" w:fill="FFFF00"/>
            <w:vAlign w:val="center"/>
          </w:tcPr>
          <w:p w14:paraId="77D756E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1、木质儿童诊床，软包造型桌垫。中标后按用户需求设计订制。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7F3A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DECD33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儿童输液床</w:t>
            </w:r>
          </w:p>
        </w:tc>
        <w:tc>
          <w:tcPr>
            <w:tcW w:w="772" w:type="dxa"/>
            <w:shd w:val="clear" w:color="auto" w:fill="FFFF00"/>
            <w:vAlign w:val="center"/>
          </w:tcPr>
          <w:p w14:paraId="564ECBB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1400*700*1100</w:t>
            </w:r>
          </w:p>
        </w:tc>
        <w:tc>
          <w:tcPr>
            <w:tcW w:w="866" w:type="dxa"/>
            <w:shd w:val="clear" w:color="auto" w:fill="FFFF00"/>
            <w:noWrap/>
            <w:vAlign w:val="center"/>
          </w:tcPr>
          <w:p w14:paraId="558EC89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w:t>
            </w:r>
          </w:p>
        </w:tc>
        <w:tc>
          <w:tcPr>
            <w:tcW w:w="377" w:type="dxa"/>
            <w:shd w:val="clear" w:color="auto" w:fill="FFFF00"/>
            <w:noWrap/>
            <w:vAlign w:val="center"/>
          </w:tcPr>
          <w:p w14:paraId="59765046">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5F68D23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2576" behindDoc="0" locked="0" layoutInCell="1" allowOverlap="1">
                  <wp:simplePos x="0" y="0"/>
                  <wp:positionH relativeFrom="column">
                    <wp:posOffset>144780</wp:posOffset>
                  </wp:positionH>
                  <wp:positionV relativeFrom="paragraph">
                    <wp:posOffset>422910</wp:posOffset>
                  </wp:positionV>
                  <wp:extent cx="647700" cy="811530"/>
                  <wp:effectExtent l="0" t="0" r="0" b="7620"/>
                  <wp:wrapNone/>
                  <wp:docPr id="61" name="图片_34"/>
                  <wp:cNvGraphicFramePr/>
                  <a:graphic xmlns:a="http://schemas.openxmlformats.org/drawingml/2006/main">
                    <a:graphicData uri="http://schemas.openxmlformats.org/drawingml/2006/picture">
                      <pic:pic xmlns:pic="http://schemas.openxmlformats.org/drawingml/2006/picture">
                        <pic:nvPicPr>
                          <pic:cNvPr id="61" name="图片_34"/>
                          <pic:cNvPicPr/>
                        </pic:nvPicPr>
                        <pic:blipFill>
                          <a:blip r:embed="rId25"/>
                          <a:stretch>
                            <a:fillRect/>
                          </a:stretch>
                        </pic:blipFill>
                        <pic:spPr>
                          <a:xfrm>
                            <a:off x="0" y="0"/>
                            <a:ext cx="647700" cy="811530"/>
                          </a:xfrm>
                          <a:prstGeom prst="rect">
                            <a:avLst/>
                          </a:prstGeom>
                          <a:noFill/>
                          <a:ln>
                            <a:noFill/>
                          </a:ln>
                        </pic:spPr>
                      </pic:pic>
                    </a:graphicData>
                  </a:graphic>
                </wp:anchor>
              </w:drawing>
            </w:r>
          </w:p>
        </w:tc>
        <w:tc>
          <w:tcPr>
            <w:tcW w:w="4990" w:type="dxa"/>
            <w:shd w:val="clear" w:color="auto" w:fill="FFFF00"/>
            <w:vAlign w:val="center"/>
          </w:tcPr>
          <w:p w14:paraId="77F449C2">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1、木质儿童输液床，软包床垫及三面床围，配置输液杆、家长陪护凳及储物抽屉。中标后按用户需求设计订制。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检测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571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E01552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雾化桌</w:t>
            </w:r>
          </w:p>
        </w:tc>
        <w:tc>
          <w:tcPr>
            <w:tcW w:w="772" w:type="dxa"/>
            <w:shd w:val="clear" w:color="auto" w:fill="FFFF00"/>
            <w:vAlign w:val="center"/>
          </w:tcPr>
          <w:p w14:paraId="0779142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800*600*1800</w:t>
            </w:r>
          </w:p>
        </w:tc>
        <w:tc>
          <w:tcPr>
            <w:tcW w:w="866" w:type="dxa"/>
            <w:shd w:val="clear" w:color="auto" w:fill="FFFF00"/>
            <w:noWrap/>
            <w:vAlign w:val="center"/>
          </w:tcPr>
          <w:p w14:paraId="0761D23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w:t>
            </w:r>
          </w:p>
        </w:tc>
        <w:tc>
          <w:tcPr>
            <w:tcW w:w="377" w:type="dxa"/>
            <w:shd w:val="clear" w:color="auto" w:fill="FFFF00"/>
            <w:noWrap/>
            <w:vAlign w:val="center"/>
          </w:tcPr>
          <w:p w14:paraId="21924DD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1538524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3600" behindDoc="0" locked="0" layoutInCell="1" allowOverlap="1">
                  <wp:simplePos x="0" y="0"/>
                  <wp:positionH relativeFrom="column">
                    <wp:posOffset>121920</wp:posOffset>
                  </wp:positionH>
                  <wp:positionV relativeFrom="paragraph">
                    <wp:posOffset>706755</wp:posOffset>
                  </wp:positionV>
                  <wp:extent cx="771525" cy="619125"/>
                  <wp:effectExtent l="0" t="0" r="9525" b="9525"/>
                  <wp:wrapNone/>
                  <wp:docPr id="62" name="图片_24"/>
                  <wp:cNvGraphicFramePr/>
                  <a:graphic xmlns:a="http://schemas.openxmlformats.org/drawingml/2006/main">
                    <a:graphicData uri="http://schemas.openxmlformats.org/drawingml/2006/picture">
                      <pic:pic xmlns:pic="http://schemas.openxmlformats.org/drawingml/2006/picture">
                        <pic:nvPicPr>
                          <pic:cNvPr id="62" name="图片_24"/>
                          <pic:cNvPicPr/>
                        </pic:nvPicPr>
                        <pic:blipFill>
                          <a:blip r:embed="rId26"/>
                          <a:stretch>
                            <a:fillRect/>
                          </a:stretch>
                        </pic:blipFill>
                        <pic:spPr>
                          <a:xfrm>
                            <a:off x="0" y="0"/>
                            <a:ext cx="771525" cy="619125"/>
                          </a:xfrm>
                          <a:prstGeom prst="rect">
                            <a:avLst/>
                          </a:prstGeom>
                          <a:noFill/>
                          <a:ln>
                            <a:noFill/>
                          </a:ln>
                        </pic:spPr>
                      </pic:pic>
                    </a:graphicData>
                  </a:graphic>
                </wp:anchor>
              </w:drawing>
            </w:r>
          </w:p>
        </w:tc>
        <w:tc>
          <w:tcPr>
            <w:tcW w:w="4990" w:type="dxa"/>
            <w:shd w:val="clear" w:color="auto" w:fill="FFFF00"/>
            <w:vAlign w:val="center"/>
          </w:tcPr>
          <w:p w14:paraId="0E5452A1">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1、木质雾化桌，造型设计，桌面厚度25mm，其它部位厚度按造型适合设计，含配套凳子，不含设备/设备带，电子屏。中标后按用户需求设计订制。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检测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5D02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6FC1484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导医台</w:t>
            </w:r>
          </w:p>
        </w:tc>
        <w:tc>
          <w:tcPr>
            <w:tcW w:w="772" w:type="dxa"/>
            <w:shd w:val="clear" w:color="auto" w:fill="FFFF00"/>
            <w:vAlign w:val="center"/>
          </w:tcPr>
          <w:p w14:paraId="6FC222E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714C920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13.6</w:t>
            </w:r>
          </w:p>
        </w:tc>
        <w:tc>
          <w:tcPr>
            <w:tcW w:w="377" w:type="dxa"/>
            <w:shd w:val="clear" w:color="auto" w:fill="FFFF00"/>
            <w:noWrap/>
            <w:vAlign w:val="center"/>
          </w:tcPr>
          <w:p w14:paraId="7E6C25B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5632373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4624" behindDoc="0" locked="0" layoutInCell="1" allowOverlap="1">
                  <wp:simplePos x="0" y="0"/>
                  <wp:positionH relativeFrom="column">
                    <wp:posOffset>149225</wp:posOffset>
                  </wp:positionH>
                  <wp:positionV relativeFrom="paragraph">
                    <wp:posOffset>1975485</wp:posOffset>
                  </wp:positionV>
                  <wp:extent cx="645160" cy="436245"/>
                  <wp:effectExtent l="0" t="0" r="2540" b="1905"/>
                  <wp:wrapNone/>
                  <wp:docPr id="69" name="图片_143"/>
                  <wp:cNvGraphicFramePr/>
                  <a:graphic xmlns:a="http://schemas.openxmlformats.org/drawingml/2006/main">
                    <a:graphicData uri="http://schemas.openxmlformats.org/drawingml/2006/picture">
                      <pic:pic xmlns:pic="http://schemas.openxmlformats.org/drawingml/2006/picture">
                        <pic:nvPicPr>
                          <pic:cNvPr id="69" name="图片_143"/>
                          <pic:cNvPicPr/>
                        </pic:nvPicPr>
                        <pic:blipFill>
                          <a:blip r:embed="rId27"/>
                          <a:stretch>
                            <a:fillRect/>
                          </a:stretch>
                        </pic:blipFill>
                        <pic:spPr>
                          <a:xfrm>
                            <a:off x="0" y="0"/>
                            <a:ext cx="645160" cy="436245"/>
                          </a:xfrm>
                          <a:prstGeom prst="rect">
                            <a:avLst/>
                          </a:prstGeom>
                          <a:noFill/>
                          <a:ln>
                            <a:noFill/>
                          </a:ln>
                        </pic:spPr>
                      </pic:pic>
                    </a:graphicData>
                  </a:graphic>
                </wp:anchor>
              </w:drawing>
            </w:r>
          </w:p>
        </w:tc>
        <w:tc>
          <w:tcPr>
            <w:tcW w:w="4990" w:type="dxa"/>
            <w:shd w:val="clear" w:color="auto" w:fill="FFFF00"/>
            <w:vAlign w:val="center"/>
          </w:tcPr>
          <w:p w14:paraId="408B1730">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67D3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676F3D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护士站</w:t>
            </w:r>
          </w:p>
        </w:tc>
        <w:tc>
          <w:tcPr>
            <w:tcW w:w="772" w:type="dxa"/>
            <w:shd w:val="clear" w:color="auto" w:fill="FFFF00"/>
            <w:vAlign w:val="center"/>
          </w:tcPr>
          <w:p w14:paraId="13958D4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4A79DC6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63.97</w:t>
            </w:r>
          </w:p>
        </w:tc>
        <w:tc>
          <w:tcPr>
            <w:tcW w:w="377" w:type="dxa"/>
            <w:shd w:val="clear" w:color="auto" w:fill="FFFF00"/>
            <w:noWrap/>
            <w:vAlign w:val="center"/>
          </w:tcPr>
          <w:p w14:paraId="41121F2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2CAA2FA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5648" behindDoc="0" locked="0" layoutInCell="1" allowOverlap="1">
                  <wp:simplePos x="0" y="0"/>
                  <wp:positionH relativeFrom="column">
                    <wp:posOffset>133985</wp:posOffset>
                  </wp:positionH>
                  <wp:positionV relativeFrom="paragraph">
                    <wp:posOffset>2049780</wp:posOffset>
                  </wp:positionV>
                  <wp:extent cx="704850" cy="205740"/>
                  <wp:effectExtent l="0" t="0" r="0" b="3810"/>
                  <wp:wrapNone/>
                  <wp:docPr id="70" name="图片_144"/>
                  <wp:cNvGraphicFramePr/>
                  <a:graphic xmlns:a="http://schemas.openxmlformats.org/drawingml/2006/main">
                    <a:graphicData uri="http://schemas.openxmlformats.org/drawingml/2006/picture">
                      <pic:pic xmlns:pic="http://schemas.openxmlformats.org/drawingml/2006/picture">
                        <pic:nvPicPr>
                          <pic:cNvPr id="70" name="图片_144"/>
                          <pic:cNvPicPr/>
                        </pic:nvPicPr>
                        <pic:blipFill>
                          <a:blip r:embed="rId28"/>
                          <a:stretch>
                            <a:fillRect/>
                          </a:stretch>
                        </pic:blipFill>
                        <pic:spPr>
                          <a:xfrm>
                            <a:off x="0" y="0"/>
                            <a:ext cx="704850" cy="205740"/>
                          </a:xfrm>
                          <a:prstGeom prst="rect">
                            <a:avLst/>
                          </a:prstGeom>
                          <a:noFill/>
                          <a:ln>
                            <a:noFill/>
                          </a:ln>
                        </pic:spPr>
                      </pic:pic>
                    </a:graphicData>
                  </a:graphic>
                </wp:anchor>
              </w:drawing>
            </w:r>
          </w:p>
        </w:tc>
        <w:tc>
          <w:tcPr>
            <w:tcW w:w="4990" w:type="dxa"/>
            <w:shd w:val="clear" w:color="auto" w:fill="FFFF00"/>
            <w:vAlign w:val="center"/>
          </w:tcPr>
          <w:p w14:paraId="38AAD90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4E8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3A98B9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护士站</w:t>
            </w:r>
          </w:p>
        </w:tc>
        <w:tc>
          <w:tcPr>
            <w:tcW w:w="772" w:type="dxa"/>
            <w:shd w:val="clear" w:color="auto" w:fill="FFFF00"/>
            <w:vAlign w:val="center"/>
          </w:tcPr>
          <w:p w14:paraId="565C85F0">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674100B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3.6</w:t>
            </w:r>
          </w:p>
        </w:tc>
        <w:tc>
          <w:tcPr>
            <w:tcW w:w="377" w:type="dxa"/>
            <w:shd w:val="clear" w:color="auto" w:fill="FFFF00"/>
            <w:noWrap/>
            <w:vAlign w:val="center"/>
          </w:tcPr>
          <w:p w14:paraId="781714E0">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C9E9B5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6672" behindDoc="0" locked="0" layoutInCell="1" allowOverlap="1">
                  <wp:simplePos x="0" y="0"/>
                  <wp:positionH relativeFrom="column">
                    <wp:posOffset>152400</wp:posOffset>
                  </wp:positionH>
                  <wp:positionV relativeFrom="paragraph">
                    <wp:posOffset>2051685</wp:posOffset>
                  </wp:positionV>
                  <wp:extent cx="658495" cy="475615"/>
                  <wp:effectExtent l="0" t="0" r="8255" b="635"/>
                  <wp:wrapNone/>
                  <wp:docPr id="71" name="图片_2"/>
                  <wp:cNvGraphicFramePr/>
                  <a:graphic xmlns:a="http://schemas.openxmlformats.org/drawingml/2006/main">
                    <a:graphicData uri="http://schemas.openxmlformats.org/drawingml/2006/picture">
                      <pic:pic xmlns:pic="http://schemas.openxmlformats.org/drawingml/2006/picture">
                        <pic:nvPicPr>
                          <pic:cNvPr id="71" name="图片_2"/>
                          <pic:cNvPicPr/>
                        </pic:nvPicPr>
                        <pic:blipFill>
                          <a:blip r:embed="rId29"/>
                          <a:stretch>
                            <a:fillRect/>
                          </a:stretch>
                        </pic:blipFill>
                        <pic:spPr>
                          <a:xfrm>
                            <a:off x="0" y="0"/>
                            <a:ext cx="658495" cy="475615"/>
                          </a:xfrm>
                          <a:prstGeom prst="rect">
                            <a:avLst/>
                          </a:prstGeom>
                          <a:noFill/>
                          <a:ln>
                            <a:noFill/>
                          </a:ln>
                        </pic:spPr>
                      </pic:pic>
                    </a:graphicData>
                  </a:graphic>
                </wp:anchor>
              </w:drawing>
            </w:r>
          </w:p>
        </w:tc>
        <w:tc>
          <w:tcPr>
            <w:tcW w:w="4990" w:type="dxa"/>
            <w:shd w:val="clear" w:color="auto" w:fill="FFFF00"/>
            <w:vAlign w:val="center"/>
          </w:tcPr>
          <w:p w14:paraId="6D6C430B">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08E4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80FFA5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隐私帘</w:t>
            </w:r>
          </w:p>
        </w:tc>
        <w:tc>
          <w:tcPr>
            <w:tcW w:w="772" w:type="dxa"/>
            <w:shd w:val="clear" w:color="auto" w:fill="FFFF00"/>
            <w:vAlign w:val="center"/>
          </w:tcPr>
          <w:p w14:paraId="490A931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布帘离地30-50mm</w:t>
            </w:r>
          </w:p>
        </w:tc>
        <w:tc>
          <w:tcPr>
            <w:tcW w:w="866" w:type="dxa"/>
            <w:shd w:val="clear" w:color="auto" w:fill="FFFF00"/>
            <w:noWrap/>
            <w:vAlign w:val="center"/>
          </w:tcPr>
          <w:p w14:paraId="379A20E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1552.4</w:t>
            </w:r>
          </w:p>
        </w:tc>
        <w:tc>
          <w:tcPr>
            <w:tcW w:w="377" w:type="dxa"/>
            <w:shd w:val="clear" w:color="auto" w:fill="FFFF00"/>
            <w:noWrap/>
            <w:vAlign w:val="center"/>
          </w:tcPr>
          <w:p w14:paraId="60DED6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37A3FFC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7696" behindDoc="0" locked="0" layoutInCell="1" allowOverlap="1">
                  <wp:simplePos x="0" y="0"/>
                  <wp:positionH relativeFrom="column">
                    <wp:posOffset>152400</wp:posOffset>
                  </wp:positionH>
                  <wp:positionV relativeFrom="paragraph">
                    <wp:posOffset>201295</wp:posOffset>
                  </wp:positionV>
                  <wp:extent cx="475615" cy="476250"/>
                  <wp:effectExtent l="0" t="0" r="635" b="0"/>
                  <wp:wrapNone/>
                  <wp:docPr id="72" name="ID_23BB57042A644B58A06F4A79D088CABA"/>
                  <wp:cNvGraphicFramePr/>
                  <a:graphic xmlns:a="http://schemas.openxmlformats.org/drawingml/2006/main">
                    <a:graphicData uri="http://schemas.openxmlformats.org/drawingml/2006/picture">
                      <pic:pic xmlns:pic="http://schemas.openxmlformats.org/drawingml/2006/picture">
                        <pic:nvPicPr>
                          <pic:cNvPr id="72" name="ID_23BB57042A644B58A06F4A79D088CABA"/>
                          <pic:cNvPicPr/>
                        </pic:nvPicPr>
                        <pic:blipFill>
                          <a:blip r:embed="rId30"/>
                          <a:stretch>
                            <a:fillRect/>
                          </a:stretch>
                        </pic:blipFill>
                        <pic:spPr>
                          <a:xfrm>
                            <a:off x="0" y="0"/>
                            <a:ext cx="475615" cy="476250"/>
                          </a:xfrm>
                          <a:prstGeom prst="rect">
                            <a:avLst/>
                          </a:prstGeom>
                          <a:noFill/>
                          <a:ln>
                            <a:noFill/>
                          </a:ln>
                        </pic:spPr>
                      </pic:pic>
                    </a:graphicData>
                  </a:graphic>
                </wp:anchor>
              </w:drawing>
            </w:r>
          </w:p>
        </w:tc>
        <w:tc>
          <w:tcPr>
            <w:tcW w:w="4990" w:type="dxa"/>
            <w:shd w:val="clear" w:color="auto" w:fill="FFFF00"/>
            <w:vAlign w:val="center"/>
          </w:tcPr>
          <w:p w14:paraId="6A9CEB61">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隐私帘含轨道安装及调试，垂感强，具有环保、阻燃性。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1、纤维含量：100%聚酯纤维；</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2、单位面积质量：230-240g/m²；</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3、厚度/㎜：0.70-0.80，纬密6纬每厘米，经密6.5每厘米；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4、甲醛含量：未检出；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5、PH 值： 4.0-8.5；</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6、异味：无</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7、可分解致癌芳香胺染料：禁用；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医用隔帘：需符合GB 18401-2010检测标准；检验项目符合以下要求：①甲醛含量未检出，合格。 </w:t>
            </w:r>
          </w:p>
        </w:tc>
      </w:tr>
      <w:tr w14:paraId="33BC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168F1932">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输液轨道</w:t>
            </w:r>
          </w:p>
        </w:tc>
        <w:tc>
          <w:tcPr>
            <w:tcW w:w="772" w:type="dxa"/>
            <w:shd w:val="clear" w:color="auto" w:fill="FFFF00"/>
            <w:vAlign w:val="center"/>
          </w:tcPr>
          <w:p w14:paraId="28B49DF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直型与U型</w:t>
            </w:r>
          </w:p>
        </w:tc>
        <w:tc>
          <w:tcPr>
            <w:tcW w:w="866" w:type="dxa"/>
            <w:shd w:val="clear" w:color="auto" w:fill="FFFF00"/>
            <w:noWrap/>
            <w:vAlign w:val="center"/>
          </w:tcPr>
          <w:p w14:paraId="162E1DD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1560</w:t>
            </w:r>
          </w:p>
        </w:tc>
        <w:tc>
          <w:tcPr>
            <w:tcW w:w="377" w:type="dxa"/>
            <w:shd w:val="clear" w:color="auto" w:fill="FFFF00"/>
            <w:noWrap/>
            <w:vAlign w:val="center"/>
          </w:tcPr>
          <w:p w14:paraId="2A58FF2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0056FE66">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8720" behindDoc="0" locked="0" layoutInCell="1" allowOverlap="1">
                  <wp:simplePos x="0" y="0"/>
                  <wp:positionH relativeFrom="column">
                    <wp:posOffset>205105</wp:posOffset>
                  </wp:positionH>
                  <wp:positionV relativeFrom="paragraph">
                    <wp:posOffset>73660</wp:posOffset>
                  </wp:positionV>
                  <wp:extent cx="501015" cy="711200"/>
                  <wp:effectExtent l="0" t="0" r="13335" b="12700"/>
                  <wp:wrapNone/>
                  <wp:docPr id="73" name="ID_168E460D0A414CF991892822CCB8A429"/>
                  <wp:cNvGraphicFramePr/>
                  <a:graphic xmlns:a="http://schemas.openxmlformats.org/drawingml/2006/main">
                    <a:graphicData uri="http://schemas.openxmlformats.org/drawingml/2006/picture">
                      <pic:pic xmlns:pic="http://schemas.openxmlformats.org/drawingml/2006/picture">
                        <pic:nvPicPr>
                          <pic:cNvPr id="73" name="ID_168E460D0A414CF991892822CCB8A429"/>
                          <pic:cNvPicPr/>
                        </pic:nvPicPr>
                        <pic:blipFill>
                          <a:blip r:embed="rId31"/>
                          <a:stretch>
                            <a:fillRect/>
                          </a:stretch>
                        </pic:blipFill>
                        <pic:spPr>
                          <a:xfrm>
                            <a:off x="0" y="0"/>
                            <a:ext cx="501015" cy="711200"/>
                          </a:xfrm>
                          <a:prstGeom prst="rect">
                            <a:avLst/>
                          </a:prstGeom>
                          <a:noFill/>
                          <a:ln>
                            <a:noFill/>
                          </a:ln>
                        </pic:spPr>
                      </pic:pic>
                    </a:graphicData>
                  </a:graphic>
                </wp:anchor>
              </w:drawing>
            </w:r>
          </w:p>
        </w:tc>
        <w:tc>
          <w:tcPr>
            <w:tcW w:w="4990" w:type="dxa"/>
            <w:shd w:val="clear" w:color="auto" w:fill="FFFF00"/>
            <w:vAlign w:val="center"/>
          </w:tcPr>
          <w:p w14:paraId="16E6B14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轨道：优质铝合材质，表面经过氧化处理，横截面20*30mm，铝材厚度≥1.2mm,承重能力≥5kg,顺滑耐磨不生锈，优质静音滑轨；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滑轮：轨道滑轮采用优质塑钢材质，直径30mm,运行噪音需控制在40分贝一下，使用寿命5-10年，拆装清洗方便，与轨道相辅相成收拉流畅。</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注意：需同时配备300个吊杆，可伸缩吊杆长度700-1150mm，吊杆承重能力≥5kg。</w:t>
            </w:r>
          </w:p>
        </w:tc>
      </w:tr>
      <w:tr w14:paraId="1FD0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66183E82">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订制透析柜</w:t>
            </w:r>
          </w:p>
        </w:tc>
        <w:tc>
          <w:tcPr>
            <w:tcW w:w="772" w:type="dxa"/>
            <w:shd w:val="clear" w:color="auto" w:fill="FFFF00"/>
            <w:vAlign w:val="center"/>
          </w:tcPr>
          <w:p w14:paraId="49B8746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680D*1500H</w:t>
            </w:r>
          </w:p>
        </w:tc>
        <w:tc>
          <w:tcPr>
            <w:tcW w:w="866" w:type="dxa"/>
            <w:shd w:val="clear" w:color="auto" w:fill="FFFF00"/>
            <w:noWrap/>
            <w:vAlign w:val="center"/>
          </w:tcPr>
          <w:p w14:paraId="3F975E28">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63</w:t>
            </w:r>
          </w:p>
        </w:tc>
        <w:tc>
          <w:tcPr>
            <w:tcW w:w="377" w:type="dxa"/>
            <w:shd w:val="clear" w:color="auto" w:fill="FFFF00"/>
            <w:noWrap/>
            <w:vAlign w:val="center"/>
          </w:tcPr>
          <w:p w14:paraId="74261FA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48FBD47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9744" behindDoc="0" locked="0" layoutInCell="1" allowOverlap="1">
                  <wp:simplePos x="0" y="0"/>
                  <wp:positionH relativeFrom="column">
                    <wp:posOffset>137160</wp:posOffset>
                  </wp:positionH>
                  <wp:positionV relativeFrom="paragraph">
                    <wp:posOffset>615315</wp:posOffset>
                  </wp:positionV>
                  <wp:extent cx="741045" cy="352425"/>
                  <wp:effectExtent l="0" t="0" r="1905" b="9525"/>
                  <wp:wrapNone/>
                  <wp:docPr id="74" name="图片_3"/>
                  <wp:cNvGraphicFramePr/>
                  <a:graphic xmlns:a="http://schemas.openxmlformats.org/drawingml/2006/main">
                    <a:graphicData uri="http://schemas.openxmlformats.org/drawingml/2006/picture">
                      <pic:pic xmlns:pic="http://schemas.openxmlformats.org/drawingml/2006/picture">
                        <pic:nvPicPr>
                          <pic:cNvPr id="74" name="图片_3"/>
                          <pic:cNvPicPr/>
                        </pic:nvPicPr>
                        <pic:blipFill>
                          <a:blip r:embed="rId32"/>
                          <a:stretch>
                            <a:fillRect/>
                          </a:stretch>
                        </pic:blipFill>
                        <pic:spPr>
                          <a:xfrm>
                            <a:off x="0" y="0"/>
                            <a:ext cx="741045" cy="352425"/>
                          </a:xfrm>
                          <a:prstGeom prst="rect">
                            <a:avLst/>
                          </a:prstGeom>
                          <a:noFill/>
                          <a:ln>
                            <a:noFill/>
                          </a:ln>
                        </pic:spPr>
                      </pic:pic>
                    </a:graphicData>
                  </a:graphic>
                </wp:anchor>
              </w:drawing>
            </w:r>
          </w:p>
        </w:tc>
        <w:tc>
          <w:tcPr>
            <w:tcW w:w="4990" w:type="dxa"/>
            <w:shd w:val="clear" w:color="auto" w:fill="FFFF00"/>
            <w:vAlign w:val="center"/>
          </w:tcPr>
          <w:p w14:paraId="6C63F0F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1、产品结构：全木结构，带背板，顶板厚度25mm，其它板材厚度18mm，按上下水位置预留检修口，预留水管及过线孔位，柜子顶部可安装氧气带等设备。中标后按用户需求设计订制。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2.2基材：采用环保刨花板，经耐酸碱，防虫、防腐等处理。吸水厚度膨胀率≤2%，弹性模量≥2200Mpa，内胶合强度≥0.5Mpa,表面胶合强度≥1Mpa，板面握螺钉力≥1000N，板边握螺钉力≥700N，TVOC≤20</w:t>
            </w:r>
            <w:r>
              <w:rPr>
                <w:rStyle w:val="40"/>
                <w:rFonts w:eastAsia="宋体"/>
                <w:sz w:val="13"/>
                <w:szCs w:val="13"/>
                <w:highlight w:val="none"/>
                <w:lang w:val="en-US" w:eastAsia="zh-CN" w:bidi="ar"/>
              </w:rPr>
              <w:t>μ</w:t>
            </w:r>
            <w:r>
              <w:rPr>
                <w:rFonts w:hint="eastAsia" w:ascii="宋体" w:hAnsi="宋体" w:eastAsia="宋体" w:cs="宋体"/>
                <w:i w:val="0"/>
                <w:iCs w:val="0"/>
                <w:color w:val="000000"/>
                <w:kern w:val="0"/>
                <w:sz w:val="13"/>
                <w:szCs w:val="13"/>
                <w:highlight w:val="none"/>
                <w:u w:val="none"/>
                <w:lang w:val="en-US" w:eastAsia="zh-CN" w:bidi="ar"/>
              </w:rPr>
              <w:t>g/m³，苯、甲苯、二甲苯均未检出。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2.3封边：采用优质ABS激光封边条，封边条厚度2.0mm，不开裂、不翘边、无异味，符合国家标准。</w:t>
            </w:r>
          </w:p>
        </w:tc>
      </w:tr>
    </w:tbl>
    <w:p w14:paraId="20B7A896">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宋体" w:cs="宋体"/>
          <w:b w:val="0"/>
          <w:bCs w:val="0"/>
          <w:color w:val="auto"/>
          <w:highlight w:val="none"/>
          <w:lang w:val="en-US" w:eastAsia="zh-CN"/>
        </w:rPr>
      </w:pPr>
    </w:p>
    <w:p w14:paraId="44EC34F2">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868686"/>
          <w:spacing w:val="14"/>
          <w:sz w:val="33"/>
          <w:szCs w:val="33"/>
          <w:lang w:val="en-US" w:eastAsia="zh-CN"/>
        </w:rPr>
      </w:pPr>
      <w:r>
        <w:rPr>
          <w:rFonts w:hint="eastAsia" w:ascii="宋体" w:hAnsi="宋体" w:cs="宋体"/>
          <w:b w:val="0"/>
          <w:bCs w:val="0"/>
          <w:color w:val="auto"/>
          <w:highlight w:val="none"/>
          <w:lang w:val="en-US" w:eastAsia="zh-CN"/>
        </w:rPr>
        <w:t>6.清单中检测报告，须在供货时按采购要求提供</w:t>
      </w:r>
    </w:p>
    <w:p w14:paraId="1C551C01">
      <w:pPr>
        <w:rPr>
          <w:rFonts w:hint="eastAsia"/>
          <w:color w:val="000000"/>
          <w:sz w:val="36"/>
          <w:szCs w:val="36"/>
          <w:highlight w:val="none"/>
          <w:lang w:val="zh-CN"/>
        </w:rPr>
      </w:pPr>
      <w:bookmarkStart w:id="28" w:name="_Toc21815"/>
      <w:r>
        <w:rPr>
          <w:rFonts w:hint="eastAsia"/>
          <w:color w:val="000000"/>
          <w:sz w:val="36"/>
          <w:szCs w:val="36"/>
          <w:highlight w:val="none"/>
          <w:lang w:val="zh-CN"/>
        </w:rPr>
        <w:br w:type="page"/>
      </w:r>
    </w:p>
    <w:p w14:paraId="72919B90">
      <w:pPr>
        <w:pStyle w:val="18"/>
        <w:jc w:val="center"/>
        <w:outlineLvl w:val="0"/>
        <w:rPr>
          <w:rFonts w:hint="eastAsia"/>
          <w:color w:val="000000"/>
          <w:sz w:val="32"/>
          <w:szCs w:val="32"/>
          <w:highlight w:val="none"/>
          <w:lang w:val="zh-CN"/>
        </w:rPr>
      </w:pPr>
      <w:bookmarkStart w:id="29" w:name="_Toc5334"/>
      <w:r>
        <w:rPr>
          <w:rFonts w:hint="eastAsia"/>
          <w:color w:val="000000"/>
          <w:sz w:val="32"/>
          <w:szCs w:val="32"/>
          <w:highlight w:val="none"/>
          <w:lang w:val="zh-CN"/>
        </w:rPr>
        <w:t>第六章 投标文件格式</w:t>
      </w:r>
      <w:bookmarkEnd w:id="28"/>
      <w:bookmarkEnd w:id="29"/>
    </w:p>
    <w:p w14:paraId="31D5FC1E">
      <w:pPr>
        <w:rPr>
          <w:rFonts w:hint="eastAsia"/>
          <w:color w:val="000000"/>
          <w:sz w:val="32"/>
          <w:szCs w:val="32"/>
          <w:highlight w:val="none"/>
          <w:lang w:val="zh-CN"/>
        </w:rPr>
      </w:pPr>
      <w:r>
        <w:rPr>
          <w:rFonts w:hint="eastAsia"/>
          <w:color w:val="000000"/>
          <w:sz w:val="32"/>
          <w:szCs w:val="32"/>
          <w:highlight w:val="none"/>
          <w:lang w:val="zh-CN"/>
        </w:rPr>
        <w:br w:type="page"/>
      </w:r>
    </w:p>
    <w:p w14:paraId="7939EF18">
      <w:pPr>
        <w:rPr>
          <w:lang w:val="zh-CN"/>
        </w:rPr>
      </w:pPr>
    </w:p>
    <w:p w14:paraId="08B67BE8">
      <w:pPr>
        <w:snapToGrid w:val="0"/>
        <w:spacing w:line="360" w:lineRule="auto"/>
        <w:jc w:val="center"/>
        <w:rPr>
          <w:rFonts w:hint="eastAsia" w:ascii="宋体" w:cs="宋体-18030"/>
          <w:color w:val="000000"/>
          <w:kern w:val="0"/>
          <w:highlight w:val="none"/>
        </w:rPr>
      </w:pPr>
    </w:p>
    <w:p w14:paraId="69EF74D9">
      <w:pPr>
        <w:pStyle w:val="2"/>
        <w:snapToGrid w:val="0"/>
        <w:spacing w:line="360" w:lineRule="auto"/>
        <w:jc w:val="right"/>
        <w:outlineLvl w:val="0"/>
        <w:rPr>
          <w:rFonts w:hint="eastAsia" w:ascii="宋体"/>
          <w:b/>
          <w:bCs/>
          <w:color w:val="000000"/>
          <w:sz w:val="32"/>
          <w:szCs w:val="32"/>
          <w:highlight w:val="none"/>
        </w:rPr>
      </w:pPr>
      <w:bookmarkStart w:id="30" w:name="_Toc14160"/>
      <w:bookmarkStart w:id="31" w:name="_Toc1921"/>
      <w:r>
        <w:rPr>
          <w:rFonts w:hint="eastAsia" w:ascii="宋体"/>
          <w:b/>
          <w:bCs/>
          <w:color w:val="000000"/>
          <w:sz w:val="32"/>
          <w:szCs w:val="32"/>
          <w:highlight w:val="none"/>
        </w:rPr>
        <w:t>正本或副本</w:t>
      </w:r>
      <w:bookmarkEnd w:id="30"/>
      <w:bookmarkEnd w:id="31"/>
    </w:p>
    <w:p w14:paraId="2ED30E41">
      <w:pPr>
        <w:bidi w:val="0"/>
        <w:rPr>
          <w:rFonts w:hint="eastAsia"/>
        </w:rPr>
      </w:pPr>
    </w:p>
    <w:p w14:paraId="08705203">
      <w:pPr>
        <w:pStyle w:val="2"/>
        <w:snapToGrid w:val="0"/>
        <w:spacing w:line="360" w:lineRule="auto"/>
        <w:jc w:val="center"/>
        <w:outlineLvl w:val="0"/>
        <w:rPr>
          <w:rFonts w:hint="eastAsia" w:ascii="宋体"/>
          <w:b/>
          <w:bCs/>
          <w:color w:val="000000"/>
          <w:sz w:val="44"/>
          <w:szCs w:val="44"/>
          <w:highlight w:val="none"/>
        </w:rPr>
      </w:pPr>
      <w:bookmarkStart w:id="32" w:name="_Toc25716"/>
      <w:r>
        <w:rPr>
          <w:rFonts w:hint="eastAsia" w:ascii="宋体"/>
          <w:b/>
          <w:bCs/>
          <w:color w:val="000000"/>
          <w:sz w:val="36"/>
          <w:szCs w:val="36"/>
          <w:highlight w:val="none"/>
          <w:u w:val="single"/>
        </w:rPr>
        <w:t>（项目名称）</w:t>
      </w:r>
      <w:bookmarkEnd w:id="32"/>
    </w:p>
    <w:p w14:paraId="69643DAE">
      <w:pPr>
        <w:pStyle w:val="2"/>
        <w:snapToGrid w:val="0"/>
        <w:spacing w:line="360" w:lineRule="auto"/>
        <w:jc w:val="center"/>
        <w:rPr>
          <w:rFonts w:hint="eastAsia" w:ascii="宋体"/>
          <w:color w:val="000000"/>
          <w:highlight w:val="none"/>
        </w:rPr>
      </w:pPr>
    </w:p>
    <w:p w14:paraId="754F93F2">
      <w:pPr>
        <w:bidi w:val="0"/>
        <w:rPr>
          <w:rFonts w:hint="eastAsia"/>
        </w:rPr>
      </w:pPr>
    </w:p>
    <w:p w14:paraId="677324C4">
      <w:pPr>
        <w:pStyle w:val="2"/>
        <w:snapToGrid w:val="0"/>
        <w:spacing w:line="360" w:lineRule="auto"/>
        <w:jc w:val="center"/>
        <w:outlineLvl w:val="0"/>
        <w:rPr>
          <w:rFonts w:hint="eastAsia" w:ascii="宋体"/>
          <w:b/>
          <w:bCs/>
          <w:color w:val="000000"/>
          <w:sz w:val="52"/>
          <w:szCs w:val="52"/>
          <w:highlight w:val="none"/>
        </w:rPr>
      </w:pPr>
      <w:bookmarkStart w:id="33" w:name="_Toc5700"/>
      <w:bookmarkStart w:id="34" w:name="_Toc26466"/>
      <w:r>
        <w:rPr>
          <w:rFonts w:hint="eastAsia" w:ascii="宋体"/>
          <w:b/>
          <w:bCs/>
          <w:color w:val="000000"/>
          <w:sz w:val="44"/>
          <w:szCs w:val="44"/>
          <w:highlight w:val="none"/>
        </w:rPr>
        <w:t>投 标 文 件</w:t>
      </w:r>
      <w:bookmarkEnd w:id="33"/>
      <w:bookmarkEnd w:id="34"/>
    </w:p>
    <w:p w14:paraId="5F5513B4">
      <w:pPr>
        <w:pStyle w:val="2"/>
        <w:snapToGrid w:val="0"/>
        <w:spacing w:line="360" w:lineRule="auto"/>
        <w:rPr>
          <w:rFonts w:hint="eastAsia" w:ascii="宋体"/>
          <w:color w:val="000000"/>
          <w:sz w:val="24"/>
          <w:szCs w:val="24"/>
          <w:highlight w:val="none"/>
        </w:rPr>
      </w:pPr>
    </w:p>
    <w:p w14:paraId="40E6AD1A">
      <w:pPr>
        <w:pStyle w:val="2"/>
        <w:snapToGrid w:val="0"/>
        <w:spacing w:line="360" w:lineRule="auto"/>
        <w:jc w:val="center"/>
        <w:rPr>
          <w:rFonts w:hint="eastAsia" w:ascii="宋体" w:eastAsia="宋体"/>
          <w:color w:val="000000"/>
          <w:highlight w:val="none"/>
          <w:lang w:eastAsia="zh-CN"/>
        </w:rPr>
      </w:pPr>
      <w:r>
        <w:rPr>
          <w:rFonts w:hint="eastAsia" w:ascii="宋体" w:hAnsi="宋体" w:eastAsia="宋体" w:cs="宋体"/>
          <w:sz w:val="28"/>
          <w:szCs w:val="44"/>
          <w:lang w:val="en-US" w:eastAsia="zh-CN"/>
        </w:rPr>
        <w:t>项目</w:t>
      </w:r>
      <w:r>
        <w:rPr>
          <w:rFonts w:hint="eastAsia" w:ascii="宋体" w:hAnsi="宋体" w:eastAsia="宋体" w:cs="宋体"/>
          <w:sz w:val="28"/>
          <w:szCs w:val="44"/>
        </w:rPr>
        <w:t>编号</w:t>
      </w:r>
      <w:r>
        <w:rPr>
          <w:rFonts w:hint="eastAsia" w:ascii="宋体" w:hAnsi="宋体" w:eastAsia="宋体" w:cs="宋体"/>
          <w:sz w:val="28"/>
          <w:szCs w:val="44"/>
          <w:lang w:eastAsia="zh-CN"/>
        </w:rPr>
        <w:t>：</w:t>
      </w:r>
    </w:p>
    <w:p w14:paraId="15C6C8F1">
      <w:pPr>
        <w:snapToGrid w:val="0"/>
        <w:spacing w:line="360" w:lineRule="auto"/>
        <w:rPr>
          <w:rFonts w:hint="eastAsia" w:ascii="宋体"/>
          <w:color w:val="000000"/>
          <w:highlight w:val="none"/>
        </w:rPr>
      </w:pPr>
    </w:p>
    <w:p w14:paraId="368FCF04">
      <w:pPr>
        <w:bidi w:val="0"/>
        <w:rPr>
          <w:rFonts w:hint="eastAsia"/>
        </w:rPr>
      </w:pPr>
      <w:bookmarkStart w:id="35" w:name="_Toc11848"/>
    </w:p>
    <w:p w14:paraId="222FFEAF">
      <w:pPr>
        <w:bidi w:val="0"/>
        <w:rPr>
          <w:rFonts w:hint="eastAsia"/>
        </w:rPr>
      </w:pPr>
    </w:p>
    <w:p w14:paraId="19AA7DB6">
      <w:pPr>
        <w:bidi w:val="0"/>
        <w:rPr>
          <w:rFonts w:hint="eastAsia"/>
        </w:rPr>
      </w:pPr>
    </w:p>
    <w:p w14:paraId="768AD5D6">
      <w:pPr>
        <w:bidi w:val="0"/>
        <w:rPr>
          <w:rFonts w:hint="eastAsia"/>
        </w:rPr>
      </w:pPr>
    </w:p>
    <w:p w14:paraId="48E42DAA">
      <w:pPr>
        <w:bidi w:val="0"/>
        <w:rPr>
          <w:rFonts w:hint="eastAsia"/>
        </w:rPr>
      </w:pPr>
    </w:p>
    <w:p w14:paraId="6AA5BC60">
      <w:pPr>
        <w:bidi w:val="0"/>
        <w:rPr>
          <w:rFonts w:hint="eastAsia"/>
        </w:rPr>
      </w:pPr>
    </w:p>
    <w:p w14:paraId="43C53FE8">
      <w:pPr>
        <w:bidi w:val="0"/>
        <w:rPr>
          <w:rFonts w:hint="eastAsia"/>
        </w:rPr>
      </w:pPr>
    </w:p>
    <w:p w14:paraId="1EC4EB6B">
      <w:pPr>
        <w:bidi w:val="0"/>
        <w:rPr>
          <w:rFonts w:hint="eastAsia"/>
        </w:rPr>
      </w:pPr>
    </w:p>
    <w:p w14:paraId="53EE22A0">
      <w:pPr>
        <w:bidi w:val="0"/>
        <w:rPr>
          <w:rFonts w:hint="eastAsia"/>
        </w:rPr>
      </w:pPr>
    </w:p>
    <w:p w14:paraId="42EB066E">
      <w:pPr>
        <w:bidi w:val="0"/>
        <w:rPr>
          <w:rFonts w:hint="eastAsia"/>
        </w:rPr>
      </w:pPr>
    </w:p>
    <w:p w14:paraId="2404AE90">
      <w:pPr>
        <w:bidi w:val="0"/>
        <w:rPr>
          <w:rFonts w:hint="eastAsia"/>
        </w:rPr>
      </w:pPr>
    </w:p>
    <w:p w14:paraId="69DBA776">
      <w:pPr>
        <w:snapToGrid w:val="0"/>
        <w:spacing w:line="360" w:lineRule="auto"/>
        <w:jc w:val="left"/>
        <w:outlineLvl w:val="0"/>
        <w:rPr>
          <w:rFonts w:hint="eastAsia" w:ascii="宋体"/>
          <w:color w:val="000000"/>
          <w:sz w:val="28"/>
          <w:szCs w:val="28"/>
          <w:highlight w:val="none"/>
        </w:rPr>
      </w:pPr>
      <w:bookmarkStart w:id="36" w:name="_Toc12364"/>
      <w:r>
        <w:rPr>
          <w:rFonts w:hint="eastAsia" w:ascii="宋体"/>
          <w:color w:val="000000"/>
          <w:sz w:val="28"/>
          <w:szCs w:val="28"/>
          <w:highlight w:val="none"/>
        </w:rPr>
        <w:t>投标人名称：(盖公章)</w:t>
      </w:r>
      <w:bookmarkEnd w:id="35"/>
      <w:bookmarkEnd w:id="36"/>
    </w:p>
    <w:p w14:paraId="504F4D54">
      <w:pPr>
        <w:snapToGrid w:val="0"/>
        <w:spacing w:line="360" w:lineRule="auto"/>
        <w:ind w:firstLine="957" w:firstLineChars="342"/>
        <w:rPr>
          <w:rFonts w:hint="eastAsia" w:ascii="宋体"/>
          <w:color w:val="000000"/>
          <w:sz w:val="28"/>
          <w:szCs w:val="28"/>
          <w:highlight w:val="none"/>
          <w:u w:val="single"/>
        </w:rPr>
      </w:pPr>
    </w:p>
    <w:p w14:paraId="2596D4AA">
      <w:pPr>
        <w:snapToGrid w:val="0"/>
        <w:spacing w:line="360" w:lineRule="auto"/>
        <w:outlineLvl w:val="0"/>
        <w:rPr>
          <w:rFonts w:hint="eastAsia" w:ascii="宋体"/>
          <w:color w:val="000000"/>
          <w:sz w:val="28"/>
          <w:szCs w:val="28"/>
          <w:highlight w:val="none"/>
        </w:rPr>
      </w:pPr>
      <w:bookmarkStart w:id="37" w:name="_Toc571"/>
      <w:bookmarkStart w:id="38" w:name="_Toc7977"/>
      <w:r>
        <w:rPr>
          <w:rFonts w:hint="eastAsia" w:ascii="宋体"/>
          <w:color w:val="000000"/>
          <w:sz w:val="28"/>
          <w:szCs w:val="28"/>
          <w:highlight w:val="none"/>
        </w:rPr>
        <w:t>法定代表人或其授权委托代理人：(签字或盖章)</w:t>
      </w:r>
      <w:bookmarkEnd w:id="37"/>
      <w:bookmarkEnd w:id="38"/>
    </w:p>
    <w:p w14:paraId="33F2D65D">
      <w:pPr>
        <w:pStyle w:val="8"/>
        <w:rPr>
          <w:highlight w:val="none"/>
        </w:rPr>
      </w:pPr>
    </w:p>
    <w:p w14:paraId="51ABD27B">
      <w:pPr>
        <w:snapToGrid w:val="0"/>
        <w:spacing w:line="360" w:lineRule="auto"/>
        <w:jc w:val="center"/>
        <w:outlineLvl w:val="0"/>
        <w:rPr>
          <w:rFonts w:hint="eastAsia" w:ascii="宋体"/>
          <w:color w:val="000000"/>
          <w:sz w:val="28"/>
          <w:szCs w:val="28"/>
          <w:highlight w:val="none"/>
        </w:rPr>
      </w:pPr>
      <w:bookmarkStart w:id="39" w:name="_Toc24846"/>
      <w:bookmarkStart w:id="40" w:name="_Toc27899"/>
      <w:r>
        <w:rPr>
          <w:rFonts w:hint="eastAsia" w:ascii="宋体"/>
          <w:color w:val="000000"/>
          <w:sz w:val="28"/>
          <w:szCs w:val="28"/>
          <w:highlight w:val="none"/>
        </w:rPr>
        <w:t>年    月    日</w:t>
      </w:r>
      <w:bookmarkEnd w:id="39"/>
      <w:bookmarkEnd w:id="40"/>
    </w:p>
    <w:p w14:paraId="08CA29D2">
      <w:pPr>
        <w:snapToGrid w:val="0"/>
        <w:spacing w:line="360" w:lineRule="auto"/>
        <w:jc w:val="center"/>
        <w:rPr>
          <w:rFonts w:hint="eastAsia" w:ascii="宋体"/>
          <w:color w:val="000000"/>
          <w:sz w:val="28"/>
          <w:szCs w:val="28"/>
          <w:highlight w:val="none"/>
        </w:rPr>
      </w:pPr>
    </w:p>
    <w:p w14:paraId="5A5FBFE8">
      <w:pPr>
        <w:snapToGrid w:val="0"/>
        <w:spacing w:line="360" w:lineRule="auto"/>
        <w:jc w:val="center"/>
        <w:rPr>
          <w:rFonts w:hint="eastAsia" w:ascii="宋体"/>
          <w:sz w:val="28"/>
          <w:szCs w:val="28"/>
          <w:highlight w:val="none"/>
        </w:rPr>
      </w:pPr>
    </w:p>
    <w:p w14:paraId="628A46A3">
      <w:pPr>
        <w:snapToGrid w:val="0"/>
        <w:spacing w:line="360" w:lineRule="auto"/>
        <w:jc w:val="center"/>
        <w:rPr>
          <w:rFonts w:hint="eastAsia" w:ascii="宋体"/>
          <w:b/>
          <w:bCs/>
          <w:color w:val="000000"/>
          <w:sz w:val="36"/>
          <w:szCs w:val="36"/>
          <w:highlight w:val="none"/>
        </w:rPr>
      </w:pPr>
      <w:r>
        <w:rPr>
          <w:rFonts w:hint="eastAsia" w:ascii="宋体"/>
          <w:sz w:val="28"/>
          <w:szCs w:val="28"/>
          <w:highlight w:val="none"/>
        </w:rPr>
        <w:br w:type="page"/>
      </w:r>
      <w:r>
        <w:rPr>
          <w:rFonts w:hint="eastAsia" w:ascii="宋体"/>
          <w:b/>
          <w:bCs/>
          <w:color w:val="000000"/>
          <w:sz w:val="36"/>
          <w:szCs w:val="36"/>
          <w:highlight w:val="none"/>
        </w:rPr>
        <w:t>目   录</w:t>
      </w:r>
    </w:p>
    <w:p w14:paraId="1EF25CF1">
      <w:pPr>
        <w:pStyle w:val="19"/>
        <w:ind w:firstLine="240"/>
        <w:rPr>
          <w:highlight w:val="none"/>
        </w:rPr>
      </w:pPr>
    </w:p>
    <w:p w14:paraId="54400A20">
      <w:pPr>
        <w:numPr>
          <w:ilvl w:val="0"/>
          <w:numId w:val="5"/>
        </w:numPr>
        <w:snapToGrid w:val="0"/>
        <w:spacing w:line="360" w:lineRule="auto"/>
        <w:ind w:firstLine="480" w:firstLineChars="200"/>
        <w:outlineLvl w:val="0"/>
        <w:rPr>
          <w:rFonts w:hint="eastAsia" w:ascii="宋体" w:cs="宋体-18030"/>
          <w:color w:val="000000"/>
          <w:kern w:val="0"/>
          <w:sz w:val="24"/>
          <w:szCs w:val="24"/>
          <w:highlight w:val="none"/>
        </w:rPr>
      </w:pPr>
      <w:bookmarkStart w:id="41" w:name="_Toc26789"/>
      <w:bookmarkStart w:id="42" w:name="_Toc9875"/>
      <w:r>
        <w:rPr>
          <w:rFonts w:hint="eastAsia" w:ascii="宋体" w:cs="宋体-18030"/>
          <w:color w:val="000000"/>
          <w:kern w:val="0"/>
          <w:sz w:val="24"/>
          <w:szCs w:val="24"/>
          <w:highlight w:val="none"/>
        </w:rPr>
        <w:t>投标函及投标函附录</w:t>
      </w:r>
      <w:bookmarkEnd w:id="41"/>
      <w:bookmarkEnd w:id="42"/>
    </w:p>
    <w:p w14:paraId="2C07A0DD">
      <w:pPr>
        <w:numPr>
          <w:ilvl w:val="0"/>
          <w:numId w:val="5"/>
        </w:numPr>
        <w:snapToGrid w:val="0"/>
        <w:spacing w:line="360" w:lineRule="auto"/>
        <w:ind w:firstLine="480" w:firstLineChars="200"/>
        <w:outlineLvl w:val="0"/>
        <w:rPr>
          <w:rFonts w:hint="eastAsia" w:ascii="宋体" w:cs="宋体-18030"/>
          <w:color w:val="000000"/>
          <w:kern w:val="0"/>
          <w:sz w:val="24"/>
          <w:szCs w:val="24"/>
          <w:highlight w:val="none"/>
        </w:rPr>
      </w:pPr>
      <w:bookmarkStart w:id="43" w:name="_Toc17236"/>
      <w:bookmarkStart w:id="44" w:name="_Toc16350"/>
      <w:r>
        <w:rPr>
          <w:rFonts w:hint="eastAsia" w:ascii="宋体" w:cs="宋体-18030"/>
          <w:color w:val="000000"/>
          <w:kern w:val="0"/>
          <w:sz w:val="24"/>
          <w:szCs w:val="24"/>
          <w:highlight w:val="none"/>
        </w:rPr>
        <w:t>开标一览表</w:t>
      </w:r>
      <w:bookmarkEnd w:id="43"/>
      <w:bookmarkEnd w:id="44"/>
    </w:p>
    <w:p w14:paraId="5A6DFEF8">
      <w:pPr>
        <w:snapToGrid w:val="0"/>
        <w:spacing w:line="360" w:lineRule="auto"/>
        <w:ind w:firstLine="480" w:firstLineChars="200"/>
        <w:outlineLvl w:val="0"/>
        <w:rPr>
          <w:rFonts w:hint="eastAsia" w:ascii="宋体" w:cs="宋体-18030"/>
          <w:color w:val="000000"/>
          <w:kern w:val="0"/>
          <w:sz w:val="24"/>
          <w:szCs w:val="24"/>
          <w:highlight w:val="none"/>
        </w:rPr>
      </w:pPr>
      <w:bookmarkStart w:id="45" w:name="_Toc8617"/>
      <w:bookmarkStart w:id="46" w:name="_Toc14437"/>
      <w:r>
        <w:rPr>
          <w:rFonts w:hint="eastAsia" w:ascii="宋体" w:cs="宋体-18030"/>
          <w:color w:val="000000"/>
          <w:kern w:val="0"/>
          <w:sz w:val="24"/>
          <w:szCs w:val="24"/>
          <w:highlight w:val="none"/>
        </w:rPr>
        <w:t>三、法定代表人身份证明及授权委托书</w:t>
      </w:r>
      <w:bookmarkEnd w:id="45"/>
      <w:bookmarkEnd w:id="46"/>
    </w:p>
    <w:p w14:paraId="1E512033">
      <w:pPr>
        <w:snapToGrid w:val="0"/>
        <w:spacing w:line="360" w:lineRule="auto"/>
        <w:ind w:firstLine="480" w:firstLineChars="200"/>
        <w:outlineLvl w:val="0"/>
        <w:rPr>
          <w:rFonts w:hint="eastAsia" w:ascii="宋体" w:cs="宋体-18030"/>
          <w:color w:val="000000"/>
          <w:kern w:val="0"/>
          <w:sz w:val="24"/>
          <w:szCs w:val="24"/>
          <w:highlight w:val="none"/>
        </w:rPr>
      </w:pPr>
      <w:bookmarkStart w:id="47" w:name="_Toc29073"/>
      <w:bookmarkStart w:id="48" w:name="_Toc16231"/>
      <w:r>
        <w:rPr>
          <w:rFonts w:hint="eastAsia" w:ascii="宋体" w:cs="宋体-18030"/>
          <w:color w:val="000000"/>
          <w:kern w:val="0"/>
          <w:sz w:val="24"/>
          <w:szCs w:val="24"/>
          <w:highlight w:val="none"/>
        </w:rPr>
        <w:t>四、投标保证金</w:t>
      </w:r>
      <w:bookmarkEnd w:id="47"/>
      <w:bookmarkEnd w:id="48"/>
    </w:p>
    <w:p w14:paraId="78604E9C">
      <w:pPr>
        <w:snapToGrid w:val="0"/>
        <w:spacing w:line="360" w:lineRule="auto"/>
        <w:ind w:firstLine="480" w:firstLineChars="200"/>
        <w:outlineLvl w:val="0"/>
        <w:rPr>
          <w:rFonts w:hint="eastAsia" w:ascii="宋体" w:cs="宋体-18030"/>
          <w:color w:val="000000"/>
          <w:kern w:val="0"/>
          <w:sz w:val="24"/>
          <w:szCs w:val="24"/>
          <w:highlight w:val="none"/>
        </w:rPr>
      </w:pPr>
      <w:bookmarkStart w:id="49" w:name="_Toc24375"/>
      <w:bookmarkStart w:id="50" w:name="_Toc24298"/>
      <w:r>
        <w:rPr>
          <w:rFonts w:hint="eastAsia" w:ascii="宋体" w:cs="宋体-18030"/>
          <w:color w:val="000000"/>
          <w:kern w:val="0"/>
          <w:sz w:val="24"/>
          <w:szCs w:val="24"/>
          <w:highlight w:val="none"/>
        </w:rPr>
        <w:t>五、</w:t>
      </w:r>
      <w:bookmarkEnd w:id="49"/>
      <w:r>
        <w:rPr>
          <w:rFonts w:hint="eastAsia" w:ascii="宋体" w:cs="宋体-18030"/>
          <w:color w:val="000000"/>
          <w:kern w:val="0"/>
          <w:sz w:val="24"/>
          <w:szCs w:val="24"/>
          <w:highlight w:val="none"/>
        </w:rPr>
        <w:t>资格审查资料</w:t>
      </w:r>
      <w:bookmarkEnd w:id="50"/>
    </w:p>
    <w:p w14:paraId="301C436A">
      <w:pPr>
        <w:snapToGrid w:val="0"/>
        <w:spacing w:line="360" w:lineRule="auto"/>
        <w:ind w:firstLine="480" w:firstLineChars="200"/>
        <w:outlineLvl w:val="0"/>
        <w:rPr>
          <w:rFonts w:hint="eastAsia" w:ascii="宋体" w:cs="宋体-18030"/>
          <w:color w:val="000000"/>
          <w:kern w:val="0"/>
          <w:sz w:val="24"/>
          <w:szCs w:val="24"/>
          <w:highlight w:val="none"/>
        </w:rPr>
      </w:pPr>
      <w:bookmarkStart w:id="51" w:name="_Toc27378"/>
      <w:bookmarkStart w:id="52" w:name="_Toc2271"/>
      <w:r>
        <w:rPr>
          <w:rFonts w:hint="eastAsia" w:ascii="宋体" w:cs="宋体-18030"/>
          <w:color w:val="000000"/>
          <w:kern w:val="0"/>
          <w:sz w:val="24"/>
          <w:szCs w:val="24"/>
          <w:highlight w:val="none"/>
        </w:rPr>
        <w:t>六、</w:t>
      </w:r>
      <w:bookmarkEnd w:id="51"/>
      <w:r>
        <w:rPr>
          <w:rFonts w:hint="eastAsia" w:ascii="宋体" w:cs="宋体-18030"/>
          <w:color w:val="000000"/>
          <w:kern w:val="0"/>
          <w:sz w:val="24"/>
          <w:szCs w:val="24"/>
          <w:highlight w:val="none"/>
          <w:lang w:val="en-US" w:eastAsia="zh-CN"/>
        </w:rPr>
        <w:t>技术</w:t>
      </w:r>
      <w:r>
        <w:rPr>
          <w:rFonts w:hint="eastAsia" w:ascii="宋体" w:cs="宋体-18030"/>
          <w:bCs/>
          <w:color w:val="000000"/>
          <w:kern w:val="0"/>
          <w:sz w:val="24"/>
          <w:szCs w:val="24"/>
          <w:highlight w:val="none"/>
        </w:rPr>
        <w:t>方案</w:t>
      </w:r>
      <w:bookmarkEnd w:id="52"/>
    </w:p>
    <w:p w14:paraId="3B46C67F">
      <w:pPr>
        <w:snapToGrid w:val="0"/>
        <w:spacing w:line="360" w:lineRule="auto"/>
        <w:ind w:firstLine="480" w:firstLineChars="200"/>
        <w:outlineLvl w:val="0"/>
        <w:rPr>
          <w:rFonts w:hint="eastAsia" w:ascii="宋体" w:cs="宋体-18030"/>
          <w:color w:val="000000"/>
          <w:kern w:val="0"/>
          <w:sz w:val="24"/>
          <w:szCs w:val="24"/>
          <w:highlight w:val="none"/>
        </w:rPr>
      </w:pPr>
      <w:bookmarkStart w:id="53" w:name="_Toc10542"/>
      <w:bookmarkStart w:id="54" w:name="_Toc22900"/>
      <w:r>
        <w:rPr>
          <w:rFonts w:hint="eastAsia" w:ascii="宋体" w:cs="宋体-18030"/>
          <w:color w:val="000000"/>
          <w:kern w:val="0"/>
          <w:sz w:val="24"/>
          <w:szCs w:val="24"/>
          <w:highlight w:val="none"/>
        </w:rPr>
        <w:t>七、</w:t>
      </w:r>
      <w:bookmarkEnd w:id="53"/>
      <w:bookmarkStart w:id="55" w:name="_Toc8548"/>
      <w:bookmarkEnd w:id="55"/>
      <w:bookmarkStart w:id="56" w:name="_Toc23151"/>
      <w:r>
        <w:rPr>
          <w:rFonts w:hint="eastAsia" w:ascii="宋体" w:cs="宋体-18030"/>
          <w:color w:val="000000"/>
          <w:kern w:val="0"/>
          <w:sz w:val="24"/>
          <w:szCs w:val="24"/>
          <w:highlight w:val="none"/>
        </w:rPr>
        <w:t>其他资料</w:t>
      </w:r>
      <w:bookmarkEnd w:id="54"/>
      <w:bookmarkEnd w:id="56"/>
    </w:p>
    <w:p w14:paraId="394EFE56">
      <w:pPr>
        <w:pStyle w:val="6"/>
        <w:snapToGrid w:val="0"/>
        <w:spacing w:line="360" w:lineRule="auto"/>
        <w:rPr>
          <w:rFonts w:hint="eastAsia" w:ascii="宋体"/>
          <w:color w:val="000000"/>
          <w:sz w:val="24"/>
          <w:szCs w:val="24"/>
          <w:highlight w:val="none"/>
        </w:rPr>
      </w:pPr>
    </w:p>
    <w:p w14:paraId="59BA493E">
      <w:pPr>
        <w:pStyle w:val="6"/>
        <w:snapToGrid w:val="0"/>
        <w:spacing w:line="360" w:lineRule="auto"/>
        <w:outlineLvl w:val="0"/>
        <w:rPr>
          <w:rFonts w:hint="eastAsia" w:ascii="宋体"/>
          <w:b/>
          <w:bCs/>
          <w:color w:val="000000"/>
          <w:sz w:val="24"/>
          <w:szCs w:val="24"/>
          <w:highlight w:val="none"/>
        </w:rPr>
      </w:pPr>
      <w:bookmarkStart w:id="57" w:name="_Toc23289"/>
      <w:bookmarkStart w:id="58" w:name="_Toc20231"/>
      <w:r>
        <w:rPr>
          <w:rFonts w:hint="eastAsia" w:ascii="宋体"/>
          <w:b/>
          <w:bCs/>
          <w:color w:val="000000"/>
          <w:sz w:val="24"/>
          <w:szCs w:val="24"/>
          <w:highlight w:val="none"/>
        </w:rPr>
        <w:t>注：投标人可依据自身情况增加目录内容，且须编制页码</w:t>
      </w:r>
      <w:bookmarkEnd w:id="57"/>
      <w:bookmarkEnd w:id="58"/>
    </w:p>
    <w:p w14:paraId="427B5A39">
      <w:pPr>
        <w:pStyle w:val="6"/>
        <w:snapToGrid w:val="0"/>
        <w:spacing w:line="360" w:lineRule="auto"/>
        <w:rPr>
          <w:rFonts w:hint="eastAsia" w:ascii="宋体"/>
          <w:color w:val="000000"/>
          <w:sz w:val="24"/>
          <w:szCs w:val="24"/>
          <w:highlight w:val="none"/>
        </w:rPr>
      </w:pPr>
    </w:p>
    <w:p w14:paraId="5EF8C0BE">
      <w:pPr>
        <w:pStyle w:val="6"/>
        <w:snapToGrid w:val="0"/>
        <w:spacing w:line="360" w:lineRule="auto"/>
        <w:rPr>
          <w:rFonts w:hint="eastAsia" w:ascii="宋体"/>
          <w:color w:val="000000"/>
          <w:sz w:val="21"/>
          <w:szCs w:val="21"/>
          <w:highlight w:val="none"/>
        </w:rPr>
      </w:pPr>
    </w:p>
    <w:p w14:paraId="445E25D5">
      <w:pPr>
        <w:pStyle w:val="6"/>
        <w:snapToGrid w:val="0"/>
        <w:spacing w:line="360" w:lineRule="auto"/>
        <w:rPr>
          <w:rFonts w:hint="eastAsia" w:ascii="宋体"/>
          <w:color w:val="000000"/>
          <w:sz w:val="21"/>
          <w:szCs w:val="21"/>
          <w:highlight w:val="none"/>
        </w:rPr>
      </w:pPr>
    </w:p>
    <w:p w14:paraId="48254DDC">
      <w:pPr>
        <w:pStyle w:val="6"/>
        <w:snapToGrid w:val="0"/>
        <w:spacing w:line="360" w:lineRule="auto"/>
        <w:rPr>
          <w:rFonts w:hint="eastAsia" w:ascii="宋体"/>
          <w:color w:val="000000"/>
          <w:sz w:val="21"/>
          <w:szCs w:val="21"/>
          <w:highlight w:val="none"/>
        </w:rPr>
      </w:pPr>
    </w:p>
    <w:p w14:paraId="79A95C33">
      <w:pPr>
        <w:pStyle w:val="6"/>
        <w:snapToGrid w:val="0"/>
        <w:spacing w:line="360" w:lineRule="auto"/>
        <w:rPr>
          <w:rFonts w:hint="eastAsia" w:ascii="宋体"/>
          <w:color w:val="000000"/>
          <w:sz w:val="21"/>
          <w:szCs w:val="21"/>
          <w:highlight w:val="none"/>
        </w:rPr>
      </w:pPr>
    </w:p>
    <w:p w14:paraId="0C308BC0">
      <w:pPr>
        <w:pStyle w:val="6"/>
        <w:snapToGrid w:val="0"/>
        <w:spacing w:line="360" w:lineRule="auto"/>
        <w:rPr>
          <w:rFonts w:hint="eastAsia" w:ascii="宋体"/>
          <w:color w:val="000000"/>
          <w:sz w:val="21"/>
          <w:szCs w:val="21"/>
          <w:highlight w:val="none"/>
        </w:rPr>
      </w:pPr>
    </w:p>
    <w:p w14:paraId="64ACB935">
      <w:pPr>
        <w:pStyle w:val="6"/>
        <w:snapToGrid w:val="0"/>
        <w:spacing w:line="360" w:lineRule="auto"/>
        <w:rPr>
          <w:rFonts w:hint="eastAsia" w:ascii="宋体"/>
          <w:color w:val="000000"/>
          <w:sz w:val="21"/>
          <w:szCs w:val="21"/>
          <w:highlight w:val="none"/>
        </w:rPr>
      </w:pPr>
    </w:p>
    <w:p w14:paraId="588B754A">
      <w:pPr>
        <w:pStyle w:val="6"/>
        <w:snapToGrid w:val="0"/>
        <w:spacing w:line="360" w:lineRule="auto"/>
        <w:rPr>
          <w:rFonts w:hint="eastAsia" w:ascii="宋体"/>
          <w:color w:val="000000"/>
          <w:sz w:val="21"/>
          <w:szCs w:val="21"/>
          <w:highlight w:val="none"/>
        </w:rPr>
      </w:pPr>
    </w:p>
    <w:p w14:paraId="239FB4A6">
      <w:pPr>
        <w:pStyle w:val="6"/>
        <w:snapToGrid w:val="0"/>
        <w:spacing w:line="360" w:lineRule="auto"/>
        <w:rPr>
          <w:rFonts w:hint="eastAsia" w:ascii="宋体"/>
          <w:color w:val="000000"/>
          <w:sz w:val="21"/>
          <w:szCs w:val="21"/>
          <w:highlight w:val="none"/>
        </w:rPr>
      </w:pPr>
    </w:p>
    <w:p w14:paraId="4DA6F68E">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r>
        <w:rPr>
          <w:rFonts w:hint="eastAsia" w:ascii="宋体" w:cs="宋体-18030"/>
          <w:color w:val="000000"/>
          <w:kern w:val="0"/>
          <w:sz w:val="24"/>
          <w:szCs w:val="24"/>
          <w:highlight w:val="none"/>
        </w:rPr>
        <w:br w:type="page"/>
      </w:r>
      <w:bookmarkStart w:id="59" w:name="_Toc75"/>
      <w:bookmarkStart w:id="60" w:name="_Toc25676"/>
      <w:r>
        <w:rPr>
          <w:rFonts w:hint="eastAsia" w:ascii="宋体" w:cs="宋体-18030"/>
          <w:b/>
          <w:bCs/>
          <w:color w:val="000000"/>
          <w:kern w:val="0"/>
          <w:sz w:val="30"/>
          <w:szCs w:val="30"/>
          <w:highlight w:val="none"/>
        </w:rPr>
        <w:t>一、投标函及投标函附录</w:t>
      </w:r>
      <w:bookmarkEnd w:id="59"/>
      <w:bookmarkEnd w:id="60"/>
    </w:p>
    <w:p w14:paraId="2EC03E62">
      <w:pPr>
        <w:autoSpaceDE w:val="0"/>
        <w:autoSpaceDN w:val="0"/>
        <w:adjustRightInd w:val="0"/>
        <w:snapToGrid w:val="0"/>
        <w:spacing w:line="360" w:lineRule="auto"/>
        <w:jc w:val="center"/>
        <w:rPr>
          <w:rFonts w:hint="eastAsia" w:ascii="宋体" w:cs="宋体-18030"/>
          <w:color w:val="000000"/>
          <w:kern w:val="0"/>
          <w:sz w:val="24"/>
          <w:szCs w:val="24"/>
          <w:highlight w:val="none"/>
          <w:u w:val="single"/>
        </w:rPr>
      </w:pPr>
      <w:r>
        <w:rPr>
          <w:rFonts w:hint="eastAsia" w:ascii="宋体" w:cs="宋体-18030"/>
          <w:b/>
          <w:bCs/>
          <w:color w:val="000000"/>
          <w:kern w:val="0"/>
          <w:sz w:val="30"/>
          <w:szCs w:val="30"/>
          <w:highlight w:val="none"/>
        </w:rPr>
        <w:t>（一）投标函</w:t>
      </w:r>
    </w:p>
    <w:p w14:paraId="11B09658">
      <w:pPr>
        <w:autoSpaceDE w:val="0"/>
        <w:autoSpaceDN w:val="0"/>
        <w:adjustRightInd w:val="0"/>
        <w:snapToGrid w:val="0"/>
        <w:spacing w:line="360" w:lineRule="auto"/>
        <w:ind w:firstLine="210" w:firstLineChars="100"/>
        <w:jc w:val="left"/>
        <w:rPr>
          <w:rFonts w:hint="eastAsia" w:ascii="宋体" w:cs="宋体-18030"/>
          <w:color w:val="000000"/>
          <w:kern w:val="0"/>
          <w:highlight w:val="none"/>
          <w:u w:val="single"/>
        </w:rPr>
      </w:pPr>
      <w:r>
        <w:rPr>
          <w:rFonts w:hint="eastAsia" w:ascii="宋体" w:cs="宋体-18030"/>
          <w:color w:val="000000"/>
          <w:kern w:val="0"/>
          <w:highlight w:val="none"/>
          <w:u w:val="single"/>
        </w:rPr>
        <w:t>(</w:t>
      </w:r>
      <w:r>
        <w:rPr>
          <w:rFonts w:hint="eastAsia" w:ascii="宋体" w:cs="宋体-18030"/>
          <w:color w:val="000000"/>
          <w:kern w:val="0"/>
          <w:highlight w:val="none"/>
          <w:u w:val="single"/>
          <w:lang w:eastAsia="zh-CN"/>
        </w:rPr>
        <w:t>采购人</w:t>
      </w:r>
      <w:r>
        <w:rPr>
          <w:rFonts w:hint="eastAsia" w:ascii="宋体" w:cs="宋体-18030"/>
          <w:color w:val="000000"/>
          <w:kern w:val="0"/>
          <w:highlight w:val="none"/>
          <w:u w:val="single"/>
        </w:rPr>
        <w:t>名称)：</w:t>
      </w:r>
    </w:p>
    <w:p w14:paraId="0EBA41A6">
      <w:pPr>
        <w:snapToGrid w:val="0"/>
        <w:spacing w:line="360" w:lineRule="auto"/>
        <w:ind w:left="210" w:leftChars="100" w:firstLine="210" w:firstLineChars="100"/>
        <w:rPr>
          <w:rFonts w:hint="eastAsia" w:ascii="宋体"/>
          <w:color w:val="000000"/>
          <w:highlight w:val="none"/>
        </w:rPr>
      </w:pPr>
      <w:r>
        <w:rPr>
          <w:rFonts w:hint="eastAsia" w:ascii="宋体" w:cs="宋体-18030"/>
          <w:color w:val="000000"/>
          <w:kern w:val="0"/>
          <w:highlight w:val="none"/>
        </w:rPr>
        <w:t>1.我方已仔细研究了</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招标文件的全部内容，我方愿按的合同方式，以</w:t>
      </w:r>
      <w:r>
        <w:rPr>
          <w:rFonts w:hint="eastAsia" w:ascii="宋体" w:cs="宋体-18030"/>
          <w:color w:val="000000"/>
          <w:kern w:val="0"/>
          <w:highlight w:val="none"/>
          <w:u w:val="single"/>
        </w:rPr>
        <w:t xml:space="preserve">        </w:t>
      </w:r>
      <w:r>
        <w:rPr>
          <w:rFonts w:hint="eastAsia" w:ascii="宋体" w:cs="宋体-18030"/>
          <w:color w:val="000000"/>
          <w:kern w:val="0"/>
          <w:highlight w:val="none"/>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)元的投标总价报价，合同履行期限为</w:t>
      </w:r>
      <w:r>
        <w:rPr>
          <w:rFonts w:hint="eastAsia" w:ascii="宋体" w:cs="宋体-18030"/>
          <w:color w:val="000000"/>
          <w:kern w:val="0"/>
          <w:highlight w:val="none"/>
          <w:u w:val="single"/>
        </w:rPr>
        <w:t xml:space="preserve">        </w:t>
      </w:r>
      <w:r>
        <w:rPr>
          <w:rFonts w:hint="eastAsia" w:ascii="宋体" w:cs="宋体-18030"/>
          <w:color w:val="000000"/>
          <w:kern w:val="0"/>
          <w:highlight w:val="none"/>
        </w:rPr>
        <w:t>，按合同约定实施和完成承包上述招标项目。</w:t>
      </w:r>
    </w:p>
    <w:p w14:paraId="3A3F1E6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2.我方承诺在投标有效期</w:t>
      </w:r>
      <w:r>
        <w:rPr>
          <w:rFonts w:hint="eastAsia" w:ascii="宋体" w:cs="宋体-18030"/>
          <w:color w:val="000000"/>
          <w:kern w:val="0"/>
          <w:highlight w:val="none"/>
          <w:u w:val="single"/>
        </w:rPr>
        <w:t>90</w:t>
      </w:r>
      <w:r>
        <w:rPr>
          <w:rFonts w:hint="eastAsia" w:ascii="宋体" w:cs="宋体-18030"/>
          <w:color w:val="000000"/>
          <w:kern w:val="0"/>
          <w:highlight w:val="none"/>
        </w:rPr>
        <w:t>日内不修改、撤销投标文件。</w:t>
      </w:r>
    </w:p>
    <w:p w14:paraId="174997E3">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3.随同本投标函提交投标保证金一份，金额为人民币(大写)</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rPr>
        <w:t>元(¥)。</w:t>
      </w:r>
    </w:p>
    <w:p w14:paraId="535ED81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4.如我方中标：</w:t>
      </w:r>
    </w:p>
    <w:p w14:paraId="45D89F9B">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我方承诺在收到中标通知书后，在中标通知书规定的期限内与你方签订合同，并遵守合同中关于权利和义务的约定；并按照招标文件中采购需求的要求执行。</w:t>
      </w:r>
    </w:p>
    <w:p w14:paraId="5E0A9B05">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2</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按照招标文件中采购需求的要求执行，如我方违约，承担一切责任。</w:t>
      </w:r>
    </w:p>
    <w:p w14:paraId="25BC9153">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3</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如我方中标，将按照采购文件规定的收费标准缴纳采购代理服务费。</w:t>
      </w:r>
    </w:p>
    <w:p w14:paraId="3F8CCC47">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完全理解贵方不一定要接受最低报价的投标或收到的任何投标。</w:t>
      </w:r>
    </w:p>
    <w:p w14:paraId="6B9BCB03">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5</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如果在规定的投标有效期内撤回投标，则我们的投标保证金可被贵方没收。</w:t>
      </w:r>
    </w:p>
    <w:p w14:paraId="5C1AF548">
      <w:pPr>
        <w:autoSpaceDE w:val="0"/>
        <w:autoSpaceDN w:val="0"/>
        <w:adjustRightInd w:val="0"/>
        <w:snapToGrid w:val="0"/>
        <w:spacing w:line="360" w:lineRule="auto"/>
        <w:ind w:firstLine="420" w:firstLineChars="200"/>
        <w:jc w:val="both"/>
        <w:rPr>
          <w:rFonts w:hint="eastAsia" w:ascii="宋体" w:hAnsi="Times New Roman" w:eastAsia="宋体" w:cs="宋体-18030"/>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6</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同</w:t>
      </w:r>
      <w:r>
        <w:rPr>
          <w:rFonts w:hint="eastAsia" w:ascii="宋体" w:hAnsi="Times New Roman" w:eastAsia="宋体" w:cs="宋体-18030"/>
          <w:color w:val="000000"/>
          <w:kern w:val="0"/>
          <w:highlight w:val="none"/>
        </w:rPr>
        <w:t xml:space="preserve">意向贵方提供贵方可能要求的与本投标有关的任何证据或资料。  </w:t>
      </w:r>
    </w:p>
    <w:p w14:paraId="4F4A6D61">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5.我方在此声明，所递交的投标文件及有关资料内容完整、真实和准确。</w:t>
      </w:r>
    </w:p>
    <w:p w14:paraId="44B2F55F">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6．</w:t>
      </w:r>
      <w:r>
        <w:rPr>
          <w:rFonts w:hint="eastAsia" w:ascii="宋体" w:cs="宋体-18030"/>
          <w:color w:val="000000"/>
          <w:kern w:val="0"/>
          <w:highlight w:val="none"/>
          <w:u w:val="single"/>
        </w:rPr>
        <w:t>(其他补充说明)</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w:t>
      </w:r>
    </w:p>
    <w:p w14:paraId="277AD7E2">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p>
    <w:p w14:paraId="49A14A2D">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投 标 人：(盖单位章)</w:t>
      </w:r>
    </w:p>
    <w:p w14:paraId="3647B50E">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其授权委托代理人：(签字)</w:t>
      </w:r>
    </w:p>
    <w:p w14:paraId="580CDE0B">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地    址：</w:t>
      </w:r>
    </w:p>
    <w:p w14:paraId="1EC58B90">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网    址：</w:t>
      </w:r>
    </w:p>
    <w:p w14:paraId="07DAE9F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电    话：</w:t>
      </w:r>
    </w:p>
    <w:p w14:paraId="586DF02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传    真：</w:t>
      </w:r>
    </w:p>
    <w:p w14:paraId="1794EDA2">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邮政编码：</w:t>
      </w:r>
    </w:p>
    <w:p w14:paraId="04A302C3">
      <w:pPr>
        <w:snapToGrid w:val="0"/>
        <w:spacing w:line="360" w:lineRule="auto"/>
        <w:jc w:val="center"/>
        <w:rPr>
          <w:rFonts w:hint="eastAsia" w:ascii="宋体" w:cs="宋体-18030"/>
          <w:color w:val="000000"/>
          <w:kern w:val="0"/>
          <w:highlight w:val="none"/>
          <w:u w:val="single"/>
        </w:rPr>
      </w:pPr>
    </w:p>
    <w:p w14:paraId="0FAEFC52">
      <w:pPr>
        <w:snapToGrid w:val="0"/>
        <w:spacing w:line="360" w:lineRule="auto"/>
        <w:jc w:val="center"/>
        <w:rPr>
          <w:rFonts w:hint="eastAsia" w:ascii="宋体" w:cs="宋体-18030"/>
          <w:color w:val="000000"/>
          <w:kern w:val="0"/>
          <w:sz w:val="24"/>
          <w:szCs w:val="24"/>
          <w:highlight w:val="none"/>
        </w:rPr>
      </w:pPr>
      <w:r>
        <w:rPr>
          <w:rFonts w:hint="eastAsia" w:ascii="宋体" w:cs="宋体-18030"/>
          <w:color w:val="000000"/>
          <w:kern w:val="0"/>
          <w:highlight w:val="none"/>
        </w:rPr>
        <w:t>年   月   日</w:t>
      </w:r>
    </w:p>
    <w:p w14:paraId="13D297FC">
      <w:pPr>
        <w:autoSpaceDE w:val="0"/>
        <w:autoSpaceDN w:val="0"/>
        <w:adjustRightInd w:val="0"/>
        <w:snapToGrid w:val="0"/>
        <w:spacing w:line="360" w:lineRule="auto"/>
        <w:jc w:val="center"/>
        <w:rPr>
          <w:rFonts w:hint="eastAsia" w:ascii="宋体" w:cs="宋体-18030"/>
          <w:b/>
          <w:bCs/>
          <w:color w:val="000000"/>
          <w:kern w:val="0"/>
          <w:sz w:val="24"/>
          <w:szCs w:val="24"/>
          <w:highlight w:val="none"/>
        </w:rPr>
      </w:pPr>
      <w:r>
        <w:rPr>
          <w:rFonts w:hint="eastAsia" w:ascii="宋体" w:cs="宋体-18030"/>
          <w:color w:val="000000"/>
          <w:kern w:val="0"/>
          <w:sz w:val="24"/>
          <w:szCs w:val="24"/>
          <w:highlight w:val="none"/>
        </w:rPr>
        <w:br w:type="page"/>
      </w:r>
      <w:bookmarkStart w:id="61" w:name="_Toc152045790"/>
      <w:bookmarkEnd w:id="61"/>
      <w:bookmarkStart w:id="62" w:name="_Toc144974859"/>
      <w:bookmarkEnd w:id="62"/>
      <w:bookmarkStart w:id="63" w:name="_Toc246997101"/>
      <w:bookmarkEnd w:id="63"/>
      <w:bookmarkStart w:id="64" w:name="_Toc152042579"/>
      <w:bookmarkEnd w:id="64"/>
      <w:bookmarkStart w:id="65" w:name="_Toc247085876"/>
      <w:bookmarkEnd w:id="65"/>
      <w:bookmarkStart w:id="66" w:name="_Toc179632810"/>
      <w:bookmarkEnd w:id="66"/>
      <w:bookmarkStart w:id="67" w:name="_Toc246996358"/>
      <w:bookmarkEnd w:id="67"/>
      <w:bookmarkStart w:id="68" w:name="_Toc363457205"/>
      <w:r>
        <w:rPr>
          <w:rFonts w:hint="eastAsia" w:ascii="宋体" w:cs="宋体-18030"/>
          <w:b/>
          <w:bCs/>
          <w:color w:val="000000"/>
          <w:kern w:val="0"/>
          <w:sz w:val="30"/>
          <w:szCs w:val="30"/>
          <w:highlight w:val="none"/>
        </w:rPr>
        <w:t>（二）投标函附录</w:t>
      </w:r>
      <w:bookmarkEnd w:id="68"/>
    </w:p>
    <w:p w14:paraId="191782AD">
      <w:pPr>
        <w:snapToGrid w:val="0"/>
        <w:spacing w:line="360" w:lineRule="auto"/>
        <w:rPr>
          <w:rFonts w:hint="eastAsia" w:ascii="宋体"/>
          <w:color w:val="000000"/>
          <w:sz w:val="20"/>
          <w:szCs w:val="20"/>
          <w:highlight w:val="none"/>
        </w:rPr>
      </w:pPr>
    </w:p>
    <w:tbl>
      <w:tblPr>
        <w:tblStyle w:val="21"/>
        <w:tblW w:w="9377" w:type="dxa"/>
        <w:jc w:val="center"/>
        <w:tblLayout w:type="fixed"/>
        <w:tblCellMar>
          <w:top w:w="0" w:type="dxa"/>
          <w:left w:w="108" w:type="dxa"/>
          <w:bottom w:w="0" w:type="dxa"/>
          <w:right w:w="108" w:type="dxa"/>
        </w:tblCellMar>
      </w:tblPr>
      <w:tblGrid>
        <w:gridCol w:w="1001"/>
        <w:gridCol w:w="1701"/>
        <w:gridCol w:w="5103"/>
        <w:gridCol w:w="1572"/>
      </w:tblGrid>
      <w:tr w14:paraId="52DC77BB">
        <w:tblPrEx>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278C40F">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序号</w:t>
            </w:r>
          </w:p>
        </w:tc>
        <w:tc>
          <w:tcPr>
            <w:tcW w:w="1701" w:type="dxa"/>
            <w:tcBorders>
              <w:top w:val="single" w:color="auto" w:sz="4" w:space="0"/>
              <w:left w:val="nil"/>
              <w:bottom w:val="single" w:color="auto" w:sz="4" w:space="0"/>
              <w:right w:val="single" w:color="auto" w:sz="4" w:space="0"/>
            </w:tcBorders>
            <w:noWrap w:val="0"/>
            <w:vAlign w:val="center"/>
          </w:tcPr>
          <w:p w14:paraId="2BCE1C84">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条款名称</w:t>
            </w:r>
          </w:p>
        </w:tc>
        <w:tc>
          <w:tcPr>
            <w:tcW w:w="5103" w:type="dxa"/>
            <w:tcBorders>
              <w:top w:val="single" w:color="auto" w:sz="4" w:space="0"/>
              <w:left w:val="nil"/>
              <w:bottom w:val="single" w:color="auto" w:sz="4" w:space="0"/>
              <w:right w:val="single" w:color="auto" w:sz="4" w:space="0"/>
            </w:tcBorders>
            <w:noWrap w:val="0"/>
            <w:vAlign w:val="center"/>
          </w:tcPr>
          <w:p w14:paraId="453D82AA">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约定内容</w:t>
            </w:r>
          </w:p>
        </w:tc>
        <w:tc>
          <w:tcPr>
            <w:tcW w:w="1572" w:type="dxa"/>
            <w:tcBorders>
              <w:top w:val="single" w:color="auto" w:sz="4" w:space="0"/>
              <w:left w:val="nil"/>
              <w:bottom w:val="single" w:color="auto" w:sz="4" w:space="0"/>
              <w:right w:val="single" w:color="auto" w:sz="4" w:space="0"/>
            </w:tcBorders>
            <w:noWrap w:val="0"/>
            <w:vAlign w:val="center"/>
          </w:tcPr>
          <w:p w14:paraId="5AA137D7">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是否响应</w:t>
            </w:r>
          </w:p>
        </w:tc>
      </w:tr>
      <w:tr w14:paraId="7679BD73">
        <w:tblPrEx>
          <w:tblCellMar>
            <w:top w:w="0" w:type="dxa"/>
            <w:left w:w="108" w:type="dxa"/>
            <w:bottom w:w="0" w:type="dxa"/>
            <w:right w:w="108" w:type="dxa"/>
          </w:tblCellMar>
        </w:tblPrEx>
        <w:trPr>
          <w:trHeight w:val="605"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7355745A">
            <w:pPr>
              <w:jc w:val="center"/>
              <w:rPr>
                <w:rFonts w:hint="eastAsia" w:ascii="宋体" w:cs="宋体"/>
                <w:color w:val="000000"/>
                <w:highlight w:val="none"/>
                <w:lang w:val="zh-CN"/>
              </w:rPr>
            </w:pPr>
            <w:r>
              <w:rPr>
                <w:rFonts w:hint="eastAsia" w:ascii="宋体" w:cs="宋体"/>
                <w:color w:val="000000"/>
                <w:highlight w:val="none"/>
                <w:lang w:val="zh-CN"/>
              </w:rPr>
              <w:t>1</w:t>
            </w:r>
          </w:p>
        </w:tc>
        <w:tc>
          <w:tcPr>
            <w:tcW w:w="1701" w:type="dxa"/>
            <w:tcBorders>
              <w:top w:val="single" w:color="auto" w:sz="4" w:space="0"/>
              <w:left w:val="nil"/>
              <w:bottom w:val="single" w:color="auto" w:sz="4" w:space="0"/>
              <w:right w:val="single" w:color="auto" w:sz="4" w:space="0"/>
            </w:tcBorders>
            <w:noWrap w:val="0"/>
            <w:vAlign w:val="center"/>
          </w:tcPr>
          <w:p w14:paraId="17D1CDD8">
            <w:pPr>
              <w:ind w:left="210" w:leftChars="100" w:firstLine="0" w:firstLineChars="0"/>
              <w:jc w:val="left"/>
              <w:rPr>
                <w:rFonts w:hint="eastAsia" w:ascii="宋体" w:hAnsi="宋体"/>
                <w:color w:val="000000"/>
                <w:highlight w:val="none"/>
                <w:lang w:val="zh-CN" w:eastAsia="zh-CN"/>
              </w:rPr>
            </w:pPr>
            <w:r>
              <w:rPr>
                <w:rFonts w:hint="eastAsia" w:ascii="宋体" w:hAnsi="宋体"/>
                <w:color w:val="000000"/>
                <w:highlight w:val="none"/>
                <w:lang w:val="zh-CN" w:eastAsia="zh-CN"/>
              </w:rPr>
              <w:t>合同履行期限(交货期限)</w:t>
            </w:r>
          </w:p>
        </w:tc>
        <w:tc>
          <w:tcPr>
            <w:tcW w:w="5103" w:type="dxa"/>
            <w:tcBorders>
              <w:top w:val="single" w:color="auto" w:sz="4" w:space="0"/>
              <w:left w:val="nil"/>
              <w:bottom w:val="single" w:color="auto" w:sz="4" w:space="0"/>
              <w:right w:val="single" w:color="auto" w:sz="4" w:space="0"/>
            </w:tcBorders>
            <w:noWrap w:val="0"/>
            <w:vAlign w:val="center"/>
          </w:tcPr>
          <w:p w14:paraId="3103EC4E">
            <w:pPr>
              <w:jc w:val="left"/>
              <w:rPr>
                <w:rFonts w:hint="eastAsia" w:ascii="宋体" w:hAnsi="宋体"/>
                <w:color w:val="auto"/>
                <w:highlight w:val="none"/>
                <w:lang w:val="zh-CN"/>
              </w:rPr>
            </w:pPr>
            <w:r>
              <w:rPr>
                <w:rFonts w:hint="eastAsia" w:ascii="宋体" w:hAnsi="宋体"/>
                <w:color w:val="auto"/>
                <w:highlight w:val="none"/>
                <w:lang w:val="zh-CN"/>
              </w:rPr>
              <w:t>合同订立后</w:t>
            </w:r>
            <w:r>
              <w:rPr>
                <w:rFonts w:hint="eastAsia" w:ascii="宋体" w:hAnsi="宋体"/>
                <w:color w:val="auto"/>
                <w:highlight w:val="none"/>
                <w:lang w:val="en-US" w:eastAsia="zh-CN"/>
              </w:rPr>
              <w:t>30</w:t>
            </w:r>
            <w:r>
              <w:rPr>
                <w:rFonts w:hint="eastAsia" w:ascii="宋体" w:hAnsi="宋体"/>
                <w:color w:val="auto"/>
                <w:highlight w:val="none"/>
                <w:lang w:val="zh-CN"/>
              </w:rPr>
              <w:t>天内交货</w:t>
            </w:r>
            <w:r>
              <w:rPr>
                <w:rFonts w:hint="eastAsia" w:ascii="宋体" w:hAnsi="宋体"/>
                <w:color w:val="auto"/>
                <w:highlight w:val="none"/>
                <w:lang w:val="zh-CN" w:eastAsia="zh-CN"/>
              </w:rPr>
              <w:t>，并安装完毕</w:t>
            </w:r>
            <w:r>
              <w:rPr>
                <w:rFonts w:hint="eastAsia" w:ascii="宋体" w:hAnsi="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7856102D">
            <w:pPr>
              <w:jc w:val="center"/>
              <w:rPr>
                <w:rFonts w:hint="eastAsia" w:ascii="宋体" w:cs="宋体"/>
                <w:color w:val="000000"/>
                <w:highlight w:val="none"/>
                <w:lang w:val="zh-CN"/>
              </w:rPr>
            </w:pPr>
          </w:p>
        </w:tc>
      </w:tr>
      <w:tr w14:paraId="6FB55272">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2534B7CE">
            <w:pPr>
              <w:jc w:val="center"/>
              <w:rPr>
                <w:rFonts w:hint="eastAsia" w:ascii="宋体" w:cs="宋体"/>
                <w:color w:val="000000"/>
                <w:highlight w:val="none"/>
                <w:lang w:val="zh-CN"/>
              </w:rPr>
            </w:pPr>
            <w:r>
              <w:rPr>
                <w:rFonts w:hint="eastAsia" w:ascii="宋体" w:cs="宋体"/>
                <w:color w:val="000000"/>
                <w:highlight w:val="none"/>
                <w:lang w:val="zh-CN"/>
              </w:rPr>
              <w:t>2</w:t>
            </w:r>
          </w:p>
        </w:tc>
        <w:tc>
          <w:tcPr>
            <w:tcW w:w="1701" w:type="dxa"/>
            <w:tcBorders>
              <w:top w:val="single" w:color="auto" w:sz="4" w:space="0"/>
              <w:left w:val="nil"/>
              <w:bottom w:val="single" w:color="auto" w:sz="4" w:space="0"/>
              <w:right w:val="single" w:color="auto" w:sz="4" w:space="0"/>
            </w:tcBorders>
            <w:noWrap w:val="0"/>
            <w:vAlign w:val="center"/>
          </w:tcPr>
          <w:p w14:paraId="21FA1A3C">
            <w:pPr>
              <w:jc w:val="center"/>
              <w:rPr>
                <w:rFonts w:hint="eastAsia" w:ascii="宋体" w:cs="宋体"/>
                <w:color w:val="000000"/>
                <w:highlight w:val="none"/>
                <w:lang w:val="zh-CN"/>
              </w:rPr>
            </w:pPr>
            <w:r>
              <w:rPr>
                <w:rFonts w:hint="eastAsia" w:ascii="宋体" w:cs="宋体"/>
                <w:color w:val="000000"/>
                <w:highlight w:val="none"/>
                <w:lang w:val="zh-CN"/>
              </w:rPr>
              <w:t>质量要求</w:t>
            </w:r>
          </w:p>
        </w:tc>
        <w:tc>
          <w:tcPr>
            <w:tcW w:w="5103" w:type="dxa"/>
            <w:tcBorders>
              <w:top w:val="single" w:color="auto" w:sz="4" w:space="0"/>
              <w:left w:val="nil"/>
              <w:bottom w:val="single" w:color="auto" w:sz="4" w:space="0"/>
              <w:right w:val="single" w:color="auto" w:sz="4" w:space="0"/>
            </w:tcBorders>
            <w:noWrap w:val="0"/>
            <w:vAlign w:val="center"/>
          </w:tcPr>
          <w:p w14:paraId="07C701FC">
            <w:pPr>
              <w:jc w:val="left"/>
              <w:rPr>
                <w:rFonts w:hint="eastAsia" w:ascii="宋体" w:cs="宋体"/>
                <w:color w:val="auto"/>
                <w:highlight w:val="none"/>
                <w:lang w:val="zh-CN"/>
              </w:rPr>
            </w:pPr>
            <w:r>
              <w:rPr>
                <w:rFonts w:hint="eastAsia" w:ascii="宋体" w:hAnsi="宋体"/>
                <w:color w:val="auto"/>
                <w:highlight w:val="none"/>
              </w:rPr>
              <w:t>符合现行国家、行业、地方或者其他相关标准的合格要求</w:t>
            </w:r>
          </w:p>
        </w:tc>
        <w:tc>
          <w:tcPr>
            <w:tcW w:w="1572" w:type="dxa"/>
            <w:tcBorders>
              <w:top w:val="single" w:color="auto" w:sz="4" w:space="0"/>
              <w:left w:val="nil"/>
              <w:bottom w:val="single" w:color="auto" w:sz="4" w:space="0"/>
              <w:right w:val="single" w:color="auto" w:sz="4" w:space="0"/>
            </w:tcBorders>
            <w:noWrap w:val="0"/>
            <w:vAlign w:val="center"/>
          </w:tcPr>
          <w:p w14:paraId="6ECA2CD0">
            <w:pPr>
              <w:jc w:val="center"/>
              <w:rPr>
                <w:rFonts w:hint="eastAsia" w:ascii="宋体" w:cs="宋体"/>
                <w:color w:val="000000"/>
                <w:highlight w:val="none"/>
                <w:lang w:val="zh-CN"/>
              </w:rPr>
            </w:pPr>
          </w:p>
        </w:tc>
      </w:tr>
      <w:tr w14:paraId="31423286">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9B5DC5A">
            <w:pPr>
              <w:jc w:val="center"/>
              <w:rPr>
                <w:rFonts w:hint="eastAsia" w:ascii="宋体" w:cs="宋体"/>
                <w:color w:val="000000"/>
                <w:highlight w:val="none"/>
                <w:lang w:val="zh-CN"/>
              </w:rPr>
            </w:pPr>
            <w:r>
              <w:rPr>
                <w:rFonts w:hint="eastAsia" w:ascii="宋体" w:cs="宋体"/>
                <w:color w:val="000000"/>
                <w:highlight w:val="none"/>
                <w:lang w:val="zh-CN"/>
              </w:rPr>
              <w:t>3</w:t>
            </w:r>
          </w:p>
        </w:tc>
        <w:tc>
          <w:tcPr>
            <w:tcW w:w="1701" w:type="dxa"/>
            <w:tcBorders>
              <w:top w:val="single" w:color="auto" w:sz="4" w:space="0"/>
              <w:left w:val="nil"/>
              <w:bottom w:val="single" w:color="auto" w:sz="4" w:space="0"/>
              <w:right w:val="single" w:color="auto" w:sz="4" w:space="0"/>
            </w:tcBorders>
            <w:noWrap w:val="0"/>
            <w:vAlign w:val="center"/>
          </w:tcPr>
          <w:p w14:paraId="0ECBD95E">
            <w:pPr>
              <w:jc w:val="center"/>
              <w:rPr>
                <w:rFonts w:hint="eastAsia" w:ascii="宋体" w:cs="宋体"/>
                <w:color w:val="000000"/>
                <w:highlight w:val="none"/>
                <w:lang w:val="zh-CN"/>
              </w:rPr>
            </w:pPr>
            <w:r>
              <w:rPr>
                <w:rFonts w:hint="eastAsia" w:ascii="宋体" w:cs="宋体"/>
                <w:color w:val="000000"/>
                <w:highlight w:val="none"/>
                <w:lang w:val="zh-CN"/>
              </w:rPr>
              <w:t>投标有效期</w:t>
            </w:r>
          </w:p>
        </w:tc>
        <w:tc>
          <w:tcPr>
            <w:tcW w:w="5103" w:type="dxa"/>
            <w:tcBorders>
              <w:top w:val="single" w:color="auto" w:sz="4" w:space="0"/>
              <w:left w:val="nil"/>
              <w:bottom w:val="single" w:color="auto" w:sz="4" w:space="0"/>
              <w:right w:val="single" w:color="auto" w:sz="4" w:space="0"/>
            </w:tcBorders>
            <w:noWrap w:val="0"/>
            <w:vAlign w:val="center"/>
          </w:tcPr>
          <w:p w14:paraId="111659D5">
            <w:pPr>
              <w:jc w:val="left"/>
              <w:rPr>
                <w:rFonts w:hint="eastAsia" w:ascii="宋体" w:cs="宋体"/>
                <w:color w:val="auto"/>
                <w:highlight w:val="none"/>
                <w:lang w:val="zh-CN"/>
              </w:rPr>
            </w:pPr>
            <w:r>
              <w:rPr>
                <w:rFonts w:hint="eastAsia" w:ascii="宋体" w:cs="宋体"/>
                <w:color w:val="auto"/>
                <w:highlight w:val="none"/>
                <w:lang w:val="zh-CN"/>
              </w:rPr>
              <w:t>90日</w:t>
            </w:r>
          </w:p>
        </w:tc>
        <w:tc>
          <w:tcPr>
            <w:tcW w:w="1572" w:type="dxa"/>
            <w:tcBorders>
              <w:top w:val="single" w:color="auto" w:sz="4" w:space="0"/>
              <w:left w:val="nil"/>
              <w:bottom w:val="single" w:color="auto" w:sz="4" w:space="0"/>
              <w:right w:val="single" w:color="auto" w:sz="4" w:space="0"/>
            </w:tcBorders>
            <w:noWrap w:val="0"/>
            <w:vAlign w:val="center"/>
          </w:tcPr>
          <w:p w14:paraId="5518A226">
            <w:pPr>
              <w:jc w:val="center"/>
              <w:rPr>
                <w:rFonts w:hint="eastAsia" w:ascii="宋体" w:cs="宋体"/>
                <w:color w:val="000000"/>
                <w:highlight w:val="none"/>
                <w:lang w:val="zh-CN"/>
              </w:rPr>
            </w:pPr>
          </w:p>
        </w:tc>
      </w:tr>
      <w:tr w14:paraId="7A70A5D0">
        <w:tblPrEx>
          <w:tblCellMar>
            <w:top w:w="0" w:type="dxa"/>
            <w:left w:w="108" w:type="dxa"/>
            <w:bottom w:w="0" w:type="dxa"/>
            <w:right w:w="108" w:type="dxa"/>
          </w:tblCellMar>
        </w:tblPrEx>
        <w:trPr>
          <w:trHeight w:val="53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90D3885">
            <w:pPr>
              <w:jc w:val="center"/>
              <w:rPr>
                <w:rFonts w:hint="eastAsia" w:ascii="宋体" w:cs="宋体"/>
                <w:color w:val="000000"/>
                <w:highlight w:val="none"/>
                <w:lang w:val="zh-CN"/>
              </w:rPr>
            </w:pPr>
            <w:r>
              <w:rPr>
                <w:rFonts w:hint="eastAsia" w:ascii="宋体" w:cs="宋体"/>
                <w:color w:val="000000"/>
                <w:highlight w:val="none"/>
              </w:rPr>
              <w:t>4</w:t>
            </w:r>
          </w:p>
        </w:tc>
        <w:tc>
          <w:tcPr>
            <w:tcW w:w="1701" w:type="dxa"/>
            <w:tcBorders>
              <w:top w:val="single" w:color="auto" w:sz="4" w:space="0"/>
              <w:left w:val="nil"/>
              <w:bottom w:val="single" w:color="auto" w:sz="4" w:space="0"/>
              <w:right w:val="single" w:color="auto" w:sz="4" w:space="0"/>
            </w:tcBorders>
            <w:noWrap w:val="0"/>
            <w:vAlign w:val="center"/>
          </w:tcPr>
          <w:p w14:paraId="43B82B6B">
            <w:pPr>
              <w:jc w:val="center"/>
              <w:rPr>
                <w:rFonts w:hint="eastAsia" w:ascii="宋体" w:cs="宋体"/>
                <w:color w:val="000000"/>
                <w:highlight w:val="none"/>
                <w:lang w:val="zh-CN"/>
              </w:rPr>
            </w:pPr>
            <w:r>
              <w:rPr>
                <w:rFonts w:hint="eastAsia" w:ascii="宋体" w:cs="宋体"/>
                <w:color w:val="000000"/>
                <w:highlight w:val="none"/>
                <w:lang w:val="zh-CN"/>
              </w:rPr>
              <w:t>权利义务</w:t>
            </w:r>
          </w:p>
        </w:tc>
        <w:tc>
          <w:tcPr>
            <w:tcW w:w="5103" w:type="dxa"/>
            <w:tcBorders>
              <w:top w:val="single" w:color="auto" w:sz="4" w:space="0"/>
              <w:left w:val="nil"/>
              <w:bottom w:val="single" w:color="auto" w:sz="4" w:space="0"/>
              <w:right w:val="single" w:color="auto" w:sz="4" w:space="0"/>
            </w:tcBorders>
            <w:noWrap w:val="0"/>
            <w:vAlign w:val="center"/>
          </w:tcPr>
          <w:p w14:paraId="6FFE5F4E">
            <w:pPr>
              <w:jc w:val="left"/>
              <w:rPr>
                <w:rFonts w:hint="eastAsia" w:ascii="宋体" w:cs="宋体"/>
                <w:color w:val="auto"/>
                <w:highlight w:val="none"/>
                <w:lang w:val="zh-CN"/>
              </w:rPr>
            </w:pPr>
            <w:r>
              <w:rPr>
                <w:rFonts w:hint="eastAsia" w:ascii="宋体" w:cs="宋体"/>
                <w:color w:val="auto"/>
                <w:highlight w:val="none"/>
                <w:lang w:val="zh-CN"/>
              </w:rPr>
              <w:t>符合第四章“合同条款及格式”规定</w:t>
            </w:r>
          </w:p>
        </w:tc>
        <w:tc>
          <w:tcPr>
            <w:tcW w:w="1572" w:type="dxa"/>
            <w:tcBorders>
              <w:top w:val="single" w:color="auto" w:sz="4" w:space="0"/>
              <w:left w:val="nil"/>
              <w:bottom w:val="single" w:color="auto" w:sz="4" w:space="0"/>
              <w:right w:val="single" w:color="auto" w:sz="4" w:space="0"/>
            </w:tcBorders>
            <w:noWrap w:val="0"/>
            <w:vAlign w:val="center"/>
          </w:tcPr>
          <w:p w14:paraId="0405F271">
            <w:pPr>
              <w:jc w:val="center"/>
              <w:rPr>
                <w:rFonts w:hint="eastAsia" w:ascii="宋体" w:cs="宋体"/>
                <w:color w:val="000000"/>
                <w:highlight w:val="none"/>
                <w:lang w:val="zh-CN"/>
              </w:rPr>
            </w:pPr>
          </w:p>
        </w:tc>
      </w:tr>
      <w:tr w14:paraId="5DE9AA91">
        <w:tblPrEx>
          <w:tblCellMar>
            <w:top w:w="0" w:type="dxa"/>
            <w:left w:w="108" w:type="dxa"/>
            <w:bottom w:w="0" w:type="dxa"/>
            <w:right w:w="108" w:type="dxa"/>
          </w:tblCellMar>
        </w:tblPrEx>
        <w:trPr>
          <w:trHeight w:val="57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8E95359">
            <w:pPr>
              <w:jc w:val="center"/>
              <w:rPr>
                <w:rFonts w:hint="eastAsia" w:ascii="宋体" w:cs="宋体"/>
                <w:color w:val="000000"/>
                <w:highlight w:val="none"/>
                <w:lang w:val="zh-CN"/>
              </w:rPr>
            </w:pPr>
            <w:r>
              <w:rPr>
                <w:rFonts w:hint="eastAsia" w:ascii="宋体" w:cs="宋体"/>
                <w:color w:val="000000"/>
                <w:highlight w:val="none"/>
              </w:rPr>
              <w:t>5</w:t>
            </w:r>
          </w:p>
        </w:tc>
        <w:tc>
          <w:tcPr>
            <w:tcW w:w="1701" w:type="dxa"/>
            <w:tcBorders>
              <w:top w:val="single" w:color="auto" w:sz="4" w:space="0"/>
              <w:left w:val="nil"/>
              <w:bottom w:val="single" w:color="auto" w:sz="4" w:space="0"/>
              <w:right w:val="single" w:color="auto" w:sz="4" w:space="0"/>
            </w:tcBorders>
            <w:noWrap w:val="0"/>
            <w:vAlign w:val="center"/>
          </w:tcPr>
          <w:p w14:paraId="30372518">
            <w:pPr>
              <w:jc w:val="center"/>
              <w:rPr>
                <w:rFonts w:hint="eastAsia" w:ascii="宋体" w:cs="宋体"/>
                <w:color w:val="000000"/>
                <w:highlight w:val="yellow"/>
                <w:lang w:val="zh-CN"/>
              </w:rPr>
            </w:pPr>
            <w:r>
              <w:rPr>
                <w:rFonts w:hint="eastAsia" w:ascii="宋体" w:hAnsi="宋体" w:cs="宋体"/>
                <w:bCs/>
                <w:highlight w:val="none"/>
              </w:rPr>
              <w:t>技术标准与要求</w:t>
            </w:r>
          </w:p>
        </w:tc>
        <w:tc>
          <w:tcPr>
            <w:tcW w:w="5103" w:type="dxa"/>
            <w:tcBorders>
              <w:top w:val="single" w:color="auto" w:sz="4" w:space="0"/>
              <w:left w:val="nil"/>
              <w:bottom w:val="single" w:color="auto" w:sz="4" w:space="0"/>
              <w:right w:val="single" w:color="auto" w:sz="4" w:space="0"/>
            </w:tcBorders>
            <w:noWrap w:val="0"/>
            <w:vAlign w:val="center"/>
          </w:tcPr>
          <w:p w14:paraId="693FDE1C">
            <w:pPr>
              <w:jc w:val="left"/>
              <w:rPr>
                <w:rFonts w:hint="eastAsia" w:ascii="宋体" w:cs="宋体"/>
                <w:color w:val="auto"/>
                <w:highlight w:val="yellow"/>
                <w:lang w:val="zh-CN"/>
              </w:rPr>
            </w:pPr>
            <w:r>
              <w:rPr>
                <w:rFonts w:hint="eastAsia" w:ascii="宋体" w:hAnsi="宋体" w:cs="宋体"/>
                <w:bCs/>
                <w:color w:val="auto"/>
                <w:highlight w:val="none"/>
              </w:rPr>
              <w:t>符合采购需求</w:t>
            </w:r>
            <w:r>
              <w:rPr>
                <w:rFonts w:hint="eastAsia" w:ascii="宋体" w:hAnsi="宋体" w:cs="宋体"/>
                <w:bCs/>
                <w:color w:val="auto"/>
                <w:highlight w:val="none"/>
                <w:lang w:val="zh-CN"/>
              </w:rPr>
              <w:t>要求</w:t>
            </w:r>
            <w:r>
              <w:rPr>
                <w:rFonts w:hint="eastAsia" w:ascii="宋体" w:hAnsi="宋体" w:cs="宋体"/>
                <w:bCs/>
                <w:color w:val="auto"/>
                <w:highlight w:val="none"/>
              </w:rPr>
              <w:t>规定</w:t>
            </w:r>
          </w:p>
        </w:tc>
        <w:tc>
          <w:tcPr>
            <w:tcW w:w="1572" w:type="dxa"/>
            <w:tcBorders>
              <w:top w:val="single" w:color="auto" w:sz="4" w:space="0"/>
              <w:left w:val="nil"/>
              <w:bottom w:val="single" w:color="auto" w:sz="4" w:space="0"/>
              <w:right w:val="single" w:color="auto" w:sz="4" w:space="0"/>
            </w:tcBorders>
            <w:noWrap w:val="0"/>
            <w:vAlign w:val="center"/>
          </w:tcPr>
          <w:p w14:paraId="64DD20C4">
            <w:pPr>
              <w:jc w:val="center"/>
              <w:rPr>
                <w:rFonts w:hint="eastAsia" w:ascii="宋体" w:cs="宋体"/>
                <w:color w:val="000000"/>
                <w:highlight w:val="none"/>
                <w:lang w:val="zh-CN"/>
              </w:rPr>
            </w:pPr>
          </w:p>
        </w:tc>
      </w:tr>
      <w:tr w14:paraId="069B4BC5">
        <w:tblPrEx>
          <w:tblCellMar>
            <w:top w:w="0" w:type="dxa"/>
            <w:left w:w="108" w:type="dxa"/>
            <w:bottom w:w="0" w:type="dxa"/>
            <w:right w:w="108" w:type="dxa"/>
          </w:tblCellMar>
        </w:tblPrEx>
        <w:trPr>
          <w:trHeight w:val="73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425766A">
            <w:pPr>
              <w:jc w:val="center"/>
              <w:rPr>
                <w:rFonts w:hint="eastAsia" w:ascii="宋体" w:cs="宋体"/>
                <w:color w:val="000000"/>
                <w:highlight w:val="none"/>
                <w:lang w:val="zh-CN"/>
              </w:rPr>
            </w:pPr>
            <w:r>
              <w:rPr>
                <w:rFonts w:hint="eastAsia" w:ascii="宋体" w:cs="宋体"/>
                <w:color w:val="000000"/>
                <w:highlight w:val="none"/>
                <w:lang w:val="zh-CN"/>
              </w:rPr>
              <w:t>……</w:t>
            </w:r>
          </w:p>
        </w:tc>
        <w:tc>
          <w:tcPr>
            <w:tcW w:w="1701" w:type="dxa"/>
            <w:tcBorders>
              <w:top w:val="single" w:color="auto" w:sz="4" w:space="0"/>
              <w:left w:val="nil"/>
              <w:bottom w:val="single" w:color="auto" w:sz="4" w:space="0"/>
              <w:right w:val="single" w:color="auto" w:sz="4" w:space="0"/>
            </w:tcBorders>
            <w:noWrap w:val="0"/>
            <w:vAlign w:val="center"/>
          </w:tcPr>
          <w:p w14:paraId="6A66E959">
            <w:pPr>
              <w:jc w:val="center"/>
              <w:rPr>
                <w:rFonts w:hint="eastAsia" w:ascii="宋体" w:cs="宋体"/>
                <w:color w:val="000000"/>
                <w:highlight w:val="none"/>
                <w:lang w:val="zh-CN"/>
              </w:rPr>
            </w:pPr>
            <w:r>
              <w:rPr>
                <w:rFonts w:hint="eastAsia" w:ascii="宋体" w:cs="宋体"/>
                <w:color w:val="000000"/>
                <w:highlight w:val="none"/>
                <w:lang w:val="zh-CN"/>
              </w:rPr>
              <w:t>……</w:t>
            </w:r>
          </w:p>
        </w:tc>
        <w:tc>
          <w:tcPr>
            <w:tcW w:w="5103" w:type="dxa"/>
            <w:tcBorders>
              <w:top w:val="single" w:color="auto" w:sz="4" w:space="0"/>
              <w:left w:val="nil"/>
              <w:bottom w:val="single" w:color="auto" w:sz="4" w:space="0"/>
              <w:right w:val="single" w:color="auto" w:sz="4" w:space="0"/>
            </w:tcBorders>
            <w:noWrap w:val="0"/>
            <w:vAlign w:val="center"/>
          </w:tcPr>
          <w:p w14:paraId="1A9D6782">
            <w:pPr>
              <w:jc w:val="left"/>
              <w:rPr>
                <w:rFonts w:hint="eastAsia" w:ascii="宋体" w:cs="宋体"/>
                <w:color w:val="auto"/>
                <w:highlight w:val="none"/>
                <w:lang w:val="zh-CN"/>
              </w:rPr>
            </w:pPr>
            <w:r>
              <w:rPr>
                <w:rFonts w:hint="eastAsia" w:ascii="宋体" w:cs="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38A897A7">
            <w:pPr>
              <w:jc w:val="center"/>
              <w:rPr>
                <w:rFonts w:hint="eastAsia" w:ascii="宋体" w:cs="宋体"/>
                <w:color w:val="000000"/>
                <w:highlight w:val="none"/>
                <w:lang w:val="zh-CN"/>
              </w:rPr>
            </w:pPr>
          </w:p>
        </w:tc>
      </w:tr>
    </w:tbl>
    <w:p w14:paraId="2330FD37">
      <w:pPr>
        <w:snapToGrid w:val="0"/>
        <w:spacing w:line="360" w:lineRule="auto"/>
        <w:jc w:val="right"/>
        <w:rPr>
          <w:rFonts w:hint="eastAsia" w:ascii="宋体" w:cs="宋体-18030"/>
          <w:color w:val="000000"/>
          <w:kern w:val="0"/>
          <w:sz w:val="24"/>
          <w:szCs w:val="24"/>
          <w:highlight w:val="none"/>
        </w:rPr>
      </w:pPr>
    </w:p>
    <w:p w14:paraId="4F3F3E22">
      <w:pPr>
        <w:autoSpaceDE w:val="0"/>
        <w:autoSpaceDN w:val="0"/>
        <w:adjustRightInd w:val="0"/>
        <w:snapToGrid w:val="0"/>
        <w:spacing w:line="360" w:lineRule="auto"/>
        <w:jc w:val="left"/>
        <w:rPr>
          <w:rFonts w:hint="eastAsia" w:ascii="宋体" w:cs="宋体-18030"/>
          <w:color w:val="000000"/>
          <w:kern w:val="0"/>
          <w:highlight w:val="none"/>
        </w:rPr>
      </w:pPr>
    </w:p>
    <w:p w14:paraId="7B15701E">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0FC162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2D7B5EB2">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4EE0998F">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801D27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B8DA93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5D1B8C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3936F8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10EF572C">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009E2261">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E43BC3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DFD8BA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F0FE0DE">
      <w:pPr>
        <w:pStyle w:val="19"/>
        <w:ind w:firstLine="240"/>
        <w:rPr>
          <w:rFonts w:hint="eastAsia" w:ascii="宋体" w:cs="宋体-18030"/>
          <w:color w:val="000000"/>
          <w:kern w:val="0"/>
          <w:highlight w:val="none"/>
        </w:rPr>
      </w:pPr>
    </w:p>
    <w:p w14:paraId="78F3AF57">
      <w:pPr>
        <w:pStyle w:val="19"/>
        <w:ind w:firstLine="240"/>
        <w:rPr>
          <w:rFonts w:hint="eastAsia" w:ascii="宋体" w:cs="宋体-18030"/>
          <w:color w:val="000000"/>
          <w:kern w:val="0"/>
          <w:highlight w:val="none"/>
        </w:rPr>
      </w:pPr>
    </w:p>
    <w:p w14:paraId="4F41954F">
      <w:pPr>
        <w:pStyle w:val="19"/>
        <w:ind w:firstLine="240"/>
        <w:rPr>
          <w:rFonts w:hint="eastAsia" w:ascii="宋体" w:cs="宋体-18030"/>
          <w:color w:val="000000"/>
          <w:kern w:val="0"/>
          <w:highlight w:val="none"/>
        </w:rPr>
      </w:pPr>
    </w:p>
    <w:p w14:paraId="269DD82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69" w:name="_Toc7866"/>
      <w:bookmarkStart w:id="70" w:name="_Toc15795"/>
      <w:r>
        <w:rPr>
          <w:rFonts w:hint="eastAsia" w:ascii="宋体" w:cs="宋体-18030"/>
          <w:b/>
          <w:bCs/>
          <w:color w:val="000000"/>
          <w:kern w:val="0"/>
          <w:sz w:val="30"/>
          <w:szCs w:val="30"/>
          <w:highlight w:val="none"/>
        </w:rPr>
        <w:t>二、开标一览表</w:t>
      </w:r>
      <w:bookmarkEnd w:id="69"/>
      <w:bookmarkEnd w:id="70"/>
    </w:p>
    <w:p w14:paraId="250372A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B6D807E">
      <w:pPr>
        <w:autoSpaceDE w:val="0"/>
        <w:autoSpaceDN w:val="0"/>
        <w:rPr>
          <w:rFonts w:hint="eastAsia" w:ascii="宋体"/>
          <w:color w:val="000000"/>
          <w:highlight w:val="none"/>
          <w:u w:val="single"/>
          <w:lang w:val="zh-CN"/>
        </w:rPr>
      </w:pPr>
      <w:r>
        <w:rPr>
          <w:rFonts w:hint="eastAsia" w:ascii="宋体"/>
          <w:color w:val="000000"/>
          <w:highlight w:val="none"/>
          <w:u w:val="single"/>
          <w:lang w:val="zh-CN"/>
        </w:rPr>
        <w:t xml:space="preserve"> (项目名称)</w:t>
      </w:r>
      <w:r>
        <w:rPr>
          <w:rFonts w:hint="eastAsia" w:ascii="宋体"/>
          <w:color w:val="000000"/>
          <w:highlight w:val="none"/>
          <w:u w:val="single"/>
          <w:lang w:val="zh-CN" w:eastAsia="zh-CN"/>
        </w:rPr>
        <w:t xml:space="preserve">  </w:t>
      </w:r>
    </w:p>
    <w:tbl>
      <w:tblPr>
        <w:tblStyle w:val="21"/>
        <w:tblW w:w="4998" w:type="pct"/>
        <w:tblInd w:w="0" w:type="dxa"/>
        <w:tblLayout w:type="autofit"/>
        <w:tblCellMar>
          <w:top w:w="0" w:type="dxa"/>
          <w:left w:w="108" w:type="dxa"/>
          <w:bottom w:w="0" w:type="dxa"/>
          <w:right w:w="108" w:type="dxa"/>
        </w:tblCellMar>
      </w:tblPr>
      <w:tblGrid>
        <w:gridCol w:w="2364"/>
        <w:gridCol w:w="1911"/>
        <w:gridCol w:w="1800"/>
        <w:gridCol w:w="1225"/>
        <w:gridCol w:w="1213"/>
      </w:tblGrid>
      <w:tr w14:paraId="747A319D">
        <w:tblPrEx>
          <w:tblCellMar>
            <w:top w:w="0" w:type="dxa"/>
            <w:left w:w="108" w:type="dxa"/>
            <w:bottom w:w="0" w:type="dxa"/>
            <w:right w:w="108" w:type="dxa"/>
          </w:tblCellMar>
        </w:tblPrEx>
        <w:trPr>
          <w:trHeight w:val="1502" w:hRule="atLeast"/>
        </w:trPr>
        <w:tc>
          <w:tcPr>
            <w:tcW w:w="1388" w:type="pct"/>
            <w:tcBorders>
              <w:top w:val="single" w:color="auto" w:sz="6" w:space="0"/>
              <w:left w:val="single" w:color="auto" w:sz="6" w:space="0"/>
              <w:bottom w:val="single" w:color="auto" w:sz="6" w:space="0"/>
              <w:right w:val="single" w:color="auto" w:sz="6" w:space="0"/>
            </w:tcBorders>
            <w:noWrap w:val="0"/>
            <w:vAlign w:val="center"/>
          </w:tcPr>
          <w:p w14:paraId="561E263A">
            <w:pPr>
              <w:autoSpaceDE w:val="0"/>
              <w:autoSpaceDN w:val="0"/>
              <w:jc w:val="center"/>
              <w:rPr>
                <w:rFonts w:hint="eastAsia" w:ascii="宋体"/>
                <w:color w:val="000000"/>
                <w:highlight w:val="none"/>
                <w:lang w:val="zh-CN"/>
              </w:rPr>
            </w:pPr>
            <w:r>
              <w:rPr>
                <w:rFonts w:hint="eastAsia" w:ascii="宋体"/>
                <w:color w:val="000000"/>
                <w:highlight w:val="none"/>
              </w:rPr>
              <w:t>单位名称</w:t>
            </w:r>
          </w:p>
        </w:tc>
        <w:tc>
          <w:tcPr>
            <w:tcW w:w="1122" w:type="pct"/>
            <w:tcBorders>
              <w:top w:val="single" w:color="auto" w:sz="6" w:space="0"/>
              <w:left w:val="single" w:color="auto" w:sz="6" w:space="0"/>
              <w:bottom w:val="single" w:color="auto" w:sz="6" w:space="0"/>
              <w:right w:val="single" w:color="auto" w:sz="6" w:space="0"/>
            </w:tcBorders>
            <w:noWrap w:val="0"/>
            <w:vAlign w:val="center"/>
          </w:tcPr>
          <w:p w14:paraId="5DB81B13">
            <w:pPr>
              <w:autoSpaceDE w:val="0"/>
              <w:autoSpaceDN w:val="0"/>
              <w:jc w:val="center"/>
              <w:rPr>
                <w:rFonts w:hint="eastAsia" w:ascii="宋体"/>
                <w:color w:val="000000"/>
                <w:highlight w:val="none"/>
                <w:lang w:val="zh-CN"/>
              </w:rPr>
            </w:pPr>
            <w:r>
              <w:rPr>
                <w:rFonts w:hint="eastAsia" w:ascii="宋体"/>
                <w:color w:val="000000"/>
                <w:highlight w:val="none"/>
                <w:lang w:val="zh-CN"/>
              </w:rPr>
              <w:t>投标</w:t>
            </w:r>
            <w:r>
              <w:rPr>
                <w:rFonts w:hint="eastAsia" w:ascii="宋体"/>
                <w:color w:val="000000"/>
                <w:highlight w:val="none"/>
              </w:rPr>
              <w:t>报</w:t>
            </w:r>
            <w:r>
              <w:rPr>
                <w:rFonts w:hint="eastAsia" w:ascii="宋体"/>
                <w:color w:val="000000"/>
                <w:highlight w:val="none"/>
                <w:lang w:val="zh-CN"/>
              </w:rPr>
              <w:t>价</w:t>
            </w:r>
          </w:p>
          <w:p w14:paraId="04E80F43">
            <w:pPr>
              <w:autoSpaceDE w:val="0"/>
              <w:autoSpaceDN w:val="0"/>
              <w:jc w:val="center"/>
              <w:rPr>
                <w:rFonts w:hint="eastAsia" w:ascii="宋体"/>
                <w:color w:val="000000"/>
                <w:highlight w:val="none"/>
                <w:lang w:val="zh-CN"/>
              </w:rPr>
            </w:pPr>
            <w:r>
              <w:rPr>
                <w:rFonts w:hint="eastAsia" w:ascii="宋体"/>
                <w:color w:val="000000"/>
                <w:highlight w:val="none"/>
                <w:lang w:val="zh-CN"/>
              </w:rPr>
              <w:t>（</w:t>
            </w:r>
            <w:r>
              <w:rPr>
                <w:rFonts w:hint="eastAsia" w:ascii="宋体"/>
                <w:color w:val="000000"/>
                <w:highlight w:val="none"/>
              </w:rPr>
              <w:t>元</w:t>
            </w:r>
            <w:r>
              <w:rPr>
                <w:rFonts w:hint="eastAsia" w:ascii="宋体"/>
                <w:color w:val="000000"/>
                <w:highlight w:val="none"/>
                <w:lang w:val="zh-CN"/>
              </w:rPr>
              <w:t>）</w:t>
            </w:r>
          </w:p>
        </w:tc>
        <w:tc>
          <w:tcPr>
            <w:tcW w:w="1057" w:type="pct"/>
            <w:tcBorders>
              <w:top w:val="single" w:color="auto" w:sz="6" w:space="0"/>
              <w:left w:val="single" w:color="auto" w:sz="6" w:space="0"/>
              <w:bottom w:val="single" w:color="auto" w:sz="6" w:space="0"/>
              <w:right w:val="single" w:color="auto" w:sz="6" w:space="0"/>
            </w:tcBorders>
            <w:noWrap w:val="0"/>
            <w:vAlign w:val="center"/>
          </w:tcPr>
          <w:p w14:paraId="523F82A7">
            <w:pPr>
              <w:autoSpaceDE w:val="0"/>
              <w:autoSpaceDN w:val="0"/>
              <w:jc w:val="center"/>
              <w:rPr>
                <w:rFonts w:hint="eastAsia" w:ascii="宋体" w:eastAsiaTheme="minorEastAsia"/>
                <w:b w:val="0"/>
                <w:bCs w:val="0"/>
                <w:color w:val="000000"/>
                <w:highlight w:val="none"/>
                <w:lang w:val="zh-CN" w:eastAsia="zh-CN"/>
              </w:rPr>
            </w:pPr>
            <w:r>
              <w:rPr>
                <w:rFonts w:hint="eastAsia" w:ascii="宋体" w:eastAsiaTheme="minorEastAsia"/>
                <w:b w:val="0"/>
                <w:bCs w:val="0"/>
                <w:color w:val="000000"/>
                <w:highlight w:val="none"/>
                <w:lang w:val="zh-CN" w:eastAsia="zh-CN"/>
              </w:rPr>
              <w:t>合同履行期限</w:t>
            </w:r>
          </w:p>
          <w:p w14:paraId="4B771B03">
            <w:pPr>
              <w:autoSpaceDE w:val="0"/>
              <w:autoSpaceDN w:val="0"/>
              <w:jc w:val="center"/>
              <w:rPr>
                <w:rFonts w:hint="eastAsia" w:ascii="宋体" w:eastAsiaTheme="minorEastAsia"/>
                <w:b/>
                <w:bCs/>
                <w:color w:val="000000"/>
                <w:highlight w:val="none"/>
                <w:lang w:val="zh-CN" w:eastAsia="zh-CN"/>
              </w:rPr>
            </w:pPr>
            <w:r>
              <w:rPr>
                <w:rFonts w:hint="eastAsia" w:ascii="宋体" w:eastAsiaTheme="minorEastAsia"/>
                <w:b w:val="0"/>
                <w:bCs w:val="0"/>
                <w:color w:val="000000"/>
                <w:highlight w:val="none"/>
                <w:lang w:val="zh-CN" w:eastAsia="zh-CN"/>
              </w:rPr>
              <w:t>(交货期限)</w:t>
            </w:r>
          </w:p>
        </w:tc>
        <w:tc>
          <w:tcPr>
            <w:tcW w:w="719" w:type="pct"/>
            <w:tcBorders>
              <w:top w:val="single" w:color="auto" w:sz="6" w:space="0"/>
              <w:left w:val="single" w:color="auto" w:sz="4" w:space="0"/>
              <w:bottom w:val="single" w:color="auto" w:sz="6" w:space="0"/>
              <w:right w:val="single" w:color="auto" w:sz="6" w:space="0"/>
            </w:tcBorders>
            <w:noWrap w:val="0"/>
            <w:vAlign w:val="center"/>
          </w:tcPr>
          <w:p w14:paraId="50A03995">
            <w:pPr>
              <w:autoSpaceDE w:val="0"/>
              <w:autoSpaceDN w:val="0"/>
              <w:jc w:val="center"/>
              <w:rPr>
                <w:rFonts w:hint="eastAsia" w:ascii="宋体" w:eastAsia="宋体"/>
                <w:color w:val="000000"/>
                <w:highlight w:val="none"/>
                <w:lang w:eastAsia="zh-CN"/>
              </w:rPr>
            </w:pPr>
            <w:r>
              <w:rPr>
                <w:rFonts w:hint="eastAsia" w:ascii="宋体" w:cs="宋体"/>
                <w:color w:val="000000"/>
                <w:highlight w:val="none"/>
                <w:lang w:val="zh-CN"/>
              </w:rPr>
              <w:t>质量</w:t>
            </w:r>
            <w:r>
              <w:rPr>
                <w:rFonts w:hint="eastAsia" w:ascii="宋体" w:cs="宋体"/>
                <w:color w:val="000000"/>
                <w:highlight w:val="none"/>
                <w:lang w:val="en-US" w:eastAsia="zh-CN"/>
              </w:rPr>
              <w:t>要求</w:t>
            </w:r>
          </w:p>
        </w:tc>
        <w:tc>
          <w:tcPr>
            <w:tcW w:w="712" w:type="pct"/>
            <w:tcBorders>
              <w:top w:val="single" w:color="auto" w:sz="6" w:space="0"/>
              <w:left w:val="single" w:color="auto" w:sz="4" w:space="0"/>
              <w:bottom w:val="single" w:color="auto" w:sz="6" w:space="0"/>
              <w:right w:val="single" w:color="auto" w:sz="6" w:space="0"/>
            </w:tcBorders>
            <w:noWrap w:val="0"/>
            <w:vAlign w:val="center"/>
          </w:tcPr>
          <w:p w14:paraId="7B8C66D0">
            <w:pPr>
              <w:autoSpaceDE w:val="0"/>
              <w:autoSpaceDN w:val="0"/>
              <w:ind w:firstLine="210" w:firstLineChars="100"/>
              <w:rPr>
                <w:rFonts w:hint="eastAsia" w:ascii="宋体"/>
                <w:color w:val="000000"/>
                <w:highlight w:val="none"/>
                <w:lang w:val="zh-CN"/>
              </w:rPr>
            </w:pPr>
            <w:r>
              <w:rPr>
                <w:rFonts w:hint="eastAsia" w:ascii="宋体"/>
                <w:color w:val="000000"/>
                <w:highlight w:val="none"/>
                <w:lang w:val="zh-CN"/>
              </w:rPr>
              <w:t>备注</w:t>
            </w:r>
          </w:p>
        </w:tc>
      </w:tr>
      <w:tr w14:paraId="632FF42E">
        <w:tblPrEx>
          <w:tblCellMar>
            <w:top w:w="0" w:type="dxa"/>
            <w:left w:w="108" w:type="dxa"/>
            <w:bottom w:w="0" w:type="dxa"/>
            <w:right w:w="108" w:type="dxa"/>
          </w:tblCellMar>
        </w:tblPrEx>
        <w:trPr>
          <w:trHeight w:val="1062" w:hRule="exact"/>
        </w:trPr>
        <w:tc>
          <w:tcPr>
            <w:tcW w:w="1388" w:type="pct"/>
            <w:tcBorders>
              <w:top w:val="single" w:color="auto" w:sz="6" w:space="0"/>
              <w:left w:val="single" w:color="auto" w:sz="6" w:space="0"/>
              <w:bottom w:val="single" w:color="auto" w:sz="6" w:space="0"/>
              <w:right w:val="single" w:color="auto" w:sz="6" w:space="0"/>
            </w:tcBorders>
            <w:noWrap w:val="0"/>
            <w:vAlign w:val="top"/>
          </w:tcPr>
          <w:p w14:paraId="0DBC6B39">
            <w:pPr>
              <w:autoSpaceDE w:val="0"/>
              <w:autoSpaceDN w:val="0"/>
              <w:rPr>
                <w:rFonts w:hint="eastAsia" w:ascii="宋体"/>
                <w:b/>
                <w:bCs/>
                <w:color w:val="000000"/>
                <w:highlight w:val="none"/>
                <w:lang w:val="zh-CN"/>
              </w:rPr>
            </w:pPr>
          </w:p>
        </w:tc>
        <w:tc>
          <w:tcPr>
            <w:tcW w:w="1122" w:type="pct"/>
            <w:tcBorders>
              <w:top w:val="single" w:color="auto" w:sz="6" w:space="0"/>
              <w:left w:val="single" w:color="auto" w:sz="6" w:space="0"/>
              <w:bottom w:val="single" w:color="auto" w:sz="6" w:space="0"/>
              <w:right w:val="single" w:color="auto" w:sz="6" w:space="0"/>
            </w:tcBorders>
            <w:noWrap w:val="0"/>
            <w:vAlign w:val="top"/>
          </w:tcPr>
          <w:p w14:paraId="362C59AF">
            <w:pPr>
              <w:autoSpaceDE w:val="0"/>
              <w:autoSpaceDN w:val="0"/>
              <w:rPr>
                <w:rFonts w:hint="eastAsia" w:ascii="宋体"/>
                <w:b/>
                <w:bCs/>
                <w:color w:val="000000"/>
                <w:highlight w:val="none"/>
                <w:lang w:val="zh-CN"/>
              </w:rPr>
            </w:pPr>
          </w:p>
        </w:tc>
        <w:tc>
          <w:tcPr>
            <w:tcW w:w="1057" w:type="pct"/>
            <w:tcBorders>
              <w:top w:val="single" w:color="auto" w:sz="6" w:space="0"/>
              <w:left w:val="single" w:color="auto" w:sz="6" w:space="0"/>
              <w:bottom w:val="single" w:color="auto" w:sz="6" w:space="0"/>
              <w:right w:val="single" w:color="auto" w:sz="6" w:space="0"/>
            </w:tcBorders>
            <w:noWrap w:val="0"/>
            <w:vAlign w:val="top"/>
          </w:tcPr>
          <w:p w14:paraId="1F8DC72B">
            <w:pPr>
              <w:autoSpaceDE w:val="0"/>
              <w:autoSpaceDN w:val="0"/>
              <w:rPr>
                <w:rFonts w:hint="eastAsia" w:ascii="宋体"/>
                <w:b/>
                <w:bCs/>
                <w:color w:val="000000"/>
                <w:highlight w:val="none"/>
                <w:lang w:val="zh-CN"/>
              </w:rPr>
            </w:pPr>
          </w:p>
        </w:tc>
        <w:tc>
          <w:tcPr>
            <w:tcW w:w="719" w:type="pct"/>
            <w:tcBorders>
              <w:top w:val="single" w:color="auto" w:sz="6" w:space="0"/>
              <w:left w:val="single" w:color="auto" w:sz="4" w:space="0"/>
              <w:bottom w:val="single" w:color="auto" w:sz="6" w:space="0"/>
              <w:right w:val="single" w:color="auto" w:sz="6" w:space="0"/>
            </w:tcBorders>
            <w:noWrap w:val="0"/>
            <w:vAlign w:val="top"/>
          </w:tcPr>
          <w:p w14:paraId="42861CF2">
            <w:pPr>
              <w:autoSpaceDE w:val="0"/>
              <w:autoSpaceDN w:val="0"/>
              <w:rPr>
                <w:rFonts w:hint="eastAsia" w:ascii="宋体"/>
                <w:b/>
                <w:bCs/>
                <w:color w:val="000000"/>
                <w:highlight w:val="none"/>
                <w:lang w:val="zh-CN"/>
              </w:rPr>
            </w:pPr>
          </w:p>
        </w:tc>
        <w:tc>
          <w:tcPr>
            <w:tcW w:w="712" w:type="pct"/>
            <w:tcBorders>
              <w:top w:val="single" w:color="auto" w:sz="6" w:space="0"/>
              <w:left w:val="single" w:color="auto" w:sz="4" w:space="0"/>
              <w:bottom w:val="single" w:color="auto" w:sz="6" w:space="0"/>
              <w:right w:val="single" w:color="auto" w:sz="6" w:space="0"/>
            </w:tcBorders>
            <w:noWrap w:val="0"/>
            <w:vAlign w:val="top"/>
          </w:tcPr>
          <w:p w14:paraId="15DF8A32">
            <w:pPr>
              <w:autoSpaceDE w:val="0"/>
              <w:autoSpaceDN w:val="0"/>
              <w:rPr>
                <w:rFonts w:hint="eastAsia" w:ascii="宋体"/>
                <w:b/>
                <w:bCs/>
                <w:color w:val="000000"/>
                <w:highlight w:val="none"/>
                <w:lang w:val="zh-CN"/>
              </w:rPr>
            </w:pPr>
          </w:p>
        </w:tc>
      </w:tr>
    </w:tbl>
    <w:p w14:paraId="609D4AEF">
      <w:pPr>
        <w:autoSpaceDE w:val="0"/>
        <w:autoSpaceDN w:val="0"/>
        <w:rPr>
          <w:rFonts w:hint="eastAsia" w:ascii="宋体"/>
          <w:b/>
          <w:bCs/>
          <w:color w:val="000000"/>
          <w:highlight w:val="none"/>
          <w:lang w:val="zh-CN"/>
        </w:rPr>
      </w:pPr>
    </w:p>
    <w:p w14:paraId="5107D1D7">
      <w:pPr>
        <w:autoSpaceDE w:val="0"/>
        <w:autoSpaceDN w:val="0"/>
        <w:spacing w:line="360" w:lineRule="auto"/>
        <w:ind w:firstLine="480"/>
        <w:rPr>
          <w:rFonts w:hint="eastAsia" w:ascii="宋体"/>
          <w:color w:val="000000"/>
          <w:highlight w:val="none"/>
          <w:lang w:val="zh-CN"/>
        </w:rPr>
      </w:pPr>
    </w:p>
    <w:p w14:paraId="403ACEAC">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1、</w:t>
      </w:r>
      <w:r>
        <w:rPr>
          <w:rFonts w:hint="eastAsia" w:ascii="宋体"/>
          <w:color w:val="000000"/>
          <w:highlight w:val="none"/>
          <w:lang w:val="zh-CN"/>
        </w:rPr>
        <w:t>“开标一览表”的内容应与“投标函”以及投标文件的其他相关内容一致。如果“开标一览表”的内容与“投标函”以及投标文件的其他相关内容不一致，则以“开标一览表”的内容为准。</w:t>
      </w:r>
    </w:p>
    <w:p w14:paraId="01CF78AB">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2</w:t>
      </w:r>
      <w:r>
        <w:rPr>
          <w:rFonts w:hint="eastAsia" w:ascii="宋体"/>
          <w:color w:val="000000"/>
          <w:highlight w:val="none"/>
          <w:lang w:val="zh-CN"/>
        </w:rPr>
        <w:t>、“开标一览表”中各个栏目都必须完整、准确填写。开标时，“开标一览表”的所有内容都不允许补充或者修改。</w:t>
      </w:r>
    </w:p>
    <w:p w14:paraId="6A0AA503">
      <w:pPr>
        <w:autoSpaceDE w:val="0"/>
        <w:autoSpaceDN w:val="0"/>
        <w:spacing w:line="360" w:lineRule="auto"/>
        <w:rPr>
          <w:rFonts w:hint="eastAsia" w:ascii="宋体"/>
          <w:color w:val="000000"/>
          <w:highlight w:val="none"/>
          <w:lang w:val="zh-CN"/>
        </w:rPr>
      </w:pPr>
    </w:p>
    <w:p w14:paraId="36A6E467">
      <w:pPr>
        <w:autoSpaceDE w:val="0"/>
        <w:autoSpaceDN w:val="0"/>
        <w:rPr>
          <w:rFonts w:hint="eastAsia" w:ascii="宋体"/>
          <w:b/>
          <w:bCs/>
          <w:color w:val="000000"/>
          <w:highlight w:val="none"/>
          <w:lang w:val="zh-CN"/>
        </w:rPr>
      </w:pPr>
    </w:p>
    <w:p w14:paraId="273C3BBE">
      <w:pPr>
        <w:autoSpaceDE w:val="0"/>
        <w:autoSpaceDN w:val="0"/>
        <w:rPr>
          <w:rFonts w:hint="eastAsia" w:ascii="宋体"/>
          <w:b/>
          <w:bCs/>
          <w:color w:val="000000"/>
          <w:highlight w:val="none"/>
          <w:lang w:val="zh-CN"/>
        </w:rPr>
      </w:pPr>
    </w:p>
    <w:p w14:paraId="5721F1A7">
      <w:pPr>
        <w:autoSpaceDE w:val="0"/>
        <w:autoSpaceDN w:val="0"/>
        <w:rPr>
          <w:rFonts w:hint="eastAsia" w:ascii="宋体"/>
          <w:b/>
          <w:bCs/>
          <w:color w:val="000000"/>
          <w:highlight w:val="none"/>
          <w:lang w:val="zh-CN"/>
        </w:rPr>
      </w:pPr>
    </w:p>
    <w:p w14:paraId="02C58ECD">
      <w:pPr>
        <w:autoSpaceDE w:val="0"/>
        <w:autoSpaceDN w:val="0"/>
        <w:rPr>
          <w:rFonts w:hint="eastAsia" w:ascii="宋体"/>
          <w:b/>
          <w:bCs/>
          <w:color w:val="000000"/>
          <w:highlight w:val="none"/>
          <w:lang w:val="zh-CN"/>
        </w:rPr>
      </w:pPr>
    </w:p>
    <w:p w14:paraId="3D61D90C">
      <w:pPr>
        <w:autoSpaceDE w:val="0"/>
        <w:autoSpaceDN w:val="0"/>
        <w:rPr>
          <w:rFonts w:hint="eastAsia" w:ascii="宋体"/>
          <w:b/>
          <w:bCs/>
          <w:color w:val="000000"/>
          <w:highlight w:val="none"/>
          <w:lang w:val="zh-CN"/>
        </w:rPr>
      </w:pPr>
    </w:p>
    <w:p w14:paraId="6C8E1A38">
      <w:pPr>
        <w:autoSpaceDE w:val="0"/>
        <w:autoSpaceDN w:val="0"/>
        <w:rPr>
          <w:rFonts w:hint="eastAsia" w:ascii="宋体"/>
          <w:b/>
          <w:bCs/>
          <w:color w:val="000000"/>
          <w:highlight w:val="none"/>
          <w:lang w:val="zh-CN"/>
        </w:rPr>
      </w:pPr>
    </w:p>
    <w:p w14:paraId="6EE5AB7C">
      <w:pPr>
        <w:autoSpaceDE w:val="0"/>
        <w:autoSpaceDN w:val="0"/>
        <w:rPr>
          <w:rFonts w:hint="eastAsia" w:ascii="宋体"/>
          <w:b/>
          <w:bCs/>
          <w:color w:val="000000"/>
          <w:highlight w:val="none"/>
          <w:lang w:val="zh-CN"/>
        </w:rPr>
      </w:pPr>
    </w:p>
    <w:p w14:paraId="42C7F422">
      <w:pPr>
        <w:autoSpaceDE w:val="0"/>
        <w:autoSpaceDN w:val="0"/>
        <w:ind w:firstLine="3388" w:firstLineChars="1607"/>
        <w:rPr>
          <w:rFonts w:hint="eastAsia" w:ascii="宋体"/>
          <w:b/>
          <w:color w:val="000000"/>
          <w:highlight w:val="none"/>
          <w:lang w:val="zh-CN"/>
        </w:rPr>
      </w:pPr>
    </w:p>
    <w:p w14:paraId="713CDC01">
      <w:pPr>
        <w:autoSpaceDE w:val="0"/>
        <w:autoSpaceDN w:val="0"/>
        <w:ind w:firstLine="3388" w:firstLineChars="1607"/>
        <w:rPr>
          <w:rFonts w:hint="eastAsia" w:ascii="宋体"/>
          <w:b/>
          <w:color w:val="000000"/>
          <w:highlight w:val="none"/>
          <w:lang w:val="zh-CN"/>
        </w:rPr>
      </w:pPr>
    </w:p>
    <w:p w14:paraId="1651E065">
      <w:pPr>
        <w:autoSpaceDE w:val="0"/>
        <w:autoSpaceDN w:val="0"/>
        <w:ind w:firstLine="3388" w:firstLineChars="1607"/>
        <w:rPr>
          <w:rFonts w:hint="eastAsia" w:ascii="宋体"/>
          <w:b/>
          <w:color w:val="000000"/>
          <w:highlight w:val="none"/>
          <w:lang w:val="zh-CN"/>
        </w:rPr>
      </w:pPr>
    </w:p>
    <w:p w14:paraId="46CCDED6">
      <w:pPr>
        <w:autoSpaceDE w:val="0"/>
        <w:autoSpaceDN w:val="0"/>
        <w:ind w:firstLine="3388" w:firstLineChars="1607"/>
        <w:rPr>
          <w:rFonts w:hint="eastAsia" w:ascii="宋体"/>
          <w:b/>
          <w:color w:val="000000"/>
          <w:highlight w:val="none"/>
          <w:lang w:val="zh-CN"/>
        </w:rPr>
      </w:pPr>
    </w:p>
    <w:p w14:paraId="444CF9F3">
      <w:pPr>
        <w:autoSpaceDE w:val="0"/>
        <w:autoSpaceDN w:val="0"/>
        <w:ind w:firstLine="3374" w:firstLineChars="1607"/>
        <w:rPr>
          <w:rFonts w:hint="eastAsia" w:ascii="宋体"/>
          <w:bCs/>
          <w:color w:val="000000"/>
          <w:highlight w:val="none"/>
          <w:lang w:val="zh-CN"/>
        </w:rPr>
      </w:pPr>
    </w:p>
    <w:p w14:paraId="7B9DF7C6">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投标人名称（加盖公章）：</w:t>
      </w:r>
    </w:p>
    <w:p w14:paraId="0DB9780A">
      <w:pPr>
        <w:autoSpaceDE w:val="0"/>
        <w:autoSpaceDN w:val="0"/>
        <w:ind w:firstLine="1701"/>
        <w:rPr>
          <w:rFonts w:hint="eastAsia" w:ascii="宋体"/>
          <w:bCs/>
          <w:color w:val="000000"/>
          <w:highlight w:val="none"/>
          <w:lang w:val="zh-CN"/>
        </w:rPr>
      </w:pPr>
    </w:p>
    <w:p w14:paraId="0498FFC7">
      <w:pPr>
        <w:autoSpaceDE w:val="0"/>
        <w:autoSpaceDN w:val="0"/>
        <w:ind w:firstLine="3374" w:firstLineChars="1607"/>
        <w:rPr>
          <w:rFonts w:hint="eastAsia" w:ascii="宋体"/>
          <w:bCs/>
          <w:color w:val="000000"/>
          <w:highlight w:val="none"/>
          <w:lang w:val="zh-CN"/>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w:t>
      </w:r>
      <w:r>
        <w:rPr>
          <w:rFonts w:hint="eastAsia" w:ascii="宋体"/>
          <w:bCs/>
          <w:color w:val="000000"/>
          <w:highlight w:val="none"/>
          <w:lang w:val="zh-CN"/>
        </w:rPr>
        <w:t>姓名（手书签名）：</w:t>
      </w:r>
    </w:p>
    <w:p w14:paraId="7326F0CD">
      <w:pPr>
        <w:autoSpaceDE w:val="0"/>
        <w:autoSpaceDN w:val="0"/>
        <w:ind w:firstLine="1701"/>
        <w:rPr>
          <w:rFonts w:hint="eastAsia" w:ascii="宋体"/>
          <w:bCs/>
          <w:color w:val="000000"/>
          <w:highlight w:val="none"/>
          <w:lang w:val="zh-CN"/>
        </w:rPr>
      </w:pPr>
    </w:p>
    <w:p w14:paraId="22C3324C">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 xml:space="preserve">日期：  年 </w:t>
      </w:r>
      <w:r>
        <w:rPr>
          <w:rFonts w:hint="eastAsia" w:ascii="宋体"/>
          <w:bCs/>
          <w:color w:val="000000"/>
          <w:highlight w:val="none"/>
          <w:lang w:val="en-US" w:eastAsia="zh-CN"/>
        </w:rPr>
        <w:t xml:space="preserve"> </w:t>
      </w:r>
      <w:r>
        <w:rPr>
          <w:rFonts w:hint="eastAsia" w:ascii="宋体"/>
          <w:bCs/>
          <w:color w:val="000000"/>
          <w:highlight w:val="none"/>
          <w:lang w:val="zh-CN"/>
        </w:rPr>
        <w:t xml:space="preserve"> 月   日</w:t>
      </w:r>
    </w:p>
    <w:p w14:paraId="537696C6">
      <w:pPr>
        <w:autoSpaceDE w:val="0"/>
        <w:autoSpaceDN w:val="0"/>
        <w:ind w:firstLine="2415" w:firstLineChars="1150"/>
        <w:rPr>
          <w:rFonts w:hint="eastAsia" w:ascii="宋体"/>
          <w:bCs/>
          <w:color w:val="000000"/>
          <w:highlight w:val="none"/>
          <w:lang w:val="zh-CN"/>
        </w:rPr>
        <w:sectPr>
          <w:pgSz w:w="11906" w:h="16838"/>
          <w:pgMar w:top="1440" w:right="1803" w:bottom="1440" w:left="1803" w:header="708" w:footer="964" w:gutter="0"/>
          <w:pgNumType w:fmt="decimal"/>
          <w:cols w:space="720" w:num="1"/>
          <w:docGrid w:linePitch="360" w:charSpace="0"/>
        </w:sectPr>
      </w:pPr>
    </w:p>
    <w:p w14:paraId="54A69C7F">
      <w:pPr>
        <w:pStyle w:val="10"/>
        <w:tabs>
          <w:tab w:val="left" w:pos="5580"/>
        </w:tabs>
        <w:spacing w:line="360" w:lineRule="auto"/>
        <w:jc w:val="center"/>
        <w:rPr>
          <w:rFonts w:hint="eastAsia" w:cs="宋体"/>
          <w:b/>
          <w:sz w:val="30"/>
          <w:szCs w:val="30"/>
          <w:highlight w:val="none"/>
          <w:u w:val="single"/>
        </w:rPr>
      </w:pPr>
      <w:bookmarkStart w:id="71" w:name="_Toc105378620"/>
      <w:r>
        <w:rPr>
          <w:rFonts w:hint="eastAsia" w:cs="宋体"/>
          <w:b/>
          <w:sz w:val="30"/>
          <w:szCs w:val="30"/>
          <w:highlight w:val="none"/>
        </w:rPr>
        <w:t>投标分项报价表</w:t>
      </w:r>
      <w:bookmarkEnd w:id="71"/>
    </w:p>
    <w:p w14:paraId="0FE3BFEC">
      <w:pPr>
        <w:pStyle w:val="6"/>
        <w:ind w:firstLine="0"/>
        <w:rPr>
          <w:rFonts w:hint="eastAsia" w:ascii="宋体" w:cs="宋体"/>
          <w:szCs w:val="21"/>
          <w:highlight w:val="none"/>
        </w:rPr>
      </w:pPr>
      <w:r>
        <w:rPr>
          <w:rFonts w:hint="eastAsia" w:ascii="宋体" w:cs="宋体"/>
          <w:highlight w:val="none"/>
        </w:rPr>
        <w:t xml:space="preserve"> (项目名称)</w:t>
      </w:r>
      <w:r>
        <w:rPr>
          <w:rFonts w:hint="eastAsia" w:ascii="宋体" w:cs="宋体"/>
          <w:highlight w:val="none"/>
          <w:lang w:val="en-US" w:eastAsia="zh-CN"/>
        </w:rPr>
        <w:t xml:space="preserve">    </w:t>
      </w:r>
      <w:r>
        <w:rPr>
          <w:rFonts w:hint="eastAsia" w:ascii="宋体" w:cs="宋体"/>
          <w:highlight w:val="none"/>
        </w:rPr>
        <w:t xml:space="preserve">                                                  项目编号： </w:t>
      </w:r>
    </w:p>
    <w:tbl>
      <w:tblPr>
        <w:tblStyle w:val="2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47"/>
        <w:gridCol w:w="1465"/>
        <w:gridCol w:w="935"/>
        <w:gridCol w:w="1350"/>
        <w:gridCol w:w="507"/>
        <w:gridCol w:w="583"/>
        <w:gridCol w:w="599"/>
        <w:gridCol w:w="915"/>
        <w:gridCol w:w="787"/>
      </w:tblGrid>
      <w:tr w14:paraId="62FE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8" w:type="pct"/>
            <w:noWrap w:val="0"/>
            <w:vAlign w:val="center"/>
          </w:tcPr>
          <w:p w14:paraId="7CEBBB0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1130" w:type="pct"/>
            <w:noWrap w:val="0"/>
            <w:vAlign w:val="center"/>
          </w:tcPr>
          <w:p w14:paraId="6CBCEFC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产品名称</w:t>
            </w:r>
          </w:p>
        </w:tc>
        <w:tc>
          <w:tcPr>
            <w:tcW w:w="737" w:type="pct"/>
            <w:noWrap w:val="0"/>
            <w:vAlign w:val="center"/>
          </w:tcPr>
          <w:p w14:paraId="4F73AB7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规格型号</w:t>
            </w:r>
          </w:p>
        </w:tc>
        <w:tc>
          <w:tcPr>
            <w:tcW w:w="470" w:type="pct"/>
            <w:noWrap w:val="0"/>
            <w:vAlign w:val="center"/>
          </w:tcPr>
          <w:p w14:paraId="1693B8A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品牌</w:t>
            </w:r>
          </w:p>
        </w:tc>
        <w:tc>
          <w:tcPr>
            <w:tcW w:w="679" w:type="pct"/>
            <w:noWrap w:val="0"/>
            <w:vAlign w:val="center"/>
          </w:tcPr>
          <w:p w14:paraId="1FD8C3E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制造商名称</w:t>
            </w:r>
          </w:p>
        </w:tc>
        <w:tc>
          <w:tcPr>
            <w:tcW w:w="255" w:type="pct"/>
            <w:noWrap w:val="0"/>
            <w:vAlign w:val="center"/>
          </w:tcPr>
          <w:p w14:paraId="52A31E02">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单位</w:t>
            </w:r>
          </w:p>
        </w:tc>
        <w:tc>
          <w:tcPr>
            <w:tcW w:w="293" w:type="pct"/>
            <w:noWrap w:val="0"/>
            <w:vAlign w:val="center"/>
          </w:tcPr>
          <w:p w14:paraId="52244089">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数量</w:t>
            </w:r>
          </w:p>
        </w:tc>
        <w:tc>
          <w:tcPr>
            <w:tcW w:w="301" w:type="pct"/>
            <w:noWrap w:val="0"/>
            <w:vAlign w:val="center"/>
          </w:tcPr>
          <w:p w14:paraId="6202E87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单价</w:t>
            </w:r>
          </w:p>
        </w:tc>
        <w:tc>
          <w:tcPr>
            <w:tcW w:w="460" w:type="pct"/>
            <w:noWrap w:val="0"/>
            <w:vAlign w:val="center"/>
          </w:tcPr>
          <w:p w14:paraId="2CC6C5CD">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总</w:t>
            </w:r>
            <w:r>
              <w:rPr>
                <w:rFonts w:hint="eastAsia" w:ascii="宋体" w:hAnsi="宋体" w:cs="宋体"/>
                <w:sz w:val="21"/>
                <w:szCs w:val="21"/>
                <w:highlight w:val="none"/>
              </w:rPr>
              <w:t>价</w:t>
            </w:r>
          </w:p>
        </w:tc>
        <w:tc>
          <w:tcPr>
            <w:tcW w:w="393" w:type="pct"/>
            <w:noWrap w:val="0"/>
            <w:vAlign w:val="center"/>
          </w:tcPr>
          <w:p w14:paraId="3D95AB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备注</w:t>
            </w:r>
          </w:p>
        </w:tc>
      </w:tr>
      <w:tr w14:paraId="3D9B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8" w:type="pct"/>
            <w:noWrap w:val="0"/>
            <w:vAlign w:val="center"/>
          </w:tcPr>
          <w:p w14:paraId="4C67ECCE">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130" w:type="pct"/>
            <w:noWrap w:val="0"/>
            <w:vAlign w:val="center"/>
          </w:tcPr>
          <w:p w14:paraId="779F1F7A">
            <w:pPr>
              <w:spacing w:line="500" w:lineRule="exact"/>
              <w:jc w:val="center"/>
              <w:rPr>
                <w:rFonts w:hint="eastAsia" w:ascii="宋体" w:hAnsi="宋体" w:cs="宋体"/>
                <w:sz w:val="21"/>
                <w:szCs w:val="21"/>
                <w:highlight w:val="none"/>
              </w:rPr>
            </w:pPr>
          </w:p>
        </w:tc>
        <w:tc>
          <w:tcPr>
            <w:tcW w:w="737" w:type="pct"/>
            <w:noWrap w:val="0"/>
            <w:vAlign w:val="center"/>
          </w:tcPr>
          <w:p w14:paraId="7C701498">
            <w:pPr>
              <w:spacing w:line="500" w:lineRule="exact"/>
              <w:jc w:val="center"/>
              <w:rPr>
                <w:rFonts w:hint="eastAsia" w:ascii="宋体" w:hAnsi="宋体" w:cs="宋体"/>
                <w:sz w:val="21"/>
                <w:szCs w:val="21"/>
                <w:highlight w:val="none"/>
              </w:rPr>
            </w:pPr>
          </w:p>
        </w:tc>
        <w:tc>
          <w:tcPr>
            <w:tcW w:w="470" w:type="pct"/>
            <w:noWrap w:val="0"/>
            <w:vAlign w:val="center"/>
          </w:tcPr>
          <w:p w14:paraId="587CB36C">
            <w:pPr>
              <w:spacing w:line="500" w:lineRule="exact"/>
              <w:jc w:val="center"/>
              <w:rPr>
                <w:rFonts w:hint="eastAsia" w:ascii="宋体" w:hAnsi="宋体" w:cs="宋体"/>
                <w:sz w:val="21"/>
                <w:szCs w:val="21"/>
                <w:highlight w:val="none"/>
              </w:rPr>
            </w:pPr>
          </w:p>
        </w:tc>
        <w:tc>
          <w:tcPr>
            <w:tcW w:w="679" w:type="pct"/>
            <w:noWrap w:val="0"/>
            <w:vAlign w:val="center"/>
          </w:tcPr>
          <w:p w14:paraId="74FD5CE6">
            <w:pPr>
              <w:spacing w:line="500" w:lineRule="exact"/>
              <w:jc w:val="center"/>
              <w:rPr>
                <w:rFonts w:hint="eastAsia" w:ascii="宋体" w:hAnsi="宋体" w:cs="宋体"/>
                <w:sz w:val="21"/>
                <w:szCs w:val="21"/>
                <w:highlight w:val="none"/>
              </w:rPr>
            </w:pPr>
          </w:p>
        </w:tc>
        <w:tc>
          <w:tcPr>
            <w:tcW w:w="255" w:type="pct"/>
            <w:noWrap w:val="0"/>
            <w:vAlign w:val="center"/>
          </w:tcPr>
          <w:p w14:paraId="2C57A0EF">
            <w:pPr>
              <w:spacing w:line="500" w:lineRule="exact"/>
              <w:jc w:val="center"/>
              <w:rPr>
                <w:rFonts w:hint="eastAsia" w:ascii="宋体" w:hAnsi="宋体" w:cs="宋体"/>
                <w:sz w:val="21"/>
                <w:szCs w:val="21"/>
                <w:highlight w:val="none"/>
              </w:rPr>
            </w:pPr>
          </w:p>
        </w:tc>
        <w:tc>
          <w:tcPr>
            <w:tcW w:w="293" w:type="pct"/>
            <w:noWrap w:val="0"/>
            <w:vAlign w:val="center"/>
          </w:tcPr>
          <w:p w14:paraId="1C36EFB6">
            <w:pPr>
              <w:spacing w:line="500" w:lineRule="exact"/>
              <w:jc w:val="center"/>
              <w:rPr>
                <w:rFonts w:hint="eastAsia" w:ascii="宋体" w:hAnsi="宋体" w:cs="宋体"/>
                <w:sz w:val="21"/>
                <w:szCs w:val="21"/>
                <w:highlight w:val="none"/>
              </w:rPr>
            </w:pPr>
          </w:p>
        </w:tc>
        <w:tc>
          <w:tcPr>
            <w:tcW w:w="301" w:type="pct"/>
            <w:noWrap w:val="0"/>
            <w:vAlign w:val="center"/>
          </w:tcPr>
          <w:p w14:paraId="5164C054">
            <w:pPr>
              <w:spacing w:line="500" w:lineRule="exact"/>
              <w:jc w:val="center"/>
              <w:rPr>
                <w:rFonts w:hint="eastAsia" w:ascii="宋体" w:hAnsi="宋体" w:cs="宋体"/>
                <w:sz w:val="21"/>
                <w:szCs w:val="21"/>
                <w:highlight w:val="none"/>
              </w:rPr>
            </w:pPr>
          </w:p>
        </w:tc>
        <w:tc>
          <w:tcPr>
            <w:tcW w:w="460" w:type="pct"/>
            <w:noWrap w:val="0"/>
            <w:vAlign w:val="center"/>
          </w:tcPr>
          <w:p w14:paraId="1C70376E">
            <w:pPr>
              <w:spacing w:line="500" w:lineRule="exact"/>
              <w:jc w:val="center"/>
              <w:rPr>
                <w:rFonts w:hint="eastAsia" w:ascii="宋体" w:hAnsi="宋体" w:cs="宋体"/>
                <w:sz w:val="21"/>
                <w:szCs w:val="21"/>
                <w:highlight w:val="none"/>
              </w:rPr>
            </w:pPr>
          </w:p>
        </w:tc>
        <w:tc>
          <w:tcPr>
            <w:tcW w:w="393" w:type="pct"/>
            <w:noWrap w:val="0"/>
            <w:vAlign w:val="center"/>
          </w:tcPr>
          <w:p w14:paraId="6EF8987E">
            <w:pPr>
              <w:spacing w:line="500" w:lineRule="exact"/>
              <w:jc w:val="center"/>
              <w:rPr>
                <w:rFonts w:hint="eastAsia" w:ascii="宋体" w:hAnsi="宋体" w:cs="宋体"/>
                <w:sz w:val="21"/>
                <w:szCs w:val="21"/>
                <w:highlight w:val="none"/>
              </w:rPr>
            </w:pPr>
          </w:p>
        </w:tc>
      </w:tr>
      <w:tr w14:paraId="197D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597414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130" w:type="pct"/>
            <w:noWrap w:val="0"/>
            <w:vAlign w:val="center"/>
          </w:tcPr>
          <w:p w14:paraId="56118A8B">
            <w:pPr>
              <w:spacing w:line="500" w:lineRule="exact"/>
              <w:jc w:val="center"/>
              <w:rPr>
                <w:rFonts w:hint="eastAsia" w:ascii="宋体" w:hAnsi="宋体" w:cs="宋体"/>
                <w:sz w:val="21"/>
                <w:szCs w:val="21"/>
                <w:highlight w:val="none"/>
              </w:rPr>
            </w:pPr>
          </w:p>
        </w:tc>
        <w:tc>
          <w:tcPr>
            <w:tcW w:w="737" w:type="pct"/>
            <w:noWrap w:val="0"/>
            <w:vAlign w:val="center"/>
          </w:tcPr>
          <w:p w14:paraId="55879D59">
            <w:pPr>
              <w:spacing w:line="500" w:lineRule="exact"/>
              <w:jc w:val="center"/>
              <w:rPr>
                <w:rFonts w:hint="eastAsia" w:ascii="宋体" w:hAnsi="宋体" w:cs="宋体"/>
                <w:sz w:val="21"/>
                <w:szCs w:val="21"/>
                <w:highlight w:val="none"/>
              </w:rPr>
            </w:pPr>
          </w:p>
        </w:tc>
        <w:tc>
          <w:tcPr>
            <w:tcW w:w="470" w:type="pct"/>
            <w:noWrap w:val="0"/>
            <w:vAlign w:val="center"/>
          </w:tcPr>
          <w:p w14:paraId="4DC11201">
            <w:pPr>
              <w:spacing w:line="500" w:lineRule="exact"/>
              <w:jc w:val="center"/>
              <w:rPr>
                <w:rFonts w:hint="eastAsia" w:ascii="宋体" w:hAnsi="宋体" w:cs="宋体"/>
                <w:sz w:val="21"/>
                <w:szCs w:val="21"/>
                <w:highlight w:val="none"/>
              </w:rPr>
            </w:pPr>
          </w:p>
        </w:tc>
        <w:tc>
          <w:tcPr>
            <w:tcW w:w="679" w:type="pct"/>
            <w:noWrap w:val="0"/>
            <w:vAlign w:val="center"/>
          </w:tcPr>
          <w:p w14:paraId="48DB205D">
            <w:pPr>
              <w:spacing w:line="500" w:lineRule="exact"/>
              <w:jc w:val="center"/>
              <w:rPr>
                <w:rFonts w:hint="eastAsia" w:ascii="宋体" w:hAnsi="宋体" w:cs="宋体"/>
                <w:sz w:val="21"/>
                <w:szCs w:val="21"/>
                <w:highlight w:val="none"/>
              </w:rPr>
            </w:pPr>
          </w:p>
        </w:tc>
        <w:tc>
          <w:tcPr>
            <w:tcW w:w="255" w:type="pct"/>
            <w:noWrap w:val="0"/>
            <w:vAlign w:val="center"/>
          </w:tcPr>
          <w:p w14:paraId="7A24C8A4">
            <w:pPr>
              <w:spacing w:line="500" w:lineRule="exact"/>
              <w:jc w:val="center"/>
              <w:rPr>
                <w:rFonts w:hint="eastAsia" w:ascii="宋体" w:hAnsi="宋体" w:cs="宋体"/>
                <w:sz w:val="21"/>
                <w:szCs w:val="21"/>
                <w:highlight w:val="none"/>
              </w:rPr>
            </w:pPr>
          </w:p>
        </w:tc>
        <w:tc>
          <w:tcPr>
            <w:tcW w:w="293" w:type="pct"/>
            <w:noWrap w:val="0"/>
            <w:vAlign w:val="center"/>
          </w:tcPr>
          <w:p w14:paraId="0179D57B">
            <w:pPr>
              <w:spacing w:line="500" w:lineRule="exact"/>
              <w:jc w:val="center"/>
              <w:rPr>
                <w:rFonts w:hint="eastAsia" w:ascii="宋体" w:hAnsi="宋体" w:cs="宋体"/>
                <w:sz w:val="21"/>
                <w:szCs w:val="21"/>
                <w:highlight w:val="none"/>
              </w:rPr>
            </w:pPr>
          </w:p>
        </w:tc>
        <w:tc>
          <w:tcPr>
            <w:tcW w:w="301" w:type="pct"/>
            <w:noWrap w:val="0"/>
            <w:vAlign w:val="center"/>
          </w:tcPr>
          <w:p w14:paraId="18EDC2E3">
            <w:pPr>
              <w:spacing w:line="500" w:lineRule="exact"/>
              <w:jc w:val="center"/>
              <w:rPr>
                <w:rFonts w:hint="eastAsia" w:ascii="宋体" w:hAnsi="宋体" w:cs="宋体"/>
                <w:sz w:val="21"/>
                <w:szCs w:val="21"/>
                <w:highlight w:val="none"/>
              </w:rPr>
            </w:pPr>
          </w:p>
        </w:tc>
        <w:tc>
          <w:tcPr>
            <w:tcW w:w="460" w:type="pct"/>
            <w:noWrap w:val="0"/>
            <w:vAlign w:val="center"/>
          </w:tcPr>
          <w:p w14:paraId="760A9F2A">
            <w:pPr>
              <w:spacing w:line="500" w:lineRule="exact"/>
              <w:jc w:val="center"/>
              <w:rPr>
                <w:rFonts w:hint="eastAsia" w:ascii="宋体" w:hAnsi="宋体" w:cs="宋体"/>
                <w:sz w:val="21"/>
                <w:szCs w:val="21"/>
                <w:highlight w:val="none"/>
              </w:rPr>
            </w:pPr>
          </w:p>
        </w:tc>
        <w:tc>
          <w:tcPr>
            <w:tcW w:w="393" w:type="pct"/>
            <w:noWrap w:val="0"/>
            <w:vAlign w:val="center"/>
          </w:tcPr>
          <w:p w14:paraId="6F68907F">
            <w:pPr>
              <w:spacing w:line="500" w:lineRule="exact"/>
              <w:jc w:val="center"/>
              <w:rPr>
                <w:rFonts w:hint="eastAsia" w:ascii="宋体" w:hAnsi="宋体" w:cs="宋体"/>
                <w:sz w:val="21"/>
                <w:szCs w:val="21"/>
                <w:highlight w:val="none"/>
              </w:rPr>
            </w:pPr>
          </w:p>
        </w:tc>
      </w:tr>
      <w:tr w14:paraId="200E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8833637">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130" w:type="pct"/>
            <w:noWrap w:val="0"/>
            <w:vAlign w:val="center"/>
          </w:tcPr>
          <w:p w14:paraId="27080F06">
            <w:pPr>
              <w:spacing w:line="500" w:lineRule="exact"/>
              <w:jc w:val="center"/>
              <w:rPr>
                <w:rFonts w:hint="eastAsia" w:ascii="宋体" w:hAnsi="宋体" w:cs="宋体"/>
                <w:sz w:val="21"/>
                <w:szCs w:val="21"/>
                <w:highlight w:val="none"/>
              </w:rPr>
            </w:pPr>
          </w:p>
        </w:tc>
        <w:tc>
          <w:tcPr>
            <w:tcW w:w="737" w:type="pct"/>
            <w:noWrap w:val="0"/>
            <w:vAlign w:val="center"/>
          </w:tcPr>
          <w:p w14:paraId="4549D36A">
            <w:pPr>
              <w:spacing w:line="500" w:lineRule="exact"/>
              <w:jc w:val="center"/>
              <w:rPr>
                <w:rFonts w:hint="eastAsia" w:ascii="宋体" w:hAnsi="宋体" w:cs="宋体"/>
                <w:sz w:val="21"/>
                <w:szCs w:val="21"/>
                <w:highlight w:val="none"/>
              </w:rPr>
            </w:pPr>
          </w:p>
        </w:tc>
        <w:tc>
          <w:tcPr>
            <w:tcW w:w="470" w:type="pct"/>
            <w:noWrap w:val="0"/>
            <w:vAlign w:val="center"/>
          </w:tcPr>
          <w:p w14:paraId="16E7DAE0">
            <w:pPr>
              <w:spacing w:line="500" w:lineRule="exact"/>
              <w:jc w:val="center"/>
              <w:rPr>
                <w:rFonts w:hint="eastAsia" w:ascii="宋体" w:hAnsi="宋体" w:cs="宋体"/>
                <w:sz w:val="21"/>
                <w:szCs w:val="21"/>
                <w:highlight w:val="none"/>
              </w:rPr>
            </w:pPr>
          </w:p>
        </w:tc>
        <w:tc>
          <w:tcPr>
            <w:tcW w:w="679" w:type="pct"/>
            <w:noWrap w:val="0"/>
            <w:vAlign w:val="center"/>
          </w:tcPr>
          <w:p w14:paraId="72A0B747">
            <w:pPr>
              <w:spacing w:line="500" w:lineRule="exact"/>
              <w:jc w:val="center"/>
              <w:rPr>
                <w:rFonts w:hint="eastAsia" w:ascii="宋体" w:hAnsi="宋体" w:cs="宋体"/>
                <w:sz w:val="21"/>
                <w:szCs w:val="21"/>
                <w:highlight w:val="none"/>
              </w:rPr>
            </w:pPr>
          </w:p>
        </w:tc>
        <w:tc>
          <w:tcPr>
            <w:tcW w:w="255" w:type="pct"/>
            <w:noWrap w:val="0"/>
            <w:vAlign w:val="center"/>
          </w:tcPr>
          <w:p w14:paraId="4A821797">
            <w:pPr>
              <w:spacing w:line="500" w:lineRule="exact"/>
              <w:jc w:val="center"/>
              <w:rPr>
                <w:rFonts w:hint="eastAsia" w:ascii="宋体" w:hAnsi="宋体" w:cs="宋体"/>
                <w:sz w:val="21"/>
                <w:szCs w:val="21"/>
                <w:highlight w:val="none"/>
              </w:rPr>
            </w:pPr>
          </w:p>
        </w:tc>
        <w:tc>
          <w:tcPr>
            <w:tcW w:w="293" w:type="pct"/>
            <w:noWrap w:val="0"/>
            <w:vAlign w:val="center"/>
          </w:tcPr>
          <w:p w14:paraId="78715916">
            <w:pPr>
              <w:spacing w:line="500" w:lineRule="exact"/>
              <w:jc w:val="center"/>
              <w:rPr>
                <w:rFonts w:hint="eastAsia" w:ascii="宋体" w:hAnsi="宋体" w:cs="宋体"/>
                <w:sz w:val="21"/>
                <w:szCs w:val="21"/>
                <w:highlight w:val="none"/>
              </w:rPr>
            </w:pPr>
          </w:p>
        </w:tc>
        <w:tc>
          <w:tcPr>
            <w:tcW w:w="301" w:type="pct"/>
            <w:noWrap w:val="0"/>
            <w:vAlign w:val="center"/>
          </w:tcPr>
          <w:p w14:paraId="3E86B599">
            <w:pPr>
              <w:spacing w:line="500" w:lineRule="exact"/>
              <w:jc w:val="center"/>
              <w:rPr>
                <w:rFonts w:hint="eastAsia" w:ascii="宋体" w:hAnsi="宋体" w:cs="宋体"/>
                <w:sz w:val="21"/>
                <w:szCs w:val="21"/>
                <w:highlight w:val="none"/>
              </w:rPr>
            </w:pPr>
          </w:p>
        </w:tc>
        <w:tc>
          <w:tcPr>
            <w:tcW w:w="460" w:type="pct"/>
            <w:noWrap w:val="0"/>
            <w:vAlign w:val="center"/>
          </w:tcPr>
          <w:p w14:paraId="5F9DB0E8">
            <w:pPr>
              <w:spacing w:line="500" w:lineRule="exact"/>
              <w:jc w:val="center"/>
              <w:rPr>
                <w:rFonts w:hint="eastAsia" w:ascii="宋体" w:hAnsi="宋体" w:cs="宋体"/>
                <w:sz w:val="21"/>
                <w:szCs w:val="21"/>
                <w:highlight w:val="none"/>
              </w:rPr>
            </w:pPr>
          </w:p>
        </w:tc>
        <w:tc>
          <w:tcPr>
            <w:tcW w:w="393" w:type="pct"/>
            <w:noWrap w:val="0"/>
            <w:vAlign w:val="center"/>
          </w:tcPr>
          <w:p w14:paraId="7AA95C07">
            <w:pPr>
              <w:spacing w:line="500" w:lineRule="exact"/>
              <w:jc w:val="center"/>
              <w:rPr>
                <w:rFonts w:hint="eastAsia" w:ascii="宋体" w:hAnsi="宋体" w:cs="宋体"/>
                <w:sz w:val="21"/>
                <w:szCs w:val="21"/>
                <w:highlight w:val="none"/>
              </w:rPr>
            </w:pPr>
          </w:p>
        </w:tc>
      </w:tr>
      <w:tr w14:paraId="6F3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4C2AC14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1130" w:type="pct"/>
            <w:noWrap w:val="0"/>
            <w:vAlign w:val="center"/>
          </w:tcPr>
          <w:p w14:paraId="5A73DA36">
            <w:pPr>
              <w:spacing w:line="500" w:lineRule="exact"/>
              <w:jc w:val="center"/>
              <w:rPr>
                <w:rFonts w:hint="eastAsia" w:ascii="宋体" w:hAnsi="宋体" w:cs="宋体"/>
                <w:sz w:val="21"/>
                <w:szCs w:val="21"/>
                <w:highlight w:val="none"/>
              </w:rPr>
            </w:pPr>
          </w:p>
        </w:tc>
        <w:tc>
          <w:tcPr>
            <w:tcW w:w="737" w:type="pct"/>
            <w:noWrap w:val="0"/>
            <w:vAlign w:val="center"/>
          </w:tcPr>
          <w:p w14:paraId="27F6B026">
            <w:pPr>
              <w:spacing w:line="500" w:lineRule="exact"/>
              <w:jc w:val="center"/>
              <w:rPr>
                <w:rFonts w:hint="eastAsia" w:ascii="宋体" w:hAnsi="宋体" w:cs="宋体"/>
                <w:sz w:val="21"/>
                <w:szCs w:val="21"/>
                <w:highlight w:val="none"/>
              </w:rPr>
            </w:pPr>
          </w:p>
        </w:tc>
        <w:tc>
          <w:tcPr>
            <w:tcW w:w="470" w:type="pct"/>
            <w:noWrap w:val="0"/>
            <w:vAlign w:val="center"/>
          </w:tcPr>
          <w:p w14:paraId="148D7E1B">
            <w:pPr>
              <w:spacing w:line="500" w:lineRule="exact"/>
              <w:jc w:val="center"/>
              <w:rPr>
                <w:rFonts w:hint="eastAsia" w:ascii="宋体" w:hAnsi="宋体" w:cs="宋体"/>
                <w:sz w:val="21"/>
                <w:szCs w:val="21"/>
                <w:highlight w:val="none"/>
              </w:rPr>
            </w:pPr>
          </w:p>
        </w:tc>
        <w:tc>
          <w:tcPr>
            <w:tcW w:w="679" w:type="pct"/>
            <w:noWrap w:val="0"/>
            <w:vAlign w:val="center"/>
          </w:tcPr>
          <w:p w14:paraId="27F8CDF3">
            <w:pPr>
              <w:spacing w:line="500" w:lineRule="exact"/>
              <w:jc w:val="center"/>
              <w:rPr>
                <w:rFonts w:hint="eastAsia" w:ascii="宋体" w:hAnsi="宋体" w:cs="宋体"/>
                <w:sz w:val="21"/>
                <w:szCs w:val="21"/>
                <w:highlight w:val="none"/>
              </w:rPr>
            </w:pPr>
          </w:p>
        </w:tc>
        <w:tc>
          <w:tcPr>
            <w:tcW w:w="255" w:type="pct"/>
            <w:noWrap w:val="0"/>
            <w:vAlign w:val="center"/>
          </w:tcPr>
          <w:p w14:paraId="0E3F2771">
            <w:pPr>
              <w:spacing w:line="500" w:lineRule="exact"/>
              <w:jc w:val="center"/>
              <w:rPr>
                <w:rFonts w:hint="eastAsia" w:ascii="宋体" w:hAnsi="宋体" w:cs="宋体"/>
                <w:sz w:val="21"/>
                <w:szCs w:val="21"/>
                <w:highlight w:val="none"/>
              </w:rPr>
            </w:pPr>
          </w:p>
        </w:tc>
        <w:tc>
          <w:tcPr>
            <w:tcW w:w="293" w:type="pct"/>
            <w:noWrap w:val="0"/>
            <w:vAlign w:val="center"/>
          </w:tcPr>
          <w:p w14:paraId="0221A83D">
            <w:pPr>
              <w:spacing w:line="500" w:lineRule="exact"/>
              <w:jc w:val="center"/>
              <w:rPr>
                <w:rFonts w:hint="eastAsia" w:ascii="宋体" w:hAnsi="宋体" w:cs="宋体"/>
                <w:sz w:val="21"/>
                <w:szCs w:val="21"/>
                <w:highlight w:val="none"/>
              </w:rPr>
            </w:pPr>
          </w:p>
        </w:tc>
        <w:tc>
          <w:tcPr>
            <w:tcW w:w="301" w:type="pct"/>
            <w:noWrap w:val="0"/>
            <w:vAlign w:val="center"/>
          </w:tcPr>
          <w:p w14:paraId="460501B6">
            <w:pPr>
              <w:spacing w:line="500" w:lineRule="exact"/>
              <w:jc w:val="center"/>
              <w:rPr>
                <w:rFonts w:hint="eastAsia" w:ascii="宋体" w:hAnsi="宋体" w:cs="宋体"/>
                <w:sz w:val="21"/>
                <w:szCs w:val="21"/>
                <w:highlight w:val="none"/>
              </w:rPr>
            </w:pPr>
          </w:p>
        </w:tc>
        <w:tc>
          <w:tcPr>
            <w:tcW w:w="460" w:type="pct"/>
            <w:noWrap w:val="0"/>
            <w:vAlign w:val="center"/>
          </w:tcPr>
          <w:p w14:paraId="081A93B4">
            <w:pPr>
              <w:spacing w:line="500" w:lineRule="exact"/>
              <w:jc w:val="center"/>
              <w:rPr>
                <w:rFonts w:hint="eastAsia" w:ascii="宋体" w:hAnsi="宋体" w:cs="宋体"/>
                <w:sz w:val="21"/>
                <w:szCs w:val="21"/>
                <w:highlight w:val="none"/>
              </w:rPr>
            </w:pPr>
          </w:p>
        </w:tc>
        <w:tc>
          <w:tcPr>
            <w:tcW w:w="393" w:type="pct"/>
            <w:noWrap w:val="0"/>
            <w:vAlign w:val="center"/>
          </w:tcPr>
          <w:p w14:paraId="48118CC1">
            <w:pPr>
              <w:spacing w:line="500" w:lineRule="exact"/>
              <w:jc w:val="center"/>
              <w:rPr>
                <w:rFonts w:hint="eastAsia" w:ascii="宋体" w:hAnsi="宋体" w:cs="宋体"/>
                <w:sz w:val="21"/>
                <w:szCs w:val="21"/>
                <w:highlight w:val="none"/>
              </w:rPr>
            </w:pPr>
          </w:p>
        </w:tc>
      </w:tr>
      <w:tr w14:paraId="2FF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38430E03">
            <w:pPr>
              <w:spacing w:line="500" w:lineRule="exact"/>
              <w:jc w:val="center"/>
              <w:rPr>
                <w:rFonts w:ascii="宋体" w:hAnsi="宋体" w:cs="宋体"/>
                <w:sz w:val="21"/>
                <w:szCs w:val="21"/>
                <w:highlight w:val="none"/>
              </w:rPr>
            </w:pPr>
            <w:r>
              <w:rPr>
                <w:rFonts w:hint="eastAsia" w:ascii="宋体" w:hAnsi="宋体" w:cs="宋体"/>
                <w:sz w:val="21"/>
                <w:szCs w:val="21"/>
                <w:highlight w:val="none"/>
              </w:rPr>
              <w:t>5</w:t>
            </w:r>
          </w:p>
        </w:tc>
        <w:tc>
          <w:tcPr>
            <w:tcW w:w="1130" w:type="pct"/>
            <w:noWrap w:val="0"/>
            <w:vAlign w:val="center"/>
          </w:tcPr>
          <w:p w14:paraId="16B84811">
            <w:pPr>
              <w:spacing w:line="500" w:lineRule="exact"/>
              <w:jc w:val="center"/>
              <w:rPr>
                <w:rFonts w:hint="eastAsia" w:ascii="宋体" w:hAnsi="宋体" w:cs="宋体"/>
                <w:sz w:val="21"/>
                <w:szCs w:val="21"/>
                <w:highlight w:val="none"/>
              </w:rPr>
            </w:pPr>
          </w:p>
        </w:tc>
        <w:tc>
          <w:tcPr>
            <w:tcW w:w="737" w:type="pct"/>
            <w:noWrap w:val="0"/>
            <w:vAlign w:val="center"/>
          </w:tcPr>
          <w:p w14:paraId="4A453434">
            <w:pPr>
              <w:spacing w:line="500" w:lineRule="exact"/>
              <w:jc w:val="center"/>
              <w:rPr>
                <w:rFonts w:hint="eastAsia" w:ascii="宋体" w:hAnsi="宋体" w:cs="宋体"/>
                <w:sz w:val="21"/>
                <w:szCs w:val="21"/>
                <w:highlight w:val="none"/>
              </w:rPr>
            </w:pPr>
          </w:p>
        </w:tc>
        <w:tc>
          <w:tcPr>
            <w:tcW w:w="470" w:type="pct"/>
            <w:noWrap w:val="0"/>
            <w:vAlign w:val="center"/>
          </w:tcPr>
          <w:p w14:paraId="6ED6DA3B">
            <w:pPr>
              <w:spacing w:line="500" w:lineRule="exact"/>
              <w:jc w:val="center"/>
              <w:rPr>
                <w:rFonts w:hint="eastAsia" w:ascii="宋体" w:hAnsi="宋体" w:cs="宋体"/>
                <w:sz w:val="21"/>
                <w:szCs w:val="21"/>
                <w:highlight w:val="none"/>
              </w:rPr>
            </w:pPr>
          </w:p>
        </w:tc>
        <w:tc>
          <w:tcPr>
            <w:tcW w:w="679" w:type="pct"/>
            <w:noWrap w:val="0"/>
            <w:vAlign w:val="center"/>
          </w:tcPr>
          <w:p w14:paraId="4D002B05">
            <w:pPr>
              <w:spacing w:line="500" w:lineRule="exact"/>
              <w:jc w:val="center"/>
              <w:rPr>
                <w:rFonts w:hint="eastAsia" w:ascii="宋体" w:hAnsi="宋体" w:cs="宋体"/>
                <w:sz w:val="21"/>
                <w:szCs w:val="21"/>
                <w:highlight w:val="none"/>
              </w:rPr>
            </w:pPr>
          </w:p>
        </w:tc>
        <w:tc>
          <w:tcPr>
            <w:tcW w:w="255" w:type="pct"/>
            <w:noWrap w:val="0"/>
            <w:vAlign w:val="center"/>
          </w:tcPr>
          <w:p w14:paraId="38073752">
            <w:pPr>
              <w:spacing w:line="500" w:lineRule="exact"/>
              <w:jc w:val="center"/>
              <w:rPr>
                <w:rFonts w:hint="eastAsia" w:ascii="宋体" w:hAnsi="宋体" w:cs="宋体"/>
                <w:sz w:val="21"/>
                <w:szCs w:val="21"/>
                <w:highlight w:val="none"/>
              </w:rPr>
            </w:pPr>
          </w:p>
        </w:tc>
        <w:tc>
          <w:tcPr>
            <w:tcW w:w="293" w:type="pct"/>
            <w:noWrap w:val="0"/>
            <w:vAlign w:val="center"/>
          </w:tcPr>
          <w:p w14:paraId="2AEAC1C8">
            <w:pPr>
              <w:spacing w:line="500" w:lineRule="exact"/>
              <w:jc w:val="center"/>
              <w:rPr>
                <w:rFonts w:hint="eastAsia" w:ascii="宋体" w:hAnsi="宋体" w:cs="宋体"/>
                <w:sz w:val="21"/>
                <w:szCs w:val="21"/>
                <w:highlight w:val="none"/>
              </w:rPr>
            </w:pPr>
          </w:p>
        </w:tc>
        <w:tc>
          <w:tcPr>
            <w:tcW w:w="301" w:type="pct"/>
            <w:noWrap w:val="0"/>
            <w:vAlign w:val="center"/>
          </w:tcPr>
          <w:p w14:paraId="0332207A">
            <w:pPr>
              <w:spacing w:line="500" w:lineRule="exact"/>
              <w:jc w:val="center"/>
              <w:rPr>
                <w:rFonts w:hint="eastAsia" w:ascii="宋体" w:hAnsi="宋体" w:cs="宋体"/>
                <w:sz w:val="21"/>
                <w:szCs w:val="21"/>
                <w:highlight w:val="none"/>
              </w:rPr>
            </w:pPr>
          </w:p>
        </w:tc>
        <w:tc>
          <w:tcPr>
            <w:tcW w:w="460" w:type="pct"/>
            <w:noWrap w:val="0"/>
            <w:vAlign w:val="center"/>
          </w:tcPr>
          <w:p w14:paraId="199E3B62">
            <w:pPr>
              <w:spacing w:line="500" w:lineRule="exact"/>
              <w:jc w:val="center"/>
              <w:rPr>
                <w:rFonts w:hint="eastAsia" w:ascii="宋体" w:hAnsi="宋体" w:cs="宋体"/>
                <w:sz w:val="21"/>
                <w:szCs w:val="21"/>
                <w:highlight w:val="none"/>
              </w:rPr>
            </w:pPr>
          </w:p>
        </w:tc>
        <w:tc>
          <w:tcPr>
            <w:tcW w:w="393" w:type="pct"/>
            <w:noWrap w:val="0"/>
            <w:vAlign w:val="center"/>
          </w:tcPr>
          <w:p w14:paraId="7A24659C">
            <w:pPr>
              <w:spacing w:line="500" w:lineRule="exact"/>
              <w:jc w:val="center"/>
              <w:rPr>
                <w:rFonts w:hint="eastAsia" w:ascii="宋体" w:hAnsi="宋体" w:cs="宋体"/>
                <w:sz w:val="21"/>
                <w:szCs w:val="21"/>
                <w:highlight w:val="none"/>
              </w:rPr>
            </w:pPr>
          </w:p>
        </w:tc>
      </w:tr>
      <w:tr w14:paraId="60C9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2196B3F0">
            <w:pPr>
              <w:spacing w:line="500" w:lineRule="exact"/>
              <w:jc w:val="center"/>
              <w:rPr>
                <w:rFonts w:ascii="宋体" w:hAnsi="宋体" w:cs="宋体"/>
                <w:sz w:val="21"/>
                <w:szCs w:val="21"/>
                <w:highlight w:val="none"/>
              </w:rPr>
            </w:pPr>
            <w:r>
              <w:rPr>
                <w:rFonts w:hint="eastAsia" w:ascii="宋体" w:hAnsi="宋体" w:cs="宋体"/>
                <w:sz w:val="21"/>
                <w:szCs w:val="21"/>
                <w:highlight w:val="none"/>
              </w:rPr>
              <w:t>6</w:t>
            </w:r>
          </w:p>
        </w:tc>
        <w:tc>
          <w:tcPr>
            <w:tcW w:w="1130" w:type="pct"/>
            <w:noWrap w:val="0"/>
            <w:vAlign w:val="center"/>
          </w:tcPr>
          <w:p w14:paraId="4AE9DEB1">
            <w:pPr>
              <w:spacing w:line="500" w:lineRule="exact"/>
              <w:jc w:val="center"/>
              <w:rPr>
                <w:rFonts w:hint="eastAsia" w:ascii="宋体" w:hAnsi="宋体" w:cs="宋体"/>
                <w:sz w:val="21"/>
                <w:szCs w:val="21"/>
                <w:highlight w:val="none"/>
              </w:rPr>
            </w:pPr>
          </w:p>
        </w:tc>
        <w:tc>
          <w:tcPr>
            <w:tcW w:w="737" w:type="pct"/>
            <w:noWrap w:val="0"/>
            <w:vAlign w:val="center"/>
          </w:tcPr>
          <w:p w14:paraId="23E57B50">
            <w:pPr>
              <w:spacing w:line="500" w:lineRule="exact"/>
              <w:jc w:val="center"/>
              <w:rPr>
                <w:rFonts w:hint="eastAsia" w:ascii="宋体" w:hAnsi="宋体" w:cs="宋体"/>
                <w:sz w:val="21"/>
                <w:szCs w:val="21"/>
                <w:highlight w:val="none"/>
              </w:rPr>
            </w:pPr>
          </w:p>
        </w:tc>
        <w:tc>
          <w:tcPr>
            <w:tcW w:w="470" w:type="pct"/>
            <w:noWrap w:val="0"/>
            <w:vAlign w:val="center"/>
          </w:tcPr>
          <w:p w14:paraId="4C0E9161">
            <w:pPr>
              <w:spacing w:line="500" w:lineRule="exact"/>
              <w:jc w:val="center"/>
              <w:rPr>
                <w:rFonts w:hint="eastAsia" w:ascii="宋体" w:hAnsi="宋体" w:cs="宋体"/>
                <w:sz w:val="21"/>
                <w:szCs w:val="21"/>
                <w:highlight w:val="none"/>
              </w:rPr>
            </w:pPr>
          </w:p>
        </w:tc>
        <w:tc>
          <w:tcPr>
            <w:tcW w:w="679" w:type="pct"/>
            <w:noWrap w:val="0"/>
            <w:vAlign w:val="center"/>
          </w:tcPr>
          <w:p w14:paraId="0A43366C">
            <w:pPr>
              <w:spacing w:line="500" w:lineRule="exact"/>
              <w:jc w:val="center"/>
              <w:rPr>
                <w:rFonts w:hint="eastAsia" w:ascii="宋体" w:hAnsi="宋体" w:cs="宋体"/>
                <w:sz w:val="21"/>
                <w:szCs w:val="21"/>
                <w:highlight w:val="none"/>
              </w:rPr>
            </w:pPr>
          </w:p>
        </w:tc>
        <w:tc>
          <w:tcPr>
            <w:tcW w:w="255" w:type="pct"/>
            <w:noWrap w:val="0"/>
            <w:vAlign w:val="center"/>
          </w:tcPr>
          <w:p w14:paraId="6BA61516">
            <w:pPr>
              <w:spacing w:line="500" w:lineRule="exact"/>
              <w:jc w:val="center"/>
              <w:rPr>
                <w:rFonts w:hint="eastAsia" w:ascii="宋体" w:hAnsi="宋体" w:cs="宋体"/>
                <w:sz w:val="21"/>
                <w:szCs w:val="21"/>
                <w:highlight w:val="none"/>
              </w:rPr>
            </w:pPr>
          </w:p>
        </w:tc>
        <w:tc>
          <w:tcPr>
            <w:tcW w:w="293" w:type="pct"/>
            <w:noWrap w:val="0"/>
            <w:vAlign w:val="center"/>
          </w:tcPr>
          <w:p w14:paraId="5797558C">
            <w:pPr>
              <w:spacing w:line="500" w:lineRule="exact"/>
              <w:jc w:val="center"/>
              <w:rPr>
                <w:rFonts w:hint="eastAsia" w:ascii="宋体" w:hAnsi="宋体" w:cs="宋体"/>
                <w:sz w:val="21"/>
                <w:szCs w:val="21"/>
                <w:highlight w:val="none"/>
              </w:rPr>
            </w:pPr>
          </w:p>
        </w:tc>
        <w:tc>
          <w:tcPr>
            <w:tcW w:w="301" w:type="pct"/>
            <w:noWrap w:val="0"/>
            <w:vAlign w:val="center"/>
          </w:tcPr>
          <w:p w14:paraId="2F7CD7B8">
            <w:pPr>
              <w:spacing w:line="500" w:lineRule="exact"/>
              <w:jc w:val="center"/>
              <w:rPr>
                <w:rFonts w:hint="eastAsia" w:ascii="宋体" w:hAnsi="宋体" w:cs="宋体"/>
                <w:sz w:val="21"/>
                <w:szCs w:val="21"/>
                <w:highlight w:val="none"/>
              </w:rPr>
            </w:pPr>
          </w:p>
        </w:tc>
        <w:tc>
          <w:tcPr>
            <w:tcW w:w="460" w:type="pct"/>
            <w:noWrap w:val="0"/>
            <w:vAlign w:val="center"/>
          </w:tcPr>
          <w:p w14:paraId="79BD3D82">
            <w:pPr>
              <w:spacing w:line="500" w:lineRule="exact"/>
              <w:jc w:val="center"/>
              <w:rPr>
                <w:rFonts w:hint="eastAsia" w:ascii="宋体" w:hAnsi="宋体" w:cs="宋体"/>
                <w:sz w:val="21"/>
                <w:szCs w:val="21"/>
                <w:highlight w:val="none"/>
              </w:rPr>
            </w:pPr>
          </w:p>
        </w:tc>
        <w:tc>
          <w:tcPr>
            <w:tcW w:w="393" w:type="pct"/>
            <w:noWrap w:val="0"/>
            <w:vAlign w:val="center"/>
          </w:tcPr>
          <w:p w14:paraId="4CB6D58A">
            <w:pPr>
              <w:spacing w:line="500" w:lineRule="exact"/>
              <w:jc w:val="center"/>
              <w:rPr>
                <w:rFonts w:hint="eastAsia" w:ascii="宋体" w:hAnsi="宋体" w:cs="宋体"/>
                <w:sz w:val="21"/>
                <w:szCs w:val="21"/>
                <w:highlight w:val="none"/>
              </w:rPr>
            </w:pPr>
          </w:p>
        </w:tc>
      </w:tr>
      <w:tr w14:paraId="62F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E727E65">
            <w:pPr>
              <w:spacing w:line="5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130" w:type="pct"/>
            <w:noWrap w:val="0"/>
            <w:vAlign w:val="center"/>
          </w:tcPr>
          <w:p w14:paraId="77BE9C55">
            <w:pPr>
              <w:spacing w:line="500" w:lineRule="exact"/>
              <w:jc w:val="center"/>
              <w:rPr>
                <w:rFonts w:hint="eastAsia" w:ascii="宋体" w:hAnsi="宋体" w:cs="宋体"/>
                <w:sz w:val="21"/>
                <w:szCs w:val="21"/>
                <w:highlight w:val="none"/>
              </w:rPr>
            </w:pPr>
          </w:p>
        </w:tc>
        <w:tc>
          <w:tcPr>
            <w:tcW w:w="737" w:type="pct"/>
            <w:noWrap w:val="0"/>
            <w:vAlign w:val="center"/>
          </w:tcPr>
          <w:p w14:paraId="06E1D5AD">
            <w:pPr>
              <w:spacing w:line="500" w:lineRule="exact"/>
              <w:jc w:val="center"/>
              <w:rPr>
                <w:rFonts w:hint="eastAsia" w:ascii="宋体" w:hAnsi="宋体" w:cs="宋体"/>
                <w:sz w:val="21"/>
                <w:szCs w:val="21"/>
                <w:highlight w:val="none"/>
              </w:rPr>
            </w:pPr>
          </w:p>
        </w:tc>
        <w:tc>
          <w:tcPr>
            <w:tcW w:w="470" w:type="pct"/>
            <w:noWrap w:val="0"/>
            <w:vAlign w:val="center"/>
          </w:tcPr>
          <w:p w14:paraId="4B04209C">
            <w:pPr>
              <w:spacing w:line="500" w:lineRule="exact"/>
              <w:jc w:val="center"/>
              <w:rPr>
                <w:rFonts w:hint="eastAsia" w:ascii="宋体" w:hAnsi="宋体" w:cs="宋体"/>
                <w:sz w:val="21"/>
                <w:szCs w:val="21"/>
                <w:highlight w:val="none"/>
              </w:rPr>
            </w:pPr>
          </w:p>
        </w:tc>
        <w:tc>
          <w:tcPr>
            <w:tcW w:w="679" w:type="pct"/>
            <w:noWrap w:val="0"/>
            <w:vAlign w:val="center"/>
          </w:tcPr>
          <w:p w14:paraId="08AF9501">
            <w:pPr>
              <w:spacing w:line="500" w:lineRule="exact"/>
              <w:jc w:val="center"/>
              <w:rPr>
                <w:rFonts w:hint="eastAsia" w:ascii="宋体" w:hAnsi="宋体" w:cs="宋体"/>
                <w:sz w:val="21"/>
                <w:szCs w:val="21"/>
                <w:highlight w:val="none"/>
              </w:rPr>
            </w:pPr>
          </w:p>
        </w:tc>
        <w:tc>
          <w:tcPr>
            <w:tcW w:w="255" w:type="pct"/>
            <w:noWrap w:val="0"/>
            <w:vAlign w:val="center"/>
          </w:tcPr>
          <w:p w14:paraId="4731891E">
            <w:pPr>
              <w:spacing w:line="500" w:lineRule="exact"/>
              <w:jc w:val="center"/>
              <w:rPr>
                <w:rFonts w:hint="eastAsia" w:ascii="宋体" w:hAnsi="宋体" w:cs="宋体"/>
                <w:sz w:val="21"/>
                <w:szCs w:val="21"/>
                <w:highlight w:val="none"/>
              </w:rPr>
            </w:pPr>
          </w:p>
        </w:tc>
        <w:tc>
          <w:tcPr>
            <w:tcW w:w="293" w:type="pct"/>
            <w:noWrap w:val="0"/>
            <w:vAlign w:val="center"/>
          </w:tcPr>
          <w:p w14:paraId="6856C886">
            <w:pPr>
              <w:spacing w:line="500" w:lineRule="exact"/>
              <w:jc w:val="center"/>
              <w:rPr>
                <w:rFonts w:hint="eastAsia" w:ascii="宋体" w:hAnsi="宋体" w:cs="宋体"/>
                <w:sz w:val="21"/>
                <w:szCs w:val="21"/>
                <w:highlight w:val="none"/>
              </w:rPr>
            </w:pPr>
          </w:p>
        </w:tc>
        <w:tc>
          <w:tcPr>
            <w:tcW w:w="301" w:type="pct"/>
            <w:noWrap w:val="0"/>
            <w:vAlign w:val="center"/>
          </w:tcPr>
          <w:p w14:paraId="775327AC">
            <w:pPr>
              <w:spacing w:line="500" w:lineRule="exact"/>
              <w:jc w:val="center"/>
              <w:rPr>
                <w:rFonts w:hint="eastAsia" w:ascii="宋体" w:hAnsi="宋体" w:cs="宋体"/>
                <w:sz w:val="21"/>
                <w:szCs w:val="21"/>
                <w:highlight w:val="none"/>
              </w:rPr>
            </w:pPr>
          </w:p>
        </w:tc>
        <w:tc>
          <w:tcPr>
            <w:tcW w:w="460" w:type="pct"/>
            <w:noWrap w:val="0"/>
            <w:vAlign w:val="center"/>
          </w:tcPr>
          <w:p w14:paraId="45192866">
            <w:pPr>
              <w:spacing w:line="500" w:lineRule="exact"/>
              <w:jc w:val="center"/>
              <w:rPr>
                <w:rFonts w:hint="eastAsia" w:ascii="宋体" w:hAnsi="宋体" w:cs="宋体"/>
                <w:sz w:val="21"/>
                <w:szCs w:val="21"/>
                <w:highlight w:val="none"/>
              </w:rPr>
            </w:pPr>
          </w:p>
        </w:tc>
        <w:tc>
          <w:tcPr>
            <w:tcW w:w="393" w:type="pct"/>
            <w:noWrap w:val="0"/>
            <w:vAlign w:val="center"/>
          </w:tcPr>
          <w:p w14:paraId="39F642C7">
            <w:pPr>
              <w:spacing w:line="500" w:lineRule="exact"/>
              <w:jc w:val="center"/>
              <w:rPr>
                <w:rFonts w:hint="eastAsia" w:ascii="宋体" w:hAnsi="宋体" w:cs="宋体"/>
                <w:sz w:val="21"/>
                <w:szCs w:val="21"/>
                <w:highlight w:val="none"/>
              </w:rPr>
            </w:pPr>
          </w:p>
        </w:tc>
      </w:tr>
      <w:tr w14:paraId="3C28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8" w:type="pct"/>
            <w:noWrap w:val="0"/>
            <w:vAlign w:val="center"/>
          </w:tcPr>
          <w:p w14:paraId="3BED5FD5">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1130" w:type="pct"/>
            <w:noWrap w:val="0"/>
            <w:vAlign w:val="center"/>
          </w:tcPr>
          <w:p w14:paraId="7E24C92E">
            <w:pPr>
              <w:spacing w:line="500" w:lineRule="exact"/>
              <w:jc w:val="center"/>
              <w:rPr>
                <w:rFonts w:hint="eastAsia" w:ascii="宋体" w:hAnsi="宋体" w:cs="宋体"/>
                <w:sz w:val="21"/>
                <w:szCs w:val="21"/>
                <w:highlight w:val="none"/>
              </w:rPr>
            </w:pPr>
          </w:p>
        </w:tc>
        <w:tc>
          <w:tcPr>
            <w:tcW w:w="737" w:type="pct"/>
            <w:noWrap w:val="0"/>
            <w:vAlign w:val="center"/>
          </w:tcPr>
          <w:p w14:paraId="1E81729F">
            <w:pPr>
              <w:spacing w:line="500" w:lineRule="exact"/>
              <w:jc w:val="center"/>
              <w:rPr>
                <w:rFonts w:hint="eastAsia" w:ascii="宋体" w:hAnsi="宋体" w:cs="宋体"/>
                <w:sz w:val="21"/>
                <w:szCs w:val="21"/>
                <w:highlight w:val="none"/>
              </w:rPr>
            </w:pPr>
          </w:p>
        </w:tc>
        <w:tc>
          <w:tcPr>
            <w:tcW w:w="470" w:type="pct"/>
            <w:noWrap w:val="0"/>
            <w:vAlign w:val="center"/>
          </w:tcPr>
          <w:p w14:paraId="265DBD3F">
            <w:pPr>
              <w:spacing w:line="500" w:lineRule="exact"/>
              <w:jc w:val="center"/>
              <w:rPr>
                <w:rFonts w:hint="eastAsia" w:ascii="宋体" w:hAnsi="宋体" w:cs="宋体"/>
                <w:sz w:val="21"/>
                <w:szCs w:val="21"/>
                <w:highlight w:val="none"/>
              </w:rPr>
            </w:pPr>
          </w:p>
        </w:tc>
        <w:tc>
          <w:tcPr>
            <w:tcW w:w="679" w:type="pct"/>
            <w:noWrap w:val="0"/>
            <w:vAlign w:val="center"/>
          </w:tcPr>
          <w:p w14:paraId="7D95FD5D">
            <w:pPr>
              <w:spacing w:line="500" w:lineRule="exact"/>
              <w:jc w:val="center"/>
              <w:rPr>
                <w:rFonts w:hint="eastAsia" w:ascii="宋体" w:hAnsi="宋体" w:cs="宋体"/>
                <w:sz w:val="21"/>
                <w:szCs w:val="21"/>
                <w:highlight w:val="none"/>
              </w:rPr>
            </w:pPr>
          </w:p>
        </w:tc>
        <w:tc>
          <w:tcPr>
            <w:tcW w:w="255" w:type="pct"/>
            <w:noWrap w:val="0"/>
            <w:vAlign w:val="center"/>
          </w:tcPr>
          <w:p w14:paraId="1ACA53FF">
            <w:pPr>
              <w:spacing w:line="500" w:lineRule="exact"/>
              <w:jc w:val="center"/>
              <w:rPr>
                <w:rFonts w:hint="eastAsia" w:ascii="宋体" w:hAnsi="宋体" w:cs="宋体"/>
                <w:sz w:val="21"/>
                <w:szCs w:val="21"/>
                <w:highlight w:val="none"/>
              </w:rPr>
            </w:pPr>
          </w:p>
        </w:tc>
        <w:tc>
          <w:tcPr>
            <w:tcW w:w="293" w:type="pct"/>
            <w:noWrap w:val="0"/>
            <w:vAlign w:val="center"/>
          </w:tcPr>
          <w:p w14:paraId="0EEDB937">
            <w:pPr>
              <w:spacing w:line="500" w:lineRule="exact"/>
              <w:jc w:val="center"/>
              <w:rPr>
                <w:rFonts w:hint="eastAsia" w:ascii="宋体" w:hAnsi="宋体" w:cs="宋体"/>
                <w:sz w:val="21"/>
                <w:szCs w:val="21"/>
                <w:highlight w:val="none"/>
              </w:rPr>
            </w:pPr>
          </w:p>
        </w:tc>
        <w:tc>
          <w:tcPr>
            <w:tcW w:w="301" w:type="pct"/>
            <w:noWrap w:val="0"/>
            <w:vAlign w:val="center"/>
          </w:tcPr>
          <w:p w14:paraId="7CBFA8C7">
            <w:pPr>
              <w:spacing w:line="500" w:lineRule="exact"/>
              <w:jc w:val="center"/>
              <w:rPr>
                <w:rFonts w:hint="eastAsia" w:ascii="宋体" w:hAnsi="宋体" w:cs="宋体"/>
                <w:sz w:val="21"/>
                <w:szCs w:val="21"/>
                <w:highlight w:val="none"/>
              </w:rPr>
            </w:pPr>
          </w:p>
        </w:tc>
        <w:tc>
          <w:tcPr>
            <w:tcW w:w="460" w:type="pct"/>
            <w:noWrap w:val="0"/>
            <w:vAlign w:val="center"/>
          </w:tcPr>
          <w:p w14:paraId="76E156B0">
            <w:pPr>
              <w:spacing w:line="500" w:lineRule="exact"/>
              <w:jc w:val="center"/>
              <w:rPr>
                <w:rFonts w:hint="eastAsia" w:ascii="宋体" w:hAnsi="宋体" w:cs="宋体"/>
                <w:sz w:val="21"/>
                <w:szCs w:val="21"/>
                <w:highlight w:val="none"/>
              </w:rPr>
            </w:pPr>
          </w:p>
        </w:tc>
        <w:tc>
          <w:tcPr>
            <w:tcW w:w="393" w:type="pct"/>
            <w:noWrap w:val="0"/>
            <w:vAlign w:val="center"/>
          </w:tcPr>
          <w:p w14:paraId="33F0D8C0">
            <w:pPr>
              <w:spacing w:line="500" w:lineRule="exact"/>
              <w:jc w:val="center"/>
              <w:rPr>
                <w:rFonts w:hint="eastAsia" w:ascii="宋体" w:hAnsi="宋体" w:cs="宋体"/>
                <w:sz w:val="21"/>
                <w:szCs w:val="21"/>
                <w:highlight w:val="none"/>
              </w:rPr>
            </w:pPr>
          </w:p>
        </w:tc>
      </w:tr>
      <w:tr w14:paraId="0DAE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2350BAD0">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58322D4C">
            <w:pPr>
              <w:spacing w:line="500" w:lineRule="exact"/>
              <w:rPr>
                <w:rFonts w:hint="eastAsia" w:ascii="宋体" w:hAnsi="宋体" w:cs="宋体"/>
                <w:sz w:val="21"/>
                <w:szCs w:val="21"/>
                <w:highlight w:val="none"/>
              </w:rPr>
            </w:pPr>
            <w:r>
              <w:rPr>
                <w:rFonts w:hint="eastAsia" w:ascii="宋体" w:hAnsi="宋体" w:cs="宋体"/>
                <w:sz w:val="21"/>
                <w:szCs w:val="21"/>
                <w:highlight w:val="none"/>
              </w:rPr>
              <w:t>报价合计（元）：             大写：</w:t>
            </w:r>
          </w:p>
        </w:tc>
      </w:tr>
      <w:tr w14:paraId="458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62663FB3">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73693CB4">
            <w:pPr>
              <w:spacing w:line="500" w:lineRule="exact"/>
              <w:rPr>
                <w:rFonts w:hint="eastAsia" w:ascii="宋体" w:hAnsi="宋体" w:cs="宋体"/>
                <w:sz w:val="21"/>
                <w:szCs w:val="21"/>
                <w:highlight w:val="none"/>
              </w:rPr>
            </w:pPr>
          </w:p>
        </w:tc>
      </w:tr>
    </w:tbl>
    <w:p w14:paraId="1745E883">
      <w:pPr>
        <w:pStyle w:val="10"/>
        <w:spacing w:line="360" w:lineRule="auto"/>
        <w:ind w:firstLine="240" w:firstLineChars="100"/>
        <w:rPr>
          <w:rFonts w:hint="eastAsia" w:cs="宋体"/>
          <w:sz w:val="24"/>
          <w:highlight w:val="none"/>
        </w:rPr>
      </w:pPr>
    </w:p>
    <w:p w14:paraId="638C732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highlight w:val="none"/>
        </w:rPr>
      </w:pPr>
      <w:r>
        <w:rPr>
          <w:rFonts w:hint="eastAsia" w:cs="宋体"/>
          <w:highlight w:val="none"/>
        </w:rPr>
        <w:t>注:</w:t>
      </w:r>
    </w:p>
    <w:p w14:paraId="2ADED02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auto"/>
          <w:highlight w:val="none"/>
        </w:rPr>
      </w:pPr>
      <w:r>
        <w:rPr>
          <w:rFonts w:hint="eastAsia" w:cs="宋体"/>
          <w:highlight w:val="none"/>
        </w:rPr>
        <w:t>1.</w:t>
      </w:r>
      <w:r>
        <w:rPr>
          <w:rFonts w:hint="eastAsia" w:ascii="宋体" w:hAnsi="宋体" w:cs="宋体"/>
          <w:b w:val="0"/>
          <w:bCs w:val="0"/>
          <w:color w:val="auto"/>
          <w:highlight w:val="none"/>
          <w:lang w:val="en-US" w:eastAsia="zh-CN"/>
        </w:rPr>
        <w:t>投标人按采购需求逐项列示</w:t>
      </w:r>
      <w:r>
        <w:rPr>
          <w:rFonts w:hint="eastAsia" w:hAnsi="宋体" w:cs="宋体"/>
          <w:b w:val="0"/>
          <w:bCs w:val="0"/>
          <w:color w:val="auto"/>
          <w:highlight w:val="none"/>
          <w:lang w:val="en-US" w:eastAsia="zh-CN"/>
        </w:rPr>
        <w:t>且不可漏项</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投标报价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最高投标限价，各分项报价不得超过采购人提供各分项报价最高投标限价</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总价</w:t>
      </w:r>
      <w:r>
        <w:rPr>
          <w:rFonts w:hint="eastAsia" w:ascii="宋体" w:hAnsi="宋体" w:cs="宋体"/>
          <w:b w:val="0"/>
          <w:bCs w:val="0"/>
          <w:color w:val="auto"/>
          <w:highlight w:val="none"/>
          <w:lang w:val="en-US" w:eastAsia="zh-CN"/>
        </w:rPr>
        <w:t>与《开标一览表》保持一致。</w:t>
      </w:r>
      <w:r>
        <w:rPr>
          <w:rFonts w:hint="eastAsia" w:cs="宋体"/>
          <w:color w:val="auto"/>
          <w:highlight w:val="none"/>
        </w:rPr>
        <w:t>如果按单价计算的结果与总价不一致,以单价为准修正总价。</w:t>
      </w:r>
    </w:p>
    <w:p w14:paraId="3AF6840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cs="宋体"/>
          <w:color w:val="auto"/>
          <w:kern w:val="2"/>
          <w:sz w:val="21"/>
          <w:szCs w:val="24"/>
          <w:lang w:val="en-US" w:eastAsia="zh-CN" w:bidi="ar-SA"/>
        </w:rPr>
        <w:t>2</w:t>
      </w:r>
      <w:r>
        <w:rPr>
          <w:rFonts w:hint="eastAsia" w:ascii="宋体" w:cs="宋体" w:hAnsiTheme="minorHAnsi" w:eastAsiaTheme="minorEastAsia"/>
          <w:color w:val="auto"/>
          <w:kern w:val="2"/>
          <w:sz w:val="21"/>
          <w:szCs w:val="24"/>
          <w:lang w:val="en-US" w:eastAsia="zh-CN" w:bidi="ar-SA"/>
        </w:rPr>
        <w:t>.</w:t>
      </w:r>
      <w:r>
        <w:rPr>
          <w:rFonts w:hint="eastAsia" w:cs="宋体"/>
          <w:color w:val="auto"/>
          <w:highlight w:val="none"/>
        </w:rPr>
        <w:t>如果不提供详细分项报价将视为没有实质性响应招标文件。</w:t>
      </w:r>
    </w:p>
    <w:p w14:paraId="2EF000D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3.暂列金、税金须包含在报价中，不作为竞争费用，暂列金额应按照本项目工程量清单中列出的金额填写，不得变动。</w:t>
      </w:r>
    </w:p>
    <w:p w14:paraId="0A45138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Times New Roman" w:eastAsia="宋体" w:cs="宋体"/>
          <w:highlight w:val="yellow"/>
          <w:lang w:val="en-US"/>
        </w:rPr>
      </w:pPr>
      <w:r>
        <w:rPr>
          <w:rFonts w:hint="eastAsia" w:cs="宋体"/>
          <w:highlight w:val="none"/>
          <w:lang w:val="en-US" w:eastAsia="zh-CN"/>
        </w:rPr>
        <w:t>4</w:t>
      </w:r>
      <w:r>
        <w:rPr>
          <w:rFonts w:hint="eastAsia" w:cs="宋体"/>
          <w:highlight w:val="none"/>
        </w:rPr>
        <w:t>.</w:t>
      </w:r>
      <w:r>
        <w:rPr>
          <w:rFonts w:hint="eastAsia" w:ascii="宋体" w:hAnsi="宋体" w:cs="宋体"/>
          <w:b w:val="0"/>
          <w:bCs w:val="0"/>
          <w:highlight w:val="none"/>
          <w:lang w:val="en-US" w:eastAsia="zh-CN"/>
        </w:rPr>
        <w:t>以上报价含生产制作、包装、运输、保险、安装调试、利润、税金、专利技术、培训、技术支持等一切费用。</w:t>
      </w:r>
    </w:p>
    <w:p w14:paraId="329BDE3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宋体"/>
          <w:highlight w:val="none"/>
          <w:lang w:val="en-US" w:eastAsia="zh-CN"/>
        </w:rPr>
      </w:pPr>
      <w:r>
        <w:rPr>
          <w:rFonts w:hint="eastAsia" w:hAnsi="Times New Roman" w:eastAsia="宋体" w:cs="宋体"/>
          <w:highlight w:val="none"/>
          <w:lang w:val="en-US" w:eastAsia="zh-CN"/>
        </w:rPr>
        <w:t>5</w:t>
      </w:r>
      <w:r>
        <w:rPr>
          <w:rFonts w:hint="eastAsia" w:ascii="宋体" w:hAnsi="Times New Roman" w:eastAsia="宋体" w:cs="宋体"/>
          <w:highlight w:val="none"/>
          <w:lang w:val="en-US" w:eastAsia="zh-CN"/>
        </w:rPr>
        <w:t>.此表可自行扩展。</w:t>
      </w:r>
    </w:p>
    <w:p w14:paraId="17AE17D6">
      <w:pPr>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br w:type="page"/>
      </w:r>
    </w:p>
    <w:p w14:paraId="66D0EF77">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纳入节能产品政府采购清单的投标产品及纳入环境标志产品</w:t>
      </w:r>
    </w:p>
    <w:p w14:paraId="52879710">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政府采购清单的投标产品的证明材料</w:t>
      </w:r>
      <w:r>
        <w:rPr>
          <w:rFonts w:hint="eastAsia" w:ascii="宋体" w:hAnsi="宋体" w:eastAsia="宋体" w:cs="宋体"/>
          <w:b/>
          <w:bCs/>
          <w:color w:val="auto"/>
          <w:kern w:val="0"/>
          <w:sz w:val="24"/>
          <w:szCs w:val="24"/>
          <w:highlight w:val="none"/>
          <w:lang w:eastAsia="zh-CN"/>
        </w:rPr>
        <w:t>（如是，请提供）</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85"/>
        <w:gridCol w:w="2387"/>
        <w:gridCol w:w="1075"/>
        <w:gridCol w:w="2644"/>
        <w:gridCol w:w="884"/>
      </w:tblGrid>
      <w:tr w14:paraId="4BCF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center"/>
          </w:tcPr>
          <w:p w14:paraId="3940914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185" w:type="dxa"/>
            <w:noWrap w:val="0"/>
            <w:vAlign w:val="center"/>
          </w:tcPr>
          <w:p w14:paraId="4CE313F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项目编码</w:t>
            </w:r>
          </w:p>
        </w:tc>
        <w:tc>
          <w:tcPr>
            <w:tcW w:w="2387" w:type="dxa"/>
            <w:noWrap w:val="0"/>
            <w:vAlign w:val="center"/>
          </w:tcPr>
          <w:p w14:paraId="2089CF0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是否纳入节能产品政府采购清单的投标产品</w:t>
            </w:r>
          </w:p>
        </w:tc>
        <w:tc>
          <w:tcPr>
            <w:tcW w:w="1075" w:type="dxa"/>
            <w:noWrap w:val="0"/>
            <w:vAlign w:val="center"/>
          </w:tcPr>
          <w:p w14:paraId="39B40DD3">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c>
          <w:tcPr>
            <w:tcW w:w="2644" w:type="dxa"/>
            <w:noWrap w:val="0"/>
            <w:vAlign w:val="center"/>
          </w:tcPr>
          <w:p w14:paraId="3A99245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是否纳入环境标志产品政府采购清单的投标产品</w:t>
            </w:r>
          </w:p>
        </w:tc>
        <w:tc>
          <w:tcPr>
            <w:tcW w:w="884" w:type="dxa"/>
            <w:noWrap w:val="0"/>
            <w:vAlign w:val="center"/>
          </w:tcPr>
          <w:p w14:paraId="593903E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r>
      <w:tr w14:paraId="10F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A63D64">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85" w:type="dxa"/>
            <w:noWrap w:val="0"/>
            <w:vAlign w:val="top"/>
          </w:tcPr>
          <w:p w14:paraId="52BB8C4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E3D999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72D782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BCE34A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FF810EE">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060F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565E0B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85" w:type="dxa"/>
            <w:noWrap w:val="0"/>
            <w:vAlign w:val="top"/>
          </w:tcPr>
          <w:p w14:paraId="7F409E9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259F83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CC11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11C5D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323F1F8">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3B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3692AB82">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85" w:type="dxa"/>
            <w:noWrap w:val="0"/>
            <w:vAlign w:val="top"/>
          </w:tcPr>
          <w:p w14:paraId="3C7ACB7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39EBDC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125F2F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64B5B1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16D3BB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20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94067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85" w:type="dxa"/>
            <w:noWrap w:val="0"/>
            <w:vAlign w:val="top"/>
          </w:tcPr>
          <w:p w14:paraId="1DE7D0C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2C5ADD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24484FA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82E83E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ADB3C4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92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4734226">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85" w:type="dxa"/>
            <w:noWrap w:val="0"/>
            <w:vAlign w:val="top"/>
          </w:tcPr>
          <w:p w14:paraId="5BE0D7C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755CE2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F8C268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F79457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7A471025">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385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E1978AC">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85" w:type="dxa"/>
            <w:noWrap w:val="0"/>
            <w:vAlign w:val="top"/>
          </w:tcPr>
          <w:p w14:paraId="79B244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0D2019F">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465DC9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2445A2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B348C0D">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744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7AE0238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85" w:type="dxa"/>
            <w:noWrap w:val="0"/>
            <w:vAlign w:val="top"/>
          </w:tcPr>
          <w:p w14:paraId="435B237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3E5AF91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34DFE62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9AFEF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6D6FE3A6">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4B15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50A04FF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85" w:type="dxa"/>
            <w:noWrap w:val="0"/>
            <w:vAlign w:val="top"/>
          </w:tcPr>
          <w:p w14:paraId="60D1513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C134F8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937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30CF412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107A6634">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530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5B2DA0F">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185" w:type="dxa"/>
            <w:noWrap w:val="0"/>
            <w:vAlign w:val="top"/>
          </w:tcPr>
          <w:p w14:paraId="298668F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F90EABB">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F48C782">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c>
          <w:tcPr>
            <w:tcW w:w="2644" w:type="dxa"/>
            <w:noWrap w:val="0"/>
            <w:vAlign w:val="top"/>
          </w:tcPr>
          <w:p w14:paraId="6A3ADB8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31AB626">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r>
    </w:tbl>
    <w:p w14:paraId="6B42B0BA">
      <w:pPr>
        <w:bidi w:val="0"/>
        <w:jc w:val="center"/>
        <w:rPr>
          <w:rFonts w:hint="eastAsia"/>
          <w:lang w:val="en-US" w:eastAsia="zh-CN"/>
        </w:rPr>
      </w:pPr>
    </w:p>
    <w:p w14:paraId="2A519C05">
      <w:pPr>
        <w:rPr>
          <w:rFonts w:hint="eastAsia"/>
          <w:lang w:val="zh-CN"/>
        </w:rPr>
        <w:sectPr>
          <w:pgSz w:w="11906" w:h="16838"/>
          <w:pgMar w:top="1440" w:right="1080" w:bottom="1440" w:left="1080" w:header="708" w:footer="708" w:gutter="0"/>
          <w:pgNumType w:fmt="decimal"/>
          <w:cols w:space="720" w:num="1"/>
          <w:docGrid w:linePitch="360" w:charSpace="0"/>
        </w:sectPr>
      </w:pPr>
    </w:p>
    <w:p w14:paraId="6AEE1AA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72" w:name="_Toc13353"/>
      <w:bookmarkStart w:id="73" w:name="_Toc20173"/>
      <w:r>
        <w:rPr>
          <w:rFonts w:hint="eastAsia" w:ascii="宋体" w:cs="宋体-18030"/>
          <w:b/>
          <w:bCs/>
          <w:color w:val="000000"/>
          <w:kern w:val="0"/>
          <w:sz w:val="30"/>
          <w:szCs w:val="30"/>
          <w:highlight w:val="none"/>
        </w:rPr>
        <w:t>三、法定代表人身份证明及授权委托书</w:t>
      </w:r>
      <w:bookmarkEnd w:id="72"/>
      <w:bookmarkEnd w:id="73"/>
    </w:p>
    <w:p w14:paraId="335A9788">
      <w:pPr>
        <w:autoSpaceDE w:val="0"/>
        <w:autoSpaceDN w:val="0"/>
        <w:adjustRightInd w:val="0"/>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4"/>
          <w:szCs w:val="24"/>
          <w:highlight w:val="none"/>
        </w:rPr>
        <w:t>(一) 法定代表人身份证明</w:t>
      </w:r>
    </w:p>
    <w:p w14:paraId="358BBFA6">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28D94576">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投标人名称：</w:t>
      </w:r>
    </w:p>
    <w:p w14:paraId="09A56A05">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单位性质：</w:t>
      </w:r>
    </w:p>
    <w:p w14:paraId="4780745C">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地址：</w:t>
      </w:r>
    </w:p>
    <w:p w14:paraId="4E570F61">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成立时间：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月</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日</w:t>
      </w:r>
    </w:p>
    <w:p w14:paraId="4CB56594">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 xml:space="preserve">经营期限： </w:t>
      </w:r>
    </w:p>
    <w:p w14:paraId="066C97A7">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姓名：性别：年龄：职务：</w:t>
      </w:r>
    </w:p>
    <w:p w14:paraId="176F04E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w:t>
      </w:r>
    </w:p>
    <w:p w14:paraId="102D3A02">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37C70E3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特此证明。</w:t>
      </w:r>
    </w:p>
    <w:p w14:paraId="56932D53">
      <w:pPr>
        <w:jc w:val="center"/>
        <w:rPr>
          <w:color w:val="000000"/>
          <w:highlight w:val="none"/>
        </w:rPr>
      </w:pPr>
    </w:p>
    <w:tbl>
      <w:tblPr>
        <w:tblStyle w:val="21"/>
        <w:tblW w:w="3496" w:type="dxa"/>
        <w:tblInd w:w="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57D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496" w:type="dxa"/>
            <w:noWrap w:val="0"/>
            <w:vAlign w:val="top"/>
          </w:tcPr>
          <w:p w14:paraId="7DC7BB0E">
            <w:pPr>
              <w:jc w:val="center"/>
              <w:rPr>
                <w:color w:val="000000"/>
                <w:highlight w:val="none"/>
              </w:rPr>
            </w:pPr>
          </w:p>
          <w:p w14:paraId="6691F2FF">
            <w:pPr>
              <w:jc w:val="center"/>
              <w:rPr>
                <w:color w:val="000000"/>
                <w:highlight w:val="none"/>
              </w:rPr>
            </w:pPr>
          </w:p>
          <w:p w14:paraId="3B3D55B0">
            <w:pPr>
              <w:jc w:val="center"/>
              <w:rPr>
                <w:color w:val="000000"/>
                <w:highlight w:val="none"/>
              </w:rPr>
            </w:pPr>
          </w:p>
          <w:p w14:paraId="1F8789F9">
            <w:pPr>
              <w:jc w:val="center"/>
              <w:rPr>
                <w:color w:val="000000"/>
                <w:highlight w:val="none"/>
              </w:rPr>
            </w:pPr>
          </w:p>
          <w:p w14:paraId="6983FFCE">
            <w:pPr>
              <w:jc w:val="center"/>
              <w:rPr>
                <w:rFonts w:hint="eastAsia"/>
                <w:color w:val="000000"/>
                <w:highlight w:val="none"/>
              </w:rPr>
            </w:pPr>
            <w:r>
              <w:rPr>
                <w:rFonts w:hint="eastAsia"/>
                <w:color w:val="000000"/>
                <w:highlight w:val="none"/>
              </w:rPr>
              <w:t>法定代表人身份证复印件正反面</w:t>
            </w:r>
          </w:p>
          <w:p w14:paraId="1635CBC8">
            <w:pPr>
              <w:jc w:val="center"/>
              <w:rPr>
                <w:color w:val="000000"/>
                <w:highlight w:val="none"/>
              </w:rPr>
            </w:pPr>
          </w:p>
        </w:tc>
      </w:tr>
    </w:tbl>
    <w:p w14:paraId="517C1B0F">
      <w:pPr>
        <w:jc w:val="center"/>
        <w:rPr>
          <w:color w:val="000000"/>
          <w:highlight w:val="none"/>
        </w:rPr>
      </w:pPr>
    </w:p>
    <w:p w14:paraId="68A60EF0">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2BFFC48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07860517">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4BF45FF3">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6D2115AB">
      <w:pPr>
        <w:wordWrap w:val="0"/>
        <w:autoSpaceDE w:val="0"/>
        <w:autoSpaceDN w:val="0"/>
        <w:adjustRightInd w:val="0"/>
        <w:snapToGrid w:val="0"/>
        <w:spacing w:line="36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661CEC1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5219DAF0">
      <w:pPr>
        <w:wordWrap w:val="0"/>
        <w:autoSpaceDE w:val="0"/>
        <w:autoSpaceDN w:val="0"/>
        <w:adjustRightInd w:val="0"/>
        <w:snapToGrid w:val="0"/>
        <w:spacing w:line="360" w:lineRule="auto"/>
        <w:ind w:left="928" w:leftChars="442"/>
        <w:jc w:val="right"/>
        <w:rPr>
          <w:rFonts w:hint="eastAsia" w:ascii="宋体" w:cs="宋体-18030"/>
          <w:color w:val="000000"/>
          <w:kern w:val="0"/>
          <w:highlight w:val="none"/>
          <w:u w:val="singl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0B626DA2">
      <w:pPr>
        <w:autoSpaceDE w:val="0"/>
        <w:autoSpaceDN w:val="0"/>
        <w:adjustRightInd w:val="0"/>
        <w:snapToGrid w:val="0"/>
        <w:spacing w:line="360" w:lineRule="auto"/>
        <w:ind w:left="928" w:leftChars="442"/>
        <w:jc w:val="right"/>
        <w:rPr>
          <w:rFonts w:hint="eastAsia" w:ascii="宋体" w:cs="宋体-18030"/>
          <w:color w:val="000000"/>
          <w:kern w:val="0"/>
          <w:highlight w:val="none"/>
        </w:rPr>
      </w:pPr>
    </w:p>
    <w:p w14:paraId="08E73627">
      <w:pPr>
        <w:snapToGrid w:val="0"/>
        <w:spacing w:line="360" w:lineRule="auto"/>
        <w:ind w:left="210" w:leftChars="100" w:firstLine="2520" w:firstLineChars="1200"/>
        <w:jc w:val="right"/>
        <w:rPr>
          <w:rFonts w:hint="eastAsia" w:ascii="宋体" w:cs="宋体-18030"/>
          <w:color w:val="000000"/>
          <w:kern w:val="0"/>
          <w:highlight w:val="none"/>
        </w:rPr>
      </w:pPr>
      <w:r>
        <w:rPr>
          <w:rFonts w:hint="eastAsia" w:ascii="宋体" w:cs="宋体-18030"/>
          <w:color w:val="000000"/>
          <w:kern w:val="0"/>
          <w:highlight w:val="none"/>
        </w:rPr>
        <w:t>年   月    日</w:t>
      </w:r>
    </w:p>
    <w:p w14:paraId="5DA96508">
      <w:pPr>
        <w:snapToGrid w:val="0"/>
        <w:spacing w:line="360" w:lineRule="auto"/>
        <w:ind w:firstLine="2880" w:firstLineChars="1200"/>
        <w:jc w:val="right"/>
        <w:rPr>
          <w:rFonts w:hint="eastAsia" w:ascii="宋体" w:cs="宋体-18030"/>
          <w:color w:val="000000"/>
          <w:kern w:val="0"/>
          <w:sz w:val="24"/>
          <w:szCs w:val="24"/>
          <w:highlight w:val="none"/>
        </w:rPr>
      </w:pPr>
    </w:p>
    <w:p w14:paraId="4BA431BF">
      <w:pPr>
        <w:snapToGrid w:val="0"/>
        <w:spacing w:line="360" w:lineRule="auto"/>
        <w:ind w:firstLine="2520" w:firstLineChars="1200"/>
        <w:jc w:val="right"/>
        <w:rPr>
          <w:rFonts w:hint="eastAsia" w:ascii="宋体" w:cs="宋体-18030"/>
          <w:color w:val="000000"/>
          <w:kern w:val="0"/>
          <w:highlight w:val="none"/>
        </w:rPr>
      </w:pPr>
    </w:p>
    <w:p w14:paraId="22297FD7">
      <w:pPr>
        <w:snapToGrid w:val="0"/>
        <w:spacing w:line="360" w:lineRule="auto"/>
        <w:ind w:firstLine="2520" w:firstLineChars="1200"/>
        <w:jc w:val="right"/>
        <w:rPr>
          <w:rFonts w:hint="eastAsia" w:ascii="宋体" w:cs="宋体-18030"/>
          <w:color w:val="000000"/>
          <w:kern w:val="0"/>
          <w:highlight w:val="none"/>
        </w:rPr>
      </w:pPr>
    </w:p>
    <w:p w14:paraId="270C08F6">
      <w:pPr>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8"/>
          <w:szCs w:val="28"/>
          <w:highlight w:val="none"/>
        </w:rPr>
        <w:br w:type="page"/>
      </w:r>
      <w:r>
        <w:rPr>
          <w:rFonts w:hint="eastAsia" w:ascii="宋体" w:cs="宋体-18030"/>
          <w:b/>
          <w:bCs/>
          <w:color w:val="000000"/>
          <w:kern w:val="0"/>
          <w:sz w:val="30"/>
          <w:szCs w:val="30"/>
          <w:highlight w:val="none"/>
        </w:rPr>
        <w:t>(二)授权委托书</w:t>
      </w:r>
    </w:p>
    <w:p w14:paraId="3611C84F">
      <w:pPr>
        <w:autoSpaceDE w:val="0"/>
        <w:autoSpaceDN w:val="0"/>
        <w:adjustRightInd w:val="0"/>
        <w:snapToGrid w:val="0"/>
        <w:spacing w:line="360" w:lineRule="auto"/>
        <w:jc w:val="left"/>
        <w:rPr>
          <w:rFonts w:hint="eastAsia" w:ascii="宋体" w:cs="宋体-18030"/>
          <w:color w:val="000000"/>
          <w:kern w:val="0"/>
          <w:highlight w:val="none"/>
        </w:rPr>
      </w:pPr>
    </w:p>
    <w:p w14:paraId="084D3B9D">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本人</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的法定代表人，现委托</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为我方代理人。代理人根据授权，以我方名义签署、澄清、说明、补正、递交、撤回、修改</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投标文件、签订合同和处理有关事宜，其法律后果由我方承担。</w:t>
      </w:r>
    </w:p>
    <w:p w14:paraId="4C2361A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委托期限：     。</w:t>
      </w:r>
    </w:p>
    <w:p w14:paraId="3C0B75C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代理人无转委托权。</w:t>
      </w:r>
    </w:p>
    <w:p w14:paraId="2104C821">
      <w:pPr>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附：法定代表人身份证；被授权人身份证。</w:t>
      </w:r>
    </w:p>
    <w:p w14:paraId="65AAE460">
      <w:pPr>
        <w:autoSpaceDE w:val="0"/>
        <w:autoSpaceDN w:val="0"/>
        <w:adjustRightInd w:val="0"/>
        <w:snapToGrid w:val="0"/>
        <w:spacing w:line="360" w:lineRule="auto"/>
        <w:ind w:left="540" w:leftChars="257"/>
        <w:jc w:val="left"/>
        <w:rPr>
          <w:rFonts w:hint="eastAsia" w:ascii="宋体" w:cs="宋体-18030"/>
          <w:color w:val="000000"/>
          <w:kern w:val="0"/>
          <w:highlight w:val="none"/>
        </w:rPr>
      </w:pPr>
    </w:p>
    <w:tbl>
      <w:tblPr>
        <w:tblStyle w:val="21"/>
        <w:tblpPr w:leftFromText="180" w:rightFromText="180" w:vertAnchor="text" w:horzAnchor="page" w:tblpX="1509" w:tblpY="5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72F6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top w:val="single" w:color="auto" w:sz="4" w:space="0"/>
              <w:left w:val="single" w:color="auto" w:sz="4" w:space="0"/>
              <w:bottom w:val="single" w:color="auto" w:sz="4" w:space="0"/>
              <w:right w:val="single" w:color="auto" w:sz="4" w:space="0"/>
            </w:tcBorders>
            <w:noWrap w:val="0"/>
            <w:vAlign w:val="top"/>
          </w:tcPr>
          <w:p w14:paraId="063B2345">
            <w:pPr>
              <w:spacing w:line="480" w:lineRule="auto"/>
              <w:jc w:val="center"/>
              <w:rPr>
                <w:color w:val="000000"/>
                <w:highlight w:val="none"/>
              </w:rPr>
            </w:pPr>
          </w:p>
          <w:p w14:paraId="5C63C4AE">
            <w:pPr>
              <w:spacing w:line="480" w:lineRule="auto"/>
              <w:jc w:val="center"/>
              <w:rPr>
                <w:color w:val="000000"/>
                <w:highlight w:val="none"/>
              </w:rPr>
            </w:pPr>
            <w:r>
              <w:rPr>
                <w:rFonts w:hint="eastAsia"/>
                <w:color w:val="000000"/>
                <w:highlight w:val="none"/>
              </w:rPr>
              <w:t>法定代表人身份证正反面复印件</w:t>
            </w:r>
          </w:p>
        </w:tc>
        <w:tc>
          <w:tcPr>
            <w:tcW w:w="687" w:type="dxa"/>
            <w:tcBorders>
              <w:top w:val="nil"/>
              <w:left w:val="single" w:color="auto" w:sz="4" w:space="0"/>
              <w:bottom w:val="nil"/>
              <w:right w:val="single" w:color="auto" w:sz="4" w:space="0"/>
            </w:tcBorders>
            <w:noWrap w:val="0"/>
            <w:vAlign w:val="top"/>
          </w:tcPr>
          <w:p w14:paraId="09AF9F91">
            <w:pPr>
              <w:spacing w:line="480" w:lineRule="auto"/>
              <w:jc w:val="center"/>
              <w:rPr>
                <w:color w:val="000000"/>
                <w:highlight w:val="none"/>
              </w:rPr>
            </w:pPr>
          </w:p>
        </w:tc>
        <w:tc>
          <w:tcPr>
            <w:tcW w:w="4156" w:type="dxa"/>
            <w:tcBorders>
              <w:top w:val="single" w:color="auto" w:sz="4" w:space="0"/>
              <w:left w:val="single" w:color="auto" w:sz="4" w:space="0"/>
              <w:bottom w:val="single" w:color="auto" w:sz="4" w:space="0"/>
              <w:right w:val="single" w:color="auto" w:sz="4" w:space="0"/>
            </w:tcBorders>
            <w:noWrap w:val="0"/>
            <w:vAlign w:val="top"/>
          </w:tcPr>
          <w:p w14:paraId="534CF334">
            <w:pPr>
              <w:spacing w:line="480" w:lineRule="auto"/>
              <w:jc w:val="center"/>
              <w:rPr>
                <w:color w:val="000000"/>
                <w:highlight w:val="none"/>
              </w:rPr>
            </w:pPr>
          </w:p>
          <w:p w14:paraId="1132009A">
            <w:pPr>
              <w:spacing w:line="480" w:lineRule="auto"/>
              <w:jc w:val="center"/>
              <w:rPr>
                <w:color w:val="000000"/>
                <w:highlight w:val="none"/>
              </w:rPr>
            </w:pPr>
            <w:r>
              <w:rPr>
                <w:rFonts w:hint="eastAsia"/>
                <w:color w:val="000000"/>
                <w:highlight w:val="none"/>
              </w:rPr>
              <w:t>授权委托人身份证正反面复印件</w:t>
            </w:r>
          </w:p>
        </w:tc>
      </w:tr>
    </w:tbl>
    <w:p w14:paraId="22FDFBCF">
      <w:pPr>
        <w:autoSpaceDE w:val="0"/>
        <w:autoSpaceDN w:val="0"/>
        <w:adjustRightInd w:val="0"/>
        <w:snapToGrid w:val="0"/>
        <w:spacing w:line="360" w:lineRule="auto"/>
        <w:jc w:val="left"/>
        <w:rPr>
          <w:rFonts w:hint="eastAsia" w:ascii="宋体" w:cs="宋体-18030"/>
          <w:color w:val="000000"/>
          <w:kern w:val="0"/>
          <w:highlight w:val="none"/>
        </w:rPr>
      </w:pPr>
    </w:p>
    <w:p w14:paraId="089CB932">
      <w:pPr>
        <w:autoSpaceDE w:val="0"/>
        <w:autoSpaceDN w:val="0"/>
        <w:adjustRightInd w:val="0"/>
        <w:snapToGrid w:val="0"/>
        <w:spacing w:line="480" w:lineRule="auto"/>
        <w:jc w:val="left"/>
        <w:rPr>
          <w:rFonts w:hint="eastAsia" w:ascii="宋体" w:cs="宋体-18030"/>
          <w:color w:val="000000"/>
          <w:kern w:val="0"/>
          <w:highlight w:val="none"/>
        </w:rPr>
      </w:pPr>
    </w:p>
    <w:p w14:paraId="0B9AC1FA">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00EF84E7">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782FC1C5">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79E6BAD2">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委托代理人：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17E32939">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3EC9A77A">
      <w:pPr>
        <w:snapToGrid w:val="0"/>
        <w:spacing w:line="360" w:lineRule="auto"/>
        <w:ind w:firstLine="1890" w:firstLineChars="900"/>
        <w:jc w:val="right"/>
        <w:rPr>
          <w:rFonts w:hint="eastAsia" w:ascii="宋体" w:cs="宋体-18030"/>
          <w:color w:val="000000"/>
          <w:kern w:val="0"/>
          <w:highlight w:val="none"/>
          <w:u w:val="single"/>
        </w:rPr>
      </w:pPr>
    </w:p>
    <w:p w14:paraId="251776BA">
      <w:pPr>
        <w:snapToGrid w:val="0"/>
        <w:spacing w:line="360" w:lineRule="auto"/>
        <w:ind w:firstLine="1890" w:firstLineChars="900"/>
        <w:jc w:val="right"/>
        <w:rPr>
          <w:rFonts w:hint="eastAsia" w:ascii="宋体" w:cs="宋体-18030"/>
          <w:color w:val="000000"/>
          <w:kern w:val="0"/>
          <w:highlight w:val="none"/>
        </w:rPr>
      </w:pPr>
      <w:r>
        <w:rPr>
          <w:rFonts w:hint="eastAsia" w:ascii="宋体" w:cs="宋体-18030"/>
          <w:color w:val="000000"/>
          <w:kern w:val="0"/>
          <w:highlight w:val="none"/>
        </w:rPr>
        <w:t xml:space="preserve"> 年   月   日</w:t>
      </w:r>
    </w:p>
    <w:p w14:paraId="44D46A2B">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BC8536E">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F120BC5">
      <w:pPr>
        <w:rPr>
          <w:rFonts w:hint="eastAsia" w:ascii="宋体" w:cs="宋体"/>
          <w:color w:val="000000"/>
          <w:highlight w:val="none"/>
        </w:rPr>
      </w:pPr>
    </w:p>
    <w:p w14:paraId="2B46DCA7">
      <w:pPr>
        <w:autoSpaceDE w:val="0"/>
        <w:autoSpaceDN w:val="0"/>
        <w:adjustRightInd w:val="0"/>
        <w:snapToGrid w:val="0"/>
        <w:spacing w:line="360" w:lineRule="auto"/>
        <w:jc w:val="center"/>
        <w:outlineLvl w:val="0"/>
        <w:rPr>
          <w:rFonts w:hint="default" w:ascii="宋体" w:eastAsia="宋体" w:cs="宋体-18030"/>
          <w:b/>
          <w:bCs/>
          <w:color w:val="000000"/>
          <w:kern w:val="0"/>
          <w:sz w:val="30"/>
          <w:szCs w:val="30"/>
          <w:highlight w:val="none"/>
          <w:lang w:val="en-US" w:eastAsia="zh-CN"/>
        </w:rPr>
      </w:pPr>
      <w:r>
        <w:rPr>
          <w:rFonts w:hint="eastAsia" w:ascii="宋体" w:cs="宋体-18030"/>
          <w:b/>
          <w:bCs/>
          <w:color w:val="000000"/>
          <w:kern w:val="0"/>
          <w:sz w:val="30"/>
          <w:szCs w:val="30"/>
          <w:highlight w:val="none"/>
        </w:rPr>
        <w:br w:type="page"/>
      </w:r>
      <w:bookmarkStart w:id="74" w:name="_Toc2884"/>
      <w:bookmarkStart w:id="75" w:name="_Toc19281"/>
      <w:r>
        <w:rPr>
          <w:rFonts w:hint="eastAsia" w:ascii="宋体" w:cs="宋体-18030"/>
          <w:b/>
          <w:bCs/>
          <w:color w:val="000000"/>
          <w:kern w:val="0"/>
          <w:sz w:val="30"/>
          <w:szCs w:val="30"/>
          <w:highlight w:val="none"/>
        </w:rPr>
        <w:t>四、投标保证金</w:t>
      </w:r>
      <w:bookmarkEnd w:id="74"/>
      <w:r>
        <w:rPr>
          <w:rFonts w:hint="eastAsia" w:ascii="宋体" w:cs="宋体-18030"/>
          <w:b/>
          <w:bCs/>
          <w:color w:val="000000"/>
          <w:kern w:val="0"/>
          <w:sz w:val="30"/>
          <w:szCs w:val="30"/>
          <w:highlight w:val="none"/>
          <w:lang w:val="en-US" w:eastAsia="zh-CN"/>
        </w:rPr>
        <w:t>-无</w:t>
      </w:r>
      <w:bookmarkEnd w:id="75"/>
    </w:p>
    <w:p w14:paraId="26E09E54">
      <w:pPr>
        <w:snapToGrid w:val="0"/>
        <w:spacing w:line="360" w:lineRule="auto"/>
        <w:rPr>
          <w:rFonts w:hint="eastAsia" w:ascii="宋体"/>
          <w:b/>
          <w:bCs/>
          <w:color w:val="000000"/>
          <w:sz w:val="24"/>
          <w:szCs w:val="24"/>
          <w:highlight w:val="none"/>
        </w:rPr>
      </w:pPr>
    </w:p>
    <w:p w14:paraId="1D1304F8">
      <w:pPr>
        <w:autoSpaceDE w:val="0"/>
        <w:autoSpaceDN w:val="0"/>
        <w:adjustRightInd w:val="0"/>
        <w:snapToGrid w:val="0"/>
        <w:spacing w:line="360" w:lineRule="auto"/>
        <w:ind w:firstLine="601"/>
        <w:jc w:val="left"/>
        <w:rPr>
          <w:rFonts w:hint="eastAsia" w:ascii="宋体"/>
          <w:color w:val="000000"/>
          <w:kern w:val="0"/>
          <w:highlight w:val="none"/>
        </w:rPr>
      </w:pPr>
    </w:p>
    <w:tbl>
      <w:tblPr>
        <w:tblStyle w:val="21"/>
        <w:tblW w:w="8880" w:type="dxa"/>
        <w:tblInd w:w="675" w:type="dxa"/>
        <w:tblLayout w:type="fixed"/>
        <w:tblCellMar>
          <w:top w:w="0" w:type="dxa"/>
          <w:left w:w="108" w:type="dxa"/>
          <w:bottom w:w="0" w:type="dxa"/>
          <w:right w:w="108" w:type="dxa"/>
        </w:tblCellMar>
      </w:tblPr>
      <w:tblGrid>
        <w:gridCol w:w="8880"/>
      </w:tblGrid>
      <w:tr w14:paraId="0CD5C06D">
        <w:tblPrEx>
          <w:tblCellMar>
            <w:top w:w="0" w:type="dxa"/>
            <w:left w:w="108" w:type="dxa"/>
            <w:bottom w:w="0" w:type="dxa"/>
            <w:right w:w="108" w:type="dxa"/>
          </w:tblCellMar>
        </w:tblPrEx>
        <w:trPr>
          <w:trHeight w:val="3409" w:hRule="atLeast"/>
        </w:trPr>
        <w:tc>
          <w:tcPr>
            <w:tcW w:w="8880" w:type="dxa"/>
            <w:tcBorders>
              <w:top w:val="single" w:color="000000" w:sz="4" w:space="0"/>
              <w:left w:val="single" w:color="000000" w:sz="4" w:space="0"/>
              <w:bottom w:val="single" w:color="000000" w:sz="4" w:space="0"/>
              <w:right w:val="single" w:color="000000" w:sz="4" w:space="0"/>
            </w:tcBorders>
            <w:noWrap w:val="0"/>
            <w:vAlign w:val="top"/>
          </w:tcPr>
          <w:p w14:paraId="1B8C7A41">
            <w:pPr>
              <w:spacing w:line="360" w:lineRule="auto"/>
              <w:jc w:val="left"/>
              <w:rPr>
                <w:rFonts w:hint="eastAsia" w:ascii="宋体"/>
                <w:b/>
                <w:bCs/>
                <w:color w:val="000000"/>
                <w:kern w:val="0"/>
                <w:highlight w:val="none"/>
              </w:rPr>
            </w:pPr>
          </w:p>
          <w:p w14:paraId="5958BF2A">
            <w:pPr>
              <w:spacing w:line="360" w:lineRule="auto"/>
              <w:jc w:val="left"/>
              <w:rPr>
                <w:rFonts w:hint="eastAsia" w:ascii="宋体"/>
                <w:b/>
                <w:bCs/>
                <w:color w:val="000000"/>
                <w:highlight w:val="none"/>
              </w:rPr>
            </w:pPr>
            <w:r>
              <w:rPr>
                <w:rFonts w:hint="eastAsia" w:ascii="宋体"/>
                <w:b/>
                <w:bCs/>
                <w:color w:val="000000"/>
                <w:kern w:val="0"/>
                <w:highlight w:val="none"/>
              </w:rPr>
              <w:t>附：</w:t>
            </w:r>
            <w:r>
              <w:rPr>
                <w:rFonts w:hint="eastAsia" w:ascii="宋体"/>
                <w:b/>
                <w:bCs/>
                <w:color w:val="000000"/>
                <w:highlight w:val="none"/>
              </w:rPr>
              <w:t>1.投标人的保证金转账凭证复印件（无须提供可不附）；</w:t>
            </w:r>
          </w:p>
          <w:p w14:paraId="44C0789D">
            <w:pPr>
              <w:spacing w:line="360" w:lineRule="auto"/>
              <w:ind w:firstLine="422" w:firstLineChars="200"/>
              <w:jc w:val="left"/>
              <w:rPr>
                <w:rFonts w:hint="eastAsia" w:ascii="宋体"/>
                <w:b/>
                <w:bCs/>
                <w:color w:val="000000"/>
                <w:highlight w:val="none"/>
              </w:rPr>
            </w:pPr>
            <w:r>
              <w:rPr>
                <w:rFonts w:hint="eastAsia" w:ascii="宋体"/>
                <w:b/>
                <w:bCs/>
                <w:color w:val="000000"/>
                <w:highlight w:val="none"/>
              </w:rPr>
              <w:t>2.投标人的开户许可证或开户信息复印件。</w:t>
            </w:r>
          </w:p>
          <w:p w14:paraId="3A01303A">
            <w:pPr>
              <w:autoSpaceDE w:val="0"/>
              <w:autoSpaceDN w:val="0"/>
              <w:adjustRightInd w:val="0"/>
              <w:snapToGrid w:val="0"/>
              <w:spacing w:line="360" w:lineRule="auto"/>
              <w:jc w:val="left"/>
              <w:rPr>
                <w:rFonts w:hint="eastAsia" w:ascii="宋体"/>
                <w:b/>
                <w:bCs/>
                <w:color w:val="000000"/>
                <w:kern w:val="0"/>
                <w:highlight w:val="none"/>
              </w:rPr>
            </w:pPr>
          </w:p>
          <w:p w14:paraId="30835981">
            <w:pPr>
              <w:autoSpaceDE w:val="0"/>
              <w:autoSpaceDN w:val="0"/>
              <w:adjustRightInd w:val="0"/>
              <w:snapToGrid w:val="0"/>
              <w:spacing w:line="360" w:lineRule="auto"/>
              <w:jc w:val="left"/>
              <w:rPr>
                <w:rFonts w:hint="eastAsia" w:ascii="宋体"/>
                <w:color w:val="000000"/>
                <w:kern w:val="0"/>
                <w:highlight w:val="none"/>
              </w:rPr>
            </w:pPr>
          </w:p>
        </w:tc>
      </w:tr>
    </w:tbl>
    <w:p w14:paraId="749134E6">
      <w:pPr>
        <w:autoSpaceDE w:val="0"/>
        <w:autoSpaceDN w:val="0"/>
        <w:adjustRightInd w:val="0"/>
        <w:snapToGrid w:val="0"/>
        <w:spacing w:line="360" w:lineRule="auto"/>
        <w:ind w:firstLine="570"/>
        <w:jc w:val="left"/>
        <w:rPr>
          <w:rFonts w:hint="eastAsia" w:ascii="宋体"/>
          <w:color w:val="000000"/>
          <w:kern w:val="0"/>
          <w:highlight w:val="none"/>
        </w:rPr>
      </w:pPr>
    </w:p>
    <w:p w14:paraId="17A813E1">
      <w:pPr>
        <w:autoSpaceDE w:val="0"/>
        <w:autoSpaceDN w:val="0"/>
        <w:adjustRightInd w:val="0"/>
        <w:snapToGrid w:val="0"/>
        <w:spacing w:line="360" w:lineRule="auto"/>
        <w:ind w:firstLine="570"/>
        <w:jc w:val="left"/>
        <w:rPr>
          <w:rFonts w:hint="eastAsia" w:ascii="宋体"/>
          <w:color w:val="000000"/>
          <w:highlight w:val="none"/>
        </w:rPr>
      </w:pPr>
    </w:p>
    <w:p w14:paraId="12DB1F6A">
      <w:pPr>
        <w:autoSpaceDE w:val="0"/>
        <w:autoSpaceDN w:val="0"/>
        <w:adjustRightInd w:val="0"/>
        <w:snapToGrid w:val="0"/>
        <w:spacing w:line="360" w:lineRule="auto"/>
        <w:ind w:firstLine="570"/>
        <w:jc w:val="left"/>
        <w:rPr>
          <w:rFonts w:hint="eastAsia" w:ascii="宋体"/>
          <w:color w:val="000000"/>
          <w:kern w:val="0"/>
          <w:highlight w:val="none"/>
        </w:rPr>
      </w:pPr>
      <w:r>
        <w:rPr>
          <w:rFonts w:hint="eastAsia" w:ascii="宋体"/>
          <w:color w:val="000000"/>
          <w:kern w:val="0"/>
          <w:highlight w:val="none"/>
        </w:rPr>
        <w:t>投标人：（公章）</w:t>
      </w:r>
    </w:p>
    <w:p w14:paraId="1580CA8D">
      <w:pPr>
        <w:autoSpaceDE w:val="0"/>
        <w:autoSpaceDN w:val="0"/>
        <w:adjustRightInd w:val="0"/>
        <w:snapToGrid w:val="0"/>
        <w:spacing w:line="360" w:lineRule="auto"/>
        <w:jc w:val="left"/>
        <w:rPr>
          <w:rFonts w:hint="eastAsia" w:ascii="宋体"/>
          <w:color w:val="000000"/>
          <w:kern w:val="0"/>
          <w:highlight w:val="none"/>
        </w:rPr>
      </w:pPr>
    </w:p>
    <w:p w14:paraId="4A82B2AB">
      <w:pPr>
        <w:autoSpaceDE w:val="0"/>
        <w:autoSpaceDN w:val="0"/>
        <w:adjustRightInd w:val="0"/>
        <w:snapToGrid w:val="0"/>
        <w:spacing w:line="360" w:lineRule="auto"/>
        <w:jc w:val="left"/>
        <w:rPr>
          <w:rFonts w:hint="eastAsia" w:ascii="宋体"/>
          <w:color w:val="000000"/>
          <w:kern w:val="0"/>
          <w:highlight w:val="none"/>
        </w:rPr>
      </w:pPr>
    </w:p>
    <w:p w14:paraId="4FFCBE3D">
      <w:pPr>
        <w:snapToGrid w:val="0"/>
        <w:spacing w:line="360" w:lineRule="auto"/>
        <w:ind w:firstLine="525" w:firstLineChars="250"/>
        <w:rPr>
          <w:rFonts w:hint="eastAsia" w:ascii="宋体"/>
          <w:color w:val="000000"/>
          <w:kern w:val="0"/>
          <w:highlight w:val="none"/>
        </w:rPr>
      </w:pPr>
      <w:r>
        <w:rPr>
          <w:rFonts w:hint="eastAsia" w:ascii="宋体"/>
          <w:color w:val="000000"/>
          <w:kern w:val="0"/>
          <w:highlight w:val="none"/>
        </w:rPr>
        <w:t>法定代表人或被授权代表：（签字或盖章）</w:t>
      </w:r>
    </w:p>
    <w:p w14:paraId="41A7FCB8">
      <w:pPr>
        <w:snapToGrid w:val="0"/>
        <w:spacing w:line="360" w:lineRule="auto"/>
        <w:ind w:firstLine="480"/>
        <w:rPr>
          <w:rFonts w:hint="eastAsia" w:ascii="宋体"/>
          <w:color w:val="000000"/>
          <w:kern w:val="0"/>
          <w:highlight w:val="none"/>
        </w:rPr>
      </w:pPr>
    </w:p>
    <w:p w14:paraId="5D1DCCA8">
      <w:pPr>
        <w:snapToGrid w:val="0"/>
        <w:spacing w:line="360" w:lineRule="auto"/>
        <w:ind w:firstLine="480"/>
        <w:rPr>
          <w:rFonts w:hint="eastAsia" w:ascii="宋体"/>
          <w:color w:val="000000"/>
          <w:kern w:val="0"/>
          <w:highlight w:val="none"/>
        </w:rPr>
      </w:pPr>
    </w:p>
    <w:p w14:paraId="2443FA4A">
      <w:pPr>
        <w:snapToGrid w:val="0"/>
        <w:spacing w:line="360" w:lineRule="auto"/>
        <w:rPr>
          <w:rFonts w:hint="eastAsia" w:ascii="宋体"/>
          <w:color w:val="000000"/>
          <w:kern w:val="0"/>
          <w:highlight w:val="none"/>
        </w:rPr>
      </w:pPr>
    </w:p>
    <w:p w14:paraId="13C2CA53">
      <w:pPr>
        <w:snapToGrid w:val="0"/>
        <w:spacing w:line="360" w:lineRule="auto"/>
        <w:ind w:firstLine="480"/>
        <w:jc w:val="right"/>
        <w:rPr>
          <w:rFonts w:hint="eastAsia" w:ascii="宋体"/>
          <w:color w:val="000000"/>
          <w:kern w:val="0"/>
          <w:highlight w:val="none"/>
        </w:rPr>
      </w:pPr>
    </w:p>
    <w:p w14:paraId="7EC08F7C">
      <w:pPr>
        <w:wordWrap w:val="0"/>
        <w:snapToGrid w:val="0"/>
        <w:spacing w:line="360" w:lineRule="auto"/>
        <w:ind w:firstLine="2520" w:firstLineChars="1200"/>
        <w:jc w:val="right"/>
        <w:rPr>
          <w:rFonts w:hint="eastAsia" w:ascii="宋体" w:cs="宋体-18030"/>
          <w:color w:val="000000"/>
          <w:highlight w:val="none"/>
        </w:rPr>
      </w:pPr>
      <w:r>
        <w:rPr>
          <w:rFonts w:hint="eastAsia" w:ascii="宋体"/>
          <w:color w:val="000000"/>
          <w:kern w:val="0"/>
          <w:highlight w:val="none"/>
        </w:rPr>
        <w:t>日 期：  年  月  日</w:t>
      </w:r>
    </w:p>
    <w:p w14:paraId="77B92260">
      <w:pPr>
        <w:autoSpaceDE w:val="0"/>
        <w:autoSpaceDN w:val="0"/>
        <w:adjustRightInd w:val="0"/>
        <w:snapToGrid w:val="0"/>
        <w:spacing w:line="360" w:lineRule="auto"/>
        <w:jc w:val="center"/>
        <w:rPr>
          <w:rFonts w:hint="eastAsia" w:ascii="宋体" w:cs="宋体-18030"/>
          <w:color w:val="000000"/>
          <w:highlight w:val="none"/>
        </w:rPr>
      </w:pPr>
    </w:p>
    <w:p w14:paraId="06F51D41">
      <w:pPr>
        <w:tabs>
          <w:tab w:val="left" w:pos="1365"/>
        </w:tabs>
        <w:jc w:val="center"/>
        <w:rPr>
          <w:rFonts w:ascii="宋体" w:hAnsi="宋体" w:cs="宋体"/>
          <w:b/>
          <w:sz w:val="21"/>
          <w:szCs w:val="21"/>
          <w:highlight w:val="none"/>
        </w:rPr>
      </w:pPr>
      <w:bookmarkStart w:id="76" w:name="_Toc372556120"/>
      <w:bookmarkEnd w:id="76"/>
      <w:r>
        <w:rPr>
          <w:rFonts w:hint="eastAsia" w:ascii="宋体"/>
          <w:bCs/>
          <w:color w:val="000000"/>
          <w:szCs w:val="32"/>
          <w:highlight w:val="none"/>
        </w:rPr>
        <w:br w:type="page"/>
      </w:r>
      <w:bookmarkStart w:id="77" w:name="_Toc31526"/>
      <w:r>
        <w:rPr>
          <w:rFonts w:hint="eastAsia" w:ascii="宋体" w:hAnsi="宋体" w:cs="宋体"/>
          <w:b/>
          <w:sz w:val="32"/>
          <w:szCs w:val="32"/>
          <w:highlight w:val="none"/>
        </w:rPr>
        <w:t>五、商务条款偏离表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76C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A24A98">
            <w:pPr>
              <w:jc w:val="center"/>
              <w:rPr>
                <w:rFonts w:ascii="宋体" w:hAnsi="宋体" w:cs="宋体"/>
                <w:sz w:val="21"/>
                <w:szCs w:val="21"/>
                <w:highlight w:val="none"/>
              </w:rPr>
            </w:pPr>
            <w:bookmarkStart w:id="78" w:name="_Toc492451841"/>
            <w:bookmarkStart w:id="79" w:name="_Toc9156"/>
            <w:r>
              <w:rPr>
                <w:rFonts w:hint="eastAsia" w:ascii="宋体" w:hAnsi="宋体" w:cs="宋体"/>
                <w:sz w:val="21"/>
                <w:szCs w:val="21"/>
                <w:highlight w:val="none"/>
              </w:rPr>
              <w:t>序号</w:t>
            </w:r>
            <w:bookmarkEnd w:id="78"/>
            <w:bookmarkEnd w:id="79"/>
          </w:p>
        </w:tc>
        <w:tc>
          <w:tcPr>
            <w:tcW w:w="1899" w:type="dxa"/>
            <w:tcBorders>
              <w:top w:val="single" w:color="auto" w:sz="4" w:space="0"/>
              <w:left w:val="single" w:color="auto" w:sz="4" w:space="0"/>
              <w:bottom w:val="single" w:color="auto" w:sz="4" w:space="0"/>
              <w:right w:val="single" w:color="auto" w:sz="4" w:space="0"/>
            </w:tcBorders>
            <w:noWrap/>
            <w:vAlign w:val="center"/>
          </w:tcPr>
          <w:p w14:paraId="4C060BF2">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招标文件条款</w:t>
            </w:r>
            <w:r>
              <w:rPr>
                <w:rFonts w:hint="eastAsia" w:ascii="宋体" w:hAnsi="宋体" w:cs="宋体"/>
                <w:sz w:val="21"/>
                <w:szCs w:val="21"/>
                <w:highlight w:val="none"/>
                <w:lang w:val="en-US" w:eastAsia="zh-CN"/>
              </w:rPr>
              <w:t>内容</w:t>
            </w:r>
          </w:p>
        </w:tc>
        <w:tc>
          <w:tcPr>
            <w:tcW w:w="2979" w:type="dxa"/>
            <w:tcBorders>
              <w:top w:val="single" w:color="auto" w:sz="4" w:space="0"/>
              <w:left w:val="single" w:color="auto" w:sz="4" w:space="0"/>
              <w:bottom w:val="single" w:color="auto" w:sz="4" w:space="0"/>
              <w:right w:val="single" w:color="auto" w:sz="4" w:space="0"/>
            </w:tcBorders>
            <w:noWrap/>
            <w:vAlign w:val="center"/>
          </w:tcPr>
          <w:p w14:paraId="6393817B">
            <w:pPr>
              <w:jc w:val="center"/>
              <w:rPr>
                <w:rFonts w:ascii="宋体" w:hAnsi="宋体" w:cs="宋体"/>
                <w:sz w:val="21"/>
                <w:szCs w:val="21"/>
                <w:highlight w:val="none"/>
              </w:rPr>
            </w:pPr>
            <w:bookmarkStart w:id="80" w:name="_Toc6174"/>
            <w:bookmarkStart w:id="81" w:name="_Toc492451843"/>
            <w:r>
              <w:rPr>
                <w:rFonts w:hint="eastAsia" w:ascii="宋体" w:hAnsi="宋体" w:cs="宋体"/>
                <w:sz w:val="21"/>
                <w:szCs w:val="21"/>
                <w:highlight w:val="none"/>
              </w:rPr>
              <w:t>招标文件规定的商务条款</w:t>
            </w:r>
            <w:bookmarkEnd w:id="80"/>
            <w:bookmarkEnd w:id="81"/>
          </w:p>
        </w:tc>
        <w:tc>
          <w:tcPr>
            <w:tcW w:w="2976" w:type="dxa"/>
            <w:tcBorders>
              <w:top w:val="single" w:color="auto" w:sz="4" w:space="0"/>
              <w:left w:val="single" w:color="auto" w:sz="4" w:space="0"/>
              <w:bottom w:val="single" w:color="auto" w:sz="4" w:space="0"/>
              <w:right w:val="single" w:color="auto" w:sz="4" w:space="0"/>
            </w:tcBorders>
            <w:noWrap/>
            <w:vAlign w:val="center"/>
          </w:tcPr>
          <w:p w14:paraId="2A87F43A">
            <w:pPr>
              <w:jc w:val="center"/>
              <w:rPr>
                <w:rFonts w:ascii="宋体" w:hAnsi="宋体" w:cs="宋体"/>
                <w:sz w:val="21"/>
                <w:szCs w:val="21"/>
                <w:highlight w:val="none"/>
              </w:rPr>
            </w:pPr>
            <w:bookmarkStart w:id="82" w:name="_Toc30914"/>
            <w:bookmarkStart w:id="83" w:name="_Toc492451844"/>
            <w:r>
              <w:rPr>
                <w:rFonts w:hint="eastAsia" w:ascii="宋体" w:hAnsi="宋体" w:cs="宋体"/>
                <w:sz w:val="21"/>
                <w:szCs w:val="21"/>
                <w:highlight w:val="none"/>
              </w:rPr>
              <w:t>投标文件对应的商务条款</w:t>
            </w:r>
            <w:bookmarkEnd w:id="82"/>
            <w:bookmarkEnd w:id="83"/>
          </w:p>
        </w:tc>
        <w:tc>
          <w:tcPr>
            <w:tcW w:w="851" w:type="dxa"/>
            <w:tcBorders>
              <w:top w:val="single" w:color="auto" w:sz="4" w:space="0"/>
              <w:left w:val="single" w:color="auto" w:sz="4" w:space="0"/>
              <w:bottom w:val="single" w:color="auto" w:sz="4" w:space="0"/>
              <w:right w:val="single" w:color="auto" w:sz="4" w:space="0"/>
            </w:tcBorders>
            <w:noWrap/>
            <w:vAlign w:val="center"/>
          </w:tcPr>
          <w:p w14:paraId="43DD7350">
            <w:pPr>
              <w:jc w:val="center"/>
              <w:rPr>
                <w:rFonts w:ascii="宋体" w:hAnsi="宋体" w:cs="宋体"/>
                <w:sz w:val="21"/>
                <w:szCs w:val="21"/>
                <w:highlight w:val="none"/>
              </w:rPr>
            </w:pPr>
            <w:bookmarkStart w:id="84" w:name="_Toc492451845"/>
            <w:bookmarkStart w:id="85" w:name="_Toc3453"/>
            <w:r>
              <w:rPr>
                <w:rFonts w:hint="eastAsia" w:ascii="宋体" w:hAnsi="宋体" w:cs="宋体"/>
                <w:sz w:val="21"/>
                <w:szCs w:val="21"/>
                <w:highlight w:val="none"/>
              </w:rPr>
              <w:t>备注</w:t>
            </w:r>
            <w:bookmarkEnd w:id="84"/>
            <w:bookmarkEnd w:id="85"/>
          </w:p>
        </w:tc>
      </w:tr>
      <w:tr w14:paraId="500D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E4E8DA9">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FE9B5FA">
            <w:pPr>
              <w:pStyle w:val="11"/>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3CC922B6">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1664FD8A">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2A14C37">
            <w:pPr>
              <w:jc w:val="center"/>
              <w:outlineLvl w:val="9"/>
              <w:rPr>
                <w:rFonts w:ascii="宋体" w:hAnsi="宋体" w:cs="宋体"/>
                <w:sz w:val="21"/>
                <w:szCs w:val="21"/>
                <w:highlight w:val="none"/>
              </w:rPr>
            </w:pPr>
          </w:p>
        </w:tc>
      </w:tr>
      <w:tr w14:paraId="65B0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216892">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1FCD18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CBC1C0F">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69A5C91">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D2EC50E">
            <w:pPr>
              <w:jc w:val="center"/>
              <w:outlineLvl w:val="9"/>
              <w:rPr>
                <w:rFonts w:ascii="宋体" w:hAnsi="宋体" w:cs="宋体"/>
                <w:sz w:val="21"/>
                <w:szCs w:val="21"/>
                <w:highlight w:val="none"/>
              </w:rPr>
            </w:pPr>
          </w:p>
        </w:tc>
      </w:tr>
      <w:tr w14:paraId="4768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F2BCE1">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6587D9A">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844060B">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D4EE09F">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2ABAAEA">
            <w:pPr>
              <w:jc w:val="center"/>
              <w:outlineLvl w:val="9"/>
              <w:rPr>
                <w:rFonts w:ascii="宋体" w:hAnsi="宋体" w:cs="宋体"/>
                <w:sz w:val="21"/>
                <w:szCs w:val="21"/>
                <w:highlight w:val="none"/>
              </w:rPr>
            </w:pPr>
          </w:p>
        </w:tc>
      </w:tr>
      <w:tr w14:paraId="6E67B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0F2794B">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A931EE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21B02D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B2B8D16">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C8B13FE">
            <w:pPr>
              <w:jc w:val="center"/>
              <w:outlineLvl w:val="9"/>
              <w:rPr>
                <w:rFonts w:ascii="宋体" w:hAnsi="宋体" w:cs="宋体"/>
                <w:sz w:val="21"/>
                <w:szCs w:val="21"/>
                <w:highlight w:val="none"/>
              </w:rPr>
            </w:pPr>
          </w:p>
        </w:tc>
      </w:tr>
      <w:tr w14:paraId="169A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AA06FC3">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9029381">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FDC8A1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C8ECC49">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605B590">
            <w:pPr>
              <w:jc w:val="center"/>
              <w:outlineLvl w:val="9"/>
              <w:rPr>
                <w:rFonts w:ascii="宋体" w:hAnsi="宋体" w:cs="宋体"/>
                <w:sz w:val="21"/>
                <w:szCs w:val="21"/>
                <w:highlight w:val="none"/>
              </w:rPr>
            </w:pPr>
          </w:p>
        </w:tc>
      </w:tr>
      <w:tr w14:paraId="751E5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D79E82F">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CC777A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E5FCFE2">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755FE27">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E9B5AE5">
            <w:pPr>
              <w:jc w:val="center"/>
              <w:outlineLvl w:val="9"/>
              <w:rPr>
                <w:rFonts w:ascii="宋体" w:hAnsi="宋体" w:cs="宋体"/>
                <w:sz w:val="21"/>
                <w:szCs w:val="21"/>
                <w:highlight w:val="none"/>
              </w:rPr>
            </w:pPr>
          </w:p>
        </w:tc>
      </w:tr>
      <w:tr w14:paraId="73ED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4F5BBC">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77699AB3">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CD6DC04">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59DBBA5">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C849B4A">
            <w:pPr>
              <w:jc w:val="center"/>
              <w:outlineLvl w:val="9"/>
              <w:rPr>
                <w:rFonts w:ascii="宋体" w:hAnsi="宋体" w:cs="宋体"/>
                <w:sz w:val="21"/>
                <w:szCs w:val="21"/>
                <w:highlight w:val="none"/>
              </w:rPr>
            </w:pPr>
          </w:p>
        </w:tc>
      </w:tr>
    </w:tbl>
    <w:p w14:paraId="124AA655">
      <w:pPr>
        <w:rPr>
          <w:rFonts w:ascii="宋体" w:hAnsi="宋体" w:cs="宋体"/>
          <w:sz w:val="21"/>
          <w:szCs w:val="21"/>
          <w:highlight w:val="none"/>
        </w:rPr>
      </w:pPr>
    </w:p>
    <w:p w14:paraId="7C2686FC">
      <w:pPr>
        <w:spacing w:line="360" w:lineRule="auto"/>
        <w:rPr>
          <w:rFonts w:ascii="宋体" w:hAnsi="宋体" w:cs="宋体"/>
          <w:sz w:val="21"/>
          <w:szCs w:val="21"/>
          <w:highlight w:val="none"/>
        </w:rPr>
      </w:pPr>
      <w:r>
        <w:rPr>
          <w:rFonts w:hint="eastAsia" w:ascii="宋体" w:hAnsi="宋体" w:cs="宋体"/>
          <w:sz w:val="21"/>
          <w:szCs w:val="21"/>
          <w:highlight w:val="none"/>
        </w:rPr>
        <w:t>注：</w:t>
      </w:r>
    </w:p>
    <w:p w14:paraId="782BFB7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1、 </w:t>
      </w:r>
      <w:r>
        <w:rPr>
          <w:rFonts w:hint="eastAsia" w:ascii="宋体" w:hAnsi="宋体" w:cs="宋体"/>
          <w:sz w:val="21"/>
          <w:szCs w:val="21"/>
          <w:highlight w:val="none"/>
          <w:lang w:eastAsia="zh-CN"/>
        </w:rPr>
        <w:t>投标人</w:t>
      </w:r>
      <w:r>
        <w:rPr>
          <w:rFonts w:hint="eastAsia" w:ascii="宋体" w:hAnsi="宋体" w:cs="宋体"/>
          <w:sz w:val="21"/>
          <w:szCs w:val="21"/>
          <w:highlight w:val="none"/>
        </w:rPr>
        <w:t>应对照招标文件商务要求，逐条说明已对招标文件的商务内容做出了实质性的响应，并申明与招标文件的偏差和例外。若</w:t>
      </w:r>
      <w:r>
        <w:rPr>
          <w:rFonts w:hint="eastAsia" w:ascii="宋体" w:hAnsi="宋体" w:cs="宋体"/>
          <w:sz w:val="21"/>
          <w:szCs w:val="21"/>
          <w:highlight w:val="none"/>
          <w:lang w:eastAsia="zh-CN"/>
        </w:rPr>
        <w:t>投标人</w:t>
      </w:r>
      <w:r>
        <w:rPr>
          <w:rFonts w:hint="eastAsia" w:ascii="宋体" w:hAnsi="宋体" w:cs="宋体"/>
          <w:sz w:val="21"/>
          <w:szCs w:val="21"/>
          <w:highlight w:val="none"/>
        </w:rPr>
        <w:t>完全响应招标文件商务要求，填写“完全响应”即可，无需填写招标文件商务要求中的条文。</w:t>
      </w:r>
    </w:p>
    <w:p w14:paraId="3F27EDB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2、商务条款主要填列合同履行期限 、</w:t>
      </w:r>
      <w:r>
        <w:rPr>
          <w:rFonts w:hint="eastAsia" w:ascii="宋体" w:hAnsi="宋体" w:cs="宋体"/>
          <w:sz w:val="21"/>
          <w:szCs w:val="21"/>
          <w:highlight w:val="none"/>
          <w:lang w:val="en-US" w:eastAsia="zh-CN"/>
        </w:rPr>
        <w:t>供货</w:t>
      </w:r>
      <w:r>
        <w:rPr>
          <w:rFonts w:hint="eastAsia" w:ascii="宋体" w:hAnsi="宋体" w:cs="宋体"/>
          <w:sz w:val="21"/>
          <w:szCs w:val="21"/>
          <w:highlight w:val="none"/>
        </w:rPr>
        <w:t>地点、质量</w:t>
      </w:r>
      <w:r>
        <w:rPr>
          <w:rFonts w:hint="eastAsia" w:ascii="宋体" w:hAnsi="宋体" w:cs="宋体"/>
          <w:sz w:val="21"/>
          <w:szCs w:val="21"/>
          <w:highlight w:val="none"/>
          <w:lang w:val="en-US" w:eastAsia="zh-CN"/>
        </w:rPr>
        <w:t>要求</w:t>
      </w:r>
      <w:r>
        <w:rPr>
          <w:rFonts w:hint="eastAsia" w:ascii="宋体" w:hAnsi="宋体" w:cs="宋体"/>
          <w:sz w:val="21"/>
          <w:szCs w:val="21"/>
          <w:highlight w:val="none"/>
        </w:rPr>
        <w:t>等重要条款方面的偏离情况。</w:t>
      </w:r>
    </w:p>
    <w:p w14:paraId="19F7585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3、“商务条款偏离表”是评审的重要依据，无论所提供的服务与招标文件的要求是否有偏离，</w:t>
      </w:r>
      <w:r>
        <w:rPr>
          <w:rFonts w:hint="eastAsia" w:ascii="宋体" w:hAnsi="宋体" w:cs="宋体"/>
          <w:sz w:val="21"/>
          <w:szCs w:val="21"/>
          <w:highlight w:val="none"/>
          <w:lang w:eastAsia="zh-CN"/>
        </w:rPr>
        <w:t>投标人</w:t>
      </w:r>
      <w:r>
        <w:rPr>
          <w:rFonts w:hint="eastAsia" w:ascii="宋体" w:hAnsi="宋体" w:cs="宋体"/>
          <w:sz w:val="21"/>
          <w:szCs w:val="21"/>
          <w:highlight w:val="none"/>
        </w:rPr>
        <w:t>均须详细填报“商务条款偏离表”。</w:t>
      </w:r>
    </w:p>
    <w:p w14:paraId="63FE999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4、表内如果填列不全，可另外附页说明并按规定签字和加盖公章。             </w:t>
      </w:r>
    </w:p>
    <w:p w14:paraId="650AB155">
      <w:pPr>
        <w:spacing w:line="360" w:lineRule="auto"/>
        <w:ind w:firstLine="420" w:firstLineChars="200"/>
        <w:rPr>
          <w:rFonts w:ascii="宋体" w:hAnsi="宋体" w:cs="宋体"/>
          <w:sz w:val="21"/>
          <w:szCs w:val="21"/>
          <w:highlight w:val="none"/>
        </w:rPr>
      </w:pPr>
      <w:bookmarkStart w:id="86" w:name="_Toc25931"/>
      <w:bookmarkStart w:id="87" w:name="_Toc492451846"/>
      <w:r>
        <w:rPr>
          <w:rFonts w:hint="eastAsia" w:ascii="宋体" w:hAnsi="宋体" w:cs="宋体"/>
          <w:sz w:val="21"/>
          <w:szCs w:val="21"/>
          <w:highlight w:val="none"/>
        </w:rPr>
        <w:t>5、此表可根据需要自行拉长加宽。</w:t>
      </w:r>
      <w:bookmarkEnd w:id="86"/>
      <w:bookmarkEnd w:id="87"/>
    </w:p>
    <w:p w14:paraId="2F4BF70A">
      <w:pPr>
        <w:rPr>
          <w:sz w:val="21"/>
          <w:szCs w:val="21"/>
          <w:highlight w:val="none"/>
        </w:rPr>
      </w:pPr>
    </w:p>
    <w:p w14:paraId="271751A6">
      <w:pPr>
        <w:rPr>
          <w:sz w:val="21"/>
          <w:szCs w:val="21"/>
          <w:highlight w:val="none"/>
        </w:rPr>
      </w:pPr>
    </w:p>
    <w:p w14:paraId="158F39B2">
      <w:pPr>
        <w:autoSpaceDE w:val="0"/>
        <w:autoSpaceDN w:val="0"/>
        <w:adjustRightInd w:val="0"/>
        <w:spacing w:line="360" w:lineRule="auto"/>
        <w:ind w:right="480" w:firstLine="6300" w:firstLineChars="3000"/>
        <w:rPr>
          <w:rFonts w:ascii="宋体" w:hAnsi="宋体" w:cs="宋体"/>
          <w:sz w:val="21"/>
          <w:szCs w:val="21"/>
          <w:highlight w:val="none"/>
          <w:lang w:val="zh-CN"/>
        </w:rPr>
      </w:pPr>
      <w:r>
        <w:rPr>
          <w:rFonts w:hint="eastAsia" w:ascii="宋体" w:hAnsi="宋体" w:cs="宋体"/>
          <w:sz w:val="21"/>
          <w:szCs w:val="21"/>
          <w:highlight w:val="none"/>
          <w:lang w:val="zh-CN"/>
        </w:rPr>
        <w:t>投标人名称（盖章）：</w:t>
      </w:r>
    </w:p>
    <w:p w14:paraId="19794C69">
      <w:pPr>
        <w:autoSpaceDE w:val="0"/>
        <w:autoSpaceDN w:val="0"/>
        <w:adjustRightInd w:val="0"/>
        <w:spacing w:line="360" w:lineRule="auto"/>
        <w:ind w:right="480" w:firstLine="4305" w:firstLineChars="2050"/>
        <w:rPr>
          <w:rFonts w:ascii="宋体" w:hAnsi="宋体" w:cs="宋体"/>
          <w:sz w:val="21"/>
          <w:szCs w:val="21"/>
          <w:highlight w:val="none"/>
          <w:lang w:val="zh-CN"/>
        </w:rPr>
      </w:pPr>
    </w:p>
    <w:p w14:paraId="4DCA8891">
      <w:pPr>
        <w:autoSpaceDE w:val="0"/>
        <w:autoSpaceDN w:val="0"/>
        <w:adjustRightInd w:val="0"/>
        <w:spacing w:line="360" w:lineRule="auto"/>
        <w:ind w:firstLine="480"/>
        <w:jc w:val="right"/>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法定代表人或其委托代理人（签字）：</w:t>
      </w:r>
    </w:p>
    <w:p w14:paraId="52056EE8">
      <w:pPr>
        <w:autoSpaceDE w:val="0"/>
        <w:autoSpaceDN w:val="0"/>
        <w:adjustRightInd w:val="0"/>
        <w:spacing w:line="360" w:lineRule="auto"/>
        <w:ind w:firstLine="480"/>
        <w:jc w:val="right"/>
        <w:rPr>
          <w:rFonts w:ascii="宋体" w:hAnsi="宋体" w:cs="宋体"/>
          <w:sz w:val="21"/>
          <w:szCs w:val="21"/>
          <w:highlight w:val="none"/>
          <w:lang w:val="zh-CN"/>
        </w:rPr>
      </w:pPr>
    </w:p>
    <w:p w14:paraId="75B9BB93">
      <w:pPr>
        <w:autoSpaceDE w:val="0"/>
        <w:autoSpaceDN w:val="0"/>
        <w:adjustRightInd w:val="0"/>
        <w:ind w:right="48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E7CA839">
      <w:pPr>
        <w:rPr>
          <w:sz w:val="21"/>
          <w:szCs w:val="21"/>
          <w:highlight w:val="none"/>
        </w:rPr>
      </w:pPr>
    </w:p>
    <w:p w14:paraId="45BAC722">
      <w:pPr>
        <w:rPr>
          <w:highlight w:val="none"/>
        </w:rPr>
      </w:pPr>
    </w:p>
    <w:p w14:paraId="42F6F4AF">
      <w:pPr>
        <w:tabs>
          <w:tab w:val="left" w:pos="1365"/>
        </w:tabs>
        <w:jc w:val="center"/>
        <w:rPr>
          <w:rFonts w:hint="eastAsia" w:ascii="宋体" w:hAnsi="宋体" w:cs="宋体"/>
          <w:b/>
          <w:sz w:val="32"/>
          <w:szCs w:val="32"/>
          <w:highlight w:val="none"/>
        </w:rPr>
      </w:pPr>
    </w:p>
    <w:p w14:paraId="152C32F6">
      <w:pPr>
        <w:tabs>
          <w:tab w:val="left" w:pos="1365"/>
        </w:tabs>
        <w:jc w:val="center"/>
        <w:rPr>
          <w:rFonts w:ascii="宋体" w:hAnsi="宋体" w:cs="宋体"/>
          <w:b/>
          <w:sz w:val="24"/>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六、技术</w:t>
      </w:r>
      <w:r>
        <w:rPr>
          <w:rFonts w:hint="eastAsia" w:ascii="宋体" w:hAnsi="宋体" w:cs="宋体"/>
          <w:b/>
          <w:sz w:val="32"/>
          <w:szCs w:val="32"/>
          <w:highlight w:val="none"/>
          <w:lang w:val="en-US" w:eastAsia="zh-CN"/>
        </w:rPr>
        <w:t>参数</w:t>
      </w:r>
      <w:r>
        <w:rPr>
          <w:rFonts w:hint="eastAsia" w:ascii="宋体" w:hAnsi="宋体" w:cs="宋体"/>
          <w:b/>
          <w:sz w:val="32"/>
          <w:szCs w:val="32"/>
          <w:highlight w:val="none"/>
        </w:rPr>
        <w:t>偏离表</w:t>
      </w:r>
    </w:p>
    <w:p w14:paraId="76320661">
      <w:pPr>
        <w:rPr>
          <w:rFonts w:ascii="宋体" w:hAnsi="宋体" w:cs="宋体"/>
          <w:sz w:val="21"/>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7EC56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0094846">
            <w:pPr>
              <w:rPr>
                <w:rFonts w:ascii="宋体" w:hAnsi="宋体" w:cs="宋体"/>
                <w:sz w:val="21"/>
                <w:szCs w:val="21"/>
                <w:highlight w:val="none"/>
              </w:rPr>
            </w:pPr>
            <w:bookmarkStart w:id="88" w:name="_Toc11797"/>
            <w:bookmarkStart w:id="89" w:name="_Toc492451847"/>
            <w:bookmarkStart w:id="90" w:name="_Toc420593292"/>
            <w:r>
              <w:rPr>
                <w:rFonts w:hint="eastAsia" w:ascii="宋体" w:hAnsi="宋体" w:cs="宋体"/>
                <w:sz w:val="21"/>
                <w:szCs w:val="21"/>
                <w:highlight w:val="none"/>
              </w:rPr>
              <w:t>序号</w:t>
            </w:r>
            <w:bookmarkEnd w:id="88"/>
            <w:bookmarkEnd w:id="89"/>
            <w:bookmarkEnd w:id="90"/>
          </w:p>
        </w:tc>
        <w:tc>
          <w:tcPr>
            <w:tcW w:w="1466" w:type="dxa"/>
            <w:tcBorders>
              <w:top w:val="single" w:color="auto" w:sz="4" w:space="0"/>
              <w:left w:val="single" w:color="auto" w:sz="4" w:space="0"/>
              <w:bottom w:val="single" w:color="auto" w:sz="4" w:space="0"/>
              <w:right w:val="single" w:color="auto" w:sz="4" w:space="0"/>
            </w:tcBorders>
            <w:noWrap/>
            <w:vAlign w:val="center"/>
          </w:tcPr>
          <w:p w14:paraId="52F7EBFD">
            <w:pPr>
              <w:jc w:val="center"/>
              <w:rPr>
                <w:rFonts w:ascii="宋体" w:hAnsi="宋体" w:cs="宋体"/>
                <w:sz w:val="21"/>
                <w:szCs w:val="21"/>
                <w:highlight w:val="none"/>
              </w:rPr>
            </w:pPr>
            <w:r>
              <w:rPr>
                <w:rFonts w:hint="eastAsia" w:ascii="宋体" w:hAnsi="宋体" w:cs="宋体"/>
                <w:sz w:val="21"/>
                <w:szCs w:val="21"/>
                <w:highlight w:val="none"/>
                <w:lang w:val="en-US" w:eastAsia="zh-CN"/>
              </w:rPr>
              <w:t>采购</w:t>
            </w:r>
            <w:r>
              <w:rPr>
                <w:rFonts w:hint="eastAsia" w:ascii="宋体" w:hAnsi="宋体" w:cs="宋体"/>
                <w:sz w:val="21"/>
                <w:szCs w:val="21"/>
                <w:highlight w:val="none"/>
              </w:rPr>
              <w:t>内容</w:t>
            </w:r>
          </w:p>
        </w:tc>
        <w:tc>
          <w:tcPr>
            <w:tcW w:w="2559" w:type="dxa"/>
            <w:tcBorders>
              <w:top w:val="single" w:color="auto" w:sz="4" w:space="0"/>
              <w:left w:val="single" w:color="auto" w:sz="4" w:space="0"/>
              <w:bottom w:val="single" w:color="auto" w:sz="4" w:space="0"/>
              <w:right w:val="single" w:color="auto" w:sz="4" w:space="0"/>
            </w:tcBorders>
            <w:noWrap/>
            <w:vAlign w:val="center"/>
          </w:tcPr>
          <w:p w14:paraId="174B5DD7">
            <w:pPr>
              <w:jc w:val="center"/>
              <w:rPr>
                <w:rFonts w:hint="default" w:ascii="宋体" w:hAnsi="宋体" w:eastAsia="宋体" w:cs="宋体"/>
                <w:sz w:val="21"/>
                <w:szCs w:val="21"/>
                <w:highlight w:val="none"/>
                <w:lang w:val="en-US" w:eastAsia="zh-CN"/>
              </w:rPr>
            </w:pPr>
            <w:bookmarkStart w:id="91" w:name="_Toc22219"/>
            <w:r>
              <w:rPr>
                <w:rFonts w:hint="eastAsia" w:ascii="宋体" w:hAnsi="宋体" w:eastAsia="宋体" w:cs="宋体"/>
                <w:color w:val="auto"/>
                <w:sz w:val="21"/>
                <w:szCs w:val="21"/>
                <w:highlight w:val="none"/>
              </w:rPr>
              <w:t>招标文件规定的货物需求、技术规格</w:t>
            </w:r>
            <w:bookmarkEnd w:id="91"/>
          </w:p>
        </w:tc>
        <w:tc>
          <w:tcPr>
            <w:tcW w:w="2126" w:type="dxa"/>
            <w:tcBorders>
              <w:top w:val="single" w:color="auto" w:sz="4" w:space="0"/>
              <w:left w:val="single" w:color="auto" w:sz="4" w:space="0"/>
              <w:bottom w:val="single" w:color="auto" w:sz="4" w:space="0"/>
              <w:right w:val="single" w:color="auto" w:sz="4" w:space="0"/>
            </w:tcBorders>
            <w:noWrap/>
            <w:vAlign w:val="center"/>
          </w:tcPr>
          <w:p w14:paraId="5FD9A80B">
            <w:pPr>
              <w:rPr>
                <w:rFonts w:ascii="宋体" w:hAnsi="宋体" w:cs="宋体"/>
                <w:sz w:val="21"/>
                <w:szCs w:val="21"/>
                <w:highlight w:val="none"/>
              </w:rPr>
            </w:pPr>
            <w:bookmarkStart w:id="92" w:name="_Toc5484"/>
            <w:r>
              <w:rPr>
                <w:rFonts w:hint="eastAsia" w:ascii="宋体" w:hAnsi="宋体" w:eastAsia="宋体" w:cs="宋体"/>
                <w:color w:val="auto"/>
                <w:sz w:val="21"/>
                <w:szCs w:val="21"/>
                <w:highlight w:val="none"/>
              </w:rPr>
              <w:t>投标文件对应的货物情况、技术规格</w:t>
            </w:r>
            <w:bookmarkEnd w:id="92"/>
          </w:p>
        </w:tc>
        <w:tc>
          <w:tcPr>
            <w:tcW w:w="1363" w:type="dxa"/>
            <w:tcBorders>
              <w:top w:val="single" w:color="auto" w:sz="4" w:space="0"/>
              <w:left w:val="single" w:color="auto" w:sz="4" w:space="0"/>
              <w:bottom w:val="single" w:color="auto" w:sz="4" w:space="0"/>
              <w:right w:val="single" w:color="auto" w:sz="4" w:space="0"/>
            </w:tcBorders>
            <w:noWrap/>
            <w:vAlign w:val="center"/>
          </w:tcPr>
          <w:p w14:paraId="2D6B1914">
            <w:pPr>
              <w:jc w:val="center"/>
              <w:rPr>
                <w:rFonts w:hint="default" w:ascii="宋体" w:hAnsi="宋体" w:eastAsia="宋体" w:cs="宋体"/>
                <w:sz w:val="21"/>
                <w:szCs w:val="21"/>
                <w:highlight w:val="none"/>
                <w:lang w:val="en-US" w:eastAsia="zh-CN"/>
              </w:rPr>
            </w:pPr>
            <w:bookmarkStart w:id="93" w:name="_Toc492451851"/>
            <w:bookmarkStart w:id="94" w:name="_Toc420593296"/>
            <w:bookmarkStart w:id="95" w:name="_Toc3951"/>
            <w:r>
              <w:rPr>
                <w:rFonts w:hint="eastAsia" w:ascii="宋体" w:hAnsi="宋体" w:cs="宋体"/>
                <w:sz w:val="21"/>
                <w:szCs w:val="21"/>
                <w:highlight w:val="none"/>
              </w:rPr>
              <w:t>偏离</w:t>
            </w:r>
            <w:bookmarkEnd w:id="93"/>
            <w:bookmarkEnd w:id="94"/>
            <w:bookmarkEnd w:id="95"/>
            <w:r>
              <w:rPr>
                <w:rFonts w:hint="eastAsia" w:ascii="宋体" w:hAnsi="宋体" w:cs="宋体"/>
                <w:sz w:val="21"/>
                <w:szCs w:val="21"/>
                <w:highlight w:val="none"/>
                <w:lang w:val="en-US" w:eastAsia="zh-CN"/>
              </w:rPr>
              <w:t>情况（正偏离/无偏离/负偏离）</w:t>
            </w:r>
          </w:p>
        </w:tc>
        <w:tc>
          <w:tcPr>
            <w:tcW w:w="940" w:type="dxa"/>
            <w:tcBorders>
              <w:top w:val="single" w:color="auto" w:sz="4" w:space="0"/>
              <w:left w:val="single" w:color="auto" w:sz="4" w:space="0"/>
              <w:bottom w:val="single" w:color="auto" w:sz="4" w:space="0"/>
              <w:right w:val="single" w:color="auto" w:sz="4" w:space="0"/>
            </w:tcBorders>
            <w:noWrap/>
            <w:vAlign w:val="center"/>
          </w:tcPr>
          <w:p w14:paraId="24A49D4E">
            <w:pPr>
              <w:jc w:val="center"/>
              <w:rPr>
                <w:rFonts w:ascii="宋体" w:hAnsi="宋体" w:cs="宋体"/>
                <w:sz w:val="21"/>
                <w:szCs w:val="21"/>
                <w:highlight w:val="none"/>
              </w:rPr>
            </w:pPr>
            <w:bookmarkStart w:id="96" w:name="_Toc7508"/>
            <w:bookmarkStart w:id="97" w:name="_Toc420593297"/>
            <w:bookmarkStart w:id="98" w:name="_Toc492451852"/>
            <w:r>
              <w:rPr>
                <w:rFonts w:hint="eastAsia" w:ascii="宋体" w:hAnsi="宋体" w:cs="宋体"/>
                <w:sz w:val="21"/>
                <w:szCs w:val="21"/>
                <w:highlight w:val="none"/>
              </w:rPr>
              <w:t>备注</w:t>
            </w:r>
            <w:bookmarkEnd w:id="96"/>
            <w:bookmarkEnd w:id="97"/>
            <w:bookmarkEnd w:id="98"/>
          </w:p>
        </w:tc>
      </w:tr>
      <w:tr w14:paraId="59C24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6A6632C">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61216BD">
            <w:pPr>
              <w:pStyle w:val="11"/>
              <w:ind w:left="5250"/>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E27C59C">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021E1B5">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ECC653F">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22C4BD">
            <w:pPr>
              <w:jc w:val="center"/>
              <w:outlineLvl w:val="9"/>
              <w:rPr>
                <w:rFonts w:ascii="宋体" w:hAnsi="宋体" w:cs="宋体"/>
                <w:sz w:val="21"/>
                <w:szCs w:val="21"/>
                <w:highlight w:val="none"/>
              </w:rPr>
            </w:pPr>
          </w:p>
        </w:tc>
      </w:tr>
      <w:tr w14:paraId="66BA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00D982">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63D73ED">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170EBEB">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1EC171D">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B3B239B">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87CCF04">
            <w:pPr>
              <w:jc w:val="center"/>
              <w:outlineLvl w:val="9"/>
              <w:rPr>
                <w:rFonts w:ascii="宋体" w:hAnsi="宋体" w:cs="宋体"/>
                <w:sz w:val="21"/>
                <w:szCs w:val="21"/>
                <w:highlight w:val="none"/>
              </w:rPr>
            </w:pPr>
          </w:p>
        </w:tc>
      </w:tr>
      <w:tr w14:paraId="0195C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0D19806">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084B887">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3DAD792">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6ED58B33">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9CB21D1">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A17E574">
            <w:pPr>
              <w:jc w:val="center"/>
              <w:outlineLvl w:val="9"/>
              <w:rPr>
                <w:rFonts w:ascii="宋体" w:hAnsi="宋体" w:cs="宋体"/>
                <w:sz w:val="21"/>
                <w:szCs w:val="21"/>
                <w:highlight w:val="none"/>
              </w:rPr>
            </w:pPr>
          </w:p>
        </w:tc>
      </w:tr>
      <w:tr w14:paraId="70650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40EC7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3685F3">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6846B66">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C769C29">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AFC29B7">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110052E">
            <w:pPr>
              <w:jc w:val="center"/>
              <w:outlineLvl w:val="9"/>
              <w:rPr>
                <w:rFonts w:ascii="宋体" w:hAnsi="宋体" w:cs="宋体"/>
                <w:sz w:val="21"/>
                <w:szCs w:val="21"/>
                <w:highlight w:val="none"/>
              </w:rPr>
            </w:pPr>
          </w:p>
        </w:tc>
      </w:tr>
      <w:tr w14:paraId="64AC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7ADE9C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452168">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95CF98D">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AB990B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EA165A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0A6065">
            <w:pPr>
              <w:jc w:val="center"/>
              <w:outlineLvl w:val="9"/>
              <w:rPr>
                <w:rFonts w:ascii="宋体" w:hAnsi="宋体" w:cs="宋体"/>
                <w:sz w:val="21"/>
                <w:szCs w:val="21"/>
                <w:highlight w:val="none"/>
              </w:rPr>
            </w:pPr>
          </w:p>
        </w:tc>
      </w:tr>
      <w:tr w14:paraId="4BFB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C8920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FA0FFF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F79D798">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45B3E1C">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49C658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6830269">
            <w:pPr>
              <w:jc w:val="center"/>
              <w:outlineLvl w:val="9"/>
              <w:rPr>
                <w:rFonts w:ascii="宋体" w:hAnsi="宋体" w:cs="宋体"/>
                <w:sz w:val="21"/>
                <w:szCs w:val="21"/>
                <w:highlight w:val="none"/>
              </w:rPr>
            </w:pPr>
          </w:p>
        </w:tc>
      </w:tr>
      <w:tr w14:paraId="14542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8A780F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EAEB2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56C5D10">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937BB0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73A6BC0">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11E312D">
            <w:pPr>
              <w:jc w:val="center"/>
              <w:outlineLvl w:val="9"/>
              <w:rPr>
                <w:rFonts w:ascii="宋体" w:hAnsi="宋体" w:cs="宋体"/>
                <w:sz w:val="21"/>
                <w:szCs w:val="21"/>
                <w:highlight w:val="none"/>
              </w:rPr>
            </w:pPr>
          </w:p>
        </w:tc>
      </w:tr>
    </w:tbl>
    <w:p w14:paraId="2DCC4C93">
      <w:pPr>
        <w:rPr>
          <w:rFonts w:ascii="宋体" w:hAnsi="宋体" w:cs="宋体"/>
          <w:sz w:val="21"/>
          <w:szCs w:val="21"/>
          <w:highlight w:val="none"/>
        </w:rPr>
      </w:pPr>
    </w:p>
    <w:p w14:paraId="7DD684BF">
      <w:pPr>
        <w:spacing w:line="360" w:lineRule="auto"/>
        <w:ind w:firstLine="210" w:firstLineChars="100"/>
        <w:rPr>
          <w:rFonts w:ascii="宋体" w:hAnsi="宋体" w:cs="宋体"/>
          <w:color w:val="auto"/>
          <w:sz w:val="21"/>
          <w:szCs w:val="21"/>
          <w:highlight w:val="none"/>
        </w:rPr>
      </w:pPr>
      <w:r>
        <w:rPr>
          <w:rFonts w:hint="eastAsia" w:ascii="宋体" w:hAnsi="宋体" w:cs="宋体"/>
          <w:sz w:val="21"/>
          <w:szCs w:val="21"/>
          <w:highlight w:val="none"/>
        </w:rPr>
        <w:t>注：</w:t>
      </w:r>
    </w:p>
    <w:p w14:paraId="20D661B5">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应对照招标文件技术要求</w:t>
      </w:r>
      <w:r>
        <w:rPr>
          <w:rFonts w:hint="eastAsia" w:ascii="宋体" w:hAnsi="宋体" w:cs="宋体"/>
          <w:b w:val="0"/>
          <w:bCs w:val="0"/>
          <w:color w:val="auto"/>
          <w:sz w:val="21"/>
          <w:szCs w:val="21"/>
          <w:highlight w:val="none"/>
        </w:rPr>
        <w:t>，逐条说明所提供</w:t>
      </w:r>
      <w:r>
        <w:rPr>
          <w:rFonts w:hint="eastAsia" w:ascii="宋体" w:hAnsi="宋体" w:cs="宋体"/>
          <w:b w:val="0"/>
          <w:bCs w:val="0"/>
          <w:color w:val="auto"/>
          <w:sz w:val="21"/>
          <w:szCs w:val="21"/>
          <w:highlight w:val="none"/>
          <w:lang w:val="en-US" w:eastAsia="zh-CN"/>
        </w:rPr>
        <w:t>货物</w:t>
      </w:r>
      <w:r>
        <w:rPr>
          <w:rFonts w:hint="eastAsia" w:ascii="宋体" w:hAnsi="宋体" w:cs="宋体"/>
          <w:b w:val="0"/>
          <w:bCs w:val="0"/>
          <w:color w:val="auto"/>
          <w:sz w:val="21"/>
          <w:szCs w:val="21"/>
          <w:highlight w:val="none"/>
        </w:rPr>
        <w:t>技术标准对招标文件的技术要求</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rPr>
        <w:t>响应</w:t>
      </w:r>
      <w:r>
        <w:rPr>
          <w:rFonts w:hint="eastAsia" w:ascii="宋体" w:hAnsi="宋体" w:cs="宋体"/>
          <w:b w:val="0"/>
          <w:bCs w:val="0"/>
          <w:color w:val="auto"/>
          <w:sz w:val="21"/>
          <w:szCs w:val="21"/>
          <w:highlight w:val="none"/>
          <w:lang w:val="en-US" w:eastAsia="zh-CN"/>
        </w:rPr>
        <w:t>情况</w:t>
      </w:r>
      <w:r>
        <w:rPr>
          <w:rFonts w:hint="eastAsia" w:ascii="宋体" w:hAnsi="宋体" w:cs="宋体"/>
          <w:b w:val="0"/>
          <w:bCs w:val="0"/>
          <w:color w:val="auto"/>
          <w:sz w:val="21"/>
          <w:szCs w:val="21"/>
          <w:highlight w:val="none"/>
        </w:rPr>
        <w:t>，并申明与技术要求条文的偏差和例外</w:t>
      </w:r>
      <w:r>
        <w:rPr>
          <w:rFonts w:hint="eastAsia" w:ascii="宋体" w:hAnsi="宋体" w:cs="宋体"/>
          <w:color w:val="auto"/>
          <w:sz w:val="21"/>
          <w:szCs w:val="21"/>
          <w:highlight w:val="none"/>
        </w:rPr>
        <w:t>。</w:t>
      </w: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p w14:paraId="7A42C749">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 xml:space="preserve">2、表内如果填列不全，可另外附页说明并按规定签字和加盖公章。             </w:t>
      </w:r>
    </w:p>
    <w:p w14:paraId="1E02FD01">
      <w:pPr>
        <w:spacing w:line="360" w:lineRule="auto"/>
        <w:ind w:firstLine="525" w:firstLineChars="250"/>
        <w:rPr>
          <w:rFonts w:ascii="宋体" w:hAnsi="宋体" w:cs="宋体"/>
          <w:color w:val="auto"/>
          <w:sz w:val="21"/>
          <w:szCs w:val="21"/>
          <w:highlight w:val="none"/>
        </w:rPr>
      </w:pPr>
      <w:bookmarkStart w:id="99" w:name="_Toc420593298"/>
      <w:bookmarkStart w:id="100" w:name="_Toc22204"/>
      <w:bookmarkStart w:id="101" w:name="_Toc492451853"/>
      <w:r>
        <w:rPr>
          <w:rFonts w:hint="eastAsia" w:ascii="宋体" w:hAnsi="宋体" w:cs="宋体"/>
          <w:color w:val="auto"/>
          <w:sz w:val="21"/>
          <w:szCs w:val="21"/>
          <w:highlight w:val="none"/>
        </w:rPr>
        <w:t>3、此表可根据需要自行拉长加宽（或格式自拟）。</w:t>
      </w:r>
      <w:bookmarkEnd w:id="99"/>
      <w:bookmarkEnd w:id="100"/>
      <w:bookmarkEnd w:id="101"/>
    </w:p>
    <w:p w14:paraId="0858722A">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技术参数偏离表中的响应内容，应提供佐证材料，有检测报告的，应提供检测报告；无检测报告的，应提供产品说明的官方截图；无前两项的，应提供经发行的市场产品宣传册</w:t>
      </w:r>
      <w:r>
        <w:rPr>
          <w:rFonts w:hint="eastAsia" w:ascii="宋体" w:hAnsi="宋体" w:cs="宋体"/>
          <w:color w:val="auto"/>
          <w:sz w:val="21"/>
          <w:szCs w:val="21"/>
          <w:highlight w:val="none"/>
          <w:lang w:eastAsia="zh-CN"/>
        </w:rPr>
        <w:t>或者其他证明材料</w:t>
      </w:r>
      <w:r>
        <w:rPr>
          <w:rFonts w:hint="eastAsia" w:ascii="宋体" w:hAnsi="宋体" w:cs="宋体"/>
          <w:color w:val="auto"/>
          <w:sz w:val="21"/>
          <w:szCs w:val="21"/>
          <w:highlight w:val="none"/>
        </w:rPr>
        <w:t>。</w:t>
      </w:r>
    </w:p>
    <w:p w14:paraId="42A36366">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技术参数响应条款如有缺、漏项的，则该项视为负偏离； </w:t>
      </w:r>
    </w:p>
    <w:p w14:paraId="2C898E1E">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技术参数中指标性数值完全复制招标文件要求的属于负偏离，技术参数响应指标与检测报告（采购需求中若要求提供时）不一致的属于负偏离。</w:t>
      </w:r>
    </w:p>
    <w:p w14:paraId="13C8D90E">
      <w:pPr>
        <w:spacing w:line="360" w:lineRule="auto"/>
        <w:ind w:firstLine="525" w:firstLineChars="250"/>
        <w:rPr>
          <w:rFonts w:hint="eastAsia" w:ascii="宋体" w:hAnsi="宋体" w:cs="宋体"/>
          <w:sz w:val="21"/>
          <w:szCs w:val="21"/>
          <w:highlight w:val="none"/>
        </w:rPr>
      </w:pPr>
    </w:p>
    <w:p w14:paraId="7C470691">
      <w:pPr>
        <w:spacing w:line="360" w:lineRule="auto"/>
        <w:ind w:firstLine="3675" w:firstLineChars="175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投标人名称（盖章）：</w:t>
      </w:r>
    </w:p>
    <w:p w14:paraId="41910948">
      <w:pPr>
        <w:autoSpaceDE w:val="0"/>
        <w:autoSpaceDN w:val="0"/>
        <w:adjustRightInd w:val="0"/>
        <w:spacing w:line="360" w:lineRule="auto"/>
        <w:ind w:firstLine="6144" w:firstLineChars="2926"/>
        <w:jc w:val="both"/>
        <w:rPr>
          <w:rFonts w:ascii="宋体" w:hAnsi="宋体" w:cs="宋体"/>
          <w:sz w:val="21"/>
          <w:szCs w:val="21"/>
          <w:highlight w:val="none"/>
          <w:lang w:val="zh-CN"/>
        </w:rPr>
      </w:pPr>
      <w:r>
        <w:rPr>
          <w:rFonts w:hint="eastAsia" w:ascii="宋体" w:hAnsi="宋体" w:cs="宋体"/>
          <w:sz w:val="21"/>
          <w:szCs w:val="21"/>
          <w:highlight w:val="none"/>
          <w:lang w:val="zh-CN"/>
        </w:rPr>
        <w:t>法定代表人（签字）：</w:t>
      </w:r>
    </w:p>
    <w:p w14:paraId="3A9D52D5">
      <w:pPr>
        <w:autoSpaceDE w:val="0"/>
        <w:autoSpaceDN w:val="0"/>
        <w:adjustRightInd w:val="0"/>
        <w:ind w:right="480" w:firstLine="3780" w:firstLineChars="1800"/>
        <w:jc w:val="center"/>
        <w:rPr>
          <w:rFonts w:ascii="宋体" w:hAnsi="宋体" w:cs="宋体"/>
          <w:sz w:val="24"/>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B26435D">
      <w:pPr>
        <w:tabs>
          <w:tab w:val="left" w:pos="1365"/>
        </w:tabs>
        <w:spacing w:line="360" w:lineRule="auto"/>
        <w:jc w:val="center"/>
        <w:rPr>
          <w:rFonts w:ascii="宋体" w:hAnsi="宋体" w:cs="宋体"/>
          <w:sz w:val="24"/>
          <w:highlight w:val="none"/>
        </w:rPr>
      </w:pPr>
    </w:p>
    <w:p w14:paraId="2D5C05C6">
      <w:pPr>
        <w:autoSpaceDE w:val="0"/>
        <w:autoSpaceDN w:val="0"/>
        <w:adjustRightInd w:val="0"/>
        <w:snapToGrid w:val="0"/>
        <w:spacing w:line="360" w:lineRule="auto"/>
        <w:jc w:val="center"/>
        <w:outlineLvl w:val="9"/>
        <w:rPr>
          <w:rFonts w:hint="eastAsia" w:ascii="宋体"/>
          <w:bCs/>
          <w:color w:val="000000"/>
          <w:szCs w:val="32"/>
          <w:highlight w:val="none"/>
        </w:rPr>
        <w:sectPr>
          <w:pgSz w:w="11906" w:h="16838"/>
          <w:pgMar w:top="1440" w:right="1080" w:bottom="1440" w:left="1080" w:header="708" w:footer="850" w:gutter="0"/>
          <w:pgNumType w:fmt="decimal"/>
          <w:cols w:space="720" w:num="1"/>
          <w:docGrid w:linePitch="360" w:charSpace="0"/>
        </w:sectPr>
      </w:pPr>
    </w:p>
    <w:p w14:paraId="1E196651">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102" w:name="_Toc17007"/>
      <w:r>
        <w:rPr>
          <w:rFonts w:hint="eastAsia" w:ascii="宋体" w:cs="宋体-18030"/>
          <w:b/>
          <w:bCs/>
          <w:color w:val="000000"/>
          <w:kern w:val="0"/>
          <w:sz w:val="30"/>
          <w:szCs w:val="30"/>
          <w:highlight w:val="none"/>
        </w:rPr>
        <w:t>七、资格审查资料</w:t>
      </w:r>
      <w:bookmarkEnd w:id="77"/>
      <w:bookmarkEnd w:id="102"/>
    </w:p>
    <w:p w14:paraId="2642AF62">
      <w:pPr>
        <w:snapToGrid w:val="0"/>
        <w:spacing w:line="360" w:lineRule="auto"/>
        <w:ind w:left="1124" w:hanging="1124" w:hangingChars="400"/>
        <w:jc w:val="center"/>
        <w:rPr>
          <w:rFonts w:hint="eastAsia" w:ascii="宋体"/>
          <w:b/>
          <w:bCs/>
          <w:color w:val="000000"/>
          <w:kern w:val="0"/>
          <w:sz w:val="28"/>
          <w:szCs w:val="28"/>
          <w:highlight w:val="none"/>
        </w:rPr>
      </w:pPr>
      <w:r>
        <w:rPr>
          <w:rFonts w:hint="eastAsia" w:ascii="宋体"/>
          <w:b/>
          <w:bCs/>
          <w:color w:val="000000"/>
          <w:kern w:val="0"/>
          <w:sz w:val="28"/>
          <w:szCs w:val="28"/>
          <w:highlight w:val="none"/>
        </w:rPr>
        <w:t>(一)投标人基本情况表</w:t>
      </w:r>
    </w:p>
    <w:tbl>
      <w:tblPr>
        <w:tblStyle w:val="21"/>
        <w:tblW w:w="4999" w:type="pct"/>
        <w:jc w:val="center"/>
        <w:tblLayout w:type="autofit"/>
        <w:tblCellMar>
          <w:top w:w="0" w:type="dxa"/>
          <w:left w:w="108" w:type="dxa"/>
          <w:bottom w:w="0" w:type="dxa"/>
          <w:right w:w="108" w:type="dxa"/>
        </w:tblCellMar>
      </w:tblPr>
      <w:tblGrid>
        <w:gridCol w:w="1755"/>
        <w:gridCol w:w="1091"/>
        <w:gridCol w:w="736"/>
        <w:gridCol w:w="1280"/>
        <w:gridCol w:w="182"/>
        <w:gridCol w:w="353"/>
        <w:gridCol w:w="1113"/>
        <w:gridCol w:w="364"/>
        <w:gridCol w:w="1221"/>
        <w:gridCol w:w="906"/>
      </w:tblGrid>
      <w:tr w14:paraId="053E4E66">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79C0E0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投标人名称</w:t>
            </w:r>
          </w:p>
        </w:tc>
        <w:tc>
          <w:tcPr>
            <w:tcW w:w="4024" w:type="pct"/>
            <w:gridSpan w:val="9"/>
            <w:tcBorders>
              <w:top w:val="single" w:color="auto" w:sz="4" w:space="0"/>
              <w:left w:val="nil"/>
              <w:bottom w:val="single" w:color="auto" w:sz="4" w:space="0"/>
              <w:right w:val="single" w:color="auto" w:sz="4" w:space="0"/>
            </w:tcBorders>
            <w:noWrap w:val="0"/>
            <w:vAlign w:val="center"/>
          </w:tcPr>
          <w:p w14:paraId="2221E754">
            <w:pPr>
              <w:autoSpaceDE w:val="0"/>
              <w:autoSpaceDN w:val="0"/>
              <w:adjustRightInd w:val="0"/>
              <w:snapToGrid w:val="0"/>
              <w:spacing w:line="360" w:lineRule="auto"/>
              <w:contextualSpacing/>
              <w:rPr>
                <w:rFonts w:hint="eastAsia" w:ascii="宋体" w:cs="宋体"/>
                <w:color w:val="000000"/>
                <w:highlight w:val="none"/>
              </w:rPr>
            </w:pPr>
          </w:p>
        </w:tc>
      </w:tr>
      <w:tr w14:paraId="4434E81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DB1714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注册地址</w:t>
            </w:r>
          </w:p>
        </w:tc>
        <w:tc>
          <w:tcPr>
            <w:tcW w:w="2023" w:type="pct"/>
            <w:gridSpan w:val="5"/>
            <w:tcBorders>
              <w:top w:val="single" w:color="auto" w:sz="4" w:space="0"/>
              <w:left w:val="nil"/>
              <w:bottom w:val="single" w:color="auto" w:sz="4" w:space="0"/>
              <w:right w:val="single" w:color="auto" w:sz="4" w:space="0"/>
            </w:tcBorders>
            <w:noWrap w:val="0"/>
            <w:vAlign w:val="center"/>
          </w:tcPr>
          <w:p w14:paraId="58F37FF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EA7869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邮政编码</w:t>
            </w:r>
          </w:p>
        </w:tc>
        <w:tc>
          <w:tcPr>
            <w:tcW w:w="1383" w:type="pct"/>
            <w:gridSpan w:val="3"/>
            <w:tcBorders>
              <w:top w:val="single" w:color="auto" w:sz="4" w:space="0"/>
              <w:left w:val="nil"/>
              <w:bottom w:val="single" w:color="auto" w:sz="4" w:space="0"/>
              <w:right w:val="single" w:color="auto" w:sz="4" w:space="0"/>
            </w:tcBorders>
            <w:noWrap w:val="0"/>
            <w:vAlign w:val="center"/>
          </w:tcPr>
          <w:p w14:paraId="6ADC6EF9">
            <w:pPr>
              <w:autoSpaceDE w:val="0"/>
              <w:autoSpaceDN w:val="0"/>
              <w:adjustRightInd w:val="0"/>
              <w:snapToGrid w:val="0"/>
              <w:spacing w:line="360" w:lineRule="auto"/>
              <w:contextualSpacing/>
              <w:rPr>
                <w:rFonts w:hint="eastAsia" w:ascii="宋体" w:cs="宋体"/>
                <w:color w:val="000000"/>
                <w:highlight w:val="none"/>
              </w:rPr>
            </w:pPr>
          </w:p>
        </w:tc>
      </w:tr>
      <w:tr w14:paraId="7443A6F4">
        <w:tblPrEx>
          <w:tblCellMar>
            <w:top w:w="0" w:type="dxa"/>
            <w:left w:w="108" w:type="dxa"/>
            <w:bottom w:w="0" w:type="dxa"/>
            <w:right w:w="108" w:type="dxa"/>
          </w:tblCellMar>
        </w:tblPrEx>
        <w:trPr>
          <w:cantSplit/>
          <w:trHeight w:val="510" w:hRule="atLeast"/>
          <w:jc w:val="center"/>
        </w:trPr>
        <w:tc>
          <w:tcPr>
            <w:tcW w:w="975" w:type="pct"/>
            <w:vMerge w:val="restart"/>
            <w:tcBorders>
              <w:top w:val="nil"/>
              <w:left w:val="single" w:color="auto" w:sz="4" w:space="0"/>
              <w:bottom w:val="single" w:color="auto" w:sz="4" w:space="0"/>
              <w:right w:val="single" w:color="auto" w:sz="4" w:space="0"/>
            </w:tcBorders>
            <w:noWrap w:val="0"/>
            <w:vAlign w:val="center"/>
          </w:tcPr>
          <w:p w14:paraId="15AA1A7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联系方式</w:t>
            </w:r>
          </w:p>
        </w:tc>
        <w:tc>
          <w:tcPr>
            <w:tcW w:w="606" w:type="pct"/>
            <w:tcBorders>
              <w:top w:val="single" w:color="auto" w:sz="4" w:space="0"/>
              <w:left w:val="nil"/>
              <w:bottom w:val="single" w:color="auto" w:sz="4" w:space="0"/>
              <w:right w:val="single" w:color="auto" w:sz="4" w:space="0"/>
            </w:tcBorders>
            <w:noWrap w:val="0"/>
            <w:vAlign w:val="center"/>
          </w:tcPr>
          <w:p w14:paraId="326609D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联系人</w:t>
            </w:r>
          </w:p>
        </w:tc>
        <w:tc>
          <w:tcPr>
            <w:tcW w:w="1417" w:type="pct"/>
            <w:gridSpan w:val="4"/>
            <w:tcBorders>
              <w:top w:val="single" w:color="auto" w:sz="4" w:space="0"/>
              <w:left w:val="nil"/>
              <w:bottom w:val="single" w:color="auto" w:sz="4" w:space="0"/>
              <w:right w:val="single" w:color="auto" w:sz="4" w:space="0"/>
            </w:tcBorders>
            <w:noWrap w:val="0"/>
            <w:vAlign w:val="center"/>
          </w:tcPr>
          <w:p w14:paraId="7D3EA6A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6FB0B3A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电话</w:t>
            </w:r>
          </w:p>
        </w:tc>
        <w:tc>
          <w:tcPr>
            <w:tcW w:w="1383" w:type="pct"/>
            <w:gridSpan w:val="3"/>
            <w:tcBorders>
              <w:top w:val="single" w:color="auto" w:sz="4" w:space="0"/>
              <w:left w:val="nil"/>
              <w:bottom w:val="single" w:color="auto" w:sz="4" w:space="0"/>
              <w:right w:val="single" w:color="auto" w:sz="4" w:space="0"/>
            </w:tcBorders>
            <w:noWrap w:val="0"/>
            <w:vAlign w:val="center"/>
          </w:tcPr>
          <w:p w14:paraId="29B74A08">
            <w:pPr>
              <w:autoSpaceDE w:val="0"/>
              <w:autoSpaceDN w:val="0"/>
              <w:adjustRightInd w:val="0"/>
              <w:snapToGrid w:val="0"/>
              <w:spacing w:line="360" w:lineRule="auto"/>
              <w:contextualSpacing/>
              <w:rPr>
                <w:rFonts w:hint="eastAsia" w:ascii="宋体" w:cs="宋体"/>
                <w:color w:val="000000"/>
                <w:highlight w:val="none"/>
              </w:rPr>
            </w:pPr>
          </w:p>
        </w:tc>
      </w:tr>
      <w:tr w14:paraId="6C69DADC">
        <w:tblPrEx>
          <w:tblCellMar>
            <w:top w:w="0" w:type="dxa"/>
            <w:left w:w="108" w:type="dxa"/>
            <w:bottom w:w="0" w:type="dxa"/>
            <w:right w:w="108" w:type="dxa"/>
          </w:tblCellMar>
        </w:tblPrEx>
        <w:trPr>
          <w:cantSplit/>
          <w:trHeight w:val="510" w:hRule="atLeast"/>
          <w:jc w:val="center"/>
        </w:trPr>
        <w:tc>
          <w:tcPr>
            <w:tcW w:w="975" w:type="pct"/>
            <w:vMerge w:val="continue"/>
            <w:tcBorders>
              <w:top w:val="nil"/>
              <w:left w:val="single" w:color="auto" w:sz="4" w:space="0"/>
              <w:bottom w:val="single" w:color="auto" w:sz="4" w:space="0"/>
              <w:right w:val="single" w:color="auto" w:sz="4" w:space="0"/>
            </w:tcBorders>
            <w:noWrap w:val="0"/>
            <w:vAlign w:val="center"/>
          </w:tcPr>
          <w:p w14:paraId="008B018F">
            <w:pPr>
              <w:rPr>
                <w:highlight w:val="none"/>
              </w:rPr>
            </w:pPr>
          </w:p>
        </w:tc>
        <w:tc>
          <w:tcPr>
            <w:tcW w:w="606" w:type="pct"/>
            <w:tcBorders>
              <w:top w:val="single" w:color="auto" w:sz="4" w:space="0"/>
              <w:left w:val="nil"/>
              <w:bottom w:val="single" w:color="auto" w:sz="4" w:space="0"/>
              <w:right w:val="single" w:color="auto" w:sz="4" w:space="0"/>
            </w:tcBorders>
            <w:noWrap w:val="0"/>
            <w:vAlign w:val="center"/>
          </w:tcPr>
          <w:p w14:paraId="68075640">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传真</w:t>
            </w:r>
          </w:p>
        </w:tc>
        <w:tc>
          <w:tcPr>
            <w:tcW w:w="1417" w:type="pct"/>
            <w:gridSpan w:val="4"/>
            <w:tcBorders>
              <w:top w:val="single" w:color="auto" w:sz="4" w:space="0"/>
              <w:left w:val="nil"/>
              <w:bottom w:val="single" w:color="auto" w:sz="4" w:space="0"/>
              <w:right w:val="single" w:color="auto" w:sz="4" w:space="0"/>
            </w:tcBorders>
            <w:noWrap w:val="0"/>
            <w:vAlign w:val="center"/>
          </w:tcPr>
          <w:p w14:paraId="27915DEA">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3ACA8AF">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网址</w:t>
            </w:r>
          </w:p>
        </w:tc>
        <w:tc>
          <w:tcPr>
            <w:tcW w:w="1383" w:type="pct"/>
            <w:gridSpan w:val="3"/>
            <w:tcBorders>
              <w:top w:val="single" w:color="auto" w:sz="4" w:space="0"/>
              <w:left w:val="nil"/>
              <w:bottom w:val="single" w:color="auto" w:sz="4" w:space="0"/>
              <w:right w:val="single" w:color="auto" w:sz="4" w:space="0"/>
            </w:tcBorders>
            <w:noWrap w:val="0"/>
            <w:vAlign w:val="center"/>
          </w:tcPr>
          <w:p w14:paraId="216018B7">
            <w:pPr>
              <w:autoSpaceDE w:val="0"/>
              <w:autoSpaceDN w:val="0"/>
              <w:adjustRightInd w:val="0"/>
              <w:snapToGrid w:val="0"/>
              <w:spacing w:line="360" w:lineRule="auto"/>
              <w:contextualSpacing/>
              <w:rPr>
                <w:rFonts w:hint="eastAsia" w:ascii="宋体" w:cs="宋体"/>
                <w:color w:val="000000"/>
                <w:highlight w:val="none"/>
              </w:rPr>
            </w:pPr>
          </w:p>
        </w:tc>
      </w:tr>
      <w:tr w14:paraId="2BBD18F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175AD2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组织结构</w:t>
            </w:r>
          </w:p>
        </w:tc>
        <w:tc>
          <w:tcPr>
            <w:tcW w:w="4024" w:type="pct"/>
            <w:gridSpan w:val="9"/>
            <w:tcBorders>
              <w:top w:val="single" w:color="auto" w:sz="4" w:space="0"/>
              <w:left w:val="nil"/>
              <w:bottom w:val="single" w:color="auto" w:sz="4" w:space="0"/>
              <w:right w:val="single" w:color="auto" w:sz="4" w:space="0"/>
            </w:tcBorders>
            <w:noWrap w:val="0"/>
            <w:vAlign w:val="center"/>
          </w:tcPr>
          <w:p w14:paraId="1D6A2704">
            <w:pPr>
              <w:autoSpaceDE w:val="0"/>
              <w:autoSpaceDN w:val="0"/>
              <w:adjustRightInd w:val="0"/>
              <w:snapToGrid w:val="0"/>
              <w:spacing w:line="360" w:lineRule="auto"/>
              <w:contextualSpacing/>
              <w:jc w:val="center"/>
              <w:rPr>
                <w:rFonts w:hint="eastAsia" w:ascii="宋体" w:cs="宋体"/>
                <w:color w:val="000000"/>
                <w:highlight w:val="none"/>
              </w:rPr>
            </w:pPr>
          </w:p>
        </w:tc>
      </w:tr>
      <w:tr w14:paraId="0EA4A35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5484693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法定代表人</w:t>
            </w:r>
          </w:p>
        </w:tc>
        <w:tc>
          <w:tcPr>
            <w:tcW w:w="606" w:type="pct"/>
            <w:tcBorders>
              <w:top w:val="single" w:color="auto" w:sz="4" w:space="0"/>
              <w:left w:val="nil"/>
              <w:bottom w:val="single" w:color="auto" w:sz="4" w:space="0"/>
              <w:right w:val="single" w:color="auto" w:sz="4" w:space="0"/>
            </w:tcBorders>
            <w:noWrap w:val="0"/>
            <w:vAlign w:val="center"/>
          </w:tcPr>
          <w:p w14:paraId="565756C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1D319052">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B14615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38E3D5AD">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51033FEF">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424F61D">
            <w:pPr>
              <w:autoSpaceDE w:val="0"/>
              <w:autoSpaceDN w:val="0"/>
              <w:adjustRightInd w:val="0"/>
              <w:snapToGrid w:val="0"/>
              <w:spacing w:line="360" w:lineRule="auto"/>
              <w:contextualSpacing/>
              <w:rPr>
                <w:rFonts w:hint="eastAsia" w:ascii="宋体" w:cs="宋体"/>
                <w:color w:val="000000"/>
                <w:highlight w:val="none"/>
              </w:rPr>
            </w:pPr>
          </w:p>
        </w:tc>
      </w:tr>
      <w:tr w14:paraId="7B593F4A">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FD6C11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技术负责人</w:t>
            </w:r>
          </w:p>
        </w:tc>
        <w:tc>
          <w:tcPr>
            <w:tcW w:w="606" w:type="pct"/>
            <w:tcBorders>
              <w:top w:val="single" w:color="auto" w:sz="4" w:space="0"/>
              <w:left w:val="nil"/>
              <w:bottom w:val="single" w:color="auto" w:sz="4" w:space="0"/>
              <w:right w:val="single" w:color="auto" w:sz="4" w:space="0"/>
            </w:tcBorders>
            <w:noWrap w:val="0"/>
            <w:vAlign w:val="center"/>
          </w:tcPr>
          <w:p w14:paraId="123BAD4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27DB696B">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A21FCD8">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598DEAFF">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40E07FA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DA743DE">
            <w:pPr>
              <w:autoSpaceDE w:val="0"/>
              <w:autoSpaceDN w:val="0"/>
              <w:adjustRightInd w:val="0"/>
              <w:snapToGrid w:val="0"/>
              <w:spacing w:line="360" w:lineRule="auto"/>
              <w:contextualSpacing/>
              <w:rPr>
                <w:rFonts w:hint="eastAsia" w:ascii="宋体" w:cs="宋体"/>
                <w:color w:val="000000"/>
                <w:highlight w:val="none"/>
              </w:rPr>
            </w:pPr>
          </w:p>
        </w:tc>
      </w:tr>
      <w:tr w14:paraId="0AA630B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AB37A9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成立时间</w:t>
            </w:r>
          </w:p>
        </w:tc>
        <w:tc>
          <w:tcPr>
            <w:tcW w:w="1015" w:type="pct"/>
            <w:gridSpan w:val="2"/>
            <w:tcBorders>
              <w:top w:val="single" w:color="auto" w:sz="4" w:space="0"/>
              <w:left w:val="nil"/>
              <w:bottom w:val="single" w:color="auto" w:sz="4" w:space="0"/>
              <w:right w:val="single" w:color="auto" w:sz="4" w:space="0"/>
            </w:tcBorders>
            <w:noWrap w:val="0"/>
            <w:vAlign w:val="center"/>
          </w:tcPr>
          <w:p w14:paraId="3F20CB08">
            <w:pPr>
              <w:autoSpaceDE w:val="0"/>
              <w:autoSpaceDN w:val="0"/>
              <w:adjustRightInd w:val="0"/>
              <w:snapToGrid w:val="0"/>
              <w:spacing w:line="360" w:lineRule="auto"/>
              <w:contextualSpacing/>
              <w:rPr>
                <w:rFonts w:hint="eastAsia" w:ascii="宋体" w:cs="宋体"/>
                <w:color w:val="000000"/>
                <w:highlight w:val="none"/>
              </w:rPr>
            </w:pPr>
          </w:p>
        </w:tc>
        <w:tc>
          <w:tcPr>
            <w:tcW w:w="3009" w:type="pct"/>
            <w:gridSpan w:val="7"/>
            <w:tcBorders>
              <w:top w:val="single" w:color="auto" w:sz="4" w:space="0"/>
              <w:left w:val="nil"/>
              <w:bottom w:val="single" w:color="auto" w:sz="4" w:space="0"/>
              <w:right w:val="single" w:color="auto" w:sz="4" w:space="0"/>
            </w:tcBorders>
            <w:noWrap w:val="0"/>
            <w:vAlign w:val="center"/>
          </w:tcPr>
          <w:p w14:paraId="269DC933">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员工总人数：</w:t>
            </w:r>
          </w:p>
        </w:tc>
      </w:tr>
      <w:tr w14:paraId="7B4D067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1FF68B8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企业资质等级</w:t>
            </w:r>
          </w:p>
        </w:tc>
        <w:tc>
          <w:tcPr>
            <w:tcW w:w="1015" w:type="pct"/>
            <w:gridSpan w:val="2"/>
            <w:tcBorders>
              <w:top w:val="single" w:color="auto" w:sz="4" w:space="0"/>
              <w:left w:val="nil"/>
              <w:bottom w:val="single" w:color="auto" w:sz="4" w:space="0"/>
              <w:right w:val="single" w:color="auto" w:sz="4" w:space="0"/>
            </w:tcBorders>
            <w:noWrap w:val="0"/>
            <w:vAlign w:val="center"/>
          </w:tcPr>
          <w:p w14:paraId="2ABE69B8">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restart"/>
            <w:tcBorders>
              <w:top w:val="nil"/>
              <w:left w:val="nil"/>
              <w:bottom w:val="single" w:color="auto" w:sz="4" w:space="0"/>
              <w:right w:val="single" w:color="auto" w:sz="4" w:space="0"/>
            </w:tcBorders>
            <w:noWrap w:val="0"/>
            <w:vAlign w:val="center"/>
          </w:tcPr>
          <w:p w14:paraId="6D0D5F89">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其中</w:t>
            </w:r>
          </w:p>
        </w:tc>
        <w:tc>
          <w:tcPr>
            <w:tcW w:w="1117" w:type="pct"/>
            <w:gridSpan w:val="4"/>
            <w:tcBorders>
              <w:top w:val="single" w:color="auto" w:sz="4" w:space="0"/>
              <w:left w:val="nil"/>
              <w:bottom w:val="single" w:color="auto" w:sz="4" w:space="0"/>
              <w:right w:val="single" w:color="auto" w:sz="4" w:space="0"/>
            </w:tcBorders>
            <w:noWrap w:val="0"/>
            <w:vAlign w:val="center"/>
          </w:tcPr>
          <w:p w14:paraId="6C122CE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项目负责人</w:t>
            </w:r>
          </w:p>
        </w:tc>
        <w:tc>
          <w:tcPr>
            <w:tcW w:w="1180" w:type="pct"/>
            <w:gridSpan w:val="2"/>
            <w:tcBorders>
              <w:top w:val="single" w:color="auto" w:sz="4" w:space="0"/>
              <w:left w:val="nil"/>
              <w:bottom w:val="single" w:color="auto" w:sz="4" w:space="0"/>
              <w:right w:val="single" w:color="auto" w:sz="4" w:space="0"/>
            </w:tcBorders>
            <w:noWrap w:val="0"/>
            <w:vAlign w:val="center"/>
          </w:tcPr>
          <w:p w14:paraId="3D104CE8">
            <w:pPr>
              <w:autoSpaceDE w:val="0"/>
              <w:autoSpaceDN w:val="0"/>
              <w:adjustRightInd w:val="0"/>
              <w:snapToGrid w:val="0"/>
              <w:spacing w:line="360" w:lineRule="auto"/>
              <w:contextualSpacing/>
              <w:rPr>
                <w:rFonts w:hint="eastAsia" w:ascii="宋体" w:cs="宋体"/>
                <w:color w:val="000000"/>
                <w:highlight w:val="none"/>
              </w:rPr>
            </w:pPr>
          </w:p>
        </w:tc>
      </w:tr>
      <w:tr w14:paraId="293EE70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6A22B3A">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营业执照号</w:t>
            </w:r>
          </w:p>
        </w:tc>
        <w:tc>
          <w:tcPr>
            <w:tcW w:w="1015" w:type="pct"/>
            <w:gridSpan w:val="2"/>
            <w:tcBorders>
              <w:top w:val="single" w:color="auto" w:sz="4" w:space="0"/>
              <w:left w:val="nil"/>
              <w:bottom w:val="single" w:color="auto" w:sz="4" w:space="0"/>
              <w:right w:val="single" w:color="auto" w:sz="4" w:space="0"/>
            </w:tcBorders>
            <w:noWrap w:val="0"/>
            <w:vAlign w:val="center"/>
          </w:tcPr>
          <w:p w14:paraId="2AEC2777">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E3A43E0">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16C0392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高级职称人员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48E04C41">
            <w:pPr>
              <w:autoSpaceDE w:val="0"/>
              <w:autoSpaceDN w:val="0"/>
              <w:adjustRightInd w:val="0"/>
              <w:snapToGrid w:val="0"/>
              <w:spacing w:line="360" w:lineRule="auto"/>
              <w:contextualSpacing/>
              <w:rPr>
                <w:rFonts w:hint="eastAsia" w:ascii="宋体" w:cs="宋体"/>
                <w:color w:val="000000"/>
                <w:highlight w:val="none"/>
              </w:rPr>
            </w:pPr>
          </w:p>
        </w:tc>
      </w:tr>
      <w:tr w14:paraId="4AED97D3">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60EAF6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注册资金</w:t>
            </w:r>
          </w:p>
        </w:tc>
        <w:tc>
          <w:tcPr>
            <w:tcW w:w="1015" w:type="pct"/>
            <w:gridSpan w:val="2"/>
            <w:tcBorders>
              <w:top w:val="single" w:color="auto" w:sz="4" w:space="0"/>
              <w:left w:val="nil"/>
              <w:bottom w:val="single" w:color="auto" w:sz="4" w:space="0"/>
              <w:right w:val="single" w:color="auto" w:sz="4" w:space="0"/>
            </w:tcBorders>
            <w:noWrap w:val="0"/>
            <w:vAlign w:val="center"/>
          </w:tcPr>
          <w:p w14:paraId="546E7E3B">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21F5E75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35A314F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中级职称人员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1CE12988">
            <w:pPr>
              <w:autoSpaceDE w:val="0"/>
              <w:autoSpaceDN w:val="0"/>
              <w:adjustRightInd w:val="0"/>
              <w:snapToGrid w:val="0"/>
              <w:spacing w:line="360" w:lineRule="auto"/>
              <w:contextualSpacing/>
              <w:rPr>
                <w:rFonts w:hint="eastAsia" w:ascii="宋体" w:cs="宋体"/>
                <w:color w:val="000000"/>
                <w:highlight w:val="none"/>
              </w:rPr>
            </w:pPr>
          </w:p>
        </w:tc>
      </w:tr>
      <w:tr w14:paraId="23E681A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01347D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开户银行</w:t>
            </w:r>
          </w:p>
        </w:tc>
        <w:tc>
          <w:tcPr>
            <w:tcW w:w="1015" w:type="pct"/>
            <w:gridSpan w:val="2"/>
            <w:tcBorders>
              <w:top w:val="single" w:color="auto" w:sz="4" w:space="0"/>
              <w:left w:val="nil"/>
              <w:bottom w:val="single" w:color="auto" w:sz="4" w:space="0"/>
              <w:right w:val="single" w:color="auto" w:sz="4" w:space="0"/>
            </w:tcBorders>
            <w:noWrap w:val="0"/>
            <w:vAlign w:val="center"/>
          </w:tcPr>
          <w:p w14:paraId="4262BD84">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53B59CC">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2A2F5D4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初级职称人员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04C3791D">
            <w:pPr>
              <w:autoSpaceDE w:val="0"/>
              <w:autoSpaceDN w:val="0"/>
              <w:adjustRightInd w:val="0"/>
              <w:snapToGrid w:val="0"/>
              <w:spacing w:line="360" w:lineRule="auto"/>
              <w:contextualSpacing/>
              <w:rPr>
                <w:rFonts w:hint="eastAsia" w:ascii="宋体" w:cs="宋体"/>
                <w:color w:val="000000"/>
                <w:highlight w:val="none"/>
              </w:rPr>
            </w:pPr>
          </w:p>
        </w:tc>
      </w:tr>
      <w:tr w14:paraId="49AA4FF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4F27B7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账号</w:t>
            </w:r>
          </w:p>
        </w:tc>
        <w:tc>
          <w:tcPr>
            <w:tcW w:w="1015" w:type="pct"/>
            <w:gridSpan w:val="2"/>
            <w:tcBorders>
              <w:top w:val="single" w:color="auto" w:sz="4" w:space="0"/>
              <w:left w:val="nil"/>
              <w:bottom w:val="single" w:color="auto" w:sz="4" w:space="0"/>
              <w:right w:val="single" w:color="auto" w:sz="4" w:space="0"/>
            </w:tcBorders>
            <w:noWrap w:val="0"/>
            <w:vAlign w:val="center"/>
          </w:tcPr>
          <w:p w14:paraId="0851DCB2">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78DA96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5B6F0D2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技工</w:t>
            </w:r>
          </w:p>
        </w:tc>
        <w:tc>
          <w:tcPr>
            <w:tcW w:w="1180" w:type="pct"/>
            <w:gridSpan w:val="2"/>
            <w:tcBorders>
              <w:top w:val="single" w:color="auto" w:sz="4" w:space="0"/>
              <w:left w:val="nil"/>
              <w:bottom w:val="single" w:color="auto" w:sz="4" w:space="0"/>
              <w:right w:val="single" w:color="auto" w:sz="4" w:space="0"/>
            </w:tcBorders>
            <w:noWrap w:val="0"/>
            <w:vAlign w:val="center"/>
          </w:tcPr>
          <w:p w14:paraId="78B938D3">
            <w:pPr>
              <w:autoSpaceDE w:val="0"/>
              <w:autoSpaceDN w:val="0"/>
              <w:adjustRightInd w:val="0"/>
              <w:snapToGrid w:val="0"/>
              <w:spacing w:line="360" w:lineRule="auto"/>
              <w:contextualSpacing/>
              <w:rPr>
                <w:rFonts w:hint="eastAsia" w:ascii="宋体" w:cs="宋体"/>
                <w:color w:val="000000"/>
                <w:highlight w:val="none"/>
              </w:rPr>
            </w:pPr>
          </w:p>
        </w:tc>
      </w:tr>
      <w:tr w14:paraId="6DEFD3C6">
        <w:tblPrEx>
          <w:tblCellMar>
            <w:top w:w="0" w:type="dxa"/>
            <w:left w:w="108" w:type="dxa"/>
            <w:bottom w:w="0" w:type="dxa"/>
            <w:right w:w="108" w:type="dxa"/>
          </w:tblCellMar>
        </w:tblPrEx>
        <w:trPr>
          <w:cantSplit/>
          <w:trHeight w:val="2638"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83040F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经营范围</w:t>
            </w:r>
          </w:p>
        </w:tc>
        <w:tc>
          <w:tcPr>
            <w:tcW w:w="4024" w:type="pct"/>
            <w:gridSpan w:val="9"/>
            <w:tcBorders>
              <w:top w:val="single" w:color="auto" w:sz="4" w:space="0"/>
              <w:left w:val="nil"/>
              <w:bottom w:val="single" w:color="auto" w:sz="4" w:space="0"/>
              <w:right w:val="single" w:color="auto" w:sz="4" w:space="0"/>
            </w:tcBorders>
            <w:noWrap w:val="0"/>
            <w:vAlign w:val="center"/>
          </w:tcPr>
          <w:p w14:paraId="535E2484">
            <w:pPr>
              <w:autoSpaceDE w:val="0"/>
              <w:autoSpaceDN w:val="0"/>
              <w:adjustRightInd w:val="0"/>
              <w:snapToGrid w:val="0"/>
              <w:spacing w:line="360" w:lineRule="auto"/>
              <w:contextualSpacing/>
              <w:rPr>
                <w:rFonts w:hint="eastAsia" w:ascii="宋体" w:cs="宋体"/>
                <w:color w:val="000000"/>
                <w:highlight w:val="none"/>
              </w:rPr>
            </w:pPr>
          </w:p>
        </w:tc>
      </w:tr>
      <w:tr w14:paraId="74D11290">
        <w:tblPrEx>
          <w:tblCellMar>
            <w:top w:w="0" w:type="dxa"/>
            <w:left w:w="108" w:type="dxa"/>
            <w:bottom w:w="0" w:type="dxa"/>
            <w:right w:w="108" w:type="dxa"/>
          </w:tblCellMar>
        </w:tblPrEx>
        <w:trPr>
          <w:cantSplit/>
          <w:trHeight w:val="102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DDD930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备注</w:t>
            </w:r>
          </w:p>
        </w:tc>
        <w:tc>
          <w:tcPr>
            <w:tcW w:w="4024" w:type="pct"/>
            <w:gridSpan w:val="9"/>
            <w:tcBorders>
              <w:top w:val="single" w:color="auto" w:sz="4" w:space="0"/>
              <w:left w:val="nil"/>
              <w:bottom w:val="single" w:color="auto" w:sz="4" w:space="0"/>
              <w:right w:val="single" w:color="auto" w:sz="4" w:space="0"/>
            </w:tcBorders>
            <w:noWrap w:val="0"/>
            <w:vAlign w:val="center"/>
          </w:tcPr>
          <w:p w14:paraId="64C2317B">
            <w:pPr>
              <w:autoSpaceDE w:val="0"/>
              <w:autoSpaceDN w:val="0"/>
              <w:adjustRightInd w:val="0"/>
              <w:snapToGrid w:val="0"/>
              <w:spacing w:line="360" w:lineRule="auto"/>
              <w:contextualSpacing/>
              <w:rPr>
                <w:rFonts w:hint="eastAsia" w:ascii="宋体" w:cs="宋体"/>
                <w:color w:val="000000"/>
                <w:highlight w:val="none"/>
              </w:rPr>
            </w:pPr>
          </w:p>
        </w:tc>
      </w:tr>
    </w:tbl>
    <w:p w14:paraId="120D2ABE">
      <w:pPr>
        <w:snapToGrid w:val="0"/>
        <w:spacing w:line="360" w:lineRule="auto"/>
        <w:rPr>
          <w:rFonts w:hint="eastAsia" w:ascii="宋体" w:cs="宋体"/>
          <w:color w:val="000000"/>
          <w:kern w:val="0"/>
          <w:highlight w:val="none"/>
        </w:rPr>
      </w:pPr>
    </w:p>
    <w:p w14:paraId="6F9AA0E3">
      <w:pPr>
        <w:snapToGrid w:val="0"/>
        <w:spacing w:line="360" w:lineRule="auto"/>
        <w:rPr>
          <w:rFonts w:hint="eastAsia" w:ascii="宋体"/>
          <w:color w:val="000000"/>
          <w:kern w:val="0"/>
          <w:highlight w:val="none"/>
        </w:rPr>
      </w:pPr>
      <w:r>
        <w:rPr>
          <w:rFonts w:hint="eastAsia" w:ascii="宋体" w:cs="宋体"/>
          <w:color w:val="000000"/>
          <w:kern w:val="0"/>
          <w:highlight w:val="none"/>
        </w:rPr>
        <w:t>注：在本表后应附投标人营业执照（副本）、开户许可证等相关证件的复印件，所有复印件必须要清晰、字迹清楚。</w:t>
      </w:r>
    </w:p>
    <w:p w14:paraId="6BAE4D14">
      <w:pPr>
        <w:snapToGrid w:val="0"/>
        <w:spacing w:line="360" w:lineRule="auto"/>
        <w:ind w:left="840" w:hanging="840" w:hangingChars="400"/>
        <w:jc w:val="center"/>
        <w:rPr>
          <w:rFonts w:hint="eastAsia" w:ascii="宋体"/>
          <w:b/>
          <w:bCs/>
          <w:color w:val="000000"/>
          <w:kern w:val="0"/>
          <w:sz w:val="28"/>
          <w:szCs w:val="28"/>
          <w:highlight w:val="none"/>
        </w:rPr>
      </w:pPr>
      <w:r>
        <w:rPr>
          <w:rFonts w:hint="eastAsia" w:ascii="宋体"/>
          <w:color w:val="000000"/>
          <w:kern w:val="0"/>
          <w:highlight w:val="none"/>
        </w:rPr>
        <w:br w:type="page"/>
      </w:r>
      <w:bookmarkStart w:id="103" w:name="_Toc420390153"/>
      <w:bookmarkEnd w:id="103"/>
      <w:bookmarkStart w:id="104" w:name="_Toc266605565"/>
      <w:bookmarkEnd w:id="104"/>
      <w:bookmarkStart w:id="105" w:name="_Toc425529391"/>
      <w:bookmarkEnd w:id="105"/>
      <w:bookmarkStart w:id="106" w:name="_Toc201719205"/>
      <w:bookmarkEnd w:id="106"/>
      <w:bookmarkStart w:id="107" w:name="_Toc222232454"/>
      <w:r>
        <w:rPr>
          <w:rFonts w:hint="eastAsia" w:ascii="宋体"/>
          <w:b/>
          <w:bCs/>
          <w:color w:val="000000"/>
          <w:kern w:val="0"/>
          <w:sz w:val="28"/>
          <w:szCs w:val="28"/>
          <w:highlight w:val="none"/>
        </w:rPr>
        <w:t>（二）</w:t>
      </w:r>
      <w:bookmarkEnd w:id="107"/>
      <w:r>
        <w:rPr>
          <w:rFonts w:hint="eastAsia" w:ascii="宋体"/>
          <w:b/>
          <w:bCs/>
          <w:color w:val="000000"/>
          <w:kern w:val="0"/>
          <w:sz w:val="28"/>
          <w:szCs w:val="28"/>
          <w:highlight w:val="none"/>
        </w:rPr>
        <w:t>财务状况</w:t>
      </w:r>
      <w:r>
        <w:rPr>
          <w:rFonts w:hint="eastAsia" w:ascii="宋体"/>
          <w:b/>
          <w:bCs/>
          <w:color w:val="000000"/>
          <w:kern w:val="0"/>
          <w:sz w:val="28"/>
          <w:szCs w:val="28"/>
          <w:highlight w:val="none"/>
          <w:lang w:val="zh-CN"/>
        </w:rPr>
        <w:t>、纳税及社保</w:t>
      </w:r>
    </w:p>
    <w:p w14:paraId="117E07A4">
      <w:pPr>
        <w:adjustRightInd w:val="0"/>
        <w:snapToGrid w:val="0"/>
        <w:spacing w:line="360" w:lineRule="auto"/>
        <w:contextualSpacing/>
        <w:jc w:val="left"/>
        <w:rPr>
          <w:rFonts w:hint="eastAsia" w:ascii="宋体"/>
          <w:color w:val="000000"/>
          <w:highlight w:val="none"/>
        </w:rPr>
      </w:pPr>
      <w:bookmarkStart w:id="108" w:name="_Toc425529392"/>
      <w:bookmarkEnd w:id="108"/>
    </w:p>
    <w:p w14:paraId="6508587D">
      <w:pPr>
        <w:pStyle w:val="20"/>
        <w:tabs>
          <w:tab w:val="left" w:pos="360"/>
        </w:tabs>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资格条件承诺函</w:t>
      </w:r>
    </w:p>
    <w:p w14:paraId="4C43E80E">
      <w:pPr>
        <w:adjustRightInd w:val="0"/>
        <w:snapToGrid w:val="0"/>
        <w:spacing w:line="360" w:lineRule="auto"/>
        <w:contextualSpacing/>
        <w:jc w:val="left"/>
        <w:rPr>
          <w:rFonts w:hint="eastAsia" w:ascii="宋体" w:hAnsi="宋体" w:eastAsia="宋体" w:cs="宋体"/>
          <w:sz w:val="21"/>
          <w:szCs w:val="21"/>
          <w:highlight w:val="none"/>
        </w:rPr>
      </w:pPr>
    </w:p>
    <w:p w14:paraId="2748D7F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(采购人、采购代理机构)     </w:t>
      </w:r>
      <w:r>
        <w:rPr>
          <w:rFonts w:hint="eastAsia" w:ascii="宋体" w:hAnsi="宋体" w:eastAsia="宋体" w:cs="宋体"/>
          <w:sz w:val="21"/>
          <w:szCs w:val="21"/>
          <w:highlight w:val="none"/>
        </w:rPr>
        <w:t>:</w:t>
      </w:r>
    </w:p>
    <w:p w14:paraId="1BFCD1D9">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(公司)参与</w:t>
      </w:r>
      <w:r>
        <w:rPr>
          <w:rFonts w:hint="eastAsia" w:ascii="宋体" w:hAnsi="宋体" w:eastAsia="宋体" w:cs="宋体"/>
          <w:sz w:val="21"/>
          <w:szCs w:val="21"/>
          <w:highlight w:val="none"/>
          <w:u w:val="single"/>
        </w:rPr>
        <w:t>( 项目名称</w:t>
      </w:r>
      <w:r>
        <w:rPr>
          <w:rFonts w:hint="eastAsia" w:ascii="宋体" w:hAnsi="宋体" w:eastAsia="宋体" w:cs="宋体"/>
          <w:sz w:val="21"/>
          <w:szCs w:val="21"/>
          <w:highlight w:val="none"/>
          <w:u w:val="single"/>
          <w:lang w:val="en-US" w:eastAsia="zh-CN"/>
        </w:rPr>
        <w:t xml:space="preserve">    ；项目编号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采购项目的政府采购活动，现承诺如下:</w:t>
      </w:r>
    </w:p>
    <w:p w14:paraId="0D66AC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14:paraId="4C10CEA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746B50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3.具有依法缴纳社会保障金的良好记录</w:t>
      </w:r>
    </w:p>
    <w:p w14:paraId="138CA65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基本资格条件。</w:t>
      </w:r>
    </w:p>
    <w:p w14:paraId="30217B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(公司)对上述承诺的真实性负责。如有虚假将依法承担相应责任</w:t>
      </w:r>
    </w:p>
    <w:p w14:paraId="23ECB47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667E9740">
      <w:pPr>
        <w:spacing w:line="360" w:lineRule="auto"/>
        <w:ind w:firstLine="420" w:firstLineChars="200"/>
        <w:rPr>
          <w:rFonts w:hint="eastAsia" w:ascii="宋体" w:hAnsi="宋体" w:eastAsia="宋体" w:cs="宋体"/>
          <w:sz w:val="21"/>
          <w:szCs w:val="21"/>
          <w:highlight w:val="none"/>
        </w:rPr>
      </w:pPr>
    </w:p>
    <w:p w14:paraId="7F4CCFA9">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w:t>
      </w:r>
      <w:r>
        <w:rPr>
          <w:rFonts w:hint="eastAsia" w:ascii="宋体" w:hAnsi="宋体" w:eastAsia="宋体" w:cs="宋体"/>
          <w:sz w:val="21"/>
          <w:szCs w:val="21"/>
          <w:highlight w:val="none"/>
        </w:rPr>
        <w:t>盖章:</w:t>
      </w:r>
    </w:p>
    <w:p w14:paraId="3041947C">
      <w:pPr>
        <w:spacing w:line="360" w:lineRule="auto"/>
        <w:ind w:firstLine="420" w:firstLineChars="200"/>
        <w:jc w:val="center"/>
        <w:rPr>
          <w:rFonts w:hint="eastAsia" w:ascii="宋体" w:hAnsi="宋体" w:eastAsia="宋体" w:cs="宋体"/>
          <w:sz w:val="21"/>
          <w:szCs w:val="21"/>
          <w:highlight w:val="none"/>
        </w:rPr>
      </w:pPr>
      <w:r>
        <w:rPr>
          <w:rFonts w:hint="eastAsia" w:ascii="宋体" w:cs="宋体-18030"/>
          <w:color w:val="000000"/>
          <w:kern w:val="0"/>
          <w:highlight w:val="none"/>
          <w:lang w:val="en-US" w:eastAsia="zh-CN"/>
        </w:rPr>
        <w:t xml:space="preserve">          </w:t>
      </w:r>
      <w:r>
        <w:rPr>
          <w:rFonts w:hint="eastAsia" w:ascii="宋体" w:cs="宋体-18030"/>
          <w:color w:val="000000"/>
          <w:kern w:val="0"/>
          <w:highlight w:val="none"/>
          <w:lang w:eastAsia="zh-CN"/>
        </w:rPr>
        <w:t>授权委托人</w:t>
      </w:r>
      <w:r>
        <w:rPr>
          <w:rFonts w:hint="eastAsia" w:ascii="宋体" w:hAnsi="宋体" w:eastAsia="宋体" w:cs="宋体"/>
          <w:sz w:val="21"/>
          <w:szCs w:val="21"/>
          <w:highlight w:val="none"/>
        </w:rPr>
        <w:t>盖章:</w:t>
      </w:r>
    </w:p>
    <w:p w14:paraId="3D890AF6">
      <w:pPr>
        <w:spacing w:line="360" w:lineRule="auto"/>
        <w:ind w:firstLine="420" w:firstLineChars="200"/>
        <w:jc w:val="center"/>
        <w:rPr>
          <w:rFonts w:hint="eastAsia" w:ascii="宋体"/>
          <w:color w:val="000000"/>
          <w:highlight w:val="none"/>
        </w:rPr>
      </w:pPr>
      <w:r>
        <w:rPr>
          <w:rFonts w:hint="eastAsia" w:ascii="宋体" w:hAnsi="宋体" w:eastAsia="宋体" w:cs="宋体"/>
          <w:sz w:val="21"/>
          <w:szCs w:val="21"/>
          <w:highlight w:val="none"/>
        </w:rPr>
        <w:t>日期:</w:t>
      </w:r>
    </w:p>
    <w:p w14:paraId="40832D1D">
      <w:pPr>
        <w:snapToGrid w:val="0"/>
        <w:spacing w:line="360" w:lineRule="auto"/>
        <w:jc w:val="center"/>
        <w:rPr>
          <w:rFonts w:hint="eastAsia" w:ascii="宋体"/>
          <w:b/>
          <w:bCs/>
          <w:color w:val="000000"/>
          <w:kern w:val="0"/>
          <w:sz w:val="28"/>
          <w:szCs w:val="28"/>
          <w:highlight w:val="none"/>
        </w:rPr>
      </w:pPr>
      <w:r>
        <w:rPr>
          <w:rFonts w:hint="eastAsia" w:ascii="宋体"/>
          <w:b/>
          <w:bCs/>
          <w:color w:val="000000"/>
          <w:kern w:val="0"/>
          <w:sz w:val="28"/>
          <w:szCs w:val="28"/>
          <w:highlight w:val="none"/>
        </w:rPr>
        <w:br w:type="page"/>
      </w:r>
      <w:r>
        <w:rPr>
          <w:rFonts w:hint="eastAsia" w:ascii="宋体"/>
          <w:b/>
          <w:bCs/>
          <w:color w:val="000000"/>
          <w:kern w:val="0"/>
          <w:sz w:val="28"/>
          <w:szCs w:val="28"/>
          <w:highlight w:val="none"/>
        </w:rPr>
        <w:t>(三)近年完成的类似项目情况表</w:t>
      </w:r>
    </w:p>
    <w:tbl>
      <w:tblPr>
        <w:tblStyle w:val="21"/>
        <w:tblW w:w="4999" w:type="pct"/>
        <w:jc w:val="center"/>
        <w:tblLayout w:type="autofit"/>
        <w:tblCellMar>
          <w:top w:w="0" w:type="dxa"/>
          <w:left w:w="108" w:type="dxa"/>
          <w:bottom w:w="0" w:type="dxa"/>
          <w:right w:w="108" w:type="dxa"/>
        </w:tblCellMar>
      </w:tblPr>
      <w:tblGrid>
        <w:gridCol w:w="2670"/>
        <w:gridCol w:w="6331"/>
      </w:tblGrid>
      <w:tr w14:paraId="42595F84">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775244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项目名称</w:t>
            </w:r>
          </w:p>
        </w:tc>
        <w:tc>
          <w:tcPr>
            <w:tcW w:w="3516" w:type="pct"/>
            <w:tcBorders>
              <w:top w:val="single" w:color="auto" w:sz="4" w:space="0"/>
              <w:left w:val="nil"/>
              <w:bottom w:val="single" w:color="auto" w:sz="4" w:space="0"/>
              <w:right w:val="single" w:color="auto" w:sz="4" w:space="0"/>
            </w:tcBorders>
            <w:noWrap w:val="0"/>
            <w:vAlign w:val="center"/>
          </w:tcPr>
          <w:p w14:paraId="2321819F">
            <w:pPr>
              <w:autoSpaceDE w:val="0"/>
              <w:autoSpaceDN w:val="0"/>
              <w:adjustRightInd w:val="0"/>
              <w:snapToGrid w:val="0"/>
              <w:spacing w:line="360" w:lineRule="auto"/>
              <w:contextualSpacing/>
              <w:jc w:val="center"/>
              <w:rPr>
                <w:rFonts w:hint="eastAsia" w:ascii="宋体"/>
                <w:color w:val="000000"/>
                <w:highlight w:val="none"/>
              </w:rPr>
            </w:pPr>
          </w:p>
        </w:tc>
      </w:tr>
      <w:tr w14:paraId="102D89AA">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BDF5E8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项目所在地</w:t>
            </w:r>
          </w:p>
        </w:tc>
        <w:tc>
          <w:tcPr>
            <w:tcW w:w="3516" w:type="pct"/>
            <w:tcBorders>
              <w:top w:val="single" w:color="auto" w:sz="4" w:space="0"/>
              <w:left w:val="nil"/>
              <w:bottom w:val="single" w:color="auto" w:sz="4" w:space="0"/>
              <w:right w:val="single" w:color="auto" w:sz="4" w:space="0"/>
            </w:tcBorders>
            <w:noWrap w:val="0"/>
            <w:vAlign w:val="center"/>
          </w:tcPr>
          <w:p w14:paraId="25FB1918">
            <w:pPr>
              <w:autoSpaceDE w:val="0"/>
              <w:autoSpaceDN w:val="0"/>
              <w:adjustRightInd w:val="0"/>
              <w:snapToGrid w:val="0"/>
              <w:spacing w:line="360" w:lineRule="auto"/>
              <w:contextualSpacing/>
              <w:jc w:val="center"/>
              <w:rPr>
                <w:rFonts w:hint="eastAsia" w:ascii="宋体"/>
                <w:color w:val="000000"/>
                <w:highlight w:val="none"/>
              </w:rPr>
            </w:pPr>
          </w:p>
        </w:tc>
      </w:tr>
      <w:tr w14:paraId="403C1920">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6847D9B2">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名称</w:t>
            </w:r>
          </w:p>
        </w:tc>
        <w:tc>
          <w:tcPr>
            <w:tcW w:w="3516" w:type="pct"/>
            <w:tcBorders>
              <w:top w:val="single" w:color="auto" w:sz="4" w:space="0"/>
              <w:left w:val="nil"/>
              <w:bottom w:val="single" w:color="auto" w:sz="4" w:space="0"/>
              <w:right w:val="single" w:color="auto" w:sz="4" w:space="0"/>
            </w:tcBorders>
            <w:noWrap w:val="0"/>
            <w:vAlign w:val="center"/>
          </w:tcPr>
          <w:p w14:paraId="61ABC2D6">
            <w:pPr>
              <w:autoSpaceDE w:val="0"/>
              <w:autoSpaceDN w:val="0"/>
              <w:adjustRightInd w:val="0"/>
              <w:snapToGrid w:val="0"/>
              <w:spacing w:line="360" w:lineRule="auto"/>
              <w:contextualSpacing/>
              <w:jc w:val="center"/>
              <w:rPr>
                <w:rFonts w:hint="eastAsia" w:ascii="宋体"/>
                <w:color w:val="000000"/>
                <w:highlight w:val="none"/>
              </w:rPr>
            </w:pPr>
          </w:p>
        </w:tc>
      </w:tr>
      <w:tr w14:paraId="452197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8C465E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地址</w:t>
            </w:r>
          </w:p>
        </w:tc>
        <w:tc>
          <w:tcPr>
            <w:tcW w:w="3516" w:type="pct"/>
            <w:tcBorders>
              <w:top w:val="single" w:color="auto" w:sz="4" w:space="0"/>
              <w:left w:val="nil"/>
              <w:bottom w:val="single" w:color="auto" w:sz="4" w:space="0"/>
              <w:right w:val="single" w:color="auto" w:sz="4" w:space="0"/>
            </w:tcBorders>
            <w:noWrap w:val="0"/>
            <w:vAlign w:val="center"/>
          </w:tcPr>
          <w:p w14:paraId="22FFF53F">
            <w:pPr>
              <w:autoSpaceDE w:val="0"/>
              <w:autoSpaceDN w:val="0"/>
              <w:adjustRightInd w:val="0"/>
              <w:snapToGrid w:val="0"/>
              <w:spacing w:line="360" w:lineRule="auto"/>
              <w:contextualSpacing/>
              <w:jc w:val="center"/>
              <w:rPr>
                <w:rFonts w:hint="eastAsia" w:ascii="宋体"/>
                <w:color w:val="000000"/>
                <w:highlight w:val="none"/>
              </w:rPr>
            </w:pPr>
          </w:p>
        </w:tc>
      </w:tr>
      <w:tr w14:paraId="128149C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9EBD77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电话</w:t>
            </w:r>
          </w:p>
        </w:tc>
        <w:tc>
          <w:tcPr>
            <w:tcW w:w="3516" w:type="pct"/>
            <w:tcBorders>
              <w:top w:val="single" w:color="auto" w:sz="4" w:space="0"/>
              <w:left w:val="nil"/>
              <w:bottom w:val="single" w:color="auto" w:sz="4" w:space="0"/>
              <w:right w:val="single" w:color="auto" w:sz="4" w:space="0"/>
            </w:tcBorders>
            <w:noWrap w:val="0"/>
            <w:vAlign w:val="center"/>
          </w:tcPr>
          <w:p w14:paraId="618D39BF">
            <w:pPr>
              <w:autoSpaceDE w:val="0"/>
              <w:autoSpaceDN w:val="0"/>
              <w:adjustRightInd w:val="0"/>
              <w:snapToGrid w:val="0"/>
              <w:spacing w:line="360" w:lineRule="auto"/>
              <w:contextualSpacing/>
              <w:jc w:val="center"/>
              <w:rPr>
                <w:rFonts w:hint="eastAsia" w:ascii="宋体"/>
                <w:color w:val="000000"/>
                <w:highlight w:val="none"/>
              </w:rPr>
            </w:pPr>
          </w:p>
        </w:tc>
      </w:tr>
      <w:tr w14:paraId="428D41D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2498182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合同价格</w:t>
            </w:r>
          </w:p>
        </w:tc>
        <w:tc>
          <w:tcPr>
            <w:tcW w:w="3516" w:type="pct"/>
            <w:tcBorders>
              <w:top w:val="single" w:color="auto" w:sz="4" w:space="0"/>
              <w:left w:val="nil"/>
              <w:bottom w:val="single" w:color="auto" w:sz="4" w:space="0"/>
              <w:right w:val="single" w:color="auto" w:sz="4" w:space="0"/>
            </w:tcBorders>
            <w:noWrap w:val="0"/>
            <w:vAlign w:val="center"/>
          </w:tcPr>
          <w:p w14:paraId="3D523EB8">
            <w:pPr>
              <w:autoSpaceDE w:val="0"/>
              <w:autoSpaceDN w:val="0"/>
              <w:adjustRightInd w:val="0"/>
              <w:snapToGrid w:val="0"/>
              <w:spacing w:line="360" w:lineRule="auto"/>
              <w:contextualSpacing/>
              <w:jc w:val="center"/>
              <w:rPr>
                <w:rFonts w:hint="eastAsia" w:ascii="宋体"/>
                <w:color w:val="000000"/>
                <w:highlight w:val="none"/>
              </w:rPr>
            </w:pPr>
          </w:p>
        </w:tc>
      </w:tr>
      <w:tr w14:paraId="7A11D12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919B9F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项目实施周期</w:t>
            </w:r>
          </w:p>
        </w:tc>
        <w:tc>
          <w:tcPr>
            <w:tcW w:w="3516" w:type="pct"/>
            <w:tcBorders>
              <w:top w:val="single" w:color="auto" w:sz="4" w:space="0"/>
              <w:left w:val="nil"/>
              <w:bottom w:val="single" w:color="auto" w:sz="4" w:space="0"/>
              <w:right w:val="single" w:color="auto" w:sz="4" w:space="0"/>
            </w:tcBorders>
            <w:noWrap w:val="0"/>
            <w:vAlign w:val="center"/>
          </w:tcPr>
          <w:p w14:paraId="70665525">
            <w:pPr>
              <w:autoSpaceDE w:val="0"/>
              <w:autoSpaceDN w:val="0"/>
              <w:adjustRightInd w:val="0"/>
              <w:snapToGrid w:val="0"/>
              <w:spacing w:line="360" w:lineRule="auto"/>
              <w:contextualSpacing/>
              <w:jc w:val="center"/>
              <w:rPr>
                <w:rFonts w:hint="eastAsia" w:ascii="宋体"/>
                <w:color w:val="000000"/>
                <w:highlight w:val="none"/>
              </w:rPr>
            </w:pPr>
          </w:p>
        </w:tc>
      </w:tr>
      <w:tr w14:paraId="20789F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486FEBE">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承担的工作</w:t>
            </w:r>
          </w:p>
        </w:tc>
        <w:tc>
          <w:tcPr>
            <w:tcW w:w="3516" w:type="pct"/>
            <w:tcBorders>
              <w:top w:val="single" w:color="auto" w:sz="4" w:space="0"/>
              <w:left w:val="nil"/>
              <w:bottom w:val="single" w:color="auto" w:sz="4" w:space="0"/>
              <w:right w:val="single" w:color="auto" w:sz="4" w:space="0"/>
            </w:tcBorders>
            <w:noWrap w:val="0"/>
            <w:vAlign w:val="center"/>
          </w:tcPr>
          <w:p w14:paraId="14B386FE">
            <w:pPr>
              <w:autoSpaceDE w:val="0"/>
              <w:autoSpaceDN w:val="0"/>
              <w:adjustRightInd w:val="0"/>
              <w:snapToGrid w:val="0"/>
              <w:spacing w:line="360" w:lineRule="auto"/>
              <w:contextualSpacing/>
              <w:jc w:val="center"/>
              <w:rPr>
                <w:rFonts w:hint="eastAsia" w:ascii="宋体"/>
                <w:color w:val="000000"/>
                <w:highlight w:val="none"/>
              </w:rPr>
            </w:pPr>
          </w:p>
        </w:tc>
      </w:tr>
      <w:tr w14:paraId="6324DCE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C41497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项目负责人</w:t>
            </w:r>
          </w:p>
        </w:tc>
        <w:tc>
          <w:tcPr>
            <w:tcW w:w="3516" w:type="pct"/>
            <w:tcBorders>
              <w:top w:val="single" w:color="auto" w:sz="4" w:space="0"/>
              <w:left w:val="nil"/>
              <w:bottom w:val="single" w:color="auto" w:sz="4" w:space="0"/>
              <w:right w:val="single" w:color="auto" w:sz="4" w:space="0"/>
            </w:tcBorders>
            <w:noWrap w:val="0"/>
            <w:vAlign w:val="center"/>
          </w:tcPr>
          <w:p w14:paraId="4B195A73">
            <w:pPr>
              <w:autoSpaceDE w:val="0"/>
              <w:autoSpaceDN w:val="0"/>
              <w:adjustRightInd w:val="0"/>
              <w:snapToGrid w:val="0"/>
              <w:spacing w:line="360" w:lineRule="auto"/>
              <w:contextualSpacing/>
              <w:jc w:val="center"/>
              <w:rPr>
                <w:rFonts w:hint="eastAsia" w:ascii="宋体"/>
                <w:color w:val="000000"/>
                <w:highlight w:val="none"/>
              </w:rPr>
            </w:pPr>
          </w:p>
        </w:tc>
      </w:tr>
      <w:tr w14:paraId="037E2415">
        <w:tblPrEx>
          <w:tblCellMar>
            <w:top w:w="0" w:type="dxa"/>
            <w:left w:w="108" w:type="dxa"/>
            <w:bottom w:w="0" w:type="dxa"/>
            <w:right w:w="108" w:type="dxa"/>
          </w:tblCellMar>
        </w:tblPrEx>
        <w:trPr>
          <w:trHeight w:val="3180"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55B4E0B">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项目描述</w:t>
            </w:r>
          </w:p>
        </w:tc>
        <w:tc>
          <w:tcPr>
            <w:tcW w:w="3516" w:type="pct"/>
            <w:tcBorders>
              <w:top w:val="single" w:color="auto" w:sz="4" w:space="0"/>
              <w:left w:val="nil"/>
              <w:bottom w:val="single" w:color="auto" w:sz="4" w:space="0"/>
              <w:right w:val="single" w:color="auto" w:sz="4" w:space="0"/>
            </w:tcBorders>
            <w:noWrap w:val="0"/>
            <w:vAlign w:val="center"/>
          </w:tcPr>
          <w:p w14:paraId="20AF842D">
            <w:pPr>
              <w:autoSpaceDE w:val="0"/>
              <w:autoSpaceDN w:val="0"/>
              <w:adjustRightInd w:val="0"/>
              <w:snapToGrid w:val="0"/>
              <w:spacing w:line="360" w:lineRule="auto"/>
              <w:contextualSpacing/>
              <w:jc w:val="center"/>
              <w:rPr>
                <w:rFonts w:hint="eastAsia" w:ascii="宋体"/>
                <w:color w:val="000000"/>
                <w:highlight w:val="none"/>
              </w:rPr>
            </w:pPr>
          </w:p>
        </w:tc>
      </w:tr>
      <w:tr w14:paraId="6600D09A">
        <w:tblPrEx>
          <w:tblCellMar>
            <w:top w:w="0" w:type="dxa"/>
            <w:left w:w="108" w:type="dxa"/>
            <w:bottom w:w="0" w:type="dxa"/>
            <w:right w:w="108" w:type="dxa"/>
          </w:tblCellMar>
        </w:tblPrEx>
        <w:trPr>
          <w:trHeight w:val="674"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DEF5FE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备注</w:t>
            </w:r>
          </w:p>
        </w:tc>
        <w:tc>
          <w:tcPr>
            <w:tcW w:w="3516" w:type="pct"/>
            <w:tcBorders>
              <w:top w:val="single" w:color="auto" w:sz="4" w:space="0"/>
              <w:left w:val="nil"/>
              <w:bottom w:val="single" w:color="auto" w:sz="4" w:space="0"/>
              <w:right w:val="single" w:color="auto" w:sz="4" w:space="0"/>
            </w:tcBorders>
            <w:noWrap w:val="0"/>
            <w:vAlign w:val="center"/>
          </w:tcPr>
          <w:p w14:paraId="1B22EA1F">
            <w:pPr>
              <w:autoSpaceDE w:val="0"/>
              <w:autoSpaceDN w:val="0"/>
              <w:adjustRightInd w:val="0"/>
              <w:snapToGrid w:val="0"/>
              <w:spacing w:line="360" w:lineRule="auto"/>
              <w:contextualSpacing/>
              <w:jc w:val="center"/>
              <w:rPr>
                <w:rFonts w:hint="eastAsia" w:ascii="宋体"/>
                <w:color w:val="000000"/>
                <w:highlight w:val="none"/>
              </w:rPr>
            </w:pPr>
          </w:p>
        </w:tc>
      </w:tr>
    </w:tbl>
    <w:p w14:paraId="35DD507C">
      <w:pPr>
        <w:snapToGrid w:val="0"/>
        <w:spacing w:line="360" w:lineRule="auto"/>
        <w:jc w:val="left"/>
        <w:rPr>
          <w:rFonts w:hint="eastAsia" w:ascii="宋体"/>
          <w:color w:val="000000"/>
          <w:kern w:val="0"/>
          <w:highlight w:val="none"/>
        </w:rPr>
      </w:pPr>
    </w:p>
    <w:p w14:paraId="4095B91B">
      <w:pPr>
        <w:snapToGrid w:val="0"/>
        <w:spacing w:line="360" w:lineRule="auto"/>
        <w:jc w:val="left"/>
        <w:rPr>
          <w:rFonts w:hint="eastAsia" w:ascii="宋体"/>
          <w:color w:val="000000"/>
          <w:kern w:val="0"/>
          <w:highlight w:val="none"/>
        </w:rPr>
      </w:pPr>
      <w:r>
        <w:rPr>
          <w:rFonts w:hint="eastAsia" w:ascii="宋体"/>
          <w:color w:val="000000"/>
          <w:kern w:val="0"/>
          <w:highlight w:val="none"/>
        </w:rPr>
        <w:t>注：1.投标人应将近三年（</w:t>
      </w:r>
      <w:r>
        <w:rPr>
          <w:rFonts w:hint="eastAsia" w:ascii="宋体" w:cs="宋体"/>
          <w:highlight w:val="none"/>
          <w:lang w:eastAsia="zh-CN"/>
        </w:rPr>
        <w:t>202</w:t>
      </w:r>
      <w:r>
        <w:rPr>
          <w:rFonts w:hint="eastAsia" w:ascii="宋体" w:cs="宋体"/>
          <w:highlight w:val="none"/>
          <w:lang w:val="en-US" w:eastAsia="zh-CN"/>
        </w:rPr>
        <w:t>2</w:t>
      </w:r>
      <w:r>
        <w:rPr>
          <w:rFonts w:hint="eastAsia" w:ascii="宋体" w:cs="宋体"/>
          <w:highlight w:val="none"/>
          <w:lang w:eastAsia="zh-CN"/>
        </w:rPr>
        <w:t>年</w:t>
      </w:r>
      <w:r>
        <w:rPr>
          <w:rFonts w:hint="eastAsia" w:ascii="宋体" w:cs="宋体"/>
          <w:highlight w:val="none"/>
          <w:lang w:val="en-US" w:eastAsia="zh-CN"/>
        </w:rPr>
        <w:t>1</w:t>
      </w:r>
      <w:r>
        <w:rPr>
          <w:rFonts w:hint="eastAsia" w:ascii="宋体" w:cs="宋体"/>
          <w:highlight w:val="none"/>
          <w:lang w:eastAsia="zh-CN"/>
        </w:rPr>
        <w:t>月1日-至今</w:t>
      </w:r>
      <w:r>
        <w:rPr>
          <w:rFonts w:hint="eastAsia" w:ascii="宋体"/>
          <w:color w:val="000000"/>
          <w:kern w:val="0"/>
          <w:highlight w:val="none"/>
        </w:rPr>
        <w:t>）类似项目情况填入本表中，一表只填写一个项目。</w:t>
      </w:r>
    </w:p>
    <w:p w14:paraId="02CEEBC3">
      <w:pPr>
        <w:snapToGrid w:val="0"/>
        <w:spacing w:line="360" w:lineRule="auto"/>
        <w:ind w:firstLine="420" w:firstLineChars="200"/>
        <w:jc w:val="left"/>
        <w:rPr>
          <w:rFonts w:hint="eastAsia" w:ascii="宋体"/>
          <w:color w:val="000000"/>
          <w:kern w:val="0"/>
          <w:highlight w:val="none"/>
        </w:rPr>
      </w:pPr>
      <w:r>
        <w:rPr>
          <w:rFonts w:hint="eastAsia" w:ascii="宋体"/>
          <w:color w:val="000000"/>
          <w:kern w:val="0"/>
          <w:highlight w:val="none"/>
        </w:rPr>
        <w:t>2.投标人应随本表出具所填项目的</w:t>
      </w:r>
      <w:r>
        <w:rPr>
          <w:rFonts w:hint="eastAsia" w:ascii="宋体"/>
          <w:color w:val="000000"/>
          <w:kern w:val="0"/>
          <w:highlight w:val="none"/>
          <w:lang w:val="en-US" w:eastAsia="zh-CN"/>
        </w:rPr>
        <w:t>相关证明材料(详见评审办法）</w:t>
      </w:r>
      <w:r>
        <w:rPr>
          <w:rFonts w:hint="eastAsia" w:ascii="宋体"/>
          <w:color w:val="000000"/>
          <w:kern w:val="0"/>
          <w:highlight w:val="none"/>
        </w:rPr>
        <w:t>，否则，</w:t>
      </w:r>
      <w:r>
        <w:rPr>
          <w:rFonts w:hint="eastAsia" w:ascii="宋体"/>
          <w:color w:val="000000"/>
          <w:kern w:val="0"/>
          <w:highlight w:val="none"/>
          <w:lang w:eastAsia="zh-CN"/>
        </w:rPr>
        <w:t>采购人</w:t>
      </w:r>
      <w:r>
        <w:rPr>
          <w:rFonts w:hint="eastAsia" w:ascii="宋体"/>
          <w:color w:val="000000"/>
          <w:kern w:val="0"/>
          <w:highlight w:val="none"/>
        </w:rPr>
        <w:t>将不考虑投标人所填项目的业绩。</w:t>
      </w:r>
    </w:p>
    <w:p w14:paraId="6882D0B6">
      <w:pPr>
        <w:snapToGrid w:val="0"/>
        <w:spacing w:line="360" w:lineRule="auto"/>
        <w:ind w:left="1120" w:hanging="1120" w:hangingChars="400"/>
        <w:jc w:val="center"/>
        <w:rPr>
          <w:rFonts w:hint="eastAsia" w:ascii="宋体"/>
          <w:b/>
          <w:bCs/>
          <w:color w:val="000000"/>
          <w:kern w:val="0"/>
          <w:sz w:val="28"/>
          <w:szCs w:val="28"/>
          <w:highlight w:val="none"/>
        </w:rPr>
      </w:pPr>
      <w:r>
        <w:rPr>
          <w:rFonts w:hint="eastAsia" w:ascii="宋体"/>
          <w:color w:val="000000"/>
          <w:kern w:val="0"/>
          <w:sz w:val="28"/>
          <w:szCs w:val="28"/>
          <w:highlight w:val="none"/>
        </w:rPr>
        <w:br w:type="page"/>
      </w:r>
      <w:r>
        <w:rPr>
          <w:rFonts w:hint="eastAsia" w:ascii="宋体"/>
          <w:b/>
          <w:bCs/>
          <w:color w:val="000000"/>
          <w:kern w:val="0"/>
          <w:sz w:val="30"/>
          <w:szCs w:val="30"/>
          <w:highlight w:val="none"/>
        </w:rPr>
        <w:t>(四) 近年发生的诉讼及仲裁情况</w:t>
      </w:r>
    </w:p>
    <w:p w14:paraId="00A7E9C1">
      <w:pPr>
        <w:snapToGrid w:val="0"/>
        <w:spacing w:line="360" w:lineRule="auto"/>
        <w:jc w:val="center"/>
        <w:rPr>
          <w:rFonts w:hint="eastAsia" w:ascii="宋体"/>
          <w:b/>
          <w:bCs/>
          <w:color w:val="000000"/>
          <w:kern w:val="0"/>
          <w:sz w:val="28"/>
          <w:szCs w:val="28"/>
          <w:highlight w:val="none"/>
        </w:rPr>
      </w:pPr>
    </w:p>
    <w:p w14:paraId="5DA8EAD2">
      <w:pPr>
        <w:numPr>
          <w:ilvl w:val="0"/>
          <w:numId w:val="6"/>
        </w:numPr>
        <w:snapToGrid w:val="0"/>
        <w:spacing w:line="360" w:lineRule="auto"/>
        <w:ind w:left="1205" w:hanging="1205" w:hangingChars="400"/>
        <w:jc w:val="center"/>
        <w:rPr>
          <w:rFonts w:hint="eastAsia" w:ascii="宋体"/>
          <w:b/>
          <w:bCs/>
          <w:color w:val="000000"/>
          <w:kern w:val="0"/>
          <w:sz w:val="30"/>
          <w:szCs w:val="30"/>
          <w:highlight w:val="none"/>
        </w:rPr>
      </w:pPr>
      <w:r>
        <w:rPr>
          <w:rFonts w:hint="eastAsia" w:ascii="宋体" w:cs="宋体-18030"/>
          <w:b/>
          <w:bCs/>
          <w:color w:val="000000"/>
          <w:kern w:val="0"/>
          <w:sz w:val="30"/>
          <w:szCs w:val="30"/>
          <w:highlight w:val="none"/>
          <w:lang w:val="zh-CN"/>
        </w:rPr>
        <w:br w:type="page"/>
      </w:r>
      <w:bookmarkStart w:id="109" w:name="_Toc24484"/>
      <w:r>
        <w:rPr>
          <w:rFonts w:hint="eastAsia" w:ascii="宋体"/>
          <w:b/>
          <w:bCs/>
          <w:color w:val="000000"/>
          <w:kern w:val="0"/>
          <w:sz w:val="30"/>
          <w:szCs w:val="30"/>
          <w:highlight w:val="none"/>
        </w:rPr>
        <w:t>项目团队人员简历表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76"/>
        <w:gridCol w:w="16"/>
        <w:gridCol w:w="1353"/>
        <w:gridCol w:w="1445"/>
        <w:gridCol w:w="1748"/>
        <w:gridCol w:w="1581"/>
      </w:tblGrid>
      <w:tr w14:paraId="589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pct"/>
            <w:noWrap w:val="0"/>
            <w:vAlign w:val="center"/>
          </w:tcPr>
          <w:p w14:paraId="3CFEB931">
            <w:pPr>
              <w:spacing w:line="360" w:lineRule="auto"/>
              <w:jc w:val="center"/>
              <w:rPr>
                <w:rFonts w:hint="eastAsia" w:ascii="宋体" w:cs="宋体"/>
                <w:highlight w:val="none"/>
              </w:rPr>
            </w:pPr>
            <w:r>
              <w:rPr>
                <w:rFonts w:hint="eastAsia" w:ascii="宋体" w:cs="宋体"/>
                <w:highlight w:val="none"/>
              </w:rPr>
              <w:t>姓  名</w:t>
            </w:r>
          </w:p>
        </w:tc>
        <w:tc>
          <w:tcPr>
            <w:tcW w:w="718" w:type="pct"/>
            <w:gridSpan w:val="2"/>
            <w:noWrap w:val="0"/>
            <w:vAlign w:val="center"/>
          </w:tcPr>
          <w:p w14:paraId="622D327C">
            <w:pPr>
              <w:spacing w:line="360" w:lineRule="auto"/>
              <w:jc w:val="center"/>
              <w:rPr>
                <w:rFonts w:hint="eastAsia" w:ascii="宋体" w:cs="宋体"/>
                <w:highlight w:val="none"/>
              </w:rPr>
            </w:pPr>
          </w:p>
        </w:tc>
        <w:tc>
          <w:tcPr>
            <w:tcW w:w="751" w:type="pct"/>
            <w:noWrap w:val="0"/>
            <w:vAlign w:val="center"/>
          </w:tcPr>
          <w:p w14:paraId="2107EE0A">
            <w:pPr>
              <w:spacing w:line="360" w:lineRule="auto"/>
              <w:jc w:val="center"/>
              <w:rPr>
                <w:rFonts w:hint="eastAsia" w:ascii="宋体" w:cs="宋体"/>
                <w:highlight w:val="none"/>
              </w:rPr>
            </w:pPr>
            <w:r>
              <w:rPr>
                <w:rFonts w:hint="eastAsia" w:ascii="宋体" w:cs="宋体"/>
                <w:highlight w:val="none"/>
              </w:rPr>
              <w:t>年龄</w:t>
            </w:r>
          </w:p>
        </w:tc>
        <w:tc>
          <w:tcPr>
            <w:tcW w:w="802" w:type="pct"/>
            <w:noWrap w:val="0"/>
            <w:vAlign w:val="center"/>
          </w:tcPr>
          <w:p w14:paraId="1690E747">
            <w:pPr>
              <w:spacing w:line="360" w:lineRule="auto"/>
              <w:jc w:val="center"/>
              <w:rPr>
                <w:rFonts w:hint="eastAsia" w:ascii="宋体" w:cs="宋体"/>
                <w:highlight w:val="none"/>
              </w:rPr>
            </w:pPr>
          </w:p>
        </w:tc>
        <w:tc>
          <w:tcPr>
            <w:tcW w:w="971" w:type="pct"/>
            <w:noWrap w:val="0"/>
            <w:vAlign w:val="center"/>
          </w:tcPr>
          <w:p w14:paraId="6524F77F">
            <w:pPr>
              <w:spacing w:line="360" w:lineRule="auto"/>
              <w:jc w:val="center"/>
              <w:rPr>
                <w:rFonts w:hint="eastAsia" w:ascii="宋体" w:cs="宋体"/>
                <w:highlight w:val="none"/>
              </w:rPr>
            </w:pPr>
            <w:r>
              <w:rPr>
                <w:rFonts w:hint="eastAsia" w:ascii="宋体" w:cs="宋体"/>
                <w:highlight w:val="none"/>
              </w:rPr>
              <w:t>专业</w:t>
            </w:r>
          </w:p>
        </w:tc>
        <w:tc>
          <w:tcPr>
            <w:tcW w:w="876" w:type="pct"/>
            <w:noWrap w:val="0"/>
            <w:vAlign w:val="center"/>
          </w:tcPr>
          <w:p w14:paraId="30919509">
            <w:pPr>
              <w:spacing w:line="360" w:lineRule="auto"/>
              <w:jc w:val="center"/>
              <w:rPr>
                <w:rFonts w:hint="eastAsia" w:ascii="宋体" w:cs="宋体"/>
                <w:highlight w:val="none"/>
              </w:rPr>
            </w:pPr>
          </w:p>
        </w:tc>
      </w:tr>
      <w:tr w14:paraId="71D7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78" w:type="pct"/>
            <w:tcBorders>
              <w:bottom w:val="single" w:color="auto" w:sz="4" w:space="0"/>
            </w:tcBorders>
            <w:noWrap w:val="0"/>
            <w:vAlign w:val="center"/>
          </w:tcPr>
          <w:p w14:paraId="34A51DF2">
            <w:pPr>
              <w:spacing w:line="360" w:lineRule="auto"/>
              <w:jc w:val="center"/>
              <w:rPr>
                <w:rFonts w:hint="eastAsia" w:ascii="宋体" w:cs="宋体"/>
                <w:highlight w:val="none"/>
              </w:rPr>
            </w:pPr>
            <w:r>
              <w:rPr>
                <w:rFonts w:hint="eastAsia" w:ascii="宋体" w:cs="宋体"/>
                <w:highlight w:val="none"/>
              </w:rPr>
              <w:t>职   称</w:t>
            </w:r>
          </w:p>
        </w:tc>
        <w:tc>
          <w:tcPr>
            <w:tcW w:w="718" w:type="pct"/>
            <w:gridSpan w:val="2"/>
            <w:tcBorders>
              <w:bottom w:val="single" w:color="auto" w:sz="4" w:space="0"/>
            </w:tcBorders>
            <w:noWrap w:val="0"/>
            <w:vAlign w:val="center"/>
          </w:tcPr>
          <w:p w14:paraId="0C50B143">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6E853A8">
            <w:pPr>
              <w:spacing w:line="360" w:lineRule="auto"/>
              <w:jc w:val="center"/>
              <w:rPr>
                <w:rFonts w:hint="eastAsia" w:ascii="宋体" w:cs="宋体"/>
                <w:highlight w:val="none"/>
              </w:rPr>
            </w:pPr>
            <w:r>
              <w:rPr>
                <w:rFonts w:hint="eastAsia" w:ascii="宋体" w:cs="宋体"/>
                <w:highlight w:val="none"/>
              </w:rPr>
              <w:t>职务</w:t>
            </w:r>
          </w:p>
        </w:tc>
        <w:tc>
          <w:tcPr>
            <w:tcW w:w="802" w:type="pct"/>
            <w:tcBorders>
              <w:bottom w:val="single" w:color="auto" w:sz="4" w:space="0"/>
            </w:tcBorders>
            <w:noWrap w:val="0"/>
            <w:vAlign w:val="center"/>
          </w:tcPr>
          <w:p w14:paraId="77A684B5">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20E71E70">
            <w:pPr>
              <w:spacing w:line="360" w:lineRule="auto"/>
              <w:jc w:val="center"/>
              <w:rPr>
                <w:rFonts w:hint="eastAsia" w:ascii="宋体" w:cs="宋体"/>
                <w:highlight w:val="none"/>
              </w:rPr>
            </w:pPr>
            <w:r>
              <w:rPr>
                <w:rFonts w:hint="eastAsia" w:ascii="宋体" w:cs="宋体"/>
                <w:highlight w:val="none"/>
              </w:rPr>
              <w:t>拟在担任职务</w:t>
            </w:r>
          </w:p>
        </w:tc>
        <w:tc>
          <w:tcPr>
            <w:tcW w:w="876" w:type="pct"/>
            <w:tcBorders>
              <w:bottom w:val="single" w:color="auto" w:sz="4" w:space="0"/>
            </w:tcBorders>
            <w:noWrap w:val="0"/>
            <w:vAlign w:val="center"/>
          </w:tcPr>
          <w:p w14:paraId="4D336339">
            <w:pPr>
              <w:spacing w:line="360" w:lineRule="auto"/>
              <w:jc w:val="center"/>
              <w:rPr>
                <w:rFonts w:hint="eastAsia" w:ascii="宋体" w:cs="宋体"/>
                <w:highlight w:val="none"/>
              </w:rPr>
            </w:pPr>
          </w:p>
        </w:tc>
      </w:tr>
      <w:tr w14:paraId="5382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78" w:type="pct"/>
            <w:tcBorders>
              <w:bottom w:val="single" w:color="auto" w:sz="4" w:space="0"/>
            </w:tcBorders>
            <w:noWrap w:val="0"/>
            <w:vAlign w:val="center"/>
          </w:tcPr>
          <w:p w14:paraId="1DFA37AF">
            <w:pPr>
              <w:spacing w:line="360" w:lineRule="auto"/>
              <w:jc w:val="center"/>
              <w:rPr>
                <w:rFonts w:hint="eastAsia" w:ascii="宋体" w:cs="宋体"/>
                <w:highlight w:val="none"/>
              </w:rPr>
            </w:pPr>
            <w:r>
              <w:rPr>
                <w:rFonts w:hint="eastAsia" w:ascii="宋体" w:cs="宋体"/>
                <w:highlight w:val="none"/>
              </w:rPr>
              <w:t>毕业学校</w:t>
            </w:r>
          </w:p>
        </w:tc>
        <w:tc>
          <w:tcPr>
            <w:tcW w:w="718" w:type="pct"/>
            <w:gridSpan w:val="2"/>
            <w:tcBorders>
              <w:bottom w:val="single" w:color="auto" w:sz="4" w:space="0"/>
            </w:tcBorders>
            <w:noWrap w:val="0"/>
            <w:vAlign w:val="center"/>
          </w:tcPr>
          <w:p w14:paraId="5C694464">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C1367C1">
            <w:pPr>
              <w:spacing w:line="360" w:lineRule="auto"/>
              <w:jc w:val="center"/>
              <w:rPr>
                <w:rFonts w:hint="eastAsia" w:ascii="宋体" w:cs="宋体"/>
                <w:highlight w:val="none"/>
              </w:rPr>
            </w:pPr>
            <w:r>
              <w:rPr>
                <w:rFonts w:hint="eastAsia" w:ascii="宋体" w:cs="宋体"/>
                <w:highlight w:val="none"/>
              </w:rPr>
              <w:t>毕业时间</w:t>
            </w:r>
          </w:p>
        </w:tc>
        <w:tc>
          <w:tcPr>
            <w:tcW w:w="802" w:type="pct"/>
            <w:tcBorders>
              <w:bottom w:val="single" w:color="auto" w:sz="4" w:space="0"/>
            </w:tcBorders>
            <w:noWrap w:val="0"/>
            <w:vAlign w:val="center"/>
          </w:tcPr>
          <w:p w14:paraId="3F21D790">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692C1853">
            <w:pPr>
              <w:spacing w:line="360" w:lineRule="auto"/>
              <w:jc w:val="center"/>
              <w:rPr>
                <w:rFonts w:hint="eastAsia" w:ascii="宋体" w:cs="宋体"/>
                <w:highlight w:val="none"/>
              </w:rPr>
            </w:pPr>
            <w:r>
              <w:rPr>
                <w:rFonts w:hint="eastAsia" w:ascii="宋体" w:cs="宋体"/>
                <w:highlight w:val="none"/>
              </w:rPr>
              <w:t>从事专业年限</w:t>
            </w:r>
          </w:p>
        </w:tc>
        <w:tc>
          <w:tcPr>
            <w:tcW w:w="876" w:type="pct"/>
            <w:tcBorders>
              <w:bottom w:val="single" w:color="auto" w:sz="4" w:space="0"/>
            </w:tcBorders>
            <w:noWrap w:val="0"/>
            <w:vAlign w:val="center"/>
          </w:tcPr>
          <w:p w14:paraId="60B66057">
            <w:pPr>
              <w:spacing w:line="360" w:lineRule="auto"/>
              <w:jc w:val="center"/>
              <w:rPr>
                <w:rFonts w:hint="eastAsia" w:ascii="宋体" w:cs="宋体"/>
                <w:highlight w:val="none"/>
              </w:rPr>
            </w:pPr>
          </w:p>
        </w:tc>
      </w:tr>
      <w:tr w14:paraId="2DE0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8" w:type="pct"/>
            <w:tcBorders>
              <w:bottom w:val="single" w:color="auto" w:sz="4" w:space="0"/>
            </w:tcBorders>
            <w:noWrap w:val="0"/>
            <w:vAlign w:val="center"/>
          </w:tcPr>
          <w:p w14:paraId="530C0ED1">
            <w:pPr>
              <w:spacing w:line="360" w:lineRule="auto"/>
              <w:jc w:val="center"/>
              <w:rPr>
                <w:rFonts w:hint="eastAsia" w:ascii="宋体" w:cs="宋体"/>
                <w:highlight w:val="none"/>
              </w:rPr>
            </w:pPr>
            <w:r>
              <w:rPr>
                <w:rFonts w:hint="eastAsia" w:ascii="宋体" w:cs="宋体"/>
                <w:highlight w:val="none"/>
              </w:rPr>
              <w:t>参加工作时间</w:t>
            </w:r>
          </w:p>
        </w:tc>
        <w:tc>
          <w:tcPr>
            <w:tcW w:w="4121" w:type="pct"/>
            <w:gridSpan w:val="6"/>
            <w:tcBorders>
              <w:bottom w:val="single" w:color="auto" w:sz="4" w:space="0"/>
            </w:tcBorders>
            <w:noWrap w:val="0"/>
            <w:vAlign w:val="center"/>
          </w:tcPr>
          <w:p w14:paraId="396ACCEB">
            <w:pPr>
              <w:spacing w:line="360" w:lineRule="auto"/>
              <w:jc w:val="center"/>
              <w:rPr>
                <w:rFonts w:hint="eastAsia" w:ascii="宋体" w:cs="宋体"/>
                <w:highlight w:val="none"/>
              </w:rPr>
            </w:pPr>
          </w:p>
        </w:tc>
      </w:tr>
      <w:tr w14:paraId="52B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8" w:type="pct"/>
            <w:tcBorders>
              <w:bottom w:val="single" w:color="auto" w:sz="4" w:space="0"/>
            </w:tcBorders>
            <w:noWrap w:val="0"/>
            <w:vAlign w:val="center"/>
          </w:tcPr>
          <w:p w14:paraId="403CA4A9">
            <w:pPr>
              <w:spacing w:line="360" w:lineRule="auto"/>
              <w:jc w:val="center"/>
              <w:rPr>
                <w:rFonts w:hint="eastAsia" w:ascii="宋体" w:cs="宋体"/>
                <w:highlight w:val="none"/>
              </w:rPr>
            </w:pPr>
            <w:r>
              <w:rPr>
                <w:rFonts w:hint="eastAsia" w:ascii="宋体" w:cs="宋体"/>
                <w:highlight w:val="none"/>
              </w:rPr>
              <w:t>执业资格/职称</w:t>
            </w:r>
          </w:p>
        </w:tc>
        <w:tc>
          <w:tcPr>
            <w:tcW w:w="1470" w:type="pct"/>
            <w:gridSpan w:val="3"/>
            <w:tcBorders>
              <w:bottom w:val="single" w:color="auto" w:sz="4" w:space="0"/>
            </w:tcBorders>
            <w:noWrap w:val="0"/>
            <w:vAlign w:val="center"/>
          </w:tcPr>
          <w:p w14:paraId="0E6C1E4D">
            <w:pPr>
              <w:spacing w:line="360" w:lineRule="auto"/>
              <w:jc w:val="center"/>
              <w:rPr>
                <w:rFonts w:hint="eastAsia" w:ascii="宋体" w:cs="宋体"/>
                <w:highlight w:val="none"/>
              </w:rPr>
            </w:pPr>
          </w:p>
        </w:tc>
        <w:tc>
          <w:tcPr>
            <w:tcW w:w="802" w:type="pct"/>
            <w:tcBorders>
              <w:bottom w:val="single" w:color="auto" w:sz="4" w:space="0"/>
            </w:tcBorders>
            <w:noWrap w:val="0"/>
            <w:vAlign w:val="center"/>
          </w:tcPr>
          <w:p w14:paraId="631E2814">
            <w:pPr>
              <w:spacing w:line="360" w:lineRule="auto"/>
              <w:jc w:val="center"/>
              <w:rPr>
                <w:rFonts w:hint="eastAsia" w:ascii="宋体" w:cs="宋体"/>
                <w:highlight w:val="none"/>
              </w:rPr>
            </w:pPr>
            <w:r>
              <w:rPr>
                <w:rFonts w:hint="eastAsia" w:ascii="宋体" w:cs="宋体"/>
                <w:highlight w:val="none"/>
              </w:rPr>
              <w:t>注册证号</w:t>
            </w:r>
          </w:p>
        </w:tc>
        <w:tc>
          <w:tcPr>
            <w:tcW w:w="1848" w:type="pct"/>
            <w:gridSpan w:val="2"/>
            <w:tcBorders>
              <w:bottom w:val="single" w:color="auto" w:sz="4" w:space="0"/>
            </w:tcBorders>
            <w:noWrap w:val="0"/>
            <w:vAlign w:val="center"/>
          </w:tcPr>
          <w:p w14:paraId="6E7E388A">
            <w:pPr>
              <w:spacing w:line="360" w:lineRule="auto"/>
              <w:jc w:val="center"/>
              <w:rPr>
                <w:rFonts w:hint="eastAsia" w:ascii="宋体" w:cs="宋体"/>
                <w:highlight w:val="none"/>
              </w:rPr>
            </w:pPr>
          </w:p>
        </w:tc>
      </w:tr>
      <w:tr w14:paraId="02F2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0D4959A8">
            <w:pPr>
              <w:spacing w:before="156" w:line="360" w:lineRule="auto"/>
              <w:rPr>
                <w:rFonts w:hint="eastAsia" w:ascii="宋体" w:cs="宋体"/>
                <w:highlight w:val="none"/>
              </w:rPr>
            </w:pPr>
            <w:r>
              <w:rPr>
                <w:rFonts w:hint="eastAsia" w:ascii="宋体" w:cs="宋体"/>
                <w:highlight w:val="none"/>
              </w:rPr>
              <w:t>个人履历：</w:t>
            </w:r>
          </w:p>
        </w:tc>
      </w:tr>
      <w:tr w14:paraId="5C64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4" w:space="0"/>
            </w:tcBorders>
            <w:noWrap w:val="0"/>
            <w:vAlign w:val="center"/>
          </w:tcPr>
          <w:p w14:paraId="753F27BE">
            <w:pPr>
              <w:spacing w:line="360" w:lineRule="auto"/>
              <w:jc w:val="center"/>
              <w:rPr>
                <w:rFonts w:hint="eastAsia" w:ascii="宋体" w:cs="宋体"/>
                <w:highlight w:val="none"/>
              </w:rPr>
            </w:pPr>
            <w:r>
              <w:rPr>
                <w:rFonts w:hint="eastAsia" w:ascii="宋体" w:cs="宋体"/>
                <w:highlight w:val="none"/>
              </w:rPr>
              <w:t>时间</w:t>
            </w:r>
          </w:p>
        </w:tc>
        <w:tc>
          <w:tcPr>
            <w:tcW w:w="709" w:type="pct"/>
            <w:tcBorders>
              <w:top w:val="single" w:color="auto" w:sz="4" w:space="0"/>
            </w:tcBorders>
            <w:noWrap w:val="0"/>
            <w:vAlign w:val="center"/>
          </w:tcPr>
          <w:p w14:paraId="43EA1AF1">
            <w:pPr>
              <w:spacing w:line="360" w:lineRule="auto"/>
              <w:jc w:val="center"/>
              <w:rPr>
                <w:rFonts w:hint="eastAsia" w:ascii="宋体" w:cs="宋体"/>
                <w:highlight w:val="none"/>
              </w:rPr>
            </w:pPr>
            <w:r>
              <w:rPr>
                <w:rFonts w:hint="eastAsia" w:ascii="宋体" w:cs="宋体"/>
                <w:highlight w:val="none"/>
              </w:rPr>
              <w:t>发包人</w:t>
            </w:r>
          </w:p>
        </w:tc>
        <w:tc>
          <w:tcPr>
            <w:tcW w:w="1564" w:type="pct"/>
            <w:gridSpan w:val="3"/>
            <w:tcBorders>
              <w:top w:val="single" w:color="auto" w:sz="4" w:space="0"/>
            </w:tcBorders>
            <w:noWrap w:val="0"/>
            <w:vAlign w:val="center"/>
          </w:tcPr>
          <w:p w14:paraId="409EB5A0">
            <w:pPr>
              <w:spacing w:line="360" w:lineRule="auto"/>
              <w:jc w:val="center"/>
              <w:rPr>
                <w:rFonts w:hint="eastAsia" w:ascii="宋体" w:eastAsia="宋体" w:cs="宋体"/>
                <w:highlight w:val="none"/>
                <w:lang w:eastAsia="zh-CN"/>
              </w:rPr>
            </w:pPr>
            <w:r>
              <w:rPr>
                <w:rFonts w:hint="eastAsia" w:ascii="宋体" w:cs="宋体"/>
                <w:highlight w:val="none"/>
              </w:rPr>
              <w:t>参加过类似项目</w:t>
            </w:r>
            <w:r>
              <w:rPr>
                <w:rFonts w:hint="eastAsia" w:ascii="宋体" w:cs="宋体"/>
                <w:highlight w:val="none"/>
                <w:lang w:val="en-US" w:eastAsia="zh-CN"/>
              </w:rPr>
              <w:t>的</w:t>
            </w:r>
          </w:p>
          <w:p w14:paraId="1C1E8FE6">
            <w:pPr>
              <w:spacing w:line="360" w:lineRule="auto"/>
              <w:jc w:val="center"/>
              <w:rPr>
                <w:rFonts w:hint="eastAsia" w:ascii="宋体" w:cs="宋体"/>
                <w:highlight w:val="none"/>
              </w:rPr>
            </w:pPr>
            <w:r>
              <w:rPr>
                <w:rFonts w:hint="eastAsia" w:ascii="宋体" w:cs="宋体"/>
                <w:highlight w:val="none"/>
              </w:rPr>
              <w:t>项目名称</w:t>
            </w:r>
          </w:p>
        </w:tc>
        <w:tc>
          <w:tcPr>
            <w:tcW w:w="971" w:type="pct"/>
            <w:tcBorders>
              <w:top w:val="single" w:color="auto" w:sz="4" w:space="0"/>
            </w:tcBorders>
            <w:noWrap w:val="0"/>
            <w:vAlign w:val="center"/>
          </w:tcPr>
          <w:p w14:paraId="16EFB9A7">
            <w:pPr>
              <w:spacing w:line="360" w:lineRule="auto"/>
              <w:jc w:val="center"/>
              <w:rPr>
                <w:rFonts w:hint="default" w:ascii="宋体" w:eastAsia="宋体" w:cs="宋体"/>
                <w:highlight w:val="none"/>
                <w:lang w:val="en-US" w:eastAsia="zh-CN"/>
              </w:rPr>
            </w:pPr>
            <w:r>
              <w:rPr>
                <w:rFonts w:hint="eastAsia" w:ascii="宋体" w:cs="宋体"/>
                <w:highlight w:val="none"/>
                <w:lang w:val="en-US" w:eastAsia="zh-CN"/>
              </w:rPr>
              <w:t>合同金额</w:t>
            </w:r>
          </w:p>
        </w:tc>
        <w:tc>
          <w:tcPr>
            <w:tcW w:w="876" w:type="pct"/>
            <w:tcBorders>
              <w:top w:val="single" w:color="auto" w:sz="4" w:space="0"/>
            </w:tcBorders>
            <w:noWrap w:val="0"/>
            <w:vAlign w:val="center"/>
          </w:tcPr>
          <w:p w14:paraId="06848FE9">
            <w:pPr>
              <w:spacing w:line="360" w:lineRule="auto"/>
              <w:jc w:val="center"/>
              <w:rPr>
                <w:rFonts w:hint="eastAsia" w:ascii="宋体" w:cs="宋体"/>
                <w:highlight w:val="none"/>
              </w:rPr>
            </w:pPr>
            <w:r>
              <w:rPr>
                <w:rFonts w:hint="eastAsia" w:ascii="宋体" w:cs="宋体"/>
                <w:highlight w:val="none"/>
              </w:rPr>
              <w:t>担任何职</w:t>
            </w:r>
          </w:p>
        </w:tc>
      </w:tr>
      <w:tr w14:paraId="09A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8" w:type="pct"/>
            <w:noWrap w:val="0"/>
            <w:vAlign w:val="center"/>
          </w:tcPr>
          <w:p w14:paraId="6340DFD7">
            <w:pPr>
              <w:spacing w:line="360" w:lineRule="auto"/>
              <w:jc w:val="center"/>
              <w:rPr>
                <w:rFonts w:hint="eastAsia" w:ascii="宋体" w:cs="宋体"/>
                <w:highlight w:val="none"/>
              </w:rPr>
            </w:pPr>
          </w:p>
        </w:tc>
        <w:tc>
          <w:tcPr>
            <w:tcW w:w="709" w:type="pct"/>
            <w:noWrap w:val="0"/>
            <w:vAlign w:val="center"/>
          </w:tcPr>
          <w:p w14:paraId="65E46B2D">
            <w:pPr>
              <w:spacing w:line="360" w:lineRule="auto"/>
              <w:jc w:val="center"/>
              <w:rPr>
                <w:rFonts w:hint="eastAsia" w:ascii="宋体" w:cs="宋体"/>
                <w:highlight w:val="none"/>
              </w:rPr>
            </w:pPr>
          </w:p>
        </w:tc>
        <w:tc>
          <w:tcPr>
            <w:tcW w:w="1564" w:type="pct"/>
            <w:gridSpan w:val="3"/>
            <w:noWrap w:val="0"/>
            <w:vAlign w:val="center"/>
          </w:tcPr>
          <w:p w14:paraId="3442B80C">
            <w:pPr>
              <w:spacing w:line="360" w:lineRule="auto"/>
              <w:jc w:val="center"/>
              <w:rPr>
                <w:rFonts w:hint="eastAsia" w:ascii="宋体" w:cs="宋体"/>
                <w:highlight w:val="none"/>
              </w:rPr>
            </w:pPr>
          </w:p>
        </w:tc>
        <w:tc>
          <w:tcPr>
            <w:tcW w:w="971" w:type="pct"/>
            <w:noWrap w:val="0"/>
            <w:vAlign w:val="center"/>
          </w:tcPr>
          <w:p w14:paraId="4ED642E1">
            <w:pPr>
              <w:spacing w:line="360" w:lineRule="auto"/>
              <w:jc w:val="center"/>
              <w:rPr>
                <w:rFonts w:hint="eastAsia" w:ascii="宋体" w:cs="宋体"/>
                <w:highlight w:val="none"/>
              </w:rPr>
            </w:pPr>
          </w:p>
        </w:tc>
        <w:tc>
          <w:tcPr>
            <w:tcW w:w="876" w:type="pct"/>
            <w:noWrap w:val="0"/>
            <w:vAlign w:val="center"/>
          </w:tcPr>
          <w:p w14:paraId="330219F3">
            <w:pPr>
              <w:spacing w:line="360" w:lineRule="auto"/>
              <w:jc w:val="center"/>
              <w:rPr>
                <w:rFonts w:hint="eastAsia" w:ascii="宋体" w:cs="宋体"/>
                <w:highlight w:val="none"/>
              </w:rPr>
            </w:pPr>
          </w:p>
        </w:tc>
      </w:tr>
      <w:tr w14:paraId="1B17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8" w:type="pct"/>
            <w:noWrap w:val="0"/>
            <w:vAlign w:val="center"/>
          </w:tcPr>
          <w:p w14:paraId="0E327722">
            <w:pPr>
              <w:spacing w:line="360" w:lineRule="auto"/>
              <w:jc w:val="center"/>
              <w:rPr>
                <w:rFonts w:hint="eastAsia" w:ascii="宋体" w:cs="宋体"/>
                <w:highlight w:val="none"/>
              </w:rPr>
            </w:pPr>
          </w:p>
        </w:tc>
        <w:tc>
          <w:tcPr>
            <w:tcW w:w="709" w:type="pct"/>
            <w:noWrap w:val="0"/>
            <w:vAlign w:val="center"/>
          </w:tcPr>
          <w:p w14:paraId="76EA0F2D">
            <w:pPr>
              <w:spacing w:line="360" w:lineRule="auto"/>
              <w:jc w:val="center"/>
              <w:rPr>
                <w:rFonts w:hint="eastAsia" w:ascii="宋体" w:cs="宋体"/>
                <w:highlight w:val="none"/>
              </w:rPr>
            </w:pPr>
          </w:p>
        </w:tc>
        <w:tc>
          <w:tcPr>
            <w:tcW w:w="1564" w:type="pct"/>
            <w:gridSpan w:val="3"/>
            <w:noWrap w:val="0"/>
            <w:vAlign w:val="center"/>
          </w:tcPr>
          <w:p w14:paraId="2ED1B060">
            <w:pPr>
              <w:spacing w:line="360" w:lineRule="auto"/>
              <w:jc w:val="center"/>
              <w:rPr>
                <w:rFonts w:hint="eastAsia" w:ascii="宋体" w:cs="宋体"/>
                <w:highlight w:val="none"/>
              </w:rPr>
            </w:pPr>
          </w:p>
        </w:tc>
        <w:tc>
          <w:tcPr>
            <w:tcW w:w="971" w:type="pct"/>
            <w:noWrap w:val="0"/>
            <w:vAlign w:val="center"/>
          </w:tcPr>
          <w:p w14:paraId="7942B8FE">
            <w:pPr>
              <w:spacing w:line="360" w:lineRule="auto"/>
              <w:jc w:val="center"/>
              <w:rPr>
                <w:rFonts w:hint="eastAsia" w:ascii="宋体" w:cs="宋体"/>
                <w:highlight w:val="none"/>
              </w:rPr>
            </w:pPr>
          </w:p>
        </w:tc>
        <w:tc>
          <w:tcPr>
            <w:tcW w:w="876" w:type="pct"/>
            <w:noWrap w:val="0"/>
            <w:vAlign w:val="center"/>
          </w:tcPr>
          <w:p w14:paraId="1C96CB5D">
            <w:pPr>
              <w:spacing w:line="360" w:lineRule="auto"/>
              <w:jc w:val="center"/>
              <w:rPr>
                <w:rFonts w:hint="eastAsia" w:ascii="宋体" w:cs="宋体"/>
                <w:highlight w:val="none"/>
              </w:rPr>
            </w:pPr>
          </w:p>
        </w:tc>
      </w:tr>
    </w:tbl>
    <w:p w14:paraId="02362870">
      <w:pPr>
        <w:pStyle w:val="19"/>
        <w:ind w:firstLine="210"/>
        <w:rPr>
          <w:rFonts w:hint="eastAsia" w:ascii="宋体" w:cs="宋体"/>
          <w:bCs/>
          <w:sz w:val="21"/>
          <w:szCs w:val="21"/>
          <w:highlight w:val="none"/>
        </w:rPr>
      </w:pPr>
      <w:r>
        <w:rPr>
          <w:rFonts w:hint="eastAsia" w:ascii="宋体" w:cs="宋体"/>
          <w:bCs/>
          <w:sz w:val="21"/>
          <w:szCs w:val="21"/>
          <w:highlight w:val="none"/>
        </w:rPr>
        <w:t>1.本表应附主要管理人员身份证、学历证书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、职称证书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、注册执业资格证书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等、业绩证明材料</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复印件。</w:t>
      </w:r>
    </w:p>
    <w:p w14:paraId="321CFFE2">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lang w:val="zh-CN"/>
        </w:rPr>
        <w:br w:type="page"/>
      </w:r>
      <w:bookmarkEnd w:id="109"/>
      <w:bookmarkStart w:id="110" w:name="_Toc7815"/>
      <w:bookmarkStart w:id="111" w:name="_Toc19046"/>
      <w:r>
        <w:rPr>
          <w:rFonts w:hint="eastAsia" w:ascii="宋体" w:cs="宋体-18030"/>
          <w:b/>
          <w:bCs/>
          <w:color w:val="000000"/>
          <w:kern w:val="0"/>
          <w:sz w:val="30"/>
          <w:szCs w:val="30"/>
          <w:highlight w:val="none"/>
        </w:rPr>
        <w:t>八</w:t>
      </w:r>
      <w:r>
        <w:rPr>
          <w:rFonts w:hint="eastAsia" w:ascii="宋体" w:cs="宋体-18030"/>
          <w:b/>
          <w:bCs/>
          <w:color w:val="000000"/>
          <w:kern w:val="0"/>
          <w:sz w:val="30"/>
          <w:szCs w:val="30"/>
          <w:highlight w:val="none"/>
          <w:lang w:val="zh-CN"/>
        </w:rPr>
        <w:t>、</w:t>
      </w:r>
      <w:r>
        <w:rPr>
          <w:rFonts w:hint="eastAsia" w:ascii="宋体" w:cs="宋体-18030"/>
          <w:b/>
          <w:bCs/>
          <w:color w:val="000000"/>
          <w:kern w:val="0"/>
          <w:sz w:val="30"/>
          <w:szCs w:val="30"/>
          <w:highlight w:val="none"/>
          <w:lang w:val="en-US" w:eastAsia="zh-CN"/>
        </w:rPr>
        <w:t>技术</w:t>
      </w:r>
      <w:r>
        <w:rPr>
          <w:rFonts w:hint="eastAsia" w:ascii="宋体" w:cs="宋体-18030"/>
          <w:b/>
          <w:bCs/>
          <w:color w:val="000000"/>
          <w:kern w:val="0"/>
          <w:sz w:val="30"/>
          <w:szCs w:val="30"/>
          <w:highlight w:val="none"/>
        </w:rPr>
        <w:t>方案</w:t>
      </w:r>
      <w:bookmarkEnd w:id="110"/>
      <w:bookmarkEnd w:id="111"/>
    </w:p>
    <w:p w14:paraId="742077B0">
      <w:pPr>
        <w:spacing w:line="400" w:lineRule="exact"/>
        <w:jc w:val="center"/>
        <w:rPr>
          <w:rFonts w:hint="eastAsia" w:ascii="宋体" w:eastAsiaTheme="minorEastAsia"/>
          <w:color w:val="000000"/>
          <w:highlight w:val="none"/>
          <w:lang w:eastAsia="zh-CN"/>
        </w:rPr>
      </w:pPr>
      <w:r>
        <w:rPr>
          <w:rFonts w:hint="eastAsia" w:ascii="宋体"/>
          <w:color w:val="000000"/>
          <w:highlight w:val="none"/>
        </w:rPr>
        <w:t>投标人应根据招标文件评标办法等要求编制</w:t>
      </w:r>
      <w:r>
        <w:rPr>
          <w:rFonts w:hint="eastAsia" w:ascii="宋体"/>
          <w:color w:val="000000"/>
          <w:highlight w:val="none"/>
          <w:lang w:val="en-US" w:eastAsia="zh-CN"/>
        </w:rPr>
        <w:t>技术</w:t>
      </w:r>
      <w:r>
        <w:rPr>
          <w:rFonts w:hint="eastAsia" w:ascii="宋体"/>
          <w:color w:val="000000"/>
          <w:highlight w:val="none"/>
        </w:rPr>
        <w:t>方案</w:t>
      </w:r>
      <w:r>
        <w:rPr>
          <w:rFonts w:hint="eastAsia" w:ascii="宋体"/>
          <w:color w:val="000000"/>
          <w:highlight w:val="none"/>
          <w:lang w:eastAsia="zh-CN"/>
        </w:rPr>
        <w:t>，格式自拟</w:t>
      </w:r>
    </w:p>
    <w:p w14:paraId="05091862">
      <w:pPr>
        <w:spacing w:line="360" w:lineRule="auto"/>
        <w:rPr>
          <w:rFonts w:hint="eastAsia" w:ascii="宋体"/>
          <w:color w:val="000000"/>
          <w:highlight w:val="none"/>
        </w:rPr>
      </w:pPr>
    </w:p>
    <w:p w14:paraId="1718F26F">
      <w:pPr>
        <w:spacing w:line="360" w:lineRule="auto"/>
        <w:rPr>
          <w:rFonts w:hint="eastAsia" w:ascii="宋体"/>
          <w:color w:val="000000"/>
          <w:sz w:val="24"/>
          <w:highlight w:val="none"/>
        </w:rPr>
      </w:pPr>
    </w:p>
    <w:p w14:paraId="36184211">
      <w:pPr>
        <w:spacing w:line="360" w:lineRule="auto"/>
        <w:rPr>
          <w:rFonts w:hint="eastAsia" w:ascii="宋体"/>
          <w:color w:val="000000"/>
          <w:sz w:val="24"/>
          <w:highlight w:val="none"/>
        </w:rPr>
      </w:pPr>
    </w:p>
    <w:p w14:paraId="5B1AE6A6">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rPr>
        <w:br w:type="page"/>
      </w:r>
      <w:bookmarkStart w:id="112" w:name="_Toc8276"/>
      <w:bookmarkStart w:id="113" w:name="_Toc30043"/>
      <w:r>
        <w:rPr>
          <w:rFonts w:hint="eastAsia" w:ascii="宋体" w:cs="宋体-18030"/>
          <w:b/>
          <w:bCs/>
          <w:color w:val="000000"/>
          <w:kern w:val="0"/>
          <w:sz w:val="30"/>
          <w:szCs w:val="30"/>
          <w:highlight w:val="none"/>
        </w:rPr>
        <w:t>九、其他资料</w:t>
      </w:r>
      <w:bookmarkEnd w:id="112"/>
      <w:bookmarkEnd w:id="113"/>
    </w:p>
    <w:tbl>
      <w:tblPr>
        <w:tblStyle w:val="21"/>
        <w:tblW w:w="5000" w:type="pct"/>
        <w:tblInd w:w="0" w:type="dxa"/>
        <w:tblLayout w:type="autofit"/>
        <w:tblCellMar>
          <w:top w:w="0" w:type="dxa"/>
          <w:left w:w="108" w:type="dxa"/>
          <w:bottom w:w="0" w:type="dxa"/>
          <w:right w:w="108" w:type="dxa"/>
        </w:tblCellMar>
      </w:tblPr>
      <w:tblGrid>
        <w:gridCol w:w="9003"/>
      </w:tblGrid>
      <w:tr w14:paraId="2745C41D">
        <w:tblPrEx>
          <w:tblCellMar>
            <w:top w:w="0" w:type="dxa"/>
            <w:left w:w="108" w:type="dxa"/>
            <w:bottom w:w="0" w:type="dxa"/>
            <w:right w:w="108" w:type="dxa"/>
          </w:tblCellMar>
        </w:tblPrEx>
        <w:trPr>
          <w:trHeight w:val="107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AB39D02">
            <w:pPr>
              <w:snapToGrid w:val="0"/>
              <w:spacing w:line="360" w:lineRule="auto"/>
              <w:rPr>
                <w:highlight w:val="none"/>
              </w:rPr>
            </w:pPr>
          </w:p>
          <w:p w14:paraId="0A7098F7">
            <w:pPr>
              <w:snapToGrid w:val="0"/>
              <w:spacing w:line="360" w:lineRule="auto"/>
              <w:rPr>
                <w:highlight w:val="none"/>
              </w:rPr>
            </w:pPr>
          </w:p>
          <w:p w14:paraId="2AEA2EDF">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（1）相关承诺书</w:t>
            </w:r>
            <w:r>
              <w:rPr>
                <w:rFonts w:hint="eastAsia" w:ascii="宋体" w:hAnsi="宋体" w:eastAsia="宋体" w:cs="宋体"/>
                <w:highlight w:val="none"/>
                <w:lang w:eastAsia="zh-CN"/>
              </w:rPr>
              <w:t>（</w:t>
            </w:r>
            <w:r>
              <w:rPr>
                <w:rFonts w:hint="eastAsia" w:ascii="宋体" w:hAnsi="宋体" w:eastAsia="宋体" w:cs="宋体"/>
                <w:highlight w:val="none"/>
              </w:rPr>
              <w:t>格式自拟</w:t>
            </w:r>
            <w:r>
              <w:rPr>
                <w:rFonts w:hint="eastAsia" w:ascii="宋体" w:hAnsi="宋体" w:eastAsia="宋体" w:cs="宋体"/>
                <w:highlight w:val="none"/>
                <w:lang w:eastAsia="zh-CN"/>
              </w:rPr>
              <w:t>）</w:t>
            </w:r>
          </w:p>
          <w:p w14:paraId="452BBEA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增值服务</w:t>
            </w:r>
            <w:r>
              <w:rPr>
                <w:rFonts w:hint="eastAsia" w:ascii="宋体" w:hAnsi="宋体" w:eastAsia="宋体" w:cs="宋体"/>
                <w:highlight w:val="none"/>
              </w:rPr>
              <w:t>及服务承诺</w:t>
            </w:r>
          </w:p>
          <w:p w14:paraId="0F0CC9B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（3）售后服务承诺</w:t>
            </w:r>
          </w:p>
          <w:p w14:paraId="0D30578C">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）投标人认为有必要提供的其他材料（营业执照等）</w:t>
            </w:r>
          </w:p>
          <w:p w14:paraId="4DC25020">
            <w:pPr>
              <w:pStyle w:val="19"/>
              <w:ind w:firstLine="240"/>
              <w:rPr>
                <w:highlight w:val="none"/>
              </w:rPr>
            </w:pPr>
          </w:p>
        </w:tc>
      </w:tr>
    </w:tbl>
    <w:p w14:paraId="119E50F4">
      <w:pPr>
        <w:autoSpaceDE w:val="0"/>
        <w:autoSpaceDN w:val="0"/>
        <w:adjustRightInd w:val="0"/>
        <w:snapToGrid w:val="0"/>
        <w:spacing w:line="360" w:lineRule="auto"/>
        <w:rPr>
          <w:rFonts w:hint="eastAsia" w:ascii="宋体"/>
          <w:color w:val="000000"/>
          <w:kern w:val="0"/>
          <w:sz w:val="24"/>
          <w:szCs w:val="24"/>
          <w:highlight w:val="none"/>
        </w:rPr>
      </w:pPr>
    </w:p>
    <w:p w14:paraId="0268D3CD">
      <w:pPr>
        <w:snapToGrid w:val="0"/>
        <w:spacing w:line="360" w:lineRule="auto"/>
        <w:ind w:right="525"/>
        <w:rPr>
          <w:rFonts w:hint="eastAsia" w:ascii="宋体"/>
          <w:color w:val="000000"/>
          <w:highlight w:val="none"/>
          <w:lang w:val="zh-CN"/>
        </w:rPr>
      </w:pPr>
    </w:p>
    <w:p w14:paraId="14AD9C90">
      <w:pPr>
        <w:pStyle w:val="20"/>
        <w:ind w:firstLine="640"/>
        <w:rPr>
          <w:rFonts w:hint="eastAsia" w:ascii="宋体"/>
          <w:color w:val="000000"/>
          <w:highlight w:val="none"/>
          <w:lang w:val="zh-CN"/>
        </w:rPr>
      </w:pPr>
    </w:p>
    <w:p w14:paraId="30F07ACF">
      <w:pPr>
        <w:pStyle w:val="20"/>
        <w:ind w:firstLine="640"/>
        <w:rPr>
          <w:rFonts w:hint="eastAsia" w:ascii="宋体"/>
          <w:color w:val="000000"/>
          <w:highlight w:val="none"/>
          <w:lang w:val="zh-CN"/>
        </w:rPr>
      </w:pPr>
    </w:p>
    <w:p w14:paraId="06C22CEF">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03827B7C">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中小企业声明函（</w:t>
      </w:r>
      <w:r>
        <w:rPr>
          <w:rFonts w:hint="eastAsia" w:ascii="宋体" w:hAnsi="宋体" w:cs="宋体"/>
          <w:b/>
          <w:color w:val="auto"/>
          <w:kern w:val="0"/>
          <w:sz w:val="21"/>
          <w:szCs w:val="21"/>
          <w:highlight w:val="none"/>
          <w:lang w:val="en-US" w:eastAsia="zh-CN"/>
        </w:rPr>
        <w:t>工业</w:t>
      </w:r>
      <w:r>
        <w:rPr>
          <w:rFonts w:hint="eastAsia" w:ascii="宋体" w:hAnsi="宋体" w:cs="宋体"/>
          <w:b/>
          <w:color w:val="auto"/>
          <w:kern w:val="0"/>
          <w:sz w:val="21"/>
          <w:szCs w:val="21"/>
          <w:highlight w:val="none"/>
        </w:rPr>
        <w:t>）</w:t>
      </w:r>
    </w:p>
    <w:p w14:paraId="0542C89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本公司郑重声明，根据《政府采购促进中小企业发展管理办法》（财库﹝2020﹞46 号）的规定，本公司（联合体）参加</w:t>
      </w:r>
      <w:r>
        <w:rPr>
          <w:rFonts w:hint="eastAsia" w:ascii="宋体" w:hAnsi="宋体" w:cs="宋体"/>
          <w:color w:val="auto"/>
          <w:kern w:val="0"/>
          <w:sz w:val="21"/>
          <w:szCs w:val="21"/>
          <w:highlight w:val="none"/>
          <w:u w:val="single"/>
        </w:rPr>
        <w:t xml:space="preserve">     （单位名称）</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u w:val="single"/>
        </w:rPr>
        <w:t xml:space="preserve">    （项目名称）</w:t>
      </w:r>
      <w:r>
        <w:rPr>
          <w:rFonts w:hint="eastAsia" w:ascii="宋体" w:hAnsi="宋体" w:cs="宋体"/>
          <w:color w:val="auto"/>
          <w:kern w:val="0"/>
          <w:sz w:val="21"/>
          <w:szCs w:val="21"/>
          <w:highlight w:val="none"/>
        </w:rPr>
        <w:t>采购活动，提供的货物全部由符合政策要求的中小企业制造。相关企业（含联合体中的中小企业、签订分包意向协议的中小企业）的具体情况如下：</w:t>
      </w:r>
    </w:p>
    <w:p w14:paraId="7A3642B9">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30106058">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5C5EE0AC">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F2B88F1">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1C940BE2">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本企业对上述声明内容的真实性负责。如有虚假，将依法承担相应责任。</w:t>
      </w:r>
    </w:p>
    <w:p w14:paraId="69CFC2A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7156F7D">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企业名称（盖章）：</w:t>
      </w:r>
    </w:p>
    <w:p w14:paraId="706B0D20">
      <w:pPr>
        <w:widowControl/>
        <w:spacing w:before="100" w:beforeAutospacing="1" w:after="100" w:afterAutospacing="1" w:line="435"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5FC376E">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w:t>
      </w:r>
    </w:p>
    <w:p w14:paraId="5BE3A1C1">
      <w:pPr>
        <w:widowControl/>
        <w:spacing w:before="100" w:beforeAutospacing="1" w:after="100" w:afterAutospacing="1" w:line="435" w:lineRule="exact"/>
        <w:jc w:val="left"/>
        <w:rPr>
          <w:rFonts w:hint="eastAsia" w:ascii="宋体" w:hAnsi="宋体" w:cs="宋体"/>
          <w:color w:val="auto"/>
          <w:kern w:val="0"/>
          <w:sz w:val="21"/>
          <w:szCs w:val="21"/>
          <w:highlight w:val="none"/>
        </w:rPr>
        <w:sectPr>
          <w:headerReference r:id="rId5" w:type="default"/>
          <w:footerReference r:id="rId6" w:type="default"/>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从业人员、营业收入、资产总额填报上一年度数据，无上一年度数据的新成立企业可不填报。</w:t>
      </w:r>
    </w:p>
    <w:p w14:paraId="2312E362">
      <w:pPr>
        <w:ind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w:t>
      </w:r>
    </w:p>
    <w:tbl>
      <w:tblPr>
        <w:tblStyle w:val="21"/>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14"/>
        <w:gridCol w:w="1174"/>
        <w:gridCol w:w="1086"/>
        <w:gridCol w:w="921"/>
        <w:gridCol w:w="1086"/>
        <w:gridCol w:w="1074"/>
        <w:gridCol w:w="978"/>
        <w:gridCol w:w="1086"/>
        <w:gridCol w:w="1141"/>
        <w:gridCol w:w="984"/>
        <w:gridCol w:w="1086"/>
        <w:gridCol w:w="1090"/>
        <w:gridCol w:w="834"/>
      </w:tblGrid>
      <w:tr w14:paraId="4F3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noWrap w:val="0"/>
            <w:vAlign w:val="center"/>
          </w:tcPr>
          <w:p w14:paraId="42499A7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14" w:type="dxa"/>
            <w:vMerge w:val="restart"/>
            <w:noWrap w:val="0"/>
            <w:vAlign w:val="center"/>
          </w:tcPr>
          <w:p w14:paraId="7CB9EAA8">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3181" w:type="dxa"/>
            <w:gridSpan w:val="3"/>
            <w:noWrap w:val="0"/>
            <w:vAlign w:val="center"/>
          </w:tcPr>
          <w:p w14:paraId="38F37C2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大型企业</w:t>
            </w:r>
          </w:p>
        </w:tc>
        <w:tc>
          <w:tcPr>
            <w:tcW w:w="3138" w:type="dxa"/>
            <w:gridSpan w:val="3"/>
            <w:noWrap w:val="0"/>
            <w:vAlign w:val="center"/>
          </w:tcPr>
          <w:p w14:paraId="18723D4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中型企业</w:t>
            </w:r>
          </w:p>
        </w:tc>
        <w:tc>
          <w:tcPr>
            <w:tcW w:w="3211" w:type="dxa"/>
            <w:gridSpan w:val="3"/>
            <w:noWrap w:val="0"/>
            <w:vAlign w:val="center"/>
          </w:tcPr>
          <w:p w14:paraId="0D96AA6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小型企业</w:t>
            </w:r>
          </w:p>
        </w:tc>
        <w:tc>
          <w:tcPr>
            <w:tcW w:w="3010" w:type="dxa"/>
            <w:gridSpan w:val="3"/>
            <w:noWrap w:val="0"/>
            <w:vAlign w:val="center"/>
          </w:tcPr>
          <w:p w14:paraId="66DB88F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微型企业</w:t>
            </w:r>
          </w:p>
        </w:tc>
      </w:tr>
      <w:tr w14:paraId="5634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479" w:type="dxa"/>
            <w:vMerge w:val="continue"/>
            <w:noWrap w:val="0"/>
            <w:vAlign w:val="center"/>
          </w:tcPr>
          <w:p w14:paraId="662B8911">
            <w:pPr>
              <w:ind w:left="-48" w:leftChars="-23" w:right="-65" w:rightChars="-31"/>
              <w:jc w:val="center"/>
              <w:rPr>
                <w:rFonts w:hint="eastAsia" w:ascii="宋体" w:hAnsi="宋体" w:eastAsia="宋体" w:cs="宋体"/>
                <w:b/>
                <w:color w:val="auto"/>
                <w:sz w:val="21"/>
                <w:szCs w:val="21"/>
                <w:highlight w:val="none"/>
              </w:rPr>
            </w:pPr>
          </w:p>
        </w:tc>
        <w:tc>
          <w:tcPr>
            <w:tcW w:w="1914" w:type="dxa"/>
            <w:vMerge w:val="continue"/>
            <w:noWrap w:val="0"/>
            <w:vAlign w:val="center"/>
          </w:tcPr>
          <w:p w14:paraId="21A418D0">
            <w:pPr>
              <w:ind w:left="-48" w:leftChars="-23" w:right="-65" w:rightChars="-31"/>
              <w:rPr>
                <w:rFonts w:hint="eastAsia" w:ascii="宋体" w:hAnsi="宋体" w:eastAsia="宋体" w:cs="宋体"/>
                <w:b/>
                <w:color w:val="auto"/>
                <w:sz w:val="21"/>
                <w:szCs w:val="21"/>
                <w:highlight w:val="none"/>
              </w:rPr>
            </w:pPr>
          </w:p>
        </w:tc>
        <w:tc>
          <w:tcPr>
            <w:tcW w:w="1174" w:type="dxa"/>
            <w:noWrap w:val="0"/>
            <w:vAlign w:val="center"/>
          </w:tcPr>
          <w:p w14:paraId="7835D4DF">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0C96579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93BFEE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5DCE592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21" w:type="dxa"/>
            <w:noWrap w:val="0"/>
            <w:vAlign w:val="center"/>
          </w:tcPr>
          <w:p w14:paraId="7FBA2AA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FA3019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1C0DB22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122E4D22">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74" w:type="dxa"/>
            <w:noWrap w:val="0"/>
            <w:vAlign w:val="center"/>
          </w:tcPr>
          <w:p w14:paraId="1121F60A">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9E0650D">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78" w:type="dxa"/>
            <w:noWrap w:val="0"/>
            <w:vAlign w:val="center"/>
          </w:tcPr>
          <w:p w14:paraId="23B0680C">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5AD425A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260754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39175E7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1" w:type="dxa"/>
            <w:noWrap w:val="0"/>
            <w:vAlign w:val="center"/>
          </w:tcPr>
          <w:p w14:paraId="6B357E86">
            <w:pPr>
              <w:ind w:left="119" w:leftChars="-23" w:right="-65" w:rightChars="-31" w:hanging="167" w:hangingChars="7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AAC110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84" w:type="dxa"/>
            <w:noWrap w:val="0"/>
            <w:vAlign w:val="center"/>
          </w:tcPr>
          <w:p w14:paraId="09BAFD6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89A5BA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49FBB6D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20A8DCD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90" w:type="dxa"/>
            <w:noWrap w:val="0"/>
            <w:vAlign w:val="center"/>
          </w:tcPr>
          <w:p w14:paraId="368775D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638FE9D9">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834" w:type="dxa"/>
            <w:noWrap w:val="0"/>
            <w:vAlign w:val="center"/>
          </w:tcPr>
          <w:p w14:paraId="55E77D01">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30AC5E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5A9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21DF23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14" w:type="dxa"/>
            <w:noWrap w:val="0"/>
            <w:vAlign w:val="center"/>
          </w:tcPr>
          <w:p w14:paraId="2749EA99">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农、林、牧、渔业</w:t>
            </w:r>
          </w:p>
        </w:tc>
        <w:tc>
          <w:tcPr>
            <w:tcW w:w="1174" w:type="dxa"/>
            <w:noWrap w:val="0"/>
            <w:vAlign w:val="center"/>
          </w:tcPr>
          <w:p w14:paraId="08DB4E3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6D08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406C8C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2583FF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615BD6C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6436FE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3A4C0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191A66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373E59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5344B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25BC1F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117DD6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5D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shd w:val="clear" w:color="auto" w:fill="FFFF00"/>
            <w:noWrap w:val="0"/>
            <w:vAlign w:val="center"/>
          </w:tcPr>
          <w:p w14:paraId="2FB48455">
            <w:pPr>
              <w:ind w:left="-107" w:leftChars="-51" w:right="-107" w:rightChars="-51"/>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2</w:t>
            </w:r>
          </w:p>
        </w:tc>
        <w:tc>
          <w:tcPr>
            <w:tcW w:w="1914" w:type="dxa"/>
            <w:shd w:val="clear" w:color="auto" w:fill="FFFF00"/>
            <w:noWrap w:val="0"/>
            <w:vAlign w:val="center"/>
          </w:tcPr>
          <w:p w14:paraId="12D360B4">
            <w:pPr>
              <w:ind w:left="-27" w:leftChars="-13" w:right="-65" w:rightChars="-31"/>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工业</w:t>
            </w:r>
          </w:p>
        </w:tc>
        <w:tc>
          <w:tcPr>
            <w:tcW w:w="1174" w:type="dxa"/>
            <w:shd w:val="clear" w:color="auto" w:fill="FFFF00"/>
            <w:noWrap w:val="0"/>
            <w:vAlign w:val="center"/>
          </w:tcPr>
          <w:p w14:paraId="7C259556">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≥40000</w:t>
            </w:r>
          </w:p>
        </w:tc>
        <w:tc>
          <w:tcPr>
            <w:tcW w:w="1086" w:type="dxa"/>
            <w:shd w:val="clear" w:color="auto" w:fill="FFFF00"/>
            <w:noWrap w:val="0"/>
            <w:vAlign w:val="center"/>
          </w:tcPr>
          <w:p w14:paraId="54FC045C">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≥1000</w:t>
            </w:r>
          </w:p>
        </w:tc>
        <w:tc>
          <w:tcPr>
            <w:tcW w:w="921" w:type="dxa"/>
            <w:shd w:val="clear" w:color="auto" w:fill="FFFF00"/>
            <w:noWrap w:val="0"/>
            <w:vAlign w:val="center"/>
          </w:tcPr>
          <w:p w14:paraId="773CF8D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1E26AFF">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≥2000</w:t>
            </w:r>
          </w:p>
        </w:tc>
        <w:tc>
          <w:tcPr>
            <w:tcW w:w="1074" w:type="dxa"/>
            <w:shd w:val="clear" w:color="auto" w:fill="FFFF00"/>
            <w:noWrap w:val="0"/>
            <w:vAlign w:val="center"/>
          </w:tcPr>
          <w:p w14:paraId="62CE4AC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978" w:type="dxa"/>
            <w:shd w:val="clear" w:color="auto" w:fill="FFFF00"/>
            <w:noWrap w:val="0"/>
            <w:vAlign w:val="center"/>
          </w:tcPr>
          <w:p w14:paraId="36E7CEDB">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1717F809">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141" w:type="dxa"/>
            <w:shd w:val="clear" w:color="auto" w:fill="FFFF00"/>
            <w:noWrap w:val="0"/>
            <w:vAlign w:val="center"/>
          </w:tcPr>
          <w:p w14:paraId="1895BE2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984" w:type="dxa"/>
            <w:shd w:val="clear" w:color="auto" w:fill="FFFF00"/>
            <w:noWrap w:val="0"/>
            <w:vAlign w:val="center"/>
          </w:tcPr>
          <w:p w14:paraId="5AA8CD0C">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84F9986">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090" w:type="dxa"/>
            <w:shd w:val="clear" w:color="auto" w:fill="FFFF00"/>
            <w:noWrap w:val="0"/>
            <w:vAlign w:val="center"/>
          </w:tcPr>
          <w:p w14:paraId="5E369ED8">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834" w:type="dxa"/>
            <w:shd w:val="clear" w:color="auto" w:fill="FFFF00"/>
            <w:noWrap w:val="0"/>
            <w:vAlign w:val="center"/>
          </w:tcPr>
          <w:p w14:paraId="079D068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r>
      <w:tr w14:paraId="21F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13A3DE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914" w:type="dxa"/>
            <w:noWrap w:val="0"/>
            <w:vAlign w:val="center"/>
          </w:tcPr>
          <w:p w14:paraId="131C52A6">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w:t>
            </w:r>
          </w:p>
        </w:tc>
        <w:tc>
          <w:tcPr>
            <w:tcW w:w="1174" w:type="dxa"/>
            <w:noWrap w:val="0"/>
            <w:vAlign w:val="center"/>
          </w:tcPr>
          <w:p w14:paraId="59AB75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70FFF51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723BD24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4C9C2DF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1074" w:type="dxa"/>
            <w:noWrap w:val="0"/>
            <w:vAlign w:val="center"/>
          </w:tcPr>
          <w:p w14:paraId="5F6C7B0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4A7545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F14DA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noWrap w:val="0"/>
            <w:vAlign w:val="center"/>
          </w:tcPr>
          <w:p w14:paraId="181771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741B01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86" w:type="dxa"/>
            <w:noWrap w:val="0"/>
            <w:vAlign w:val="center"/>
          </w:tcPr>
          <w:p w14:paraId="6A2DC3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noWrap w:val="0"/>
            <w:vAlign w:val="center"/>
          </w:tcPr>
          <w:p w14:paraId="4BBBC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02E0B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r>
      <w:tr w14:paraId="56E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CED7AB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914" w:type="dxa"/>
            <w:noWrap w:val="0"/>
            <w:vAlign w:val="center"/>
          </w:tcPr>
          <w:p w14:paraId="4D25D17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批发业</w:t>
            </w:r>
          </w:p>
        </w:tc>
        <w:tc>
          <w:tcPr>
            <w:tcW w:w="1174" w:type="dxa"/>
            <w:noWrap w:val="0"/>
            <w:vAlign w:val="center"/>
          </w:tcPr>
          <w:p w14:paraId="125784E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noWrap w:val="0"/>
            <w:vAlign w:val="center"/>
          </w:tcPr>
          <w:p w14:paraId="0441A6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255A212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ED25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74" w:type="dxa"/>
            <w:noWrap w:val="0"/>
            <w:vAlign w:val="center"/>
          </w:tcPr>
          <w:p w14:paraId="713B138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78" w:type="dxa"/>
            <w:noWrap w:val="0"/>
            <w:vAlign w:val="center"/>
          </w:tcPr>
          <w:p w14:paraId="06796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621E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141" w:type="dxa"/>
            <w:noWrap w:val="0"/>
            <w:vAlign w:val="center"/>
          </w:tcPr>
          <w:p w14:paraId="39A552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4" w:type="dxa"/>
            <w:noWrap w:val="0"/>
            <w:vAlign w:val="center"/>
          </w:tcPr>
          <w:p w14:paraId="49C249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9FCB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90" w:type="dxa"/>
            <w:noWrap w:val="0"/>
            <w:vAlign w:val="center"/>
          </w:tcPr>
          <w:p w14:paraId="59D93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4" w:type="dxa"/>
            <w:noWrap w:val="0"/>
            <w:vAlign w:val="center"/>
          </w:tcPr>
          <w:p w14:paraId="40D84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17A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DC50F1E">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14" w:type="dxa"/>
            <w:noWrap w:val="0"/>
            <w:vAlign w:val="center"/>
          </w:tcPr>
          <w:p w14:paraId="7BFDC77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零售业</w:t>
            </w:r>
          </w:p>
        </w:tc>
        <w:tc>
          <w:tcPr>
            <w:tcW w:w="1174" w:type="dxa"/>
            <w:noWrap w:val="0"/>
            <w:vAlign w:val="center"/>
          </w:tcPr>
          <w:p w14:paraId="5263D31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D30466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5192A4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DF8E24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2714A55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978" w:type="dxa"/>
            <w:noWrap w:val="0"/>
            <w:vAlign w:val="center"/>
          </w:tcPr>
          <w:p w14:paraId="7C343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6B9B0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4FC6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BD5C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0633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2817F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16A0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2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689378A">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914" w:type="dxa"/>
            <w:noWrap w:val="0"/>
            <w:vAlign w:val="center"/>
          </w:tcPr>
          <w:p w14:paraId="1A012D88">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交通运输业</w:t>
            </w:r>
          </w:p>
        </w:tc>
        <w:tc>
          <w:tcPr>
            <w:tcW w:w="1174" w:type="dxa"/>
            <w:noWrap w:val="0"/>
            <w:vAlign w:val="center"/>
          </w:tcPr>
          <w:p w14:paraId="35722D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6892AC5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6F0D3D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96DFEC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1074" w:type="dxa"/>
            <w:noWrap w:val="0"/>
            <w:vAlign w:val="center"/>
          </w:tcPr>
          <w:p w14:paraId="1F19709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2F64A6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DDDA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41" w:type="dxa"/>
            <w:noWrap w:val="0"/>
            <w:vAlign w:val="center"/>
          </w:tcPr>
          <w:p w14:paraId="109719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76EAA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6186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90" w:type="dxa"/>
            <w:noWrap w:val="0"/>
            <w:vAlign w:val="center"/>
          </w:tcPr>
          <w:p w14:paraId="782220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6F8DD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1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E3F55F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914" w:type="dxa"/>
            <w:noWrap w:val="0"/>
            <w:vAlign w:val="center"/>
          </w:tcPr>
          <w:p w14:paraId="750645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仓储业</w:t>
            </w:r>
          </w:p>
        </w:tc>
        <w:tc>
          <w:tcPr>
            <w:tcW w:w="1174" w:type="dxa"/>
            <w:noWrap w:val="0"/>
            <w:vAlign w:val="center"/>
          </w:tcPr>
          <w:p w14:paraId="6D75CA5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136B99D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63A38B7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0B5ADC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5BBCC1E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8B12C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7847D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7FDD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020BD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6531B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541448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2D3665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02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7340B4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914" w:type="dxa"/>
            <w:noWrap w:val="0"/>
            <w:vAlign w:val="center"/>
          </w:tcPr>
          <w:p w14:paraId="28C78BCA">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邮政业</w:t>
            </w:r>
          </w:p>
        </w:tc>
        <w:tc>
          <w:tcPr>
            <w:tcW w:w="1174" w:type="dxa"/>
            <w:noWrap w:val="0"/>
            <w:vAlign w:val="center"/>
          </w:tcPr>
          <w:p w14:paraId="2825EBE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5DAC662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180155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F964BC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47E6EE0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989F7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E76B9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1DCAA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119350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EC8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3CFC6A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1D685D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31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7F59005">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914" w:type="dxa"/>
            <w:noWrap w:val="0"/>
            <w:vAlign w:val="center"/>
          </w:tcPr>
          <w:p w14:paraId="1B16C4E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住宿业</w:t>
            </w:r>
          </w:p>
        </w:tc>
        <w:tc>
          <w:tcPr>
            <w:tcW w:w="1174" w:type="dxa"/>
            <w:noWrap w:val="0"/>
            <w:vAlign w:val="center"/>
          </w:tcPr>
          <w:p w14:paraId="3DC46AE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70477DD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15A3A1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88D928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1C71F58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F7EC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77AAF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3964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53874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C1C21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6105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6FBA8A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6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479" w:type="dxa"/>
            <w:noWrap w:val="0"/>
            <w:vAlign w:val="center"/>
          </w:tcPr>
          <w:p w14:paraId="0188B3E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914" w:type="dxa"/>
            <w:noWrap w:val="0"/>
            <w:vAlign w:val="center"/>
          </w:tcPr>
          <w:p w14:paraId="14B2E50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餐饮业</w:t>
            </w:r>
          </w:p>
        </w:tc>
        <w:tc>
          <w:tcPr>
            <w:tcW w:w="1174" w:type="dxa"/>
            <w:noWrap w:val="0"/>
            <w:vAlign w:val="center"/>
          </w:tcPr>
          <w:p w14:paraId="5255394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3EBA47C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6DFD40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D5388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0EDF61F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621D9F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80DB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F84B3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5C671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BAC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0BE27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F5D5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F8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BC0D0AB">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914" w:type="dxa"/>
            <w:noWrap w:val="0"/>
            <w:vAlign w:val="center"/>
          </w:tcPr>
          <w:p w14:paraId="6D746A3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信息传输业</w:t>
            </w:r>
          </w:p>
        </w:tc>
        <w:tc>
          <w:tcPr>
            <w:tcW w:w="1174" w:type="dxa"/>
            <w:noWrap w:val="0"/>
            <w:vAlign w:val="center"/>
          </w:tcPr>
          <w:p w14:paraId="2B05DCD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w:t>
            </w:r>
          </w:p>
        </w:tc>
        <w:tc>
          <w:tcPr>
            <w:tcW w:w="1086" w:type="dxa"/>
            <w:noWrap w:val="0"/>
            <w:vAlign w:val="center"/>
          </w:tcPr>
          <w:p w14:paraId="012975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921" w:type="dxa"/>
            <w:noWrap w:val="0"/>
            <w:vAlign w:val="center"/>
          </w:tcPr>
          <w:p w14:paraId="169F987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0CAB2A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8A6146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76DF43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804E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5818D9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243547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F6BF2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D039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ABC3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3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 w:type="dxa"/>
            <w:noWrap w:val="0"/>
            <w:vAlign w:val="center"/>
          </w:tcPr>
          <w:p w14:paraId="6C9C2E23">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914" w:type="dxa"/>
            <w:noWrap w:val="0"/>
            <w:vAlign w:val="center"/>
          </w:tcPr>
          <w:p w14:paraId="4D36917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软件和信息技术服务业</w:t>
            </w:r>
          </w:p>
        </w:tc>
        <w:tc>
          <w:tcPr>
            <w:tcW w:w="1174" w:type="dxa"/>
            <w:noWrap w:val="0"/>
            <w:vAlign w:val="center"/>
          </w:tcPr>
          <w:p w14:paraId="63B2916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035F064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06A751F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C65CD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DF75D2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2E1F86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7329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7548D6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7DBC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6621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18D66C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3033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5C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099A3C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914" w:type="dxa"/>
            <w:noWrap w:val="0"/>
            <w:vAlign w:val="center"/>
          </w:tcPr>
          <w:p w14:paraId="39E4385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房地产开发经营</w:t>
            </w:r>
          </w:p>
        </w:tc>
        <w:tc>
          <w:tcPr>
            <w:tcW w:w="1174" w:type="dxa"/>
            <w:noWrap w:val="0"/>
            <w:vAlign w:val="center"/>
          </w:tcPr>
          <w:p w14:paraId="04718A9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≥200000</w:t>
            </w:r>
          </w:p>
        </w:tc>
        <w:tc>
          <w:tcPr>
            <w:tcW w:w="1086" w:type="dxa"/>
            <w:noWrap w:val="0"/>
            <w:vAlign w:val="center"/>
          </w:tcPr>
          <w:p w14:paraId="7B59766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397BE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或,≥10000</w:t>
            </w:r>
          </w:p>
        </w:tc>
        <w:tc>
          <w:tcPr>
            <w:tcW w:w="1086" w:type="dxa"/>
            <w:noWrap w:val="0"/>
            <w:vAlign w:val="center"/>
          </w:tcPr>
          <w:p w14:paraId="0EE9628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C04E02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7D622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且,≥5000</w:t>
            </w:r>
          </w:p>
        </w:tc>
        <w:tc>
          <w:tcPr>
            <w:tcW w:w="1086" w:type="dxa"/>
            <w:noWrap w:val="0"/>
            <w:vAlign w:val="center"/>
          </w:tcPr>
          <w:p w14:paraId="606D4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645CE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2055A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且,≥2000</w:t>
            </w:r>
          </w:p>
        </w:tc>
        <w:tc>
          <w:tcPr>
            <w:tcW w:w="1086" w:type="dxa"/>
            <w:noWrap w:val="0"/>
            <w:vAlign w:val="center"/>
          </w:tcPr>
          <w:p w14:paraId="610F8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0A52E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6373C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或,＜2000</w:t>
            </w:r>
          </w:p>
        </w:tc>
      </w:tr>
      <w:tr w14:paraId="422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839DB56">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914" w:type="dxa"/>
            <w:noWrap w:val="0"/>
            <w:vAlign w:val="center"/>
          </w:tcPr>
          <w:p w14:paraId="12C0B0A1">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物业管理</w:t>
            </w:r>
          </w:p>
        </w:tc>
        <w:tc>
          <w:tcPr>
            <w:tcW w:w="1174" w:type="dxa"/>
            <w:noWrap w:val="0"/>
            <w:vAlign w:val="center"/>
          </w:tcPr>
          <w:p w14:paraId="78AA1E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DB1159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41A2FC3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AF5632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663C6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57A9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5084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41" w:type="dxa"/>
            <w:noWrap w:val="0"/>
            <w:vAlign w:val="center"/>
          </w:tcPr>
          <w:p w14:paraId="3E3FB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84" w:type="dxa"/>
            <w:noWrap w:val="0"/>
            <w:vAlign w:val="center"/>
          </w:tcPr>
          <w:p w14:paraId="57DA38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2D78F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90" w:type="dxa"/>
            <w:noWrap w:val="0"/>
            <w:vAlign w:val="center"/>
          </w:tcPr>
          <w:p w14:paraId="05415C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4" w:type="dxa"/>
            <w:noWrap w:val="0"/>
            <w:vAlign w:val="center"/>
          </w:tcPr>
          <w:p w14:paraId="7CD26E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581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F1645CC">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914" w:type="dxa"/>
            <w:noWrap w:val="0"/>
            <w:vAlign w:val="center"/>
          </w:tcPr>
          <w:p w14:paraId="26E5283E">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租赁和商务服务业</w:t>
            </w:r>
          </w:p>
        </w:tc>
        <w:tc>
          <w:tcPr>
            <w:tcW w:w="1174" w:type="dxa"/>
            <w:noWrap w:val="0"/>
            <w:vAlign w:val="center"/>
          </w:tcPr>
          <w:p w14:paraId="4BD308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B4A942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7CB7DA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或,≥120000</w:t>
            </w:r>
          </w:p>
        </w:tc>
        <w:tc>
          <w:tcPr>
            <w:tcW w:w="1086" w:type="dxa"/>
            <w:noWrap w:val="0"/>
            <w:vAlign w:val="center"/>
          </w:tcPr>
          <w:p w14:paraId="7EF833B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34F0589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6F2B0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且,≥8000</w:t>
            </w:r>
          </w:p>
        </w:tc>
        <w:tc>
          <w:tcPr>
            <w:tcW w:w="1086" w:type="dxa"/>
            <w:noWrap w:val="0"/>
            <w:vAlign w:val="center"/>
          </w:tcPr>
          <w:p w14:paraId="3C7635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E6C68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380E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且,≥100</w:t>
            </w:r>
          </w:p>
        </w:tc>
        <w:tc>
          <w:tcPr>
            <w:tcW w:w="1086" w:type="dxa"/>
            <w:noWrap w:val="0"/>
            <w:vAlign w:val="center"/>
          </w:tcPr>
          <w:p w14:paraId="320BDA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74B8C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982B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w:t>
            </w:r>
          </w:p>
        </w:tc>
      </w:tr>
      <w:tr w14:paraId="2B60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9" w:type="dxa"/>
            <w:noWrap w:val="0"/>
            <w:vAlign w:val="center"/>
          </w:tcPr>
          <w:p w14:paraId="47393F8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914" w:type="dxa"/>
            <w:noWrap w:val="0"/>
            <w:vAlign w:val="center"/>
          </w:tcPr>
          <w:p w14:paraId="24B0FB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其他未列明行业</w:t>
            </w:r>
          </w:p>
        </w:tc>
        <w:tc>
          <w:tcPr>
            <w:tcW w:w="1174" w:type="dxa"/>
            <w:noWrap w:val="0"/>
            <w:vAlign w:val="center"/>
          </w:tcPr>
          <w:p w14:paraId="63A280F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6FC5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34BCDFD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490E6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59BC209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5C7874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F259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651C5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695AF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EEFB5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0928D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7E8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8C218E0">
      <w:pPr>
        <w:widowControl/>
        <w:spacing w:before="100" w:beforeAutospacing="1" w:after="100" w:afterAutospacing="1" w:line="435" w:lineRule="exact"/>
        <w:jc w:val="left"/>
        <w:rPr>
          <w:rFonts w:hint="eastAsia" w:ascii="宋体" w:hAnsi="宋体" w:cs="宋体"/>
          <w:color w:val="auto"/>
          <w:kern w:val="0"/>
          <w:sz w:val="21"/>
          <w:szCs w:val="21"/>
          <w:highlight w:val="none"/>
        </w:rPr>
        <w:sectPr>
          <w:pgSz w:w="16838" w:h="11905" w:orient="landscape"/>
          <w:pgMar w:top="1701" w:right="1417" w:bottom="1417" w:left="1417" w:header="850" w:footer="737" w:gutter="0"/>
          <w:pgNumType w:fmt="decimal"/>
          <w:cols w:space="720" w:num="1"/>
          <w:titlePg/>
          <w:rtlGutter w:val="0"/>
          <w:docGrid w:type="lines" w:linePitch="519" w:charSpace="0"/>
        </w:sectPr>
      </w:pPr>
    </w:p>
    <w:p w14:paraId="0688DF76">
      <w:pPr>
        <w:pStyle w:val="17"/>
        <w:shd w:val="clear" w:color="auto" w:fill="auto"/>
        <w:spacing w:before="0" w:beforeAutospacing="0" w:after="0" w:afterAutospacing="0"/>
        <w:jc w:val="center"/>
        <w:rPr>
          <w:rStyle w:val="24"/>
          <w:rFonts w:hint="eastAsia" w:ascii="宋体" w:hAnsi="宋体" w:eastAsia="宋体" w:cs="宋体"/>
          <w:color w:val="auto"/>
          <w:sz w:val="21"/>
          <w:szCs w:val="21"/>
          <w:highlight w:val="none"/>
          <w:shd w:val="clear" w:color="auto" w:fill="FFFFFF"/>
        </w:rPr>
      </w:pPr>
      <w:bookmarkStart w:id="114" w:name="_Toc9006533"/>
      <w:r>
        <w:rPr>
          <w:rStyle w:val="24"/>
          <w:rFonts w:hint="eastAsia" w:ascii="宋体" w:hAnsi="宋体" w:eastAsia="宋体" w:cs="宋体"/>
          <w:color w:val="auto"/>
          <w:sz w:val="21"/>
          <w:szCs w:val="21"/>
          <w:highlight w:val="none"/>
          <w:shd w:val="clear" w:color="auto" w:fill="FFFFFF"/>
        </w:rPr>
        <w:t>中小企业划型标准规定</w:t>
      </w:r>
    </w:p>
    <w:p w14:paraId="6025D6D1">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工信部联企业〔2011〕300号</w:t>
      </w:r>
    </w:p>
    <w:p w14:paraId="62E6D874">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shd w:val="clear" w:color="auto" w:fill="FFFFFF"/>
        </w:rPr>
        <w:t>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三、本规定适用的行业包括：</w:t>
      </w:r>
      <w:r>
        <w:rPr>
          <w:rFonts w:hint="eastAsia" w:ascii="宋体" w:hAnsi="宋体" w:eastAsia="宋体" w:cs="宋体"/>
          <w:color w:val="auto"/>
          <w:sz w:val="21"/>
          <w:szCs w:val="21"/>
          <w:highlight w:val="none"/>
          <w:shd w:val="clear" w:color="auto" w:fill="FFFFFF"/>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四、各行业划型标准为：</w:t>
      </w:r>
      <w:r>
        <w:rPr>
          <w:rFonts w:hint="eastAsia" w:ascii="宋体" w:hAnsi="宋体" w:eastAsia="宋体" w:cs="宋体"/>
          <w:b/>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bookmarkEnd w:id="114"/>
    <w:p w14:paraId="244FFF71">
      <w:pPr>
        <w:spacing w:line="360" w:lineRule="auto"/>
        <w:rPr>
          <w:rFonts w:hint="eastAsia" w:ascii="宋体" w:hAnsi="宋体" w:eastAsia="宋体" w:cs="宋体"/>
          <w:color w:val="auto"/>
          <w:sz w:val="21"/>
          <w:szCs w:val="21"/>
          <w:highlight w:val="none"/>
        </w:rPr>
      </w:pPr>
    </w:p>
    <w:p w14:paraId="6576B760">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附件2：</w:t>
      </w:r>
    </w:p>
    <w:p w14:paraId="17A50BE6">
      <w:pPr>
        <w:pStyle w:val="5"/>
        <w:tabs>
          <w:tab w:val="left" w:pos="720"/>
        </w:tabs>
        <w:spacing w:before="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监狱企业的证明文件</w:t>
      </w:r>
    </w:p>
    <w:p w14:paraId="265F2043">
      <w:pPr>
        <w:pStyle w:val="5"/>
        <w:tabs>
          <w:tab w:val="left" w:pos="720"/>
        </w:tabs>
        <w:spacing w:before="0"/>
        <w:outlineLvl w:val="9"/>
        <w:rPr>
          <w:rFonts w:hint="eastAsia" w:ascii="宋体" w:hAnsi="宋体" w:eastAsia="宋体" w:cs="宋体"/>
          <w:b/>
          <w:bCs/>
          <w:color w:val="auto"/>
          <w:sz w:val="21"/>
          <w:szCs w:val="21"/>
          <w:highlight w:val="none"/>
        </w:rPr>
      </w:pPr>
    </w:p>
    <w:p w14:paraId="1390E69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（如果是，提供</w:t>
      </w:r>
      <w:r>
        <w:rPr>
          <w:rFonts w:hint="eastAsia" w:ascii="宋体" w:hAnsi="宋体" w:eastAsia="宋体" w:cs="宋体"/>
          <w:bCs/>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5BED079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p>
    <w:p w14:paraId="68AADF8F">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lang w:val="en-US" w:eastAsia="zh-CN"/>
        </w:rPr>
        <w:t>附件3</w:t>
      </w:r>
      <w:r>
        <w:rPr>
          <w:rFonts w:hint="eastAsia" w:ascii="宋体" w:hAnsi="宋体" w:eastAsia="宋体" w:cs="宋体"/>
          <w:color w:val="auto"/>
          <w:sz w:val="21"/>
          <w:szCs w:val="21"/>
          <w:highlight w:val="none"/>
        </w:rPr>
        <w:t>：</w:t>
      </w:r>
    </w:p>
    <w:p w14:paraId="6CD1484D">
      <w:pPr>
        <w:pStyle w:val="5"/>
        <w:tabs>
          <w:tab w:val="left" w:pos="720"/>
        </w:tabs>
        <w:ind w:left="720" w:hanging="72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残疾人福利性单位声明函</w:t>
      </w:r>
    </w:p>
    <w:p w14:paraId="5DB28BA8">
      <w:pPr>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（如果是，提供）</w:t>
      </w:r>
    </w:p>
    <w:p w14:paraId="2BECE001">
      <w:pPr>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eastAsia="宋体" w:cs="宋体"/>
          <w:snapToGrid w:val="0"/>
          <w:color w:val="auto"/>
          <w:sz w:val="21"/>
          <w:szCs w:val="21"/>
          <w:highlight w:val="none"/>
          <w:lang w:eastAsia="zh-CN"/>
        </w:rPr>
        <w:t>。</w:t>
      </w:r>
    </w:p>
    <w:p w14:paraId="3E97A9AC">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20CCB9A3">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4617490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772575DB">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名称（盖</w:t>
      </w:r>
      <w:r>
        <w:rPr>
          <w:rFonts w:hint="eastAsia" w:ascii="宋体" w:hAnsi="宋体" w:eastAsia="宋体" w:cs="宋体"/>
          <w:color w:val="auto"/>
          <w:sz w:val="21"/>
          <w:szCs w:val="21"/>
          <w:highlight w:val="none"/>
          <w:shd w:val="clear" w:color="auto" w:fill="FFFFFF"/>
        </w:rPr>
        <w:t>单位公章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A2C2807">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2DD5F056">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sectPr>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eastAsia="宋体" w:cs="宋体"/>
          <w:snapToGrid w:val="0"/>
          <w:color w:val="auto"/>
          <w:sz w:val="21"/>
          <w:szCs w:val="21"/>
          <w:highlight w:val="none"/>
        </w:rPr>
        <w:t>日  期：</w:t>
      </w:r>
    </w:p>
    <w:p w14:paraId="6E37FA7A">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3F87AE70">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p>
    <w:p w14:paraId="2ECD80A0">
      <w:pPr>
        <w:pageBreakBefore w:val="0"/>
        <w:kinsoku/>
        <w:overflowPunct/>
        <w:topLinePunct w:val="0"/>
        <w:bidi w:val="0"/>
        <w:adjustRightInd w:val="0"/>
        <w:snapToGrid w:val="0"/>
        <w:spacing w:line="440" w:lineRule="exact"/>
        <w:jc w:val="center"/>
        <w:textAlignment w:val="auto"/>
        <w:rPr>
          <w:rFonts w:hint="eastAsia" w:ascii="宋体" w:hAnsi="宋体" w:eastAsia="宋体" w:cs="宋体"/>
          <w:b/>
          <w:color w:val="auto"/>
          <w:sz w:val="21"/>
          <w:szCs w:val="21"/>
          <w:highlight w:val="none"/>
          <w:lang w:val="en-US" w:eastAsia="zh-CN"/>
        </w:rPr>
        <w:sectPr>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eastAsia="宋体" w:cs="宋体"/>
          <w:b/>
          <w:bCs w:val="0"/>
          <w:color w:val="auto"/>
          <w:sz w:val="21"/>
          <w:szCs w:val="21"/>
          <w:highlight w:val="none"/>
          <w:lang w:eastAsia="zh-CN"/>
        </w:rPr>
        <w:t>投标人认为有必要的其他材料</w:t>
      </w:r>
    </w:p>
    <w:p w14:paraId="05013B05">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sz w:val="21"/>
          <w:szCs w:val="21"/>
          <w:highlight w:val="none"/>
        </w:rPr>
      </w:pPr>
    </w:p>
    <w:p w14:paraId="346B1C17">
      <w:pPr>
        <w:keepNext w:val="0"/>
        <w:keepLines w:val="0"/>
        <w:pageBreakBefore w:val="0"/>
        <w:widowControl/>
        <w:kinsoku/>
        <w:wordWrap/>
        <w:overflowPunct/>
        <w:topLinePunct w:val="0"/>
        <w:bidi w:val="0"/>
        <w:spacing w:line="44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《关于印发&lt;政府采购促进中小企业发展管理办法&gt;的通知》</w:t>
      </w:r>
    </w:p>
    <w:p w14:paraId="175F9657">
      <w:pPr>
        <w:keepNext w:val="0"/>
        <w:keepLines w:val="0"/>
        <w:pageBreakBefore w:val="0"/>
        <w:widowControl/>
        <w:kinsoku/>
        <w:wordWrap/>
        <w:overflowPunct/>
        <w:topLinePunct w:val="0"/>
        <w:bidi w:val="0"/>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zh-CN"/>
        </w:rPr>
        <w:t>(财库〔2020〕46号）</w:t>
      </w:r>
    </w:p>
    <w:p w14:paraId="279D7B80">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政府采购促进中小企业发展管理办法</w:t>
      </w:r>
    </w:p>
    <w:p w14:paraId="257BA9EB">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0"/>
          <w:sz w:val="21"/>
          <w:szCs w:val="21"/>
          <w:highlight w:val="none"/>
        </w:rPr>
      </w:pPr>
    </w:p>
    <w:p w14:paraId="02C64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为了发挥政府采购的政策功能，促进中小企业健康发展，根据《中华人民共和国政府采购法》、《中华人民共和国中小企业促进法》等有关法律法规，制定本办法。</w:t>
      </w:r>
    </w:p>
    <w:p w14:paraId="08DE60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E98F52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符合中小企业划分标准的个体工商户，在政府采购活动中视同中小企业。</w:t>
      </w:r>
    </w:p>
    <w:p w14:paraId="0906838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7F4EF42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　在政府采购活动中，投标人提供的货物、工程或者服务符合下列情形的，享受本办法规定的中小企业扶持政策：</w:t>
      </w:r>
    </w:p>
    <w:p w14:paraId="5216D91E">
      <w:pPr>
        <w:keepNext w:val="0"/>
        <w:keepLines w:val="0"/>
        <w:pageBreakBefore w:val="0"/>
        <w:kinsoku/>
        <w:wordWrap/>
        <w:overflowPunct/>
        <w:topLinePunct w:val="0"/>
        <w:bidi w:val="0"/>
        <w:spacing w:line="440" w:lineRule="exact"/>
        <w:ind w:firstLine="422"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（一）在货物采购项目中，货物由中小企业制造，即货物由中小企业生产且使用该中小企业商号或者注册商标</w:t>
      </w:r>
      <w:r>
        <w:rPr>
          <w:rFonts w:hint="eastAsia" w:ascii="宋体" w:hAnsi="宋体" w:eastAsia="宋体" w:cs="宋体"/>
          <w:color w:val="auto"/>
          <w:sz w:val="21"/>
          <w:szCs w:val="21"/>
          <w:highlight w:val="none"/>
          <w:lang w:val="zh-CN"/>
        </w:rPr>
        <w:t>；</w:t>
      </w:r>
    </w:p>
    <w:p w14:paraId="28600C5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（二）在工程采购项目中，工程由中小企业承建，即工程施工单位为中小企业；</w:t>
      </w:r>
    </w:p>
    <w:p w14:paraId="10F3346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（三）在服务采购项目中，服务由中小企业承接，即提供服务的人员为中小企业依照《中华人民共和国劳动合同法》订立劳动合同的从业人员。</w:t>
      </w:r>
    </w:p>
    <w:p w14:paraId="2EFA691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在货物采购项目中，投标人提供的货物既有中小企业制造货物，也有大型企业制造货物的，不享受本办法规定的中小企业扶持政策。</w:t>
      </w:r>
    </w:p>
    <w:p w14:paraId="55A767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以联合体形式参加政府采购活动，联合体各方均为中小企业的，联合体视同中小企业。其中，联合体各方均为小微企业的，联合体视同小微企业。</w:t>
      </w:r>
    </w:p>
    <w:p w14:paraId="25A7DB1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5EF593D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40616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符合下列情形之一的，可不专门面向中小企业预留采购份额：</w:t>
      </w:r>
    </w:p>
    <w:p w14:paraId="7D6EDEE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（一）法律法规和国家有关政策明确规定优先或者应当面向事业单位、社会组织等非企业主体采购的；</w:t>
      </w:r>
    </w:p>
    <w:p w14:paraId="277C8B2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（二）因确需使用不可替代的专利、专有技术，基础设施限制，或者提供特定公共服务等原因，只能从中小企业之外的投标人处采购的；</w:t>
      </w:r>
    </w:p>
    <w:p w14:paraId="5662641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（三）按照本办法规定预留采购份额无法确保充分供应、充分竞争，或者存在可能影响政府采购目标实现的情形；</w:t>
      </w:r>
    </w:p>
    <w:p w14:paraId="068A53D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（四）框架协议采购项目；</w:t>
      </w:r>
    </w:p>
    <w:p w14:paraId="17FD27B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（五）省级以上人民政府财政部门规定的其他情形。</w:t>
      </w:r>
    </w:p>
    <w:p w14:paraId="007015C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除上述情形外，其他均为适宜由中小企业提供的情形。</w:t>
      </w:r>
    </w:p>
    <w:p w14:paraId="235ADBD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采购限额标准以上，200万元以下的货物和服务采购项目、400万元以下的工程采购项目，适宜由中小企业提供的，采购人应当专门面向中小企业采购。</w:t>
      </w:r>
    </w:p>
    <w:p w14:paraId="7A40F74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FA566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（一）将采购项目整体或者设置采购包专门面向中小企业采购；</w:t>
      </w:r>
    </w:p>
    <w:p w14:paraId="79F7FA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（二）要求投标人以联合体形式参加采购活动，且联合体中中小企业承担的部分达到一定比例；</w:t>
      </w:r>
    </w:p>
    <w:p w14:paraId="313565A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（三）要求获得采购合同的投标人将采购项目中的一定比例分包给一家或者多家中小企业。</w:t>
      </w:r>
    </w:p>
    <w:p w14:paraId="60D46ED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组成联合体或者接受分包合同的中小企业与联合体内其他企业、分包企业之间不得存在直接控股、管理关系。</w:t>
      </w:r>
    </w:p>
    <w:p w14:paraId="09DD403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C543F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B97C49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8D0610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549DAD4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5E8CDB1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采购项目涉及中小企业采购的，采购文件应当明确以下内容：</w:t>
      </w:r>
    </w:p>
    <w:p w14:paraId="4D5CCB5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（一）预留份额的采购项目或者采购包，明确该项目或相关采购包专门面向中小企业采购，以及相关标的及预算金额；</w:t>
      </w:r>
    </w:p>
    <w:p w14:paraId="2CF2938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（二）要求以联合体形式参加或者合同分包的，明确联合协议或者分包意向协议中中小企业合同金额应当达到的比例，并作为投标人资格条件；</w:t>
      </w:r>
    </w:p>
    <w:p w14:paraId="6F7C5F8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（三）非预留份额的采购项目或者采购包，明确有关价格扣除比例或者价格分加分比例；</w:t>
      </w:r>
    </w:p>
    <w:p w14:paraId="68A1839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（四）规定依据本办法规定享受扶持政策获得政府采购合同的，小微企业不得将合同分包给大中型企业，中型企业不得将合同分包给大型企业；</w:t>
      </w:r>
    </w:p>
    <w:p w14:paraId="6A939A5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（五）采购人认为具备相关条件的，明确对中小企业在资金支付期限、预付款比例等方面的优惠措施；</w:t>
      </w:r>
    </w:p>
    <w:p w14:paraId="3189E4C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（六）明确采购标的对应的中小企业划分标准所属行业；</w:t>
      </w:r>
    </w:p>
    <w:p w14:paraId="7B8BF59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（七）法律法规和省级以上人民政府财政部门规定的其他事项。</w:t>
      </w:r>
    </w:p>
    <w:p w14:paraId="2BFD97C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中标、成交投标人享受本办法规定的中小企业扶持政策的，采购人、采购代理机构应当随中标、成交结果公开中标、成交投标人的《中小企业声明函》。</w:t>
      </w:r>
    </w:p>
    <w:p w14:paraId="4D50838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适用招标投标法的政府采购工程建设项目，应当在公示中标候选人时公开中标候选人的《中小企业声明函》。</w:t>
      </w:r>
    </w:p>
    <w:p w14:paraId="06CD532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731D2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5EFEE84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政府采购监督检查、投诉处理及政府采购行政处罚中对中小企业的认定，由货物制造商或者工程、服务投标人注册登记所在地的县级以上人民政府中小企业主管部门负责。</w:t>
      </w:r>
    </w:p>
    <w:p w14:paraId="0A22AEB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中小企业主管部门应当在收到财政部门或者有关招标投标行政监督部门关于协助开展中小企业认定函后10个工作日内做出书面答复。</w:t>
      </w:r>
    </w:p>
    <w:p w14:paraId="3357A1A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19978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2B818B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2D253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　投标人按照本办法规定提供声明函内容不实的，属于提供虚假材料谋取中标、成交，依照《中华人民共和国政府采购法》等国家有关规定追究相应责任。</w:t>
      </w:r>
    </w:p>
    <w:p w14:paraId="77A4715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112FF12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E61DE5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第二十二条　对外援助项目、国家相关资格或者资质管理制度另有规定的项目，不适用本办法。</w:t>
      </w:r>
    </w:p>
    <w:p w14:paraId="3D2C5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第二十三条　关于视同中小企业的其他主体的政府采购扶持政策，由财政部会同有关部门另行规定。</w:t>
      </w:r>
    </w:p>
    <w:p w14:paraId="01E3416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第二十四条　省级财政部门可以会同中小企业主管部门根据本办法的规定制定具体实施办法。</w:t>
      </w:r>
    </w:p>
    <w:p w14:paraId="016C1156">
      <w:pPr>
        <w:spacing w:line="360" w:lineRule="auto"/>
        <w:rPr>
          <w:rFonts w:hint="eastAsia" w:ascii="宋体" w:hAnsi="宋体" w:cs="宋体"/>
          <w:b/>
          <w:color w:val="auto"/>
          <w:sz w:val="21"/>
          <w:szCs w:val="21"/>
          <w:highlight w:val="none"/>
          <w:u w:val="single"/>
        </w:rPr>
      </w:pPr>
      <w:r>
        <w:rPr>
          <w:rFonts w:hint="eastAsia" w:ascii="宋体" w:hAnsi="宋体" w:eastAsia="宋体" w:cs="宋体"/>
          <w:color w:val="auto"/>
          <w:sz w:val="21"/>
          <w:szCs w:val="21"/>
          <w:highlight w:val="none"/>
          <w:lang w:val="zh-CN"/>
        </w:rPr>
        <w:t>第二十五条　本办法自2021年1月1日起施行。《财政部工业和信息化部关于印发〈政府采购促进中小企业发展暂行办法〉的通知》（财库﹝2011﹞181号）同时废止。</w:t>
      </w:r>
    </w:p>
    <w:p w14:paraId="3549CA2B">
      <w:pPr>
        <w:bidi w:val="0"/>
        <w:jc w:val="left"/>
        <w:rPr>
          <w:rFonts w:hint="eastAsia" w:ascii="微软雅黑" w:hAnsi="微软雅黑" w:eastAsia="微软雅黑" w:cs="微软雅黑"/>
          <w:color w:val="868686"/>
          <w:spacing w:val="14"/>
          <w:sz w:val="33"/>
          <w:szCs w:val="33"/>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05EF">
    <w:pPr>
      <w:pStyle w:val="12"/>
      <w:tabs>
        <w:tab w:val="center" w:pos="415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CF14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FCF14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95DA">
    <w:pPr>
      <w:rPr>
        <w:rStyle w:val="35"/>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9D9C79">
                          <w:pPr>
                            <w:pStyle w:val="12"/>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019D9C79">
                    <w:pPr>
                      <w:pStyle w:val="12"/>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64B4">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0E40">
    <w:pPr>
      <w:rPr>
        <w:rStyle w:val="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332B"/>
    <w:multiLevelType w:val="singleLevel"/>
    <w:tmpl w:val="8253332B"/>
    <w:lvl w:ilvl="0" w:tentative="0">
      <w:start w:val="2"/>
      <w:numFmt w:val="decimal"/>
      <w:suff w:val="nothing"/>
      <w:lvlText w:val="%1）"/>
      <w:lvlJc w:val="left"/>
    </w:lvl>
  </w:abstractNum>
  <w:abstractNum w:abstractNumId="1">
    <w:nsid w:val="91A7FA90"/>
    <w:multiLevelType w:val="singleLevel"/>
    <w:tmpl w:val="91A7FA90"/>
    <w:lvl w:ilvl="0" w:tentative="0">
      <w:start w:val="4"/>
      <w:numFmt w:val="chineseCounting"/>
      <w:suff w:val="space"/>
      <w:lvlText w:val="第%1章"/>
      <w:lvlJc w:val="left"/>
      <w:pPr>
        <w:tabs>
          <w:tab w:val="left" w:pos="0"/>
        </w:tabs>
        <w:ind w:left="0" w:firstLine="0"/>
      </w:pPr>
      <w:rPr>
        <w:rFonts w:hint="eastAsia"/>
      </w:rPr>
    </w:lvl>
  </w:abstractNum>
  <w:abstractNum w:abstractNumId="2">
    <w:nsid w:val="937C00D5"/>
    <w:multiLevelType w:val="singleLevel"/>
    <w:tmpl w:val="937C00D5"/>
    <w:lvl w:ilvl="0" w:tentative="0">
      <w:start w:val="2"/>
      <w:numFmt w:val="decimal"/>
      <w:suff w:val="nothing"/>
      <w:lvlText w:val="（%1）"/>
      <w:lvlJc w:val="left"/>
    </w:lvl>
  </w:abstractNum>
  <w:abstractNum w:abstractNumId="3">
    <w:nsid w:val="C5717BF7"/>
    <w:multiLevelType w:val="singleLevel"/>
    <w:tmpl w:val="C5717BF7"/>
    <w:lvl w:ilvl="0" w:tentative="0">
      <w:start w:val="3"/>
      <w:numFmt w:val="decimal"/>
      <w:suff w:val="nothing"/>
      <w:lvlText w:val="%1．"/>
      <w:lvlJc w:val="left"/>
      <w:pPr>
        <w:tabs>
          <w:tab w:val="left" w:pos="0"/>
        </w:tabs>
        <w:ind w:left="0" w:firstLine="0"/>
      </w:pPr>
    </w:lvl>
  </w:abstractNum>
  <w:abstractNum w:abstractNumId="4">
    <w:nsid w:val="0063873F"/>
    <w:multiLevelType w:val="singleLevel"/>
    <w:tmpl w:val="0063873F"/>
    <w:lvl w:ilvl="0" w:tentative="0">
      <w:start w:val="5"/>
      <w:numFmt w:val="chineseCounting"/>
      <w:suff w:val="space"/>
      <w:lvlText w:val="(%1)"/>
      <w:lvlJc w:val="left"/>
      <w:pPr>
        <w:tabs>
          <w:tab w:val="left" w:pos="0"/>
        </w:tabs>
        <w:ind w:left="0" w:firstLine="0"/>
      </w:pPr>
      <w:rPr>
        <w:rFonts w:hint="eastAsia"/>
      </w:rPr>
    </w:lvl>
  </w:abstractNum>
  <w:abstractNum w:abstractNumId="5">
    <w:nsid w:val="3F003518"/>
    <w:multiLevelType w:val="singleLevel"/>
    <w:tmpl w:val="3F003518"/>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TQwOTlhMjQyYjFjNjNmOWExMjg3MGI0ODZhODAifQ=="/>
  </w:docVars>
  <w:rsids>
    <w:rsidRoot w:val="00000000"/>
    <w:rsid w:val="00044EBB"/>
    <w:rsid w:val="000E7463"/>
    <w:rsid w:val="002B06D1"/>
    <w:rsid w:val="00351550"/>
    <w:rsid w:val="0050269C"/>
    <w:rsid w:val="008F1F81"/>
    <w:rsid w:val="009A37BE"/>
    <w:rsid w:val="00D91EDB"/>
    <w:rsid w:val="00F66F31"/>
    <w:rsid w:val="01233A9E"/>
    <w:rsid w:val="01722330"/>
    <w:rsid w:val="01F80A87"/>
    <w:rsid w:val="020F7EEC"/>
    <w:rsid w:val="02184C85"/>
    <w:rsid w:val="021D4680"/>
    <w:rsid w:val="02331ABF"/>
    <w:rsid w:val="0269764B"/>
    <w:rsid w:val="027A5940"/>
    <w:rsid w:val="027C0B8B"/>
    <w:rsid w:val="02873BB9"/>
    <w:rsid w:val="028D7421"/>
    <w:rsid w:val="028E13EB"/>
    <w:rsid w:val="02B7449E"/>
    <w:rsid w:val="02CD1F13"/>
    <w:rsid w:val="02D45050"/>
    <w:rsid w:val="030376E3"/>
    <w:rsid w:val="03174F3D"/>
    <w:rsid w:val="032F04D8"/>
    <w:rsid w:val="033C0E47"/>
    <w:rsid w:val="03451AAA"/>
    <w:rsid w:val="035717DD"/>
    <w:rsid w:val="037C1244"/>
    <w:rsid w:val="039269BF"/>
    <w:rsid w:val="03962305"/>
    <w:rsid w:val="03991DF6"/>
    <w:rsid w:val="03A569EC"/>
    <w:rsid w:val="03BC7892"/>
    <w:rsid w:val="03D01D3D"/>
    <w:rsid w:val="03D270B5"/>
    <w:rsid w:val="04115E30"/>
    <w:rsid w:val="04294F27"/>
    <w:rsid w:val="049A4077"/>
    <w:rsid w:val="04A04386"/>
    <w:rsid w:val="04A10F62"/>
    <w:rsid w:val="04A942BA"/>
    <w:rsid w:val="04B2316F"/>
    <w:rsid w:val="052E7D72"/>
    <w:rsid w:val="05502988"/>
    <w:rsid w:val="05595CE0"/>
    <w:rsid w:val="055A3B91"/>
    <w:rsid w:val="056D52E8"/>
    <w:rsid w:val="05790131"/>
    <w:rsid w:val="057C30CB"/>
    <w:rsid w:val="05A607FA"/>
    <w:rsid w:val="05B26EF8"/>
    <w:rsid w:val="05B922DB"/>
    <w:rsid w:val="05D45F9B"/>
    <w:rsid w:val="05F41A51"/>
    <w:rsid w:val="05F45A09"/>
    <w:rsid w:val="066D79A8"/>
    <w:rsid w:val="06AB431A"/>
    <w:rsid w:val="06DB44D3"/>
    <w:rsid w:val="07163C30"/>
    <w:rsid w:val="071E0F8F"/>
    <w:rsid w:val="0774295E"/>
    <w:rsid w:val="07752435"/>
    <w:rsid w:val="078A2181"/>
    <w:rsid w:val="078B5EF9"/>
    <w:rsid w:val="079052BE"/>
    <w:rsid w:val="07C37441"/>
    <w:rsid w:val="07EC2E3C"/>
    <w:rsid w:val="08493DEA"/>
    <w:rsid w:val="08A41020"/>
    <w:rsid w:val="08A82006"/>
    <w:rsid w:val="08B82D1E"/>
    <w:rsid w:val="08BA0844"/>
    <w:rsid w:val="08CC113E"/>
    <w:rsid w:val="090C4E18"/>
    <w:rsid w:val="092108C3"/>
    <w:rsid w:val="092B1742"/>
    <w:rsid w:val="09371163"/>
    <w:rsid w:val="0942596F"/>
    <w:rsid w:val="0A051F93"/>
    <w:rsid w:val="0A081A83"/>
    <w:rsid w:val="0A3E7253"/>
    <w:rsid w:val="0A495C3D"/>
    <w:rsid w:val="0A590531"/>
    <w:rsid w:val="0A5E78F5"/>
    <w:rsid w:val="0A785AB4"/>
    <w:rsid w:val="0A7B7209"/>
    <w:rsid w:val="0A7F7F97"/>
    <w:rsid w:val="0A8455AD"/>
    <w:rsid w:val="0A8B4163"/>
    <w:rsid w:val="0AA95618"/>
    <w:rsid w:val="0AE748CB"/>
    <w:rsid w:val="0AF142C5"/>
    <w:rsid w:val="0AFC15E8"/>
    <w:rsid w:val="0B022976"/>
    <w:rsid w:val="0B2D5833"/>
    <w:rsid w:val="0B6251C3"/>
    <w:rsid w:val="0B920731"/>
    <w:rsid w:val="0BDC4F75"/>
    <w:rsid w:val="0BE811C8"/>
    <w:rsid w:val="0C2A7A8F"/>
    <w:rsid w:val="0C474AE5"/>
    <w:rsid w:val="0C686809"/>
    <w:rsid w:val="0C7B02EA"/>
    <w:rsid w:val="0CA63264"/>
    <w:rsid w:val="0CAF268A"/>
    <w:rsid w:val="0CB35CD6"/>
    <w:rsid w:val="0CB8153E"/>
    <w:rsid w:val="0CF12C11"/>
    <w:rsid w:val="0D274138"/>
    <w:rsid w:val="0D3A01A5"/>
    <w:rsid w:val="0D4903E8"/>
    <w:rsid w:val="0D4F0152"/>
    <w:rsid w:val="0D5E2FDF"/>
    <w:rsid w:val="0D817B82"/>
    <w:rsid w:val="0DC029BC"/>
    <w:rsid w:val="0DD24882"/>
    <w:rsid w:val="0DD621C2"/>
    <w:rsid w:val="0DD75F98"/>
    <w:rsid w:val="0DD95C10"/>
    <w:rsid w:val="0DEE1C94"/>
    <w:rsid w:val="0DFD26FC"/>
    <w:rsid w:val="0E034A3B"/>
    <w:rsid w:val="0EA55AF2"/>
    <w:rsid w:val="0EB61AAE"/>
    <w:rsid w:val="0EC00B7E"/>
    <w:rsid w:val="0EC853E9"/>
    <w:rsid w:val="0ED4462A"/>
    <w:rsid w:val="0EFE1F5F"/>
    <w:rsid w:val="0F262D2D"/>
    <w:rsid w:val="0F3550C8"/>
    <w:rsid w:val="0F547FBC"/>
    <w:rsid w:val="0F5A663B"/>
    <w:rsid w:val="0F6E2834"/>
    <w:rsid w:val="0F987405"/>
    <w:rsid w:val="0FF3288D"/>
    <w:rsid w:val="10014FAA"/>
    <w:rsid w:val="10046849"/>
    <w:rsid w:val="103435D2"/>
    <w:rsid w:val="10451DF9"/>
    <w:rsid w:val="104A6951"/>
    <w:rsid w:val="10505F32"/>
    <w:rsid w:val="10594DE6"/>
    <w:rsid w:val="105A5869"/>
    <w:rsid w:val="107C0AD5"/>
    <w:rsid w:val="1084311E"/>
    <w:rsid w:val="109202F8"/>
    <w:rsid w:val="10C06C14"/>
    <w:rsid w:val="10CF6E57"/>
    <w:rsid w:val="10F03EEC"/>
    <w:rsid w:val="11252F1A"/>
    <w:rsid w:val="112847B9"/>
    <w:rsid w:val="113E3473"/>
    <w:rsid w:val="114A2981"/>
    <w:rsid w:val="115953C8"/>
    <w:rsid w:val="11761345"/>
    <w:rsid w:val="11877731"/>
    <w:rsid w:val="11BD13A5"/>
    <w:rsid w:val="11F72B09"/>
    <w:rsid w:val="11FF25EB"/>
    <w:rsid w:val="12212E86"/>
    <w:rsid w:val="122A4259"/>
    <w:rsid w:val="123A0C48"/>
    <w:rsid w:val="12541D09"/>
    <w:rsid w:val="128D0D77"/>
    <w:rsid w:val="12E261AA"/>
    <w:rsid w:val="12FD1DB5"/>
    <w:rsid w:val="131119A8"/>
    <w:rsid w:val="131941EA"/>
    <w:rsid w:val="132C233E"/>
    <w:rsid w:val="132D4308"/>
    <w:rsid w:val="134770B1"/>
    <w:rsid w:val="13495ABA"/>
    <w:rsid w:val="1351449B"/>
    <w:rsid w:val="138A52B7"/>
    <w:rsid w:val="139F6FB4"/>
    <w:rsid w:val="1457788F"/>
    <w:rsid w:val="14891A12"/>
    <w:rsid w:val="149363ED"/>
    <w:rsid w:val="14A66120"/>
    <w:rsid w:val="14AA3E63"/>
    <w:rsid w:val="15121A08"/>
    <w:rsid w:val="151237B6"/>
    <w:rsid w:val="151439D2"/>
    <w:rsid w:val="152359C3"/>
    <w:rsid w:val="15804BC3"/>
    <w:rsid w:val="15E52C78"/>
    <w:rsid w:val="15EE4223"/>
    <w:rsid w:val="16ED0036"/>
    <w:rsid w:val="16F615E1"/>
    <w:rsid w:val="170B2BB3"/>
    <w:rsid w:val="170D06D9"/>
    <w:rsid w:val="171066BC"/>
    <w:rsid w:val="175B20F3"/>
    <w:rsid w:val="17614581"/>
    <w:rsid w:val="17620A24"/>
    <w:rsid w:val="1783672E"/>
    <w:rsid w:val="178B2244"/>
    <w:rsid w:val="17BA2861"/>
    <w:rsid w:val="17BF5E77"/>
    <w:rsid w:val="17CC2BFD"/>
    <w:rsid w:val="17EC6540"/>
    <w:rsid w:val="18071A18"/>
    <w:rsid w:val="181D0DEF"/>
    <w:rsid w:val="189C686D"/>
    <w:rsid w:val="18BF2AEB"/>
    <w:rsid w:val="18E253DF"/>
    <w:rsid w:val="18EE6119"/>
    <w:rsid w:val="18F2402A"/>
    <w:rsid w:val="19061883"/>
    <w:rsid w:val="190A3122"/>
    <w:rsid w:val="1917300C"/>
    <w:rsid w:val="1921046B"/>
    <w:rsid w:val="194A3437"/>
    <w:rsid w:val="1981715C"/>
    <w:rsid w:val="19EE2A43"/>
    <w:rsid w:val="19F33E63"/>
    <w:rsid w:val="19FD2C86"/>
    <w:rsid w:val="1A0538E9"/>
    <w:rsid w:val="1A5328A6"/>
    <w:rsid w:val="1AB71087"/>
    <w:rsid w:val="1AD5150D"/>
    <w:rsid w:val="1B244243"/>
    <w:rsid w:val="1B2D759B"/>
    <w:rsid w:val="1B3A3A66"/>
    <w:rsid w:val="1B4B7A22"/>
    <w:rsid w:val="1B520DB0"/>
    <w:rsid w:val="1B522B5E"/>
    <w:rsid w:val="1BF82D36"/>
    <w:rsid w:val="1BFB31F6"/>
    <w:rsid w:val="1C362480"/>
    <w:rsid w:val="1C7865F4"/>
    <w:rsid w:val="1C8036FB"/>
    <w:rsid w:val="1C9A2A0F"/>
    <w:rsid w:val="1CBE0187"/>
    <w:rsid w:val="1CDF38A4"/>
    <w:rsid w:val="1D0165EA"/>
    <w:rsid w:val="1D65301C"/>
    <w:rsid w:val="1D7901D7"/>
    <w:rsid w:val="1DA35BF9"/>
    <w:rsid w:val="1DAA633A"/>
    <w:rsid w:val="1DFE0D7B"/>
    <w:rsid w:val="1E14234D"/>
    <w:rsid w:val="1E236A34"/>
    <w:rsid w:val="1E2F53D8"/>
    <w:rsid w:val="1E3E4FAF"/>
    <w:rsid w:val="1E4C1AE7"/>
    <w:rsid w:val="1EAE454F"/>
    <w:rsid w:val="1EC04283"/>
    <w:rsid w:val="1ECC0E79"/>
    <w:rsid w:val="1EE937D9"/>
    <w:rsid w:val="1F1B45EB"/>
    <w:rsid w:val="1F206574"/>
    <w:rsid w:val="1F613F93"/>
    <w:rsid w:val="1F613FCB"/>
    <w:rsid w:val="1F633882"/>
    <w:rsid w:val="1FBE07C2"/>
    <w:rsid w:val="200B4A65"/>
    <w:rsid w:val="20580C17"/>
    <w:rsid w:val="209459C7"/>
    <w:rsid w:val="20EF2BFD"/>
    <w:rsid w:val="210E39CB"/>
    <w:rsid w:val="21267C0B"/>
    <w:rsid w:val="212705E9"/>
    <w:rsid w:val="21333432"/>
    <w:rsid w:val="216B497A"/>
    <w:rsid w:val="21A12149"/>
    <w:rsid w:val="21FC3824"/>
    <w:rsid w:val="224F429B"/>
    <w:rsid w:val="22574EFE"/>
    <w:rsid w:val="227B5090"/>
    <w:rsid w:val="227D2BB6"/>
    <w:rsid w:val="22970985"/>
    <w:rsid w:val="22C97B55"/>
    <w:rsid w:val="22E569AE"/>
    <w:rsid w:val="22F64717"/>
    <w:rsid w:val="230E380E"/>
    <w:rsid w:val="234A05BF"/>
    <w:rsid w:val="23871813"/>
    <w:rsid w:val="2398757C"/>
    <w:rsid w:val="23B573F6"/>
    <w:rsid w:val="23EA427B"/>
    <w:rsid w:val="23F70746"/>
    <w:rsid w:val="24217571"/>
    <w:rsid w:val="243523CB"/>
    <w:rsid w:val="243674C1"/>
    <w:rsid w:val="24A26CC4"/>
    <w:rsid w:val="24A84AD4"/>
    <w:rsid w:val="24D665AE"/>
    <w:rsid w:val="25056E93"/>
    <w:rsid w:val="252C02E0"/>
    <w:rsid w:val="2569483F"/>
    <w:rsid w:val="25701D64"/>
    <w:rsid w:val="25A22934"/>
    <w:rsid w:val="25A71CF8"/>
    <w:rsid w:val="25B6018D"/>
    <w:rsid w:val="25C24D84"/>
    <w:rsid w:val="25D23219"/>
    <w:rsid w:val="25D86356"/>
    <w:rsid w:val="25DB44C1"/>
    <w:rsid w:val="25E1520A"/>
    <w:rsid w:val="25EE7927"/>
    <w:rsid w:val="25F74A2E"/>
    <w:rsid w:val="26121868"/>
    <w:rsid w:val="26760048"/>
    <w:rsid w:val="26895D0C"/>
    <w:rsid w:val="268A1D5E"/>
    <w:rsid w:val="268D6C84"/>
    <w:rsid w:val="26915C34"/>
    <w:rsid w:val="26920BFA"/>
    <w:rsid w:val="26A727A6"/>
    <w:rsid w:val="26C41924"/>
    <w:rsid w:val="26E9139D"/>
    <w:rsid w:val="26FA353F"/>
    <w:rsid w:val="27124612"/>
    <w:rsid w:val="2714160F"/>
    <w:rsid w:val="271D4C8B"/>
    <w:rsid w:val="272F1FA5"/>
    <w:rsid w:val="27475541"/>
    <w:rsid w:val="274C6FFB"/>
    <w:rsid w:val="277963CF"/>
    <w:rsid w:val="27954480"/>
    <w:rsid w:val="27C51B65"/>
    <w:rsid w:val="27FF7BCA"/>
    <w:rsid w:val="281C69CE"/>
    <w:rsid w:val="284412BB"/>
    <w:rsid w:val="28577471"/>
    <w:rsid w:val="28771E56"/>
    <w:rsid w:val="289B3D96"/>
    <w:rsid w:val="28E22C27"/>
    <w:rsid w:val="28FA4FEC"/>
    <w:rsid w:val="28FF2559"/>
    <w:rsid w:val="290556B4"/>
    <w:rsid w:val="290F75E7"/>
    <w:rsid w:val="29183639"/>
    <w:rsid w:val="29432E1E"/>
    <w:rsid w:val="297B5976"/>
    <w:rsid w:val="29890093"/>
    <w:rsid w:val="29946A38"/>
    <w:rsid w:val="299F1441"/>
    <w:rsid w:val="29F7669E"/>
    <w:rsid w:val="2A007C29"/>
    <w:rsid w:val="2A02030B"/>
    <w:rsid w:val="2A4F623E"/>
    <w:rsid w:val="2A7D36A2"/>
    <w:rsid w:val="2AA809EC"/>
    <w:rsid w:val="2AB54EB7"/>
    <w:rsid w:val="2ABC1DA2"/>
    <w:rsid w:val="2AC1560A"/>
    <w:rsid w:val="2B0C0F7B"/>
    <w:rsid w:val="2B1C0A93"/>
    <w:rsid w:val="2B3C2EE3"/>
    <w:rsid w:val="2B5841C1"/>
    <w:rsid w:val="2B7679E1"/>
    <w:rsid w:val="2BA72A52"/>
    <w:rsid w:val="2BBE7D9C"/>
    <w:rsid w:val="2BF35C97"/>
    <w:rsid w:val="2C131E96"/>
    <w:rsid w:val="2C593846"/>
    <w:rsid w:val="2C7C3EDF"/>
    <w:rsid w:val="2C983A5F"/>
    <w:rsid w:val="2CA86A82"/>
    <w:rsid w:val="2CEE4AB3"/>
    <w:rsid w:val="2CFC6DCE"/>
    <w:rsid w:val="2D0F4D53"/>
    <w:rsid w:val="2D157E8F"/>
    <w:rsid w:val="2D256324"/>
    <w:rsid w:val="2D2E26C5"/>
    <w:rsid w:val="2D850B71"/>
    <w:rsid w:val="2D9716DA"/>
    <w:rsid w:val="2DCC7F41"/>
    <w:rsid w:val="2DD41AF8"/>
    <w:rsid w:val="2DD85145"/>
    <w:rsid w:val="2DF81343"/>
    <w:rsid w:val="2E0777D8"/>
    <w:rsid w:val="2E1168A9"/>
    <w:rsid w:val="2E4E72C7"/>
    <w:rsid w:val="2E5C3FC8"/>
    <w:rsid w:val="2E6030B9"/>
    <w:rsid w:val="2E6115DE"/>
    <w:rsid w:val="2E792A9B"/>
    <w:rsid w:val="2E8327E2"/>
    <w:rsid w:val="2E870919"/>
    <w:rsid w:val="2EB354E5"/>
    <w:rsid w:val="2ED022C0"/>
    <w:rsid w:val="2EE713B8"/>
    <w:rsid w:val="2EF35FAE"/>
    <w:rsid w:val="2EF41ECF"/>
    <w:rsid w:val="2F0860B8"/>
    <w:rsid w:val="2F142B95"/>
    <w:rsid w:val="2F1A440E"/>
    <w:rsid w:val="2F1E0A8A"/>
    <w:rsid w:val="2F210D6D"/>
    <w:rsid w:val="2F68699C"/>
    <w:rsid w:val="2F7C778E"/>
    <w:rsid w:val="2F9E23BE"/>
    <w:rsid w:val="2FB41BE1"/>
    <w:rsid w:val="2FE53B49"/>
    <w:rsid w:val="2FFA3A98"/>
    <w:rsid w:val="30556F21"/>
    <w:rsid w:val="307858FB"/>
    <w:rsid w:val="3078676B"/>
    <w:rsid w:val="30A413A6"/>
    <w:rsid w:val="31291B85"/>
    <w:rsid w:val="3129272A"/>
    <w:rsid w:val="31305E06"/>
    <w:rsid w:val="313F6DF8"/>
    <w:rsid w:val="315076E8"/>
    <w:rsid w:val="315C7EF7"/>
    <w:rsid w:val="3161109D"/>
    <w:rsid w:val="31796C3F"/>
    <w:rsid w:val="318C4C20"/>
    <w:rsid w:val="31A17F44"/>
    <w:rsid w:val="31C3435E"/>
    <w:rsid w:val="32144BB9"/>
    <w:rsid w:val="32252923"/>
    <w:rsid w:val="3268280F"/>
    <w:rsid w:val="327F22E4"/>
    <w:rsid w:val="329B4993"/>
    <w:rsid w:val="32BF4B25"/>
    <w:rsid w:val="330662B0"/>
    <w:rsid w:val="33096E5B"/>
    <w:rsid w:val="331F55C4"/>
    <w:rsid w:val="336456CD"/>
    <w:rsid w:val="33A61841"/>
    <w:rsid w:val="33A77124"/>
    <w:rsid w:val="33BB353F"/>
    <w:rsid w:val="33DD119D"/>
    <w:rsid w:val="342033A2"/>
    <w:rsid w:val="34491DD2"/>
    <w:rsid w:val="345F5D00"/>
    <w:rsid w:val="34670FD0"/>
    <w:rsid w:val="349B6ECC"/>
    <w:rsid w:val="34A301BF"/>
    <w:rsid w:val="34A57D4B"/>
    <w:rsid w:val="34BA2A16"/>
    <w:rsid w:val="34BC62D4"/>
    <w:rsid w:val="34EC7728"/>
    <w:rsid w:val="34F827AA"/>
    <w:rsid w:val="35065446"/>
    <w:rsid w:val="35260E8C"/>
    <w:rsid w:val="352E08AC"/>
    <w:rsid w:val="356814A4"/>
    <w:rsid w:val="358931C8"/>
    <w:rsid w:val="358D2CB9"/>
    <w:rsid w:val="35957DBF"/>
    <w:rsid w:val="35E328D9"/>
    <w:rsid w:val="35F35B72"/>
    <w:rsid w:val="361C228F"/>
    <w:rsid w:val="362F19AA"/>
    <w:rsid w:val="3648628C"/>
    <w:rsid w:val="364C2B74"/>
    <w:rsid w:val="3651018A"/>
    <w:rsid w:val="36546892"/>
    <w:rsid w:val="365E4655"/>
    <w:rsid w:val="366E69EE"/>
    <w:rsid w:val="368142F4"/>
    <w:rsid w:val="368A544A"/>
    <w:rsid w:val="36941E25"/>
    <w:rsid w:val="369462C9"/>
    <w:rsid w:val="369C741A"/>
    <w:rsid w:val="36AE1139"/>
    <w:rsid w:val="36DF7544"/>
    <w:rsid w:val="37076A9B"/>
    <w:rsid w:val="371A4A20"/>
    <w:rsid w:val="376C4B50"/>
    <w:rsid w:val="37797999"/>
    <w:rsid w:val="377D0B0B"/>
    <w:rsid w:val="37920A5A"/>
    <w:rsid w:val="37930028"/>
    <w:rsid w:val="37B971EB"/>
    <w:rsid w:val="37C7238E"/>
    <w:rsid w:val="37DC3A83"/>
    <w:rsid w:val="38044D88"/>
    <w:rsid w:val="38312021"/>
    <w:rsid w:val="38547C0B"/>
    <w:rsid w:val="385B444C"/>
    <w:rsid w:val="388C54AA"/>
    <w:rsid w:val="38A5656B"/>
    <w:rsid w:val="38AF73EA"/>
    <w:rsid w:val="38BB5D8F"/>
    <w:rsid w:val="38F115A1"/>
    <w:rsid w:val="39386D6D"/>
    <w:rsid w:val="39423DBA"/>
    <w:rsid w:val="396C0F3D"/>
    <w:rsid w:val="39B12CEE"/>
    <w:rsid w:val="39BD1693"/>
    <w:rsid w:val="39EC2AE2"/>
    <w:rsid w:val="39F74BA5"/>
    <w:rsid w:val="3A1E510D"/>
    <w:rsid w:val="3A482D0C"/>
    <w:rsid w:val="3A960861"/>
    <w:rsid w:val="3AB331C1"/>
    <w:rsid w:val="3AB42A96"/>
    <w:rsid w:val="3AF47336"/>
    <w:rsid w:val="3AFA0DF0"/>
    <w:rsid w:val="3AFF6407"/>
    <w:rsid w:val="3B1E43B3"/>
    <w:rsid w:val="3B5953EB"/>
    <w:rsid w:val="3B6765EF"/>
    <w:rsid w:val="3B6E70E8"/>
    <w:rsid w:val="3B7F913C"/>
    <w:rsid w:val="3B8C1FA8"/>
    <w:rsid w:val="3BA23236"/>
    <w:rsid w:val="3BA92E5F"/>
    <w:rsid w:val="3BBD1E1E"/>
    <w:rsid w:val="3BD17677"/>
    <w:rsid w:val="3C0E61D6"/>
    <w:rsid w:val="3C137C90"/>
    <w:rsid w:val="3C336960"/>
    <w:rsid w:val="3C3638BF"/>
    <w:rsid w:val="3C3C35DC"/>
    <w:rsid w:val="3C666012"/>
    <w:rsid w:val="3C6A41CC"/>
    <w:rsid w:val="3C7544A7"/>
    <w:rsid w:val="3C8B773F"/>
    <w:rsid w:val="3CC52D38"/>
    <w:rsid w:val="3CCA65A0"/>
    <w:rsid w:val="3CD568AC"/>
    <w:rsid w:val="3CD613E9"/>
    <w:rsid w:val="3D177DB6"/>
    <w:rsid w:val="3D4F4CF8"/>
    <w:rsid w:val="3D65451B"/>
    <w:rsid w:val="3D7A4D67"/>
    <w:rsid w:val="3D7B2607"/>
    <w:rsid w:val="3D82611F"/>
    <w:rsid w:val="3D87623F"/>
    <w:rsid w:val="3D9B7F3D"/>
    <w:rsid w:val="3D9D1752"/>
    <w:rsid w:val="3DAB63D2"/>
    <w:rsid w:val="3DBA03C3"/>
    <w:rsid w:val="3E155F41"/>
    <w:rsid w:val="3E3839DE"/>
    <w:rsid w:val="3E3F4D6C"/>
    <w:rsid w:val="3E467EA9"/>
    <w:rsid w:val="3E595999"/>
    <w:rsid w:val="3E7D32DD"/>
    <w:rsid w:val="3E974BA8"/>
    <w:rsid w:val="3EC55271"/>
    <w:rsid w:val="3F1509DC"/>
    <w:rsid w:val="3F1E0E25"/>
    <w:rsid w:val="3F4F5483"/>
    <w:rsid w:val="3F823162"/>
    <w:rsid w:val="3F9D1D4A"/>
    <w:rsid w:val="3FB928FC"/>
    <w:rsid w:val="3FDB6D16"/>
    <w:rsid w:val="40152228"/>
    <w:rsid w:val="401B7113"/>
    <w:rsid w:val="40307062"/>
    <w:rsid w:val="403A1C8F"/>
    <w:rsid w:val="403C77B5"/>
    <w:rsid w:val="405D6CA8"/>
    <w:rsid w:val="407C22A8"/>
    <w:rsid w:val="409F1AF2"/>
    <w:rsid w:val="40B25CC9"/>
    <w:rsid w:val="40B862A0"/>
    <w:rsid w:val="40D151F9"/>
    <w:rsid w:val="40D45C40"/>
    <w:rsid w:val="40E67721"/>
    <w:rsid w:val="414E7496"/>
    <w:rsid w:val="41517290"/>
    <w:rsid w:val="418F1B67"/>
    <w:rsid w:val="41BA3087"/>
    <w:rsid w:val="41BE244C"/>
    <w:rsid w:val="41DB4DAC"/>
    <w:rsid w:val="41E2613A"/>
    <w:rsid w:val="420E33D3"/>
    <w:rsid w:val="422164AF"/>
    <w:rsid w:val="425B266C"/>
    <w:rsid w:val="426D00FA"/>
    <w:rsid w:val="42C53644"/>
    <w:rsid w:val="43476B9D"/>
    <w:rsid w:val="438576C5"/>
    <w:rsid w:val="438A5314"/>
    <w:rsid w:val="4396542E"/>
    <w:rsid w:val="43A63197"/>
    <w:rsid w:val="43AC6A00"/>
    <w:rsid w:val="43B83D38"/>
    <w:rsid w:val="43BB6C43"/>
    <w:rsid w:val="43DB5537"/>
    <w:rsid w:val="43DE6DD5"/>
    <w:rsid w:val="43E06BC0"/>
    <w:rsid w:val="43E20674"/>
    <w:rsid w:val="440D2987"/>
    <w:rsid w:val="44160FDC"/>
    <w:rsid w:val="442962A2"/>
    <w:rsid w:val="444E17DC"/>
    <w:rsid w:val="446F7A2D"/>
    <w:rsid w:val="44827761"/>
    <w:rsid w:val="448630B3"/>
    <w:rsid w:val="44915BF6"/>
    <w:rsid w:val="449A71A0"/>
    <w:rsid w:val="44BD02DA"/>
    <w:rsid w:val="44DF4BB3"/>
    <w:rsid w:val="44E703FF"/>
    <w:rsid w:val="44F8659E"/>
    <w:rsid w:val="450D34CE"/>
    <w:rsid w:val="451E1B7F"/>
    <w:rsid w:val="45763769"/>
    <w:rsid w:val="45AA0617"/>
    <w:rsid w:val="45B1552D"/>
    <w:rsid w:val="45B63B66"/>
    <w:rsid w:val="45E36925"/>
    <w:rsid w:val="45F30E47"/>
    <w:rsid w:val="45FB3C6E"/>
    <w:rsid w:val="460F135D"/>
    <w:rsid w:val="460F2BC3"/>
    <w:rsid w:val="463351B6"/>
    <w:rsid w:val="4658671E"/>
    <w:rsid w:val="469C7200"/>
    <w:rsid w:val="46A676CF"/>
    <w:rsid w:val="46AC5AA6"/>
    <w:rsid w:val="46C840B2"/>
    <w:rsid w:val="46D02A05"/>
    <w:rsid w:val="46DB5421"/>
    <w:rsid w:val="46FF15D4"/>
    <w:rsid w:val="47040901"/>
    <w:rsid w:val="475C698F"/>
    <w:rsid w:val="478749DE"/>
    <w:rsid w:val="47946129"/>
    <w:rsid w:val="47C22C96"/>
    <w:rsid w:val="47F73E2D"/>
    <w:rsid w:val="48082673"/>
    <w:rsid w:val="481132D5"/>
    <w:rsid w:val="48270D4B"/>
    <w:rsid w:val="482A25E9"/>
    <w:rsid w:val="489D2798"/>
    <w:rsid w:val="489D2DBB"/>
    <w:rsid w:val="48A44149"/>
    <w:rsid w:val="48A6490B"/>
    <w:rsid w:val="48E7655B"/>
    <w:rsid w:val="4900334A"/>
    <w:rsid w:val="490D6193"/>
    <w:rsid w:val="49153299"/>
    <w:rsid w:val="49325BF9"/>
    <w:rsid w:val="49361744"/>
    <w:rsid w:val="4953791E"/>
    <w:rsid w:val="49935F6C"/>
    <w:rsid w:val="49BC3715"/>
    <w:rsid w:val="49DC7913"/>
    <w:rsid w:val="4A0155CC"/>
    <w:rsid w:val="4A0D3F70"/>
    <w:rsid w:val="4A1452FF"/>
    <w:rsid w:val="4A301A0D"/>
    <w:rsid w:val="4A657908"/>
    <w:rsid w:val="4AA46683"/>
    <w:rsid w:val="4AAD305D"/>
    <w:rsid w:val="4ADB7BCB"/>
    <w:rsid w:val="4AE2174F"/>
    <w:rsid w:val="4AEB2504"/>
    <w:rsid w:val="4AF619D8"/>
    <w:rsid w:val="4B1D4687"/>
    <w:rsid w:val="4B5C51AF"/>
    <w:rsid w:val="4B68071D"/>
    <w:rsid w:val="4B6C4CC7"/>
    <w:rsid w:val="4B842010"/>
    <w:rsid w:val="4B863FDA"/>
    <w:rsid w:val="4B897627"/>
    <w:rsid w:val="4BAD5A0B"/>
    <w:rsid w:val="4BE07B8E"/>
    <w:rsid w:val="4C1E2465"/>
    <w:rsid w:val="4C2D334E"/>
    <w:rsid w:val="4C4F6079"/>
    <w:rsid w:val="4C6B3C12"/>
    <w:rsid w:val="4C935821"/>
    <w:rsid w:val="4CAA5AA7"/>
    <w:rsid w:val="4CB93F3C"/>
    <w:rsid w:val="4CBE77A4"/>
    <w:rsid w:val="4CC72AFC"/>
    <w:rsid w:val="4CD314A1"/>
    <w:rsid w:val="4CF51418"/>
    <w:rsid w:val="4D417FC4"/>
    <w:rsid w:val="4D5048A0"/>
    <w:rsid w:val="4D643961"/>
    <w:rsid w:val="4D6C7200"/>
    <w:rsid w:val="4DC70FA0"/>
    <w:rsid w:val="4DDA23BB"/>
    <w:rsid w:val="4DDC4386"/>
    <w:rsid w:val="4E54216E"/>
    <w:rsid w:val="4E7C3473"/>
    <w:rsid w:val="4EF444A0"/>
    <w:rsid w:val="4EF86F9D"/>
    <w:rsid w:val="4F060F96"/>
    <w:rsid w:val="4F552641"/>
    <w:rsid w:val="4F8B57B6"/>
    <w:rsid w:val="4F90367A"/>
    <w:rsid w:val="4FB07878"/>
    <w:rsid w:val="4FD572DE"/>
    <w:rsid w:val="4FFA0AF3"/>
    <w:rsid w:val="50077FAA"/>
    <w:rsid w:val="50081462"/>
    <w:rsid w:val="50120532"/>
    <w:rsid w:val="50471AE0"/>
    <w:rsid w:val="504F7091"/>
    <w:rsid w:val="508A1E77"/>
    <w:rsid w:val="50B67110"/>
    <w:rsid w:val="50CC6D6C"/>
    <w:rsid w:val="50E10904"/>
    <w:rsid w:val="511B1920"/>
    <w:rsid w:val="514566E6"/>
    <w:rsid w:val="51597A9B"/>
    <w:rsid w:val="51646B6C"/>
    <w:rsid w:val="51861ABD"/>
    <w:rsid w:val="51A74254"/>
    <w:rsid w:val="51D3641B"/>
    <w:rsid w:val="51DA6E2E"/>
    <w:rsid w:val="51F0246E"/>
    <w:rsid w:val="51FF183A"/>
    <w:rsid w:val="52151C14"/>
    <w:rsid w:val="52412A09"/>
    <w:rsid w:val="524349D3"/>
    <w:rsid w:val="524D32AB"/>
    <w:rsid w:val="526D37FE"/>
    <w:rsid w:val="528172AA"/>
    <w:rsid w:val="52A40128"/>
    <w:rsid w:val="52B4767F"/>
    <w:rsid w:val="52E8557B"/>
    <w:rsid w:val="52F97788"/>
    <w:rsid w:val="52FD1026"/>
    <w:rsid w:val="530E3233"/>
    <w:rsid w:val="532C190B"/>
    <w:rsid w:val="533C1422"/>
    <w:rsid w:val="53446C55"/>
    <w:rsid w:val="53530C46"/>
    <w:rsid w:val="536015B5"/>
    <w:rsid w:val="536F7A4A"/>
    <w:rsid w:val="53B67427"/>
    <w:rsid w:val="53BD6A07"/>
    <w:rsid w:val="53EF36C4"/>
    <w:rsid w:val="5400256C"/>
    <w:rsid w:val="54077C82"/>
    <w:rsid w:val="540B32CF"/>
    <w:rsid w:val="54387E3C"/>
    <w:rsid w:val="545A39E7"/>
    <w:rsid w:val="547E6196"/>
    <w:rsid w:val="548560CB"/>
    <w:rsid w:val="54C46455"/>
    <w:rsid w:val="54E72F13"/>
    <w:rsid w:val="54EA55DA"/>
    <w:rsid w:val="54EF47C6"/>
    <w:rsid w:val="554C1DF1"/>
    <w:rsid w:val="557021BD"/>
    <w:rsid w:val="55774994"/>
    <w:rsid w:val="55913CA7"/>
    <w:rsid w:val="559823F4"/>
    <w:rsid w:val="55A30DE2"/>
    <w:rsid w:val="55A34AEC"/>
    <w:rsid w:val="561F417C"/>
    <w:rsid w:val="562E14F6"/>
    <w:rsid w:val="56382375"/>
    <w:rsid w:val="566118CC"/>
    <w:rsid w:val="56F049FE"/>
    <w:rsid w:val="56F7787A"/>
    <w:rsid w:val="573945F7"/>
    <w:rsid w:val="573E7E5F"/>
    <w:rsid w:val="57706926"/>
    <w:rsid w:val="577B0AF9"/>
    <w:rsid w:val="578D66F1"/>
    <w:rsid w:val="579962B6"/>
    <w:rsid w:val="57B123DF"/>
    <w:rsid w:val="57BD6FD6"/>
    <w:rsid w:val="57F30C49"/>
    <w:rsid w:val="57FB18AC"/>
    <w:rsid w:val="580A1AEF"/>
    <w:rsid w:val="585B1651"/>
    <w:rsid w:val="58775533"/>
    <w:rsid w:val="587D6765"/>
    <w:rsid w:val="588E44CE"/>
    <w:rsid w:val="589B18E6"/>
    <w:rsid w:val="589C308F"/>
    <w:rsid w:val="58CC44C5"/>
    <w:rsid w:val="58E7604B"/>
    <w:rsid w:val="58EE31BF"/>
    <w:rsid w:val="59384981"/>
    <w:rsid w:val="59464DA9"/>
    <w:rsid w:val="59B85CA7"/>
    <w:rsid w:val="59CC5CA5"/>
    <w:rsid w:val="59EC3BA2"/>
    <w:rsid w:val="5A1B4488"/>
    <w:rsid w:val="5A2570B4"/>
    <w:rsid w:val="5A296BA4"/>
    <w:rsid w:val="5A494B51"/>
    <w:rsid w:val="5A4E2197"/>
    <w:rsid w:val="5A93487C"/>
    <w:rsid w:val="5AA44D33"/>
    <w:rsid w:val="5AAF5D14"/>
    <w:rsid w:val="5AB3646E"/>
    <w:rsid w:val="5ACE5056"/>
    <w:rsid w:val="5AF66085"/>
    <w:rsid w:val="5AFE1DDF"/>
    <w:rsid w:val="5B1F1A1A"/>
    <w:rsid w:val="5B4812AC"/>
    <w:rsid w:val="5B9938B6"/>
    <w:rsid w:val="5BD3284D"/>
    <w:rsid w:val="5BF02EEA"/>
    <w:rsid w:val="5C090A3C"/>
    <w:rsid w:val="5C0F3B78"/>
    <w:rsid w:val="5C1B076F"/>
    <w:rsid w:val="5C4004F4"/>
    <w:rsid w:val="5C4E741D"/>
    <w:rsid w:val="5C510B34"/>
    <w:rsid w:val="5C6C2D78"/>
    <w:rsid w:val="5C9664F6"/>
    <w:rsid w:val="5CA40764"/>
    <w:rsid w:val="5CAC6EDF"/>
    <w:rsid w:val="5D256AB5"/>
    <w:rsid w:val="5D4930BA"/>
    <w:rsid w:val="5DAD53F7"/>
    <w:rsid w:val="5DE03A1E"/>
    <w:rsid w:val="5E1831B8"/>
    <w:rsid w:val="5E286648"/>
    <w:rsid w:val="5E734892"/>
    <w:rsid w:val="5E7B48A8"/>
    <w:rsid w:val="5E875C48"/>
    <w:rsid w:val="5ECF1260"/>
    <w:rsid w:val="5EF94294"/>
    <w:rsid w:val="5F4E5B38"/>
    <w:rsid w:val="5F8240D4"/>
    <w:rsid w:val="5F8A1E93"/>
    <w:rsid w:val="5F9F3465"/>
    <w:rsid w:val="5FA32F55"/>
    <w:rsid w:val="5FAD7930"/>
    <w:rsid w:val="5FD650D9"/>
    <w:rsid w:val="601479AF"/>
    <w:rsid w:val="602776E2"/>
    <w:rsid w:val="602C2F4B"/>
    <w:rsid w:val="603B318E"/>
    <w:rsid w:val="607D19D9"/>
    <w:rsid w:val="60820545"/>
    <w:rsid w:val="609D79A4"/>
    <w:rsid w:val="60BD1DF5"/>
    <w:rsid w:val="60E07891"/>
    <w:rsid w:val="613144C8"/>
    <w:rsid w:val="61355E2F"/>
    <w:rsid w:val="613A51F3"/>
    <w:rsid w:val="613C540F"/>
    <w:rsid w:val="614D08BD"/>
    <w:rsid w:val="6166248C"/>
    <w:rsid w:val="617F70AA"/>
    <w:rsid w:val="61AF6812"/>
    <w:rsid w:val="61DB4C28"/>
    <w:rsid w:val="61E433B1"/>
    <w:rsid w:val="620B4DE2"/>
    <w:rsid w:val="62397BA1"/>
    <w:rsid w:val="6246445C"/>
    <w:rsid w:val="624E53AB"/>
    <w:rsid w:val="628250A4"/>
    <w:rsid w:val="62B17737"/>
    <w:rsid w:val="62B611F1"/>
    <w:rsid w:val="62C531E2"/>
    <w:rsid w:val="62DE42A4"/>
    <w:rsid w:val="62E573E1"/>
    <w:rsid w:val="63224191"/>
    <w:rsid w:val="632E6FDA"/>
    <w:rsid w:val="63402869"/>
    <w:rsid w:val="63620A31"/>
    <w:rsid w:val="63894210"/>
    <w:rsid w:val="63A47166"/>
    <w:rsid w:val="63AE3C76"/>
    <w:rsid w:val="63C11BFC"/>
    <w:rsid w:val="63CC40F4"/>
    <w:rsid w:val="64287ECD"/>
    <w:rsid w:val="64460353"/>
    <w:rsid w:val="649208B5"/>
    <w:rsid w:val="649C61C5"/>
    <w:rsid w:val="64AA19B4"/>
    <w:rsid w:val="64AF37A1"/>
    <w:rsid w:val="64E9765C"/>
    <w:rsid w:val="652266CA"/>
    <w:rsid w:val="65270184"/>
    <w:rsid w:val="657A02B4"/>
    <w:rsid w:val="65AB66C0"/>
    <w:rsid w:val="65BF216B"/>
    <w:rsid w:val="66075314"/>
    <w:rsid w:val="663935EB"/>
    <w:rsid w:val="664D46E2"/>
    <w:rsid w:val="66636F9A"/>
    <w:rsid w:val="66723681"/>
    <w:rsid w:val="66862C89"/>
    <w:rsid w:val="668A797B"/>
    <w:rsid w:val="670F38E2"/>
    <w:rsid w:val="67825B46"/>
    <w:rsid w:val="67C12948"/>
    <w:rsid w:val="67D0240D"/>
    <w:rsid w:val="681F15E7"/>
    <w:rsid w:val="68581629"/>
    <w:rsid w:val="686E1C26"/>
    <w:rsid w:val="68752FB5"/>
    <w:rsid w:val="68AB4C28"/>
    <w:rsid w:val="68C87588"/>
    <w:rsid w:val="68FF61A9"/>
    <w:rsid w:val="691F2499"/>
    <w:rsid w:val="69201173"/>
    <w:rsid w:val="6952502B"/>
    <w:rsid w:val="699456BD"/>
    <w:rsid w:val="69B67D29"/>
    <w:rsid w:val="69C16AED"/>
    <w:rsid w:val="69D02B99"/>
    <w:rsid w:val="69EC72A7"/>
    <w:rsid w:val="6A8E035E"/>
    <w:rsid w:val="6B0B7C00"/>
    <w:rsid w:val="6B225676"/>
    <w:rsid w:val="6B363576"/>
    <w:rsid w:val="6B403D4E"/>
    <w:rsid w:val="6B5B2936"/>
    <w:rsid w:val="6B797260"/>
    <w:rsid w:val="6B96396E"/>
    <w:rsid w:val="6B99345E"/>
    <w:rsid w:val="6B9B71D6"/>
    <w:rsid w:val="6BD3071E"/>
    <w:rsid w:val="6BE02E3B"/>
    <w:rsid w:val="6C0D76BF"/>
    <w:rsid w:val="6C30791F"/>
    <w:rsid w:val="6C643A6C"/>
    <w:rsid w:val="6C783B29"/>
    <w:rsid w:val="6C9003BD"/>
    <w:rsid w:val="6C907761"/>
    <w:rsid w:val="6CC17318"/>
    <w:rsid w:val="6CF82CBF"/>
    <w:rsid w:val="6D2F7BD6"/>
    <w:rsid w:val="6D6261FE"/>
    <w:rsid w:val="6D836174"/>
    <w:rsid w:val="6E292877"/>
    <w:rsid w:val="6E535B46"/>
    <w:rsid w:val="6E5A0C83"/>
    <w:rsid w:val="6E6935BC"/>
    <w:rsid w:val="6EA12D56"/>
    <w:rsid w:val="6EC46A44"/>
    <w:rsid w:val="6F064323"/>
    <w:rsid w:val="6F094457"/>
    <w:rsid w:val="6F365FBB"/>
    <w:rsid w:val="6FAC0C07"/>
    <w:rsid w:val="6FB95E7D"/>
    <w:rsid w:val="6FC84312"/>
    <w:rsid w:val="6FD44A65"/>
    <w:rsid w:val="6FEE0BE8"/>
    <w:rsid w:val="6FEF189F"/>
    <w:rsid w:val="6FFFD850"/>
    <w:rsid w:val="702A5D52"/>
    <w:rsid w:val="70384FF4"/>
    <w:rsid w:val="704E0CBB"/>
    <w:rsid w:val="709D12FB"/>
    <w:rsid w:val="70BD7BEF"/>
    <w:rsid w:val="70DF1913"/>
    <w:rsid w:val="70E64A50"/>
    <w:rsid w:val="70EB7B77"/>
    <w:rsid w:val="70FA04FB"/>
    <w:rsid w:val="711F5FB5"/>
    <w:rsid w:val="714118DC"/>
    <w:rsid w:val="714E0847"/>
    <w:rsid w:val="715220E5"/>
    <w:rsid w:val="7161057A"/>
    <w:rsid w:val="719646C8"/>
    <w:rsid w:val="71AD7C63"/>
    <w:rsid w:val="71BB2380"/>
    <w:rsid w:val="71D64AC4"/>
    <w:rsid w:val="71F80EDE"/>
    <w:rsid w:val="72347597"/>
    <w:rsid w:val="723F6B0D"/>
    <w:rsid w:val="724844CE"/>
    <w:rsid w:val="72516841"/>
    <w:rsid w:val="7258197D"/>
    <w:rsid w:val="727D13E4"/>
    <w:rsid w:val="72FF63E4"/>
    <w:rsid w:val="73092C77"/>
    <w:rsid w:val="7318735E"/>
    <w:rsid w:val="73D91A67"/>
    <w:rsid w:val="73E831D5"/>
    <w:rsid w:val="73F35057"/>
    <w:rsid w:val="744B00B0"/>
    <w:rsid w:val="7499002B"/>
    <w:rsid w:val="74DC4AE7"/>
    <w:rsid w:val="74FA6D1C"/>
    <w:rsid w:val="753649D0"/>
    <w:rsid w:val="753C7334"/>
    <w:rsid w:val="759C7DD3"/>
    <w:rsid w:val="75AD0232"/>
    <w:rsid w:val="75C46A85"/>
    <w:rsid w:val="75EC7113"/>
    <w:rsid w:val="76143E0D"/>
    <w:rsid w:val="76593F16"/>
    <w:rsid w:val="76853969"/>
    <w:rsid w:val="76AB509B"/>
    <w:rsid w:val="76BE1FCB"/>
    <w:rsid w:val="76C770D1"/>
    <w:rsid w:val="76D812DE"/>
    <w:rsid w:val="777810B2"/>
    <w:rsid w:val="77A80CB1"/>
    <w:rsid w:val="77DE46D3"/>
    <w:rsid w:val="77ED2B68"/>
    <w:rsid w:val="77FB16C5"/>
    <w:rsid w:val="780764A7"/>
    <w:rsid w:val="783562BD"/>
    <w:rsid w:val="78570929"/>
    <w:rsid w:val="786A41B8"/>
    <w:rsid w:val="7876453C"/>
    <w:rsid w:val="788F1E71"/>
    <w:rsid w:val="789B0816"/>
    <w:rsid w:val="78AC2A23"/>
    <w:rsid w:val="78C80EDF"/>
    <w:rsid w:val="79206F6D"/>
    <w:rsid w:val="7949727F"/>
    <w:rsid w:val="7967694A"/>
    <w:rsid w:val="79682DF4"/>
    <w:rsid w:val="79733540"/>
    <w:rsid w:val="79764DDF"/>
    <w:rsid w:val="79836B0A"/>
    <w:rsid w:val="799A0ACD"/>
    <w:rsid w:val="7A462A03"/>
    <w:rsid w:val="7A601D17"/>
    <w:rsid w:val="7A794B87"/>
    <w:rsid w:val="7AAA2F92"/>
    <w:rsid w:val="7ACF0C4A"/>
    <w:rsid w:val="7AFE5EB8"/>
    <w:rsid w:val="7B51428D"/>
    <w:rsid w:val="7B566455"/>
    <w:rsid w:val="7B86755B"/>
    <w:rsid w:val="7B8C08E9"/>
    <w:rsid w:val="7BC167E5"/>
    <w:rsid w:val="7BDD1145"/>
    <w:rsid w:val="7C091F3A"/>
    <w:rsid w:val="7C1C1C6D"/>
    <w:rsid w:val="7C574A54"/>
    <w:rsid w:val="7C683105"/>
    <w:rsid w:val="7C690BD8"/>
    <w:rsid w:val="7C705B15"/>
    <w:rsid w:val="7C8617DD"/>
    <w:rsid w:val="7C961A20"/>
    <w:rsid w:val="7CB400F8"/>
    <w:rsid w:val="7CC06A9D"/>
    <w:rsid w:val="7CD82038"/>
    <w:rsid w:val="7D0821F2"/>
    <w:rsid w:val="7D1453E2"/>
    <w:rsid w:val="7D2F777E"/>
    <w:rsid w:val="7D4A0A5C"/>
    <w:rsid w:val="7D847ACA"/>
    <w:rsid w:val="7D935F5F"/>
    <w:rsid w:val="7DC720AD"/>
    <w:rsid w:val="7DDD542C"/>
    <w:rsid w:val="7E123328"/>
    <w:rsid w:val="7E292823"/>
    <w:rsid w:val="7E4454AB"/>
    <w:rsid w:val="7EAC04BF"/>
    <w:rsid w:val="7ECC538E"/>
    <w:rsid w:val="7EE10F4C"/>
    <w:rsid w:val="7EFB4F6E"/>
    <w:rsid w:val="7F054C3B"/>
    <w:rsid w:val="7F6B4C36"/>
    <w:rsid w:val="7F912972"/>
    <w:rsid w:val="7FCD35A3"/>
    <w:rsid w:val="ABF7FD58"/>
    <w:rsid w:val="BEFDC3C4"/>
    <w:rsid w:val="F365B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6"/>
    <w:qFormat/>
    <w:uiPriority w:val="0"/>
    <w:pPr>
      <w:keepNext/>
      <w:keepLines/>
      <w:spacing w:before="260" w:beforeLines="0" w:after="260" w:afterLines="0" w:line="413" w:lineRule="auto"/>
      <w:outlineLvl w:val="2"/>
    </w:pPr>
    <w:rPr>
      <w:b/>
      <w:bCs/>
      <w:sz w:val="32"/>
      <w:szCs w:val="32"/>
    </w:rPr>
  </w:style>
  <w:style w:type="character" w:default="1" w:styleId="23">
    <w:name w:val="Default Paragraph Font"/>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2"/>
    <w:basedOn w:val="1"/>
    <w:qFormat/>
    <w:uiPriority w:val="0"/>
    <w:pPr>
      <w:spacing w:before="100" w:beforeAutospacing="1" w:line="480" w:lineRule="auto"/>
    </w:p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qFormat/>
    <w:uiPriority w:val="0"/>
    <w:pPr>
      <w:ind w:firstLine="630"/>
    </w:pPr>
    <w:rPr>
      <w:sz w:val="32"/>
    </w:rPr>
  </w:style>
  <w:style w:type="paragraph" w:styleId="10">
    <w:name w:val="Plain Text"/>
    <w:basedOn w:val="1"/>
    <w:qFormat/>
    <w:uiPriority w:val="0"/>
    <w:rPr>
      <w:rFonts w:ascii="宋体" w:cs="Courier New"/>
      <w:lang w:bidi="ar-SA"/>
    </w:rPr>
  </w:style>
  <w:style w:type="paragraph" w:styleId="11">
    <w:name w:val="Date"/>
    <w:basedOn w:val="1"/>
    <w:next w:val="1"/>
    <w:qFormat/>
    <w:uiPriority w:val="0"/>
    <w:rPr>
      <w:rFonts w:eastAsia="长城楷体"/>
      <w:sz w:val="36"/>
    </w:rPr>
  </w:style>
  <w:style w:type="paragraph" w:styleId="12">
    <w:name w:val="footer"/>
    <w:basedOn w:val="1"/>
    <w:qFormat/>
    <w:uiPriority w:val="0"/>
    <w:pPr>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semiHidden/>
    <w:qFormat/>
    <w:uiPriority w:val="0"/>
    <w:pPr>
      <w:widowControl w:val="0"/>
      <w:adjustRightInd w:val="0"/>
      <w:spacing w:line="312" w:lineRule="atLeast"/>
      <w:textAlignment w:val="baseline"/>
    </w:pPr>
    <w:rPr>
      <w:sz w:val="18"/>
    </w:rPr>
  </w:style>
  <w:style w:type="paragraph" w:styleId="1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w:basedOn w:val="8"/>
    <w:qFormat/>
    <w:uiPriority w:val="0"/>
    <w:pPr>
      <w:spacing w:before="100" w:beforeAutospacing="1"/>
      <w:ind w:firstLine="100" w:firstLineChars="100"/>
    </w:pPr>
    <w:rPr>
      <w:sz w:val="24"/>
      <w:szCs w:val="24"/>
    </w:rPr>
  </w:style>
  <w:style w:type="paragraph" w:styleId="20">
    <w:name w:val="Body Text First Indent 2"/>
    <w:basedOn w:val="9"/>
    <w:qFormat/>
    <w:uiPriority w:val="0"/>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qFormat/>
    <w:uiPriority w:val="0"/>
    <w:rPr>
      <w:color w:val="0000FF"/>
      <w:u w:val="none"/>
    </w:rPr>
  </w:style>
  <w:style w:type="paragraph" w:customStyle="1" w:styleId="26">
    <w:name w:val="正文1"/>
    <w:qFormat/>
    <w:uiPriority w:val="0"/>
    <w:pPr>
      <w:jc w:val="both"/>
    </w:pPr>
    <w:rPr>
      <w:rFonts w:ascii="Calibri" w:hAnsi="Calibri" w:eastAsia="宋体" w:cs="宋体"/>
      <w:kern w:val="2"/>
      <w:sz w:val="21"/>
      <w:szCs w:val="21"/>
      <w:lang w:val="en-US" w:eastAsia="zh-CN" w:bidi="ar-SA"/>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Default"/>
    <w:basedOn w:val="1"/>
    <w:next w:val="11"/>
    <w:qFormat/>
    <w:uiPriority w:val="0"/>
    <w:pPr>
      <w:autoSpaceDE w:val="0"/>
      <w:autoSpaceDN w:val="0"/>
      <w:adjustRightInd w:val="0"/>
      <w:jc w:val="left"/>
    </w:pPr>
    <w:rPr>
      <w:rFonts w:ascii="宋体" w:cs="宋体"/>
      <w:color w:val="000000"/>
      <w:kern w:val="0"/>
      <w:sz w:val="24"/>
      <w:szCs w:val="24"/>
      <w:lang w:bidi="ar-SA"/>
    </w:rPr>
  </w:style>
  <w:style w:type="paragraph" w:customStyle="1" w:styleId="30">
    <w:name w:val="!正文"/>
    <w:basedOn w:val="1"/>
    <w:qFormat/>
    <w:uiPriority w:val="0"/>
    <w:pPr>
      <w:spacing w:line="360" w:lineRule="auto"/>
      <w:ind w:firstLine="200" w:firstLineChars="200"/>
    </w:pPr>
    <w:rPr>
      <w:rFonts w:ascii="宋体" w:hAnsi="宋体"/>
      <w:sz w:val="24"/>
      <w:szCs w:val="28"/>
    </w:rPr>
  </w:style>
  <w:style w:type="paragraph" w:customStyle="1" w:styleId="31">
    <w:name w:val="Table Paragraph"/>
    <w:basedOn w:val="1"/>
    <w:qFormat/>
    <w:uiPriority w:val="1"/>
  </w:style>
  <w:style w:type="character" w:customStyle="1" w:styleId="32">
    <w:name w:val="font112"/>
    <w:basedOn w:val="23"/>
    <w:qFormat/>
    <w:uiPriority w:val="0"/>
    <w:rPr>
      <w:rFonts w:hint="default" w:ascii="Times New Roman" w:hAnsi="Times New Roman" w:cs="Times New Roman"/>
      <w:color w:val="000000"/>
      <w:sz w:val="24"/>
      <w:szCs w:val="24"/>
      <w:u w:val="none"/>
    </w:rPr>
  </w:style>
  <w:style w:type="character" w:customStyle="1" w:styleId="33">
    <w:name w:val="font21"/>
    <w:basedOn w:val="23"/>
    <w:qFormat/>
    <w:uiPriority w:val="0"/>
    <w:rPr>
      <w:rFonts w:hint="eastAsia" w:ascii="宋体" w:hAnsi="宋体" w:eastAsia="宋体" w:cs="宋体"/>
      <w:color w:val="000000"/>
      <w:sz w:val="24"/>
      <w:szCs w:val="24"/>
      <w:u w:val="none"/>
    </w:rPr>
  </w:style>
  <w:style w:type="paragraph" w:customStyle="1" w:styleId="34">
    <w:name w:val="正文_2"/>
    <w:qFormat/>
    <w:uiPriority w:val="0"/>
    <w:pPr>
      <w:widowControl w:val="0"/>
      <w:spacing w:after="160" w:line="300" w:lineRule="auto"/>
      <w:jc w:val="both"/>
    </w:pPr>
    <w:rPr>
      <w:rFonts w:ascii="Times New Roman" w:hAnsi="Times New Roman" w:eastAsia="宋体" w:cs="Times New Roman"/>
      <w:kern w:val="2"/>
      <w:sz w:val="21"/>
      <w:szCs w:val="22"/>
      <w:lang w:val="en-US" w:eastAsia="zh-CN" w:bidi="ar-SA"/>
    </w:rPr>
  </w:style>
  <w:style w:type="character" w:customStyle="1" w:styleId="35">
    <w:name w:val="NormalCharacter"/>
    <w:qFormat/>
    <w:uiPriority w:val="0"/>
    <w:rPr>
      <w:kern w:val="2"/>
      <w:sz w:val="21"/>
      <w:szCs w:val="24"/>
      <w:lang w:val="en-US" w:eastAsia="zh-CN" w:bidi="ar-SA"/>
    </w:rPr>
  </w:style>
  <w:style w:type="character" w:customStyle="1" w:styleId="36">
    <w:name w:val="font151"/>
    <w:basedOn w:val="23"/>
    <w:qFormat/>
    <w:uiPriority w:val="0"/>
    <w:rPr>
      <w:rFonts w:hint="default" w:ascii="Times New Roman" w:hAnsi="Times New Roman" w:cs="Times New Roman"/>
      <w:color w:val="000000"/>
      <w:sz w:val="24"/>
      <w:szCs w:val="24"/>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font11"/>
    <w:basedOn w:val="23"/>
    <w:qFormat/>
    <w:uiPriority w:val="0"/>
    <w:rPr>
      <w:rFonts w:hint="eastAsia" w:ascii="宋体" w:hAnsi="宋体" w:eastAsia="宋体" w:cs="宋体"/>
      <w:color w:val="000000"/>
      <w:sz w:val="20"/>
      <w:szCs w:val="20"/>
      <w:u w:val="none"/>
    </w:rPr>
  </w:style>
  <w:style w:type="character" w:customStyle="1" w:styleId="39">
    <w:name w:val="font41"/>
    <w:basedOn w:val="23"/>
    <w:qFormat/>
    <w:uiPriority w:val="0"/>
    <w:rPr>
      <w:rFonts w:ascii="Calibri" w:hAnsi="Calibri" w:cs="Calibri"/>
      <w:color w:val="000000"/>
      <w:sz w:val="20"/>
      <w:szCs w:val="20"/>
      <w:u w:val="none"/>
    </w:rPr>
  </w:style>
  <w:style w:type="character" w:customStyle="1" w:styleId="40">
    <w:name w:val="font51"/>
    <w:basedOn w:val="23"/>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6078</Words>
  <Characters>6837</Characters>
  <Lines>0</Lines>
  <Paragraphs>0</Paragraphs>
  <TotalTime>17</TotalTime>
  <ScaleCrop>false</ScaleCrop>
  <LinksUpToDate>false</LinksUpToDate>
  <CharactersWithSpaces>6921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2024-02-23T05:41:00Z</dcterms:created>
  <dc:creator>Administrator</dc:creator>
  <cp:lastModifiedBy>Administrator</cp:lastModifiedBy>
  <cp:lastPrinted>2024-11-01T07:26:00Z</cp:lastPrinted>
  <dcterms:modified xsi:type="dcterms:W3CDTF">2025-07-14T07:05:23Z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B4761C4840684C6DA7643539AAF24EB0_13</vt:lpwstr>
  </property>
  <property fmtid="{D5CDD505-2E9C-101B-9397-08002B2CF9AE}" pid="4" name="KSOTemplateDocerSaveRecord">
    <vt:lpwstr>eyJoZGlkIjoiYjQ1N2YzY2FkMGJjMGM4YjhjYWIzMTZkYWRmZDgyMmQiLCJ1c2VySWQiOiI1ODcxNDE2NDcifQ==</vt:lpwstr>
  </property>
</Properties>
</file>