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175FA">
      <w:pPr>
        <w:widowControl/>
        <w:spacing w:line="360" w:lineRule="auto"/>
        <w:jc w:val="center"/>
        <w:rPr>
          <w:rFonts w:hint="eastAsia" w:ascii="仿宋" w:hAnsi="仿宋" w:eastAsia="仿宋" w:cs="仿宋"/>
          <w:b/>
          <w:bCs/>
          <w:color w:val="auto"/>
          <w:sz w:val="52"/>
          <w:szCs w:val="52"/>
          <w:highlight w:val="none"/>
        </w:rPr>
      </w:pPr>
      <w:bookmarkStart w:id="200" w:name="_GoBack"/>
    </w:p>
    <w:p w14:paraId="76537247">
      <w:pPr>
        <w:widowControl/>
        <w:spacing w:line="360" w:lineRule="auto"/>
        <w:jc w:val="center"/>
        <w:rPr>
          <w:rFonts w:hint="eastAsia" w:ascii="仿宋" w:hAnsi="仿宋" w:eastAsia="仿宋" w:cs="仿宋"/>
          <w:b/>
          <w:bCs/>
          <w:color w:val="auto"/>
          <w:sz w:val="56"/>
          <w:szCs w:val="56"/>
          <w:highlight w:val="none"/>
          <w:lang w:eastAsia="zh-CN"/>
        </w:rPr>
      </w:pPr>
      <w:r>
        <w:rPr>
          <w:rFonts w:hint="eastAsia" w:ascii="仿宋" w:hAnsi="仿宋" w:eastAsia="仿宋" w:cs="仿宋"/>
          <w:b/>
          <w:bCs/>
          <w:color w:val="auto"/>
          <w:sz w:val="56"/>
          <w:szCs w:val="56"/>
          <w:highlight w:val="none"/>
          <w:u w:val="none"/>
          <w:lang w:eastAsia="zh-CN"/>
        </w:rPr>
        <w:t>2025年万顺乡土城村村屯道路建设项目</w:t>
      </w:r>
    </w:p>
    <w:p w14:paraId="0A762EA9">
      <w:pPr>
        <w:widowControl/>
        <w:spacing w:line="360" w:lineRule="auto"/>
        <w:jc w:val="center"/>
        <w:rPr>
          <w:rFonts w:hint="eastAsia" w:ascii="仿宋" w:hAnsi="仿宋" w:eastAsia="仿宋" w:cs="仿宋"/>
          <w:b/>
          <w:bCs/>
          <w:color w:val="auto"/>
          <w:sz w:val="52"/>
          <w:szCs w:val="52"/>
          <w:highlight w:val="none"/>
        </w:rPr>
      </w:pPr>
    </w:p>
    <w:p w14:paraId="79E90F0E">
      <w:pPr>
        <w:widowControl/>
        <w:spacing w:line="360" w:lineRule="auto"/>
        <w:jc w:val="center"/>
        <w:rPr>
          <w:rFonts w:hint="eastAsia" w:ascii="仿宋" w:hAnsi="仿宋" w:eastAsia="仿宋" w:cs="仿宋"/>
          <w:b/>
          <w:bCs/>
          <w:color w:val="auto"/>
          <w:sz w:val="80"/>
          <w:szCs w:val="80"/>
          <w:highlight w:val="none"/>
          <w:lang w:val="en-US" w:eastAsia="zh-CN"/>
        </w:rPr>
      </w:pPr>
      <w:r>
        <w:rPr>
          <w:rFonts w:hint="eastAsia" w:ascii="仿宋" w:hAnsi="仿宋" w:eastAsia="仿宋" w:cs="仿宋"/>
          <w:b/>
          <w:bCs/>
          <w:color w:val="auto"/>
          <w:sz w:val="80"/>
          <w:szCs w:val="80"/>
          <w:highlight w:val="none"/>
        </w:rPr>
        <w:t>竞争性磋商</w:t>
      </w:r>
      <w:r>
        <w:rPr>
          <w:rFonts w:hint="eastAsia" w:ascii="仿宋" w:hAnsi="仿宋" w:eastAsia="仿宋" w:cs="仿宋"/>
          <w:b/>
          <w:bCs/>
          <w:color w:val="auto"/>
          <w:sz w:val="80"/>
          <w:szCs w:val="80"/>
          <w:highlight w:val="none"/>
          <w:lang w:val="en-US" w:eastAsia="zh-CN"/>
        </w:rPr>
        <w:t>文件</w:t>
      </w:r>
    </w:p>
    <w:p w14:paraId="2714C665">
      <w:pPr>
        <w:spacing w:line="360" w:lineRule="auto"/>
        <w:jc w:val="center"/>
        <w:rPr>
          <w:rFonts w:hint="eastAsia" w:ascii="仿宋" w:hAnsi="仿宋" w:eastAsia="仿宋" w:cs="仿宋"/>
          <w:b/>
          <w:color w:val="auto"/>
          <w:sz w:val="30"/>
          <w:szCs w:val="30"/>
          <w:highlight w:val="none"/>
          <w:lang w:eastAsia="zh-CN"/>
        </w:rPr>
      </w:pPr>
      <w:bookmarkStart w:id="0" w:name="_Toc23325"/>
      <w:bookmarkStart w:id="1" w:name="_Toc29453"/>
      <w:bookmarkStart w:id="2" w:name="_Toc11466"/>
      <w:bookmarkStart w:id="3" w:name="_Toc1966"/>
      <w:bookmarkStart w:id="4" w:name="_Toc8325"/>
      <w:bookmarkStart w:id="5" w:name="_Toc32187"/>
      <w:bookmarkStart w:id="6" w:name="_Toc25248"/>
      <w:bookmarkStart w:id="7" w:name="_Toc7231"/>
      <w:bookmarkStart w:id="8" w:name="_Toc2288"/>
      <w:bookmarkStart w:id="9" w:name="_Toc13633"/>
      <w:bookmarkStart w:id="10" w:name="_Toc13388"/>
      <w:r>
        <w:rPr>
          <w:rFonts w:hint="eastAsia" w:ascii="仿宋" w:hAnsi="仿宋" w:eastAsia="仿宋" w:cs="仿宋"/>
          <w:b/>
          <w:color w:val="auto"/>
          <w:sz w:val="30"/>
          <w:szCs w:val="30"/>
          <w:highlight w:val="none"/>
        </w:rPr>
        <w:t>项目编号：</w:t>
      </w:r>
      <w:bookmarkEnd w:id="0"/>
      <w:bookmarkEnd w:id="1"/>
      <w:bookmarkEnd w:id="2"/>
      <w:bookmarkEnd w:id="3"/>
      <w:bookmarkEnd w:id="4"/>
      <w:bookmarkEnd w:id="5"/>
      <w:bookmarkEnd w:id="6"/>
      <w:bookmarkEnd w:id="7"/>
      <w:bookmarkEnd w:id="8"/>
      <w:bookmarkEnd w:id="9"/>
      <w:bookmarkEnd w:id="10"/>
      <w:r>
        <w:rPr>
          <w:rFonts w:hint="eastAsia" w:ascii="仿宋" w:hAnsi="仿宋" w:eastAsia="仿宋" w:cs="仿宋"/>
          <w:b/>
          <w:color w:val="auto"/>
          <w:sz w:val="30"/>
          <w:szCs w:val="30"/>
          <w:highlight w:val="none"/>
          <w:lang w:eastAsia="zh-CN"/>
        </w:rPr>
        <w:t>ZSGC-2025102</w:t>
      </w:r>
    </w:p>
    <w:p w14:paraId="1D9899B3">
      <w:pPr>
        <w:pStyle w:val="16"/>
        <w:rPr>
          <w:rFonts w:hint="eastAsia" w:ascii="仿宋" w:hAnsi="仿宋" w:eastAsia="仿宋" w:cs="仿宋"/>
          <w:b/>
          <w:color w:val="auto"/>
          <w:sz w:val="30"/>
          <w:szCs w:val="30"/>
          <w:highlight w:val="none"/>
        </w:rPr>
      </w:pPr>
    </w:p>
    <w:p w14:paraId="717F6FDE">
      <w:pPr>
        <w:pStyle w:val="16"/>
        <w:rPr>
          <w:rFonts w:hint="eastAsia" w:ascii="仿宋" w:hAnsi="仿宋" w:eastAsia="仿宋" w:cs="仿宋"/>
          <w:b/>
          <w:color w:val="auto"/>
          <w:sz w:val="30"/>
          <w:szCs w:val="30"/>
          <w:highlight w:val="none"/>
        </w:rPr>
      </w:pPr>
    </w:p>
    <w:p w14:paraId="23A1CA28">
      <w:pPr>
        <w:pStyle w:val="30"/>
        <w:ind w:firstLine="602"/>
        <w:rPr>
          <w:rFonts w:hint="eastAsia" w:ascii="仿宋" w:hAnsi="仿宋" w:eastAsia="仿宋" w:cs="仿宋"/>
          <w:b/>
          <w:color w:val="auto"/>
          <w:sz w:val="30"/>
          <w:szCs w:val="30"/>
          <w:highlight w:val="none"/>
        </w:rPr>
      </w:pPr>
    </w:p>
    <w:p w14:paraId="1CC5ED6D">
      <w:pPr>
        <w:spacing w:line="360" w:lineRule="auto"/>
        <w:ind w:left="0" w:leftChars="0" w:firstLine="2107" w:firstLineChars="656"/>
        <w:jc w:val="both"/>
        <w:rPr>
          <w:rFonts w:hint="eastAsia" w:ascii="仿宋" w:hAnsi="仿宋" w:eastAsia="仿宋" w:cs="仿宋"/>
          <w:b/>
          <w:color w:val="auto"/>
          <w:sz w:val="32"/>
          <w:highlight w:val="none"/>
        </w:rPr>
      </w:pPr>
    </w:p>
    <w:p w14:paraId="5051626D">
      <w:pPr>
        <w:spacing w:line="360" w:lineRule="auto"/>
        <w:ind w:left="0" w:leftChars="0" w:firstLine="2107" w:firstLineChars="656"/>
        <w:jc w:val="both"/>
        <w:rPr>
          <w:rFonts w:hint="eastAsia" w:ascii="仿宋" w:hAnsi="仿宋" w:eastAsia="仿宋" w:cs="仿宋"/>
          <w:b/>
          <w:color w:val="auto"/>
          <w:sz w:val="32"/>
          <w:highlight w:val="none"/>
        </w:rPr>
      </w:pPr>
    </w:p>
    <w:p w14:paraId="5E0E269F">
      <w:pPr>
        <w:spacing w:line="360" w:lineRule="auto"/>
        <w:ind w:left="0" w:leftChars="0" w:firstLine="2107" w:firstLineChars="656"/>
        <w:jc w:val="both"/>
        <w:rPr>
          <w:rFonts w:hint="eastAsia" w:ascii="仿宋" w:hAnsi="仿宋" w:eastAsia="仿宋" w:cs="仿宋"/>
          <w:b/>
          <w:color w:val="auto"/>
          <w:sz w:val="32"/>
          <w:highlight w:val="none"/>
        </w:rPr>
      </w:pPr>
    </w:p>
    <w:p w14:paraId="5410CCA2">
      <w:pPr>
        <w:spacing w:line="360" w:lineRule="auto"/>
        <w:ind w:left="0" w:leftChars="0" w:firstLine="2107" w:firstLineChars="656"/>
        <w:jc w:val="both"/>
        <w:rPr>
          <w:rFonts w:hint="eastAsia" w:ascii="仿宋" w:hAnsi="仿宋" w:eastAsia="仿宋" w:cs="仿宋"/>
          <w:b/>
          <w:color w:val="auto"/>
          <w:sz w:val="32"/>
          <w:highlight w:val="none"/>
          <w:lang w:eastAsia="zh-CN"/>
        </w:rPr>
      </w:pPr>
      <w:r>
        <w:rPr>
          <w:rFonts w:hint="eastAsia" w:ascii="仿宋" w:hAnsi="仿宋" w:eastAsia="仿宋" w:cs="仿宋"/>
          <w:b/>
          <w:color w:val="auto"/>
          <w:sz w:val="32"/>
          <w:highlight w:val="none"/>
        </w:rPr>
        <w:t>采购人：</w:t>
      </w:r>
      <w:r>
        <w:rPr>
          <w:rFonts w:hint="eastAsia" w:ascii="仿宋" w:hAnsi="仿宋" w:eastAsia="仿宋" w:cs="仿宋"/>
          <w:b/>
          <w:color w:val="auto"/>
          <w:sz w:val="32"/>
          <w:highlight w:val="none"/>
          <w:lang w:eastAsia="zh-CN"/>
        </w:rPr>
        <w:t>农安县万顺乡人民政府</w:t>
      </w:r>
    </w:p>
    <w:p w14:paraId="4A2D8190">
      <w:pPr>
        <w:ind w:left="0" w:leftChars="0" w:firstLine="1377" w:firstLineChars="656"/>
        <w:outlineLvl w:val="9"/>
        <w:rPr>
          <w:rFonts w:hint="eastAsia" w:ascii="仿宋" w:hAnsi="仿宋" w:eastAsia="仿宋" w:cs="仿宋"/>
          <w:color w:val="auto"/>
          <w:highlight w:val="none"/>
          <w:lang w:eastAsia="zh-CN"/>
        </w:rPr>
      </w:pPr>
    </w:p>
    <w:p w14:paraId="23C48395">
      <w:pPr>
        <w:pStyle w:val="16"/>
        <w:rPr>
          <w:rFonts w:hint="eastAsia" w:ascii="仿宋" w:hAnsi="仿宋" w:eastAsia="仿宋" w:cs="仿宋"/>
          <w:color w:val="auto"/>
          <w:highlight w:val="none"/>
          <w:lang w:eastAsia="zh-CN"/>
        </w:rPr>
      </w:pPr>
    </w:p>
    <w:p w14:paraId="7D6C89DA">
      <w:pPr>
        <w:spacing w:line="360" w:lineRule="auto"/>
        <w:ind w:left="0" w:leftChars="0" w:firstLine="2107" w:firstLineChars="656"/>
        <w:jc w:val="both"/>
        <w:rPr>
          <w:rFonts w:hint="eastAsia" w:ascii="仿宋" w:hAnsi="仿宋" w:eastAsia="仿宋" w:cs="仿宋"/>
          <w:b/>
          <w:color w:val="auto"/>
          <w:sz w:val="32"/>
          <w:highlight w:val="none"/>
          <w:lang w:eastAsia="zh-CN"/>
        </w:rPr>
      </w:pPr>
      <w:r>
        <w:rPr>
          <w:rFonts w:hint="eastAsia" w:ascii="仿宋" w:hAnsi="仿宋" w:eastAsia="仿宋" w:cs="仿宋"/>
          <w:b/>
          <w:color w:val="auto"/>
          <w:sz w:val="32"/>
          <w:highlight w:val="none"/>
        </w:rPr>
        <w:t>采购代理机构：</w:t>
      </w:r>
      <w:r>
        <w:rPr>
          <w:rFonts w:hint="eastAsia" w:ascii="仿宋" w:hAnsi="仿宋" w:eastAsia="仿宋" w:cs="仿宋"/>
          <w:b/>
          <w:color w:val="auto"/>
          <w:sz w:val="32"/>
          <w:highlight w:val="none"/>
          <w:lang w:eastAsia="zh-CN"/>
        </w:rPr>
        <w:t>吉林省中舜工程咨询有限公司</w:t>
      </w:r>
    </w:p>
    <w:p w14:paraId="25360B07">
      <w:pPr>
        <w:spacing w:line="360" w:lineRule="auto"/>
        <w:jc w:val="center"/>
        <w:rPr>
          <w:rFonts w:hint="eastAsia" w:ascii="仿宋" w:hAnsi="仿宋" w:eastAsia="仿宋" w:cs="仿宋"/>
          <w:b/>
          <w:color w:val="auto"/>
          <w:sz w:val="32"/>
          <w:highlight w:val="none"/>
        </w:rPr>
      </w:pPr>
    </w:p>
    <w:p w14:paraId="7D43A626">
      <w:pPr>
        <w:spacing w:line="360" w:lineRule="auto"/>
        <w:jc w:val="center"/>
        <w:rPr>
          <w:rFonts w:hint="eastAsia" w:ascii="仿宋" w:hAnsi="仿宋" w:eastAsia="仿宋" w:cs="仿宋"/>
          <w:b/>
          <w:color w:val="auto"/>
          <w:sz w:val="32"/>
          <w:highlight w:val="none"/>
          <w:lang w:eastAsia="zh-CN"/>
        </w:rPr>
      </w:pPr>
      <w:r>
        <w:rPr>
          <w:rFonts w:hint="eastAsia" w:ascii="仿宋" w:hAnsi="仿宋" w:eastAsia="仿宋" w:cs="仿宋"/>
          <w:b/>
          <w:color w:val="auto"/>
          <w:sz w:val="32"/>
          <w:highlight w:val="none"/>
          <w:lang w:eastAsia="zh-CN"/>
        </w:rPr>
        <w:t>202</w:t>
      </w:r>
      <w:r>
        <w:rPr>
          <w:rFonts w:hint="eastAsia" w:ascii="仿宋" w:hAnsi="仿宋" w:eastAsia="仿宋" w:cs="仿宋"/>
          <w:b/>
          <w:color w:val="auto"/>
          <w:sz w:val="32"/>
          <w:highlight w:val="none"/>
          <w:lang w:val="en-US" w:eastAsia="zh-CN"/>
        </w:rPr>
        <w:t>5</w:t>
      </w:r>
      <w:r>
        <w:rPr>
          <w:rFonts w:hint="eastAsia" w:ascii="仿宋" w:hAnsi="仿宋" w:eastAsia="仿宋" w:cs="仿宋"/>
          <w:b/>
          <w:color w:val="auto"/>
          <w:sz w:val="32"/>
          <w:highlight w:val="none"/>
          <w:lang w:eastAsia="zh-CN"/>
        </w:rPr>
        <w:t>年</w:t>
      </w:r>
      <w:r>
        <w:rPr>
          <w:rFonts w:hint="eastAsia" w:ascii="仿宋" w:hAnsi="仿宋" w:eastAsia="仿宋" w:cs="仿宋"/>
          <w:b/>
          <w:color w:val="auto"/>
          <w:sz w:val="32"/>
          <w:highlight w:val="none"/>
          <w:lang w:val="en-US" w:eastAsia="zh-CN"/>
        </w:rPr>
        <w:t>6</w:t>
      </w:r>
      <w:r>
        <w:rPr>
          <w:rFonts w:hint="eastAsia" w:ascii="仿宋" w:hAnsi="仿宋" w:eastAsia="仿宋" w:cs="仿宋"/>
          <w:b/>
          <w:color w:val="auto"/>
          <w:sz w:val="32"/>
          <w:highlight w:val="none"/>
          <w:lang w:eastAsia="zh-CN"/>
        </w:rPr>
        <w:t>月</w:t>
      </w:r>
    </w:p>
    <w:p w14:paraId="52849428">
      <w:pPr>
        <w:tabs>
          <w:tab w:val="left" w:pos="8728"/>
        </w:tabs>
        <w:spacing w:line="360" w:lineRule="auto"/>
        <w:rPr>
          <w:rFonts w:hint="eastAsia" w:ascii="仿宋" w:hAnsi="仿宋" w:eastAsia="仿宋" w:cs="仿宋"/>
          <w:b/>
          <w:color w:val="auto"/>
          <w:sz w:val="32"/>
          <w:highlight w:val="none"/>
          <w:lang w:eastAsia="zh-CN"/>
        </w:rPr>
        <w:sectPr>
          <w:headerReference r:id="rId7" w:type="first"/>
          <w:footerReference r:id="rId9" w:type="first"/>
          <w:headerReference r:id="rId5" w:type="default"/>
          <w:headerReference r:id="rId6" w:type="even"/>
          <w:footerReference r:id="rId8" w:type="even"/>
          <w:pgSz w:w="11906" w:h="16838"/>
          <w:pgMar w:top="974" w:right="1080" w:bottom="1440" w:left="1080" w:header="850" w:footer="1134" w:gutter="0"/>
          <w:pgNumType w:start="0"/>
          <w:cols w:space="720" w:num="1"/>
          <w:docGrid w:type="lines" w:linePitch="490" w:charSpace="0"/>
        </w:sectPr>
      </w:pPr>
      <w:r>
        <w:rPr>
          <w:rFonts w:hint="eastAsia" w:ascii="仿宋" w:hAnsi="仿宋" w:eastAsia="仿宋" w:cs="仿宋"/>
          <w:b/>
          <w:color w:val="auto"/>
          <w:sz w:val="32"/>
          <w:highlight w:val="none"/>
          <w:lang w:eastAsia="zh-CN"/>
        </w:rPr>
        <w:tab/>
      </w:r>
    </w:p>
    <w:p w14:paraId="73936A95">
      <w:pPr>
        <w:spacing w:line="360" w:lineRule="auto"/>
        <w:jc w:val="center"/>
        <w:rPr>
          <w:rFonts w:hint="eastAsia" w:ascii="仿宋" w:hAnsi="仿宋" w:eastAsia="仿宋" w:cs="仿宋"/>
          <w:b/>
          <w:bCs/>
          <w:color w:val="auto"/>
          <w:sz w:val="36"/>
          <w:highlight w:val="none"/>
        </w:rPr>
      </w:pPr>
      <w:r>
        <w:rPr>
          <w:rFonts w:hint="eastAsia" w:ascii="仿宋" w:hAnsi="仿宋" w:eastAsia="仿宋" w:cs="仿宋"/>
          <w:b/>
          <w:bCs/>
          <w:color w:val="auto"/>
          <w:sz w:val="36"/>
          <w:highlight w:val="none"/>
        </w:rPr>
        <w:t>目  录</w:t>
      </w:r>
    </w:p>
    <w:p w14:paraId="3C302EE1">
      <w:pPr>
        <w:pStyle w:val="22"/>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TOC \o "1-3" \h \u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_Toc31202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val="zh-CN"/>
        </w:rPr>
        <w:t>第一章 竞争性磋商公告</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_Toc31202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1F67912E">
      <w:pPr>
        <w:pStyle w:val="22"/>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_Toc6063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val="zh-CN"/>
        </w:rPr>
        <w:t>第二章 供应商须知</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_Toc6063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6</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37EA69AC">
      <w:pPr>
        <w:pStyle w:val="25"/>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_Toc28795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供应商须知前附表</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_Toc28795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6</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7FBEA996">
      <w:pPr>
        <w:pStyle w:val="25"/>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_Toc6059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供应商须知</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_Toc6059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14</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6B572B87">
      <w:pPr>
        <w:pStyle w:val="22"/>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_Toc29906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第三章 评标标准和方法</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_Toc29906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28</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32EC9A43">
      <w:pPr>
        <w:pStyle w:val="22"/>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_Toc28394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val="zh-CN"/>
        </w:rPr>
        <w:t>评标办法前附表（一）</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_Toc28394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28</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061E1AAE">
      <w:pPr>
        <w:pStyle w:val="22"/>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_Toc28397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val="zh-CN"/>
        </w:rPr>
        <w:t>评标办法前附表（二）</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_Toc28397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31</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2130A439">
      <w:pPr>
        <w:pStyle w:val="22"/>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_Toc31535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val="zh-CN"/>
        </w:rPr>
        <w:t>第四章 合同条款及格式</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_Toc31535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58</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5F9026A5">
      <w:pPr>
        <w:pStyle w:val="22"/>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_Toc27639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第五章 工程量清单</w:t>
      </w:r>
      <w:r>
        <w:rPr>
          <w:rFonts w:hint="eastAsia" w:ascii="仿宋" w:hAnsi="仿宋" w:eastAsia="仿宋" w:cs="仿宋"/>
          <w:b/>
          <w:bCs/>
          <w:color w:val="auto"/>
          <w:sz w:val="24"/>
          <w:szCs w:val="24"/>
          <w:highlight w:val="none"/>
          <w:lang w:val="en-US" w:eastAsia="zh-CN"/>
        </w:rPr>
        <w:t>及图纸</w:t>
      </w:r>
      <w:r>
        <w:rPr>
          <w:rFonts w:hint="eastAsia" w:ascii="仿宋" w:hAnsi="仿宋" w:eastAsia="仿宋" w:cs="仿宋"/>
          <w:b/>
          <w:bCs/>
          <w:color w:val="auto"/>
          <w:sz w:val="24"/>
          <w:szCs w:val="24"/>
          <w:highlight w:val="none"/>
        </w:rPr>
        <w:t>（另册）</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_Toc27639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59</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0A1D49FD">
      <w:pPr>
        <w:pStyle w:val="22"/>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_Toc27048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第六章 技术标准和要求</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_Toc27048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60</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2D5B1058">
      <w:pPr>
        <w:pStyle w:val="22"/>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_Toc3686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第七章 响应文件格式</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_Toc3686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61</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1029D1D3">
      <w:pPr>
        <w:pStyle w:val="25"/>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_Toc23789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一、投标函及投标函附录</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_Toc23789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63</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0DEA9067">
      <w:pPr>
        <w:pStyle w:val="17"/>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_Toc14468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kern w:val="2"/>
          <w:sz w:val="24"/>
          <w:szCs w:val="24"/>
          <w:highlight w:val="none"/>
          <w:lang w:val="zh-CN" w:eastAsia="zh-CN" w:bidi="ar-SA"/>
        </w:rPr>
        <w:t>（一）投标函</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_Toc14468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63</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007328FD">
      <w:pPr>
        <w:pStyle w:val="17"/>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_Toc6117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val="zh-CN"/>
        </w:rPr>
        <w:t>投标函附录</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_Toc6117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64</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04B5180D">
      <w:pPr>
        <w:pStyle w:val="25"/>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_Toc3139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二、法定代表人身份证明</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_Toc3139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65</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5A29EBED">
      <w:pPr>
        <w:pStyle w:val="25"/>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_Toc31963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三、授权委托书</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_Toc31963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66</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14D105F5">
      <w:pPr>
        <w:pStyle w:val="25"/>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_Toc29294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四、报价一览表</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_Toc29294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67</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1E4DB153">
      <w:pPr>
        <w:pStyle w:val="25"/>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_Toc27218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五、磋商保证金</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_Toc27218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68</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74AAD5CD">
      <w:pPr>
        <w:pStyle w:val="25"/>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_Toc11456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六、已标价工程量清单</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_Toc11456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69</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4DA95B9A">
      <w:pPr>
        <w:pStyle w:val="25"/>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_Toc2900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七</w:t>
      </w:r>
      <w:r>
        <w:rPr>
          <w:rFonts w:hint="eastAsia" w:ascii="仿宋" w:hAnsi="仿宋" w:eastAsia="仿宋" w:cs="仿宋"/>
          <w:b/>
          <w:bCs/>
          <w:color w:val="auto"/>
          <w:sz w:val="24"/>
          <w:szCs w:val="24"/>
          <w:highlight w:val="none"/>
        </w:rPr>
        <w:t>、施工组织设计</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_Toc2900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71</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1ACD1F26">
      <w:pPr>
        <w:pStyle w:val="25"/>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_Toc20847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八、项目管理机构</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_Toc20847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78</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75024C90">
      <w:pPr>
        <w:pStyle w:val="25"/>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_Toc8011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九、资格审查资料</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_Toc8011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81</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6B4AC57C">
      <w:pPr>
        <w:pStyle w:val="17"/>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_Toc17436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（一）供应商基本情况表</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_Toc17436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81</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1BC7F03B">
      <w:pPr>
        <w:pStyle w:val="17"/>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_Toc7599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eastAsia="zh-CN"/>
        </w:rPr>
        <w:t>）具有良好的商业信誉和健全的财务会计制度</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_Toc7599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82</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1F61809E">
      <w:pPr>
        <w:pStyle w:val="17"/>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_Toc8017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lang w:eastAsia="zh-CN"/>
        </w:rPr>
        <w:t>）具有依法缴纳税收和社会保障资金的良好记录</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_Toc8017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83</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59333EDC">
      <w:pPr>
        <w:pStyle w:val="17"/>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_Toc31753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承诺函①</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_Toc31753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84</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52F4F7E6">
      <w:pPr>
        <w:pStyle w:val="17"/>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_Toc23288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lang w:eastAsia="zh-CN"/>
        </w:rPr>
        <w:t>）声明②</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_Toc23288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85</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42BB0AA8">
      <w:pPr>
        <w:pStyle w:val="17"/>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_Toc20758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lang w:eastAsia="zh-CN"/>
        </w:rPr>
        <w:t>）声明③</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_Toc20758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86</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57B7B6D6">
      <w:pPr>
        <w:pStyle w:val="17"/>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_Toc8041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lang w:eastAsia="zh-CN"/>
        </w:rPr>
        <w:t>）声明④</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_Toc8041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87</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48CF133C">
      <w:pPr>
        <w:pStyle w:val="17"/>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_Toc9753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lang w:eastAsia="zh-CN"/>
        </w:rPr>
        <w:t>）声明⑤</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_Toc9753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88</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0FF2512B">
      <w:pPr>
        <w:pStyle w:val="17"/>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_Toc29185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val="en-US" w:eastAsia="zh-CN"/>
        </w:rPr>
        <w:t>（八）符合性、响应性承诺书</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_Toc29185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89</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02BAE8BF">
      <w:pPr>
        <w:pStyle w:val="17"/>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_Toc3989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rPr>
        <w:t>）近年完成的类似项目情况表</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_Toc3989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90</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5813265D">
      <w:pPr>
        <w:pStyle w:val="17"/>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_Toc3938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十</w:t>
      </w:r>
      <w:r>
        <w:rPr>
          <w:rFonts w:hint="eastAsia" w:ascii="仿宋" w:hAnsi="仿宋" w:eastAsia="仿宋" w:cs="仿宋"/>
          <w:b/>
          <w:bCs/>
          <w:color w:val="auto"/>
          <w:sz w:val="24"/>
          <w:szCs w:val="24"/>
          <w:highlight w:val="none"/>
        </w:rPr>
        <w:t>）正在施工的和新承接的项目情况表</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_Toc3938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91</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2973F933">
      <w:pPr>
        <w:pStyle w:val="25"/>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_Toc12556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十、其他材料</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_Toc12556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92</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78B251F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Cs/>
          <w:color w:val="auto"/>
          <w:szCs w:val="44"/>
          <w:highlight w:val="none"/>
        </w:rPr>
        <w:sectPr>
          <w:footerReference r:id="rId10" w:type="default"/>
          <w:pgSz w:w="11906" w:h="16838"/>
          <w:pgMar w:top="1440" w:right="1080" w:bottom="1440" w:left="1080" w:header="851" w:footer="992" w:gutter="0"/>
          <w:pgNumType w:fmt="decimal" w:start="1"/>
          <w:cols w:space="425" w:num="1"/>
          <w:docGrid w:type="lines" w:linePitch="312" w:charSpace="0"/>
        </w:sectPr>
      </w:pPr>
      <w:r>
        <w:rPr>
          <w:rFonts w:hint="eastAsia" w:ascii="仿宋" w:hAnsi="仿宋" w:eastAsia="仿宋" w:cs="仿宋"/>
          <w:bCs/>
          <w:color w:val="auto"/>
          <w:sz w:val="24"/>
          <w:szCs w:val="24"/>
          <w:highlight w:val="none"/>
        </w:rPr>
        <w:fldChar w:fldCharType="end"/>
      </w:r>
      <w:bookmarkStart w:id="11" w:name="_Toc14486"/>
      <w:bookmarkStart w:id="12" w:name="_Toc25760"/>
      <w:bookmarkStart w:id="13" w:name="_Toc13742"/>
    </w:p>
    <w:p w14:paraId="5A8926BC">
      <w:pPr>
        <w:pStyle w:val="2"/>
        <w:rPr>
          <w:rFonts w:hint="eastAsia" w:ascii="仿宋" w:hAnsi="仿宋" w:eastAsia="仿宋" w:cs="仿宋"/>
          <w:color w:val="auto"/>
          <w:highlight w:val="none"/>
          <w:lang w:val="zh-CN"/>
        </w:rPr>
      </w:pPr>
      <w:bookmarkStart w:id="14" w:name="_Toc31202"/>
      <w:r>
        <w:rPr>
          <w:rFonts w:hint="eastAsia" w:ascii="仿宋" w:hAnsi="仿宋" w:eastAsia="仿宋" w:cs="仿宋"/>
          <w:color w:val="auto"/>
          <w:highlight w:val="none"/>
          <w:lang w:val="zh-CN"/>
        </w:rPr>
        <w:t xml:space="preserve">第一章 </w:t>
      </w:r>
      <w:bookmarkEnd w:id="11"/>
      <w:bookmarkEnd w:id="12"/>
      <w:bookmarkEnd w:id="13"/>
      <w:bookmarkStart w:id="15" w:name="OLE_LINK1"/>
      <w:r>
        <w:rPr>
          <w:rFonts w:hint="eastAsia" w:ascii="仿宋" w:hAnsi="仿宋" w:eastAsia="仿宋" w:cs="仿宋"/>
          <w:color w:val="auto"/>
          <w:highlight w:val="none"/>
          <w:lang w:val="zh-CN"/>
        </w:rPr>
        <w:t>竞争性磋商公告</w:t>
      </w:r>
      <w:bookmarkEnd w:id="14"/>
    </w:p>
    <w:bookmarkEnd w:id="15"/>
    <w:p w14:paraId="4EC86809">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bookmarkStart w:id="16" w:name="_Toc28359002"/>
      <w:bookmarkStart w:id="17" w:name="_Toc35393621"/>
      <w:bookmarkStart w:id="18" w:name="_Toc35393790"/>
      <w:bookmarkStart w:id="19" w:name="_Toc28359079"/>
      <w:bookmarkStart w:id="20" w:name="_Hlk24379207"/>
      <w:r>
        <w:rPr>
          <w:rFonts w:hint="eastAsia" w:ascii="仿宋" w:hAnsi="仿宋" w:eastAsia="仿宋" w:cs="仿宋"/>
          <w:b/>
          <w:bCs/>
          <w:color w:val="auto"/>
          <w:sz w:val="24"/>
          <w:szCs w:val="24"/>
          <w:highlight w:val="none"/>
        </w:rPr>
        <w:t>项目概况</w:t>
      </w:r>
    </w:p>
    <w:p w14:paraId="0A9DE481">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2025年万顺乡土城村村屯道路建设项目</w:t>
      </w:r>
      <w:r>
        <w:rPr>
          <w:rFonts w:hint="eastAsia" w:ascii="仿宋" w:hAnsi="仿宋" w:eastAsia="仿宋" w:cs="仿宋"/>
          <w:color w:val="auto"/>
          <w:sz w:val="24"/>
          <w:szCs w:val="24"/>
          <w:highlight w:val="none"/>
        </w:rPr>
        <w:t>潜在供应商应在</w:t>
      </w:r>
      <w:r>
        <w:rPr>
          <w:rFonts w:hint="eastAsia" w:ascii="仿宋" w:hAnsi="仿宋" w:eastAsia="仿宋" w:cs="仿宋"/>
          <w:color w:val="auto"/>
          <w:sz w:val="24"/>
          <w:szCs w:val="24"/>
          <w:highlight w:val="none"/>
          <w:lang w:val="zh-CN"/>
        </w:rPr>
        <w:t>“政采云”平台（http：//www.zcygov.cn）</w:t>
      </w:r>
      <w:r>
        <w:rPr>
          <w:rFonts w:hint="eastAsia" w:ascii="仿宋" w:hAnsi="仿宋" w:eastAsia="仿宋" w:cs="仿宋"/>
          <w:color w:val="auto"/>
          <w:sz w:val="24"/>
          <w:szCs w:val="24"/>
          <w:highlight w:val="none"/>
        </w:rPr>
        <w:t>获取</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文件，并于</w:t>
      </w:r>
      <w:r>
        <w:rPr>
          <w:rFonts w:hint="eastAsia" w:ascii="仿宋" w:hAnsi="仿宋" w:eastAsia="仿宋" w:cs="仿宋"/>
          <w:bCs/>
          <w:color w:val="auto"/>
          <w:sz w:val="24"/>
          <w:szCs w:val="24"/>
          <w:highlight w:val="none"/>
          <w:u w:val="single"/>
          <w:lang w:val="en-US" w:eastAsia="zh-CN"/>
        </w:rPr>
        <w:t>2025年07月01日10时30分（北京时间）</w:t>
      </w:r>
      <w:r>
        <w:rPr>
          <w:rFonts w:hint="eastAsia" w:ascii="仿宋" w:hAnsi="仿宋" w:eastAsia="仿宋" w:cs="仿宋"/>
          <w:color w:val="auto"/>
          <w:sz w:val="24"/>
          <w:szCs w:val="24"/>
          <w:highlight w:val="none"/>
        </w:rPr>
        <w:t>前递交</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w:t>
      </w:r>
    </w:p>
    <w:p w14:paraId="4AC81F54">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bookmarkEnd w:id="16"/>
      <w:bookmarkEnd w:id="17"/>
      <w:bookmarkEnd w:id="18"/>
      <w:bookmarkEnd w:id="19"/>
    </w:p>
    <w:p w14:paraId="6D016907">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编号：ZSGC-2025102。</w:t>
      </w:r>
    </w:p>
    <w:p w14:paraId="3BFFE59F">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2.采购计划编号：采购计划-[2025]-00070号。</w:t>
      </w:r>
    </w:p>
    <w:p w14:paraId="3C1CAC14">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bCs/>
          <w:color w:val="auto"/>
          <w:sz w:val="24"/>
          <w:szCs w:val="24"/>
          <w:highlight w:val="none"/>
          <w:u w:val="none"/>
          <w:lang w:eastAsia="zh-CN"/>
        </w:rPr>
      </w:pPr>
      <w:r>
        <w:rPr>
          <w:rFonts w:hint="eastAsia" w:ascii="仿宋" w:hAnsi="仿宋" w:eastAsia="仿宋" w:cs="仿宋"/>
          <w:bCs/>
          <w:color w:val="auto"/>
          <w:sz w:val="24"/>
          <w:szCs w:val="24"/>
          <w:highlight w:val="none"/>
          <w:u w:val="none"/>
          <w:lang w:val="en-US" w:eastAsia="zh-CN"/>
        </w:rPr>
        <w:t>3.</w:t>
      </w:r>
      <w:r>
        <w:rPr>
          <w:rFonts w:hint="eastAsia" w:ascii="仿宋" w:hAnsi="仿宋" w:eastAsia="仿宋" w:cs="仿宋"/>
          <w:bCs/>
          <w:color w:val="auto"/>
          <w:sz w:val="24"/>
          <w:szCs w:val="24"/>
          <w:highlight w:val="none"/>
          <w:u w:val="none"/>
          <w:lang w:eastAsia="zh-CN"/>
        </w:rPr>
        <w:t>项目名称：2025年万顺乡土城村村屯道路建设项目。</w:t>
      </w:r>
    </w:p>
    <w:p w14:paraId="61C4EC64">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4.采购方式：竞争性磋商。</w:t>
      </w:r>
    </w:p>
    <w:bookmarkEnd w:id="20"/>
    <w:p w14:paraId="5E2487E0">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bCs/>
          <w:color w:val="auto"/>
          <w:sz w:val="24"/>
          <w:szCs w:val="24"/>
          <w:highlight w:val="none"/>
          <w:u w:val="none"/>
          <w:lang w:eastAsia="zh-CN"/>
        </w:rPr>
      </w:pPr>
      <w:r>
        <w:rPr>
          <w:rFonts w:hint="eastAsia" w:ascii="仿宋" w:hAnsi="仿宋" w:eastAsia="仿宋" w:cs="仿宋"/>
          <w:bCs/>
          <w:color w:val="auto"/>
          <w:sz w:val="24"/>
          <w:szCs w:val="24"/>
          <w:highlight w:val="none"/>
          <w:u w:val="none"/>
          <w:lang w:val="en-US" w:eastAsia="zh-CN"/>
        </w:rPr>
        <w:t>5.</w:t>
      </w:r>
      <w:r>
        <w:rPr>
          <w:rFonts w:hint="eastAsia" w:ascii="仿宋" w:hAnsi="仿宋" w:eastAsia="仿宋" w:cs="仿宋"/>
          <w:bCs/>
          <w:color w:val="auto"/>
          <w:sz w:val="24"/>
          <w:szCs w:val="24"/>
          <w:highlight w:val="none"/>
          <w:u w:val="none"/>
          <w:lang w:eastAsia="zh-CN"/>
        </w:rPr>
        <w:t>预算金额：</w:t>
      </w:r>
      <w:r>
        <w:rPr>
          <w:rFonts w:hint="eastAsia" w:ascii="仿宋" w:hAnsi="仿宋" w:eastAsia="仿宋" w:cs="仿宋"/>
          <w:bCs/>
          <w:color w:val="auto"/>
          <w:sz w:val="24"/>
          <w:szCs w:val="24"/>
          <w:highlight w:val="none"/>
          <w:u w:val="none"/>
          <w:lang w:val="en-US" w:eastAsia="zh-CN"/>
        </w:rPr>
        <w:t>1,439,177.00</w:t>
      </w:r>
      <w:r>
        <w:rPr>
          <w:rFonts w:hint="eastAsia" w:ascii="仿宋" w:hAnsi="仿宋" w:eastAsia="仿宋" w:cs="仿宋"/>
          <w:bCs/>
          <w:color w:val="auto"/>
          <w:sz w:val="24"/>
          <w:szCs w:val="24"/>
          <w:highlight w:val="none"/>
          <w:u w:val="none"/>
          <w:lang w:eastAsia="zh-CN"/>
        </w:rPr>
        <w:t>元。</w:t>
      </w:r>
    </w:p>
    <w:p w14:paraId="4C922C6C">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bCs/>
          <w:color w:val="auto"/>
          <w:sz w:val="24"/>
          <w:szCs w:val="24"/>
          <w:highlight w:val="none"/>
          <w:u w:val="none"/>
          <w:lang w:eastAsia="zh-CN"/>
        </w:rPr>
      </w:pPr>
      <w:r>
        <w:rPr>
          <w:rFonts w:hint="eastAsia" w:ascii="仿宋" w:hAnsi="仿宋" w:eastAsia="仿宋" w:cs="仿宋"/>
          <w:bCs/>
          <w:color w:val="auto"/>
          <w:sz w:val="24"/>
          <w:szCs w:val="24"/>
          <w:highlight w:val="none"/>
          <w:u w:val="none"/>
          <w:lang w:val="en-US" w:eastAsia="zh-CN"/>
        </w:rPr>
        <w:t>6.</w:t>
      </w:r>
      <w:r>
        <w:rPr>
          <w:rFonts w:hint="eastAsia" w:ascii="仿宋" w:hAnsi="仿宋" w:eastAsia="仿宋" w:cs="仿宋"/>
          <w:bCs/>
          <w:color w:val="auto"/>
          <w:sz w:val="24"/>
          <w:szCs w:val="24"/>
          <w:highlight w:val="none"/>
          <w:u w:val="none"/>
          <w:lang w:eastAsia="zh-CN"/>
        </w:rPr>
        <w:t>最高限价：</w:t>
      </w:r>
      <w:r>
        <w:rPr>
          <w:rFonts w:hint="eastAsia" w:ascii="仿宋" w:hAnsi="仿宋" w:eastAsia="仿宋" w:cs="仿宋"/>
          <w:bCs/>
          <w:color w:val="auto"/>
          <w:sz w:val="24"/>
          <w:szCs w:val="24"/>
          <w:highlight w:val="none"/>
          <w:u w:val="none"/>
          <w:lang w:val="en-US" w:eastAsia="zh-CN"/>
        </w:rPr>
        <w:t>1,439,177.00</w:t>
      </w:r>
      <w:r>
        <w:rPr>
          <w:rFonts w:hint="eastAsia" w:ascii="仿宋" w:hAnsi="仿宋" w:eastAsia="仿宋" w:cs="仿宋"/>
          <w:bCs/>
          <w:color w:val="auto"/>
          <w:sz w:val="24"/>
          <w:szCs w:val="24"/>
          <w:highlight w:val="none"/>
          <w:u w:val="none"/>
          <w:lang w:eastAsia="zh-CN"/>
        </w:rPr>
        <w:t>元。</w:t>
      </w:r>
    </w:p>
    <w:p w14:paraId="7BB7CE40">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采购需求：</w:t>
      </w:r>
    </w:p>
    <w:p w14:paraId="3AF8A4D1">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zh-CN"/>
        </w:rPr>
        <w:t>采购内容：</w:t>
      </w:r>
      <w:r>
        <w:rPr>
          <w:rFonts w:hint="eastAsia" w:ascii="仿宋" w:hAnsi="仿宋" w:eastAsia="仿宋" w:cs="仿宋"/>
          <w:bCs/>
          <w:color w:val="auto"/>
          <w:sz w:val="24"/>
          <w:szCs w:val="24"/>
          <w:highlight w:val="none"/>
          <w:u w:val="none"/>
          <w:lang w:eastAsia="zh-CN"/>
        </w:rPr>
        <w:t>2025年万顺乡土城村村屯道路建设项目</w:t>
      </w:r>
      <w:r>
        <w:rPr>
          <w:rFonts w:hint="eastAsia" w:ascii="仿宋" w:hAnsi="仿宋" w:eastAsia="仿宋" w:cs="仿宋"/>
          <w:bCs/>
          <w:color w:val="auto"/>
          <w:sz w:val="24"/>
          <w:szCs w:val="24"/>
          <w:highlight w:val="none"/>
          <w:u w:val="none"/>
          <w:lang w:val="en-US" w:eastAsia="zh-CN"/>
        </w:rPr>
        <w:t>施工</w:t>
      </w:r>
      <w:r>
        <w:rPr>
          <w:rFonts w:hint="eastAsia" w:ascii="仿宋" w:hAnsi="仿宋" w:eastAsia="仿宋" w:cs="仿宋"/>
          <w:bCs/>
          <w:color w:val="auto"/>
          <w:sz w:val="24"/>
          <w:szCs w:val="24"/>
          <w:highlight w:val="none"/>
          <w:lang w:val="zh-CN" w:eastAsia="zh-CN"/>
        </w:rPr>
        <w:t>；</w:t>
      </w:r>
      <w:r>
        <w:rPr>
          <w:rFonts w:hint="eastAsia" w:ascii="仿宋" w:hAnsi="仿宋" w:eastAsia="仿宋" w:cs="仿宋"/>
          <w:bCs/>
          <w:color w:val="auto"/>
          <w:sz w:val="24"/>
          <w:szCs w:val="24"/>
          <w:highlight w:val="none"/>
          <w:lang w:val="en-US" w:eastAsia="zh-CN"/>
        </w:rPr>
        <w:t>详见</w:t>
      </w:r>
      <w:r>
        <w:rPr>
          <w:rFonts w:hint="eastAsia" w:ascii="仿宋" w:hAnsi="仿宋" w:eastAsia="仿宋" w:cs="仿宋"/>
          <w:bCs/>
          <w:color w:val="auto"/>
          <w:sz w:val="24"/>
          <w:szCs w:val="24"/>
          <w:highlight w:val="none"/>
        </w:rPr>
        <w:t>施工图纸及工程量清单</w:t>
      </w:r>
      <w:r>
        <w:rPr>
          <w:rFonts w:hint="eastAsia" w:ascii="仿宋" w:hAnsi="仿宋" w:eastAsia="仿宋" w:cs="仿宋"/>
          <w:color w:val="auto"/>
          <w:sz w:val="24"/>
          <w:szCs w:val="24"/>
          <w:highlight w:val="none"/>
        </w:rPr>
        <w:t>。</w:t>
      </w:r>
    </w:p>
    <w:p w14:paraId="26D46838">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zh-CN"/>
        </w:rPr>
        <w:t>项目地点：</w:t>
      </w:r>
      <w:r>
        <w:rPr>
          <w:rFonts w:hint="eastAsia" w:ascii="仿宋" w:hAnsi="仿宋" w:eastAsia="仿宋" w:cs="仿宋"/>
          <w:color w:val="auto"/>
          <w:sz w:val="24"/>
          <w:szCs w:val="24"/>
          <w:highlight w:val="none"/>
          <w:lang w:eastAsia="zh-CN"/>
        </w:rPr>
        <w:t>长春市农安县万顺乡土城村</w:t>
      </w:r>
      <w:r>
        <w:rPr>
          <w:rFonts w:hint="eastAsia" w:ascii="仿宋" w:hAnsi="仿宋" w:eastAsia="仿宋" w:cs="仿宋"/>
          <w:bCs/>
          <w:color w:val="auto"/>
          <w:sz w:val="24"/>
          <w:szCs w:val="24"/>
          <w:highlight w:val="none"/>
          <w:lang w:val="zh-CN"/>
        </w:rPr>
        <w:t>。</w:t>
      </w:r>
    </w:p>
    <w:p w14:paraId="5EB44373">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zh-CN"/>
        </w:rPr>
        <w:t>质量标准：符合国家现行工程施工质量验收统一标准及相关标准的合格工程。</w:t>
      </w:r>
    </w:p>
    <w:p w14:paraId="1C36EEB1">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合同履行期限</w:t>
      </w:r>
      <w:r>
        <w:rPr>
          <w:rFonts w:hint="eastAsia" w:ascii="仿宋" w:hAnsi="仿宋" w:eastAsia="仿宋" w:cs="仿宋"/>
          <w:color w:val="auto"/>
          <w:sz w:val="24"/>
          <w:szCs w:val="24"/>
          <w:highlight w:val="none"/>
          <w:lang w:eastAsia="zh-CN"/>
        </w:rPr>
        <w:t>（计划工期）</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u w:val="none"/>
          <w:lang w:eastAsia="zh-CN"/>
        </w:rPr>
        <w:t>自合同签订之日起至2025年11月15日内完工（具体以甲乙双方实际签订合同为准）。</w:t>
      </w:r>
    </w:p>
    <w:p w14:paraId="45B1B6E8">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本项目不接受联合体。</w:t>
      </w:r>
    </w:p>
    <w:p w14:paraId="2555AC0B">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bookmarkStart w:id="21" w:name="_Toc35393791"/>
      <w:bookmarkStart w:id="22" w:name="_Toc35393622"/>
      <w:bookmarkStart w:id="23" w:name="_Toc28359003"/>
      <w:bookmarkStart w:id="24" w:name="_Toc28359080"/>
      <w:r>
        <w:rPr>
          <w:rFonts w:hint="eastAsia" w:ascii="仿宋" w:hAnsi="仿宋" w:eastAsia="仿宋" w:cs="仿宋"/>
          <w:b/>
          <w:bCs/>
          <w:color w:val="auto"/>
          <w:sz w:val="24"/>
          <w:szCs w:val="24"/>
          <w:highlight w:val="none"/>
        </w:rPr>
        <w:t>二、申请人的资格要求</w:t>
      </w:r>
      <w:bookmarkEnd w:id="21"/>
      <w:bookmarkEnd w:id="22"/>
      <w:bookmarkEnd w:id="23"/>
      <w:bookmarkEnd w:id="24"/>
    </w:p>
    <w:p w14:paraId="28DFB2C4">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color w:val="auto"/>
          <w:sz w:val="24"/>
          <w:szCs w:val="24"/>
          <w:highlight w:val="none"/>
        </w:rPr>
      </w:pPr>
      <w:bookmarkStart w:id="25" w:name="_Toc35393792"/>
      <w:bookmarkStart w:id="26" w:name="_Toc28359081"/>
      <w:bookmarkStart w:id="27" w:name="_Toc28359004"/>
      <w:bookmarkStart w:id="28" w:name="_Toc35393623"/>
      <w:r>
        <w:rPr>
          <w:rFonts w:hint="eastAsia" w:ascii="仿宋" w:hAnsi="仿宋" w:eastAsia="仿宋" w:cs="仿宋"/>
          <w:bCs/>
          <w:color w:val="auto"/>
          <w:sz w:val="24"/>
          <w:szCs w:val="24"/>
          <w:highlight w:val="none"/>
        </w:rPr>
        <w:t>1.</w:t>
      </w:r>
      <w:r>
        <w:rPr>
          <w:rFonts w:hint="eastAsia" w:ascii="仿宋" w:hAnsi="仿宋" w:eastAsia="仿宋" w:cs="仿宋"/>
          <w:color w:val="auto"/>
          <w:spacing w:val="6"/>
          <w:sz w:val="24"/>
          <w:szCs w:val="24"/>
          <w:highlight w:val="none"/>
        </w:rPr>
        <w:t>供应商须满足《中华人民共和国政府采购法》第二十二条规定；</w:t>
      </w:r>
    </w:p>
    <w:p w14:paraId="38781012">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rPr>
        <w:t>2.落实政府采购政策需满足的资格要求：</w:t>
      </w:r>
      <w:r>
        <w:rPr>
          <w:rFonts w:hint="eastAsia" w:ascii="仿宋" w:hAnsi="仿宋" w:eastAsia="仿宋" w:cs="仿宋"/>
          <w:bCs/>
          <w:color w:val="auto"/>
          <w:sz w:val="24"/>
          <w:szCs w:val="24"/>
          <w:highlight w:val="none"/>
          <w:u w:val="none"/>
          <w:lang w:val="en-US" w:eastAsia="zh-CN"/>
        </w:rPr>
        <w:t>本项目专门面向中小企业采购</w:t>
      </w:r>
      <w:r>
        <w:rPr>
          <w:rFonts w:hint="eastAsia" w:ascii="仿宋" w:hAnsi="仿宋" w:eastAsia="仿宋" w:cs="仿宋"/>
          <w:bCs/>
          <w:color w:val="auto"/>
          <w:sz w:val="24"/>
          <w:szCs w:val="24"/>
          <w:highlight w:val="none"/>
          <w:lang w:val="en-US" w:eastAsia="zh-CN"/>
        </w:rPr>
        <w:t>，供应商须是中小微企业，残疾人福利性单位、监狱企业视同小型、微型企业。本项目中小企业划分标准所属行业为</w:t>
      </w:r>
      <w:r>
        <w:rPr>
          <w:rFonts w:hint="eastAsia" w:ascii="仿宋" w:hAnsi="仿宋" w:eastAsia="仿宋" w:cs="仿宋"/>
          <w:bCs/>
          <w:color w:val="auto"/>
          <w:sz w:val="24"/>
          <w:szCs w:val="24"/>
          <w:highlight w:val="none"/>
          <w:u w:val="none"/>
          <w:lang w:val="en-US" w:eastAsia="zh-CN"/>
        </w:rPr>
        <w:t>：</w:t>
      </w:r>
      <w:r>
        <w:rPr>
          <w:rFonts w:hint="eastAsia" w:ascii="仿宋" w:hAnsi="仿宋" w:eastAsia="仿宋" w:cs="仿宋"/>
          <w:b/>
          <w:bCs w:val="0"/>
          <w:color w:val="auto"/>
          <w:sz w:val="24"/>
          <w:szCs w:val="24"/>
          <w:highlight w:val="none"/>
          <w:u w:val="single"/>
          <w:lang w:val="en-US" w:eastAsia="zh-CN"/>
        </w:rPr>
        <w:t>建筑业</w:t>
      </w:r>
      <w:r>
        <w:rPr>
          <w:rFonts w:hint="eastAsia" w:ascii="仿宋" w:hAnsi="仿宋" w:eastAsia="仿宋" w:cs="仿宋"/>
          <w:bCs/>
          <w:color w:val="auto"/>
          <w:sz w:val="24"/>
          <w:szCs w:val="24"/>
          <w:highlight w:val="none"/>
          <w:lang w:val="en-US" w:eastAsia="zh-CN"/>
        </w:rPr>
        <w:t>。</w:t>
      </w:r>
    </w:p>
    <w:p w14:paraId="755B6503">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（1）依据《中华人民共和国政府采购法》及《中华人民共和国政府采购法实施条例》的有关规定，落实政府采购政策，详见磋商文件；</w:t>
      </w:r>
    </w:p>
    <w:p w14:paraId="691EF39C">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（2）《政府采购促进中小企业发展管理办法》（财库〔2020〕46号）；</w:t>
      </w:r>
    </w:p>
    <w:p w14:paraId="6E5EC1E3">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（3）《财政部司法部关于政府采购支持监狱企业发展有关问题的通知》（财库[2014]68号）；</w:t>
      </w:r>
    </w:p>
    <w:p w14:paraId="374EB3B1">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（4）《关于促进残疾人就业政府采购政策的通知》（财库〔2017〕141号）；</w:t>
      </w:r>
    </w:p>
    <w:p w14:paraId="2184C069">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（5）《关于调整优化节能产品、环境标志产品政府采购执行机制的通知》(财库[2019]9号)；</w:t>
      </w:r>
    </w:p>
    <w:p w14:paraId="290A0C69">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（6）《长春市财政局关于进一步做好我市政府采购促进中小企业发展有关工作的通知》（长财采购〔2021〕416号）；</w:t>
      </w:r>
    </w:p>
    <w:p w14:paraId="1D63D951">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3.本项目的特定资格要求：</w:t>
      </w:r>
    </w:p>
    <w:p w14:paraId="619918E6">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snapToGrid w:val="0"/>
          <w:color w:val="auto"/>
          <w:sz w:val="24"/>
          <w:szCs w:val="24"/>
          <w:highlight w:val="none"/>
          <w:lang w:val="en-US" w:eastAsia="zh-CN"/>
        </w:rPr>
      </w:pPr>
      <w:r>
        <w:rPr>
          <w:rFonts w:hint="eastAsia" w:ascii="仿宋" w:hAnsi="仿宋" w:eastAsia="仿宋" w:cs="仿宋"/>
          <w:bCs/>
          <w:snapToGrid w:val="0"/>
          <w:color w:val="auto"/>
          <w:sz w:val="24"/>
          <w:szCs w:val="24"/>
          <w:highlight w:val="none"/>
          <w:lang w:val="en-US" w:eastAsia="zh-CN"/>
        </w:rPr>
        <w:t>3.1供应商须具备建设行政主管部门核发有效的</w:t>
      </w:r>
      <w:r>
        <w:rPr>
          <w:rFonts w:hint="eastAsia" w:ascii="仿宋" w:hAnsi="仿宋" w:eastAsia="仿宋" w:cs="仿宋"/>
          <w:bCs/>
          <w:snapToGrid w:val="0"/>
          <w:color w:val="auto"/>
          <w:sz w:val="24"/>
          <w:szCs w:val="24"/>
          <w:highlight w:val="none"/>
          <w:lang w:val="zh-CN" w:eastAsia="zh-CN"/>
        </w:rPr>
        <w:t>市政公用工程施工总承包三级（含）及以上资质</w:t>
      </w:r>
      <w:r>
        <w:rPr>
          <w:rFonts w:hint="eastAsia" w:ascii="仿宋" w:hAnsi="仿宋" w:eastAsia="仿宋" w:cs="仿宋"/>
          <w:bCs/>
          <w:snapToGrid w:val="0"/>
          <w:color w:val="auto"/>
          <w:sz w:val="24"/>
          <w:szCs w:val="24"/>
          <w:highlight w:val="none"/>
          <w:lang w:val="en-US" w:eastAsia="zh-CN"/>
        </w:rPr>
        <w:t>，具有有效的安全生产许可证，并在人员、设备、资金等方面具有相应的施工能力；</w:t>
      </w:r>
    </w:p>
    <w:p w14:paraId="17115835">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snapToGrid w:val="0"/>
          <w:color w:val="auto"/>
          <w:sz w:val="24"/>
          <w:szCs w:val="24"/>
          <w:highlight w:val="none"/>
          <w:lang w:val="en-US" w:eastAsia="zh-CN"/>
        </w:rPr>
      </w:pPr>
      <w:r>
        <w:rPr>
          <w:rFonts w:hint="eastAsia" w:ascii="仿宋" w:hAnsi="仿宋" w:eastAsia="仿宋" w:cs="仿宋"/>
          <w:bCs/>
          <w:snapToGrid w:val="0"/>
          <w:color w:val="auto"/>
          <w:sz w:val="24"/>
          <w:szCs w:val="24"/>
          <w:highlight w:val="none"/>
          <w:lang w:val="en-US" w:eastAsia="zh-CN"/>
        </w:rPr>
        <w:t>3.2拟派项目经理须具备市政公用工程专业二级及以上注册建造师</w:t>
      </w:r>
      <w:r>
        <w:rPr>
          <w:rFonts w:hint="eastAsia" w:ascii="仿宋" w:hAnsi="仿宋" w:eastAsia="仿宋" w:cs="仿宋"/>
          <w:bCs/>
          <w:snapToGrid w:val="0"/>
          <w:color w:val="auto"/>
          <w:sz w:val="24"/>
          <w:szCs w:val="24"/>
          <w:highlight w:val="none"/>
          <w:lang w:val="zh-CN" w:eastAsia="zh-CN"/>
        </w:rPr>
        <w:t>执业资格</w:t>
      </w:r>
      <w:r>
        <w:rPr>
          <w:rFonts w:hint="eastAsia" w:ascii="仿宋" w:hAnsi="仿宋" w:eastAsia="仿宋" w:cs="仿宋"/>
          <w:bCs/>
          <w:snapToGrid w:val="0"/>
          <w:color w:val="auto"/>
          <w:sz w:val="24"/>
          <w:szCs w:val="24"/>
          <w:highlight w:val="none"/>
          <w:lang w:val="en-US" w:eastAsia="zh-CN"/>
        </w:rPr>
        <w:t>，具有有效的安全生产考核证书(B类)，且未担任其他在施工程项目的项目经理。</w:t>
      </w:r>
    </w:p>
    <w:p w14:paraId="0371CAF9">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供应商不得为“信用中国”网站（www.creditchina.gov.cn）中列入失信被执行人和重大税收违法失信主体名单的供应商，不得为中国政府采购网（www.ccgp.gov.cn）政府采购严重违法失信行为记录名单中被财政部门禁止参加政府采购活动的供应商（在处罚决定规定的时间和地域范围内）（详见财库【2016】125号文）；</w:t>
      </w:r>
    </w:p>
    <w:p w14:paraId="59174F60">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5.单位负责人为同一人或者存在直接控股、管理关系的不同供应商，不得参加同一合同项下的政府采购活动。</w:t>
      </w:r>
    </w:p>
    <w:p w14:paraId="5B893072">
      <w:pPr>
        <w:pStyle w:val="16"/>
        <w:spacing w:line="360" w:lineRule="auto"/>
        <w:ind w:firstLine="420" w:firstLineChars="0"/>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eastAsia="zh-CN"/>
        </w:rPr>
        <w:t>6.为本采购项目提供过整体设计、规范编制或者项目管理、监理、检测等服务的投标人及其附属机构，不得再参加本采购项目的投标活动。</w:t>
      </w:r>
    </w:p>
    <w:p w14:paraId="49B658DE">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三、获取采购文件</w:t>
      </w:r>
      <w:bookmarkEnd w:id="25"/>
      <w:bookmarkEnd w:id="26"/>
      <w:bookmarkEnd w:id="27"/>
      <w:bookmarkEnd w:id="28"/>
    </w:p>
    <w:p w14:paraId="68C4A36E">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时间：</w:t>
      </w:r>
      <w:r>
        <w:rPr>
          <w:rFonts w:hint="eastAsia" w:ascii="仿宋" w:hAnsi="仿宋" w:eastAsia="仿宋" w:cs="仿宋"/>
          <w:bCs/>
          <w:color w:val="auto"/>
          <w:sz w:val="24"/>
          <w:szCs w:val="24"/>
          <w:highlight w:val="none"/>
          <w:u w:val="single"/>
          <w:lang w:val="zh-CN" w:eastAsia="zh-CN"/>
        </w:rPr>
        <w:t>202</w:t>
      </w:r>
      <w:r>
        <w:rPr>
          <w:rFonts w:hint="eastAsia" w:ascii="仿宋" w:hAnsi="仿宋" w:eastAsia="仿宋" w:cs="仿宋"/>
          <w:bCs/>
          <w:color w:val="auto"/>
          <w:sz w:val="24"/>
          <w:szCs w:val="24"/>
          <w:highlight w:val="none"/>
          <w:u w:val="single"/>
          <w:lang w:val="en-US" w:eastAsia="zh-CN"/>
        </w:rPr>
        <w:t>5</w:t>
      </w:r>
      <w:r>
        <w:rPr>
          <w:rFonts w:hint="eastAsia" w:ascii="仿宋" w:hAnsi="仿宋" w:eastAsia="仿宋" w:cs="仿宋"/>
          <w:bCs/>
          <w:color w:val="auto"/>
          <w:sz w:val="24"/>
          <w:szCs w:val="24"/>
          <w:highlight w:val="none"/>
          <w:u w:val="single"/>
          <w:lang w:val="zh-CN" w:eastAsia="zh-CN"/>
        </w:rPr>
        <w:t>年</w:t>
      </w:r>
      <w:r>
        <w:rPr>
          <w:rFonts w:hint="eastAsia" w:ascii="仿宋" w:hAnsi="仿宋" w:eastAsia="仿宋" w:cs="仿宋"/>
          <w:bCs/>
          <w:color w:val="auto"/>
          <w:sz w:val="24"/>
          <w:szCs w:val="24"/>
          <w:highlight w:val="none"/>
          <w:u w:val="single"/>
          <w:lang w:val="en-US" w:eastAsia="zh-CN"/>
        </w:rPr>
        <w:t>06</w:t>
      </w:r>
      <w:r>
        <w:rPr>
          <w:rFonts w:hint="eastAsia" w:ascii="仿宋" w:hAnsi="仿宋" w:eastAsia="仿宋" w:cs="仿宋"/>
          <w:bCs/>
          <w:color w:val="auto"/>
          <w:sz w:val="24"/>
          <w:szCs w:val="24"/>
          <w:highlight w:val="none"/>
          <w:u w:val="single"/>
          <w:lang w:val="zh-CN" w:eastAsia="zh-CN"/>
        </w:rPr>
        <w:t>月</w:t>
      </w:r>
      <w:r>
        <w:rPr>
          <w:rFonts w:hint="eastAsia" w:ascii="仿宋" w:hAnsi="仿宋" w:eastAsia="仿宋" w:cs="仿宋"/>
          <w:bCs/>
          <w:color w:val="auto"/>
          <w:sz w:val="24"/>
          <w:szCs w:val="24"/>
          <w:highlight w:val="none"/>
          <w:u w:val="single"/>
          <w:lang w:val="en-US" w:eastAsia="zh-CN"/>
        </w:rPr>
        <w:t>19</w:t>
      </w:r>
      <w:r>
        <w:rPr>
          <w:rFonts w:hint="eastAsia" w:ascii="仿宋" w:hAnsi="仿宋" w:eastAsia="仿宋" w:cs="仿宋"/>
          <w:bCs/>
          <w:color w:val="auto"/>
          <w:sz w:val="24"/>
          <w:szCs w:val="24"/>
          <w:highlight w:val="none"/>
          <w:u w:val="single"/>
          <w:lang w:val="zh-CN" w:eastAsia="zh-CN"/>
        </w:rPr>
        <w:t>日至202</w:t>
      </w:r>
      <w:r>
        <w:rPr>
          <w:rFonts w:hint="eastAsia" w:ascii="仿宋" w:hAnsi="仿宋" w:eastAsia="仿宋" w:cs="仿宋"/>
          <w:bCs/>
          <w:color w:val="auto"/>
          <w:sz w:val="24"/>
          <w:szCs w:val="24"/>
          <w:highlight w:val="none"/>
          <w:u w:val="single"/>
          <w:lang w:val="en-US" w:eastAsia="zh-CN"/>
        </w:rPr>
        <w:t>5</w:t>
      </w:r>
      <w:r>
        <w:rPr>
          <w:rFonts w:hint="eastAsia" w:ascii="仿宋" w:hAnsi="仿宋" w:eastAsia="仿宋" w:cs="仿宋"/>
          <w:bCs/>
          <w:color w:val="auto"/>
          <w:sz w:val="24"/>
          <w:szCs w:val="24"/>
          <w:highlight w:val="none"/>
          <w:u w:val="single"/>
          <w:lang w:val="zh-CN" w:eastAsia="zh-CN"/>
        </w:rPr>
        <w:t>年</w:t>
      </w:r>
      <w:r>
        <w:rPr>
          <w:rFonts w:hint="eastAsia" w:ascii="仿宋" w:hAnsi="仿宋" w:eastAsia="仿宋" w:cs="仿宋"/>
          <w:bCs/>
          <w:color w:val="auto"/>
          <w:sz w:val="24"/>
          <w:szCs w:val="24"/>
          <w:highlight w:val="none"/>
          <w:u w:val="single"/>
          <w:lang w:val="en-US" w:eastAsia="zh-CN"/>
        </w:rPr>
        <w:t>06</w:t>
      </w:r>
      <w:r>
        <w:rPr>
          <w:rFonts w:hint="eastAsia" w:ascii="仿宋" w:hAnsi="仿宋" w:eastAsia="仿宋" w:cs="仿宋"/>
          <w:bCs/>
          <w:color w:val="auto"/>
          <w:sz w:val="24"/>
          <w:szCs w:val="24"/>
          <w:highlight w:val="none"/>
          <w:u w:val="single"/>
          <w:lang w:val="zh-CN" w:eastAsia="zh-CN"/>
        </w:rPr>
        <w:t>月</w:t>
      </w:r>
      <w:r>
        <w:rPr>
          <w:rFonts w:hint="eastAsia" w:ascii="仿宋" w:hAnsi="仿宋" w:eastAsia="仿宋" w:cs="仿宋"/>
          <w:bCs/>
          <w:color w:val="auto"/>
          <w:sz w:val="24"/>
          <w:szCs w:val="24"/>
          <w:highlight w:val="none"/>
          <w:u w:val="single"/>
          <w:lang w:val="en-US" w:eastAsia="zh-CN"/>
        </w:rPr>
        <w:t>26</w:t>
      </w:r>
      <w:r>
        <w:rPr>
          <w:rFonts w:hint="eastAsia" w:ascii="仿宋" w:hAnsi="仿宋" w:eastAsia="仿宋" w:cs="仿宋"/>
          <w:bCs/>
          <w:color w:val="auto"/>
          <w:sz w:val="24"/>
          <w:szCs w:val="24"/>
          <w:highlight w:val="none"/>
          <w:u w:val="single"/>
          <w:lang w:val="zh-CN" w:eastAsia="zh-CN"/>
        </w:rPr>
        <w:t>日</w:t>
      </w:r>
      <w:r>
        <w:rPr>
          <w:rFonts w:hint="eastAsia" w:ascii="仿宋" w:hAnsi="仿宋" w:eastAsia="仿宋" w:cs="仿宋"/>
          <w:bCs/>
          <w:color w:val="auto"/>
          <w:sz w:val="24"/>
          <w:szCs w:val="24"/>
          <w:highlight w:val="none"/>
          <w:u w:val="single"/>
          <w:lang w:val="en-US" w:eastAsia="zh-CN"/>
        </w:rPr>
        <w:t>，每天上午9时00分至16时00分（北京时间，法定节假日除外）</w:t>
      </w:r>
      <w:r>
        <w:rPr>
          <w:rFonts w:hint="eastAsia" w:ascii="仿宋" w:hAnsi="仿宋" w:eastAsia="仿宋" w:cs="仿宋"/>
          <w:color w:val="auto"/>
          <w:sz w:val="24"/>
          <w:szCs w:val="24"/>
          <w:highlight w:val="none"/>
          <w:lang w:eastAsia="zh-CN"/>
        </w:rPr>
        <w:t>；</w:t>
      </w:r>
    </w:p>
    <w:p w14:paraId="0309BCE4">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2.地点、方式：网上下载。本项目不发放纸质文件，供应商可自行在“政采云”平台（http：//www.zcygov.cn）下载招标文件；</w:t>
      </w:r>
    </w:p>
    <w:p w14:paraId="174AF04A">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操作路径：登录“政采云”平台-项目采购-获取招标文件-找到本项目（</w:t>
      </w:r>
      <w:r>
        <w:rPr>
          <w:rFonts w:hint="eastAsia" w:ascii="仿宋" w:hAnsi="仿宋" w:eastAsia="仿宋" w:cs="仿宋"/>
          <w:b/>
          <w:bCs/>
          <w:color w:val="auto"/>
          <w:sz w:val="24"/>
          <w:szCs w:val="24"/>
          <w:highlight w:val="none"/>
          <w:lang w:val="zh-CN" w:eastAsia="zh-CN"/>
        </w:rPr>
        <w:t>搜索“</w:t>
      </w:r>
      <w:r>
        <w:rPr>
          <w:rFonts w:hint="eastAsia" w:ascii="仿宋" w:hAnsi="仿宋" w:eastAsia="仿宋" w:cs="仿宋"/>
          <w:b/>
          <w:bCs/>
          <w:color w:val="auto"/>
          <w:sz w:val="24"/>
          <w:szCs w:val="24"/>
          <w:highlight w:val="none"/>
          <w:lang w:val="en-US" w:eastAsia="zh-CN"/>
        </w:rPr>
        <w:t>2025年万顺乡土城村村屯道路建设项目</w:t>
      </w:r>
      <w:r>
        <w:rPr>
          <w:rFonts w:hint="eastAsia" w:ascii="仿宋" w:hAnsi="仿宋" w:eastAsia="仿宋" w:cs="仿宋"/>
          <w:b/>
          <w:bCs/>
          <w:color w:val="auto"/>
          <w:sz w:val="24"/>
          <w:szCs w:val="24"/>
          <w:highlight w:val="none"/>
          <w:lang w:val="zh-CN" w:eastAsia="zh-CN"/>
        </w:rPr>
        <w:t>”或“</w:t>
      </w:r>
      <w:r>
        <w:rPr>
          <w:rFonts w:hint="eastAsia" w:ascii="仿宋" w:hAnsi="仿宋" w:eastAsia="仿宋" w:cs="仿宋"/>
          <w:b/>
          <w:bCs/>
          <w:color w:val="auto"/>
          <w:sz w:val="24"/>
          <w:szCs w:val="24"/>
          <w:highlight w:val="none"/>
          <w:lang w:val="en-US" w:eastAsia="zh-CN"/>
        </w:rPr>
        <w:t>采购计划-[2025]-00070号-ZSGC-2025102</w:t>
      </w:r>
      <w:r>
        <w:rPr>
          <w:rFonts w:hint="eastAsia" w:ascii="仿宋" w:hAnsi="仿宋" w:eastAsia="仿宋" w:cs="仿宋"/>
          <w:b/>
          <w:bCs/>
          <w:color w:val="auto"/>
          <w:sz w:val="24"/>
          <w:szCs w:val="24"/>
          <w:highlight w:val="none"/>
          <w:lang w:val="zh-CN" w:eastAsia="zh-CN"/>
        </w:rPr>
        <w:t>”</w:t>
      </w:r>
      <w:r>
        <w:rPr>
          <w:rFonts w:hint="eastAsia" w:ascii="仿宋" w:hAnsi="仿宋" w:eastAsia="仿宋" w:cs="仿宋"/>
          <w:color w:val="auto"/>
          <w:sz w:val="24"/>
          <w:szCs w:val="24"/>
          <w:highlight w:val="none"/>
          <w:lang w:val="zh-CN" w:eastAsia="zh-CN"/>
        </w:rPr>
        <w:t>）-点击“申请获取招标文件”。电子投标文件制作需要基于“政采云”平台获取的招标文件编制。未进行网上注册并办理CA认证的供应商将无法参与本次招标活动；</w:t>
      </w:r>
    </w:p>
    <w:p w14:paraId="612BC8FE">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3.售价：0元。</w:t>
      </w:r>
    </w:p>
    <w:p w14:paraId="6182C09A">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bookmarkStart w:id="29" w:name="_Toc28359005"/>
      <w:bookmarkStart w:id="30" w:name="_Toc35393793"/>
      <w:bookmarkStart w:id="31" w:name="_Toc35393624"/>
      <w:bookmarkStart w:id="32" w:name="_Toc28359082"/>
      <w:r>
        <w:rPr>
          <w:rFonts w:hint="eastAsia" w:ascii="仿宋" w:hAnsi="仿宋" w:eastAsia="仿宋" w:cs="仿宋"/>
          <w:b/>
          <w:bCs/>
          <w:color w:val="auto"/>
          <w:sz w:val="24"/>
          <w:szCs w:val="24"/>
          <w:highlight w:val="none"/>
        </w:rPr>
        <w:t>四、</w:t>
      </w:r>
      <w:r>
        <w:rPr>
          <w:rFonts w:hint="eastAsia" w:ascii="仿宋" w:hAnsi="仿宋" w:eastAsia="仿宋" w:cs="仿宋"/>
          <w:b/>
          <w:bCs/>
          <w:color w:val="auto"/>
          <w:sz w:val="24"/>
          <w:szCs w:val="24"/>
          <w:highlight w:val="none"/>
          <w:lang w:val="en-US" w:eastAsia="zh-CN"/>
        </w:rPr>
        <w:t>响应</w:t>
      </w:r>
      <w:r>
        <w:rPr>
          <w:rFonts w:hint="eastAsia" w:ascii="仿宋" w:hAnsi="仿宋" w:eastAsia="仿宋" w:cs="仿宋"/>
          <w:b/>
          <w:bCs/>
          <w:color w:val="auto"/>
          <w:sz w:val="24"/>
          <w:szCs w:val="24"/>
          <w:highlight w:val="none"/>
        </w:rPr>
        <w:t>文件</w:t>
      </w:r>
      <w:bookmarkEnd w:id="29"/>
      <w:bookmarkEnd w:id="30"/>
      <w:bookmarkEnd w:id="31"/>
      <w:bookmarkEnd w:id="32"/>
      <w:r>
        <w:rPr>
          <w:rFonts w:hint="eastAsia" w:ascii="仿宋" w:hAnsi="仿宋" w:eastAsia="仿宋" w:cs="仿宋"/>
          <w:b/>
          <w:bCs/>
          <w:color w:val="auto"/>
          <w:sz w:val="24"/>
          <w:szCs w:val="24"/>
          <w:highlight w:val="none"/>
        </w:rPr>
        <w:t>提交</w:t>
      </w:r>
    </w:p>
    <w:p w14:paraId="22F86236">
      <w:pPr>
        <w:keepNext w:val="0"/>
        <w:keepLines w:val="0"/>
        <w:pageBreakBefore w:val="0"/>
        <w:kinsoku/>
        <w:wordWrap/>
        <w:overflowPunct/>
        <w:topLinePunct w:val="0"/>
        <w:bidi w:val="0"/>
        <w:adjustRightInd w:val="0"/>
        <w:snapToGrid w:val="0"/>
        <w:spacing w:line="360" w:lineRule="auto"/>
        <w:ind w:left="0" w:leftChars="0" w:firstLine="480" w:firstLineChars="200"/>
        <w:jc w:val="left"/>
        <w:outlineLvl w:val="9"/>
        <w:rPr>
          <w:rFonts w:hint="eastAsia" w:ascii="仿宋" w:hAnsi="仿宋" w:eastAsia="仿宋" w:cs="仿宋"/>
          <w:b w:val="0"/>
          <w:color w:val="auto"/>
          <w:sz w:val="24"/>
          <w:szCs w:val="24"/>
          <w:highlight w:val="none"/>
          <w:lang w:val="en-US" w:eastAsia="zh-CN"/>
        </w:rPr>
      </w:pPr>
      <w:bookmarkStart w:id="33" w:name="_Toc35393794"/>
      <w:bookmarkStart w:id="34" w:name="_Toc35393625"/>
      <w:bookmarkStart w:id="35" w:name="_Toc28359007"/>
      <w:bookmarkStart w:id="36" w:name="_Toc28359084"/>
      <w:r>
        <w:rPr>
          <w:rFonts w:hint="eastAsia" w:ascii="仿宋" w:hAnsi="仿宋" w:eastAsia="仿宋" w:cs="仿宋"/>
          <w:b w:val="0"/>
          <w:color w:val="auto"/>
          <w:sz w:val="24"/>
          <w:szCs w:val="24"/>
          <w:highlight w:val="none"/>
          <w:lang w:val="en-US" w:eastAsia="zh-CN"/>
        </w:rPr>
        <w:t>1、截止时间</w:t>
      </w:r>
      <w:r>
        <w:rPr>
          <w:rFonts w:hint="eastAsia" w:ascii="仿宋" w:hAnsi="仿宋" w:eastAsia="仿宋" w:cs="仿宋"/>
          <w:b w:val="0"/>
          <w:color w:val="auto"/>
          <w:spacing w:val="6"/>
          <w:kern w:val="2"/>
          <w:sz w:val="24"/>
          <w:szCs w:val="24"/>
          <w:highlight w:val="none"/>
          <w:u w:val="none"/>
          <w:lang w:val="en-US" w:eastAsia="zh-CN" w:bidi="ar-SA"/>
        </w:rPr>
        <w:t>：</w:t>
      </w:r>
      <w:r>
        <w:rPr>
          <w:rFonts w:hint="eastAsia" w:ascii="仿宋" w:hAnsi="仿宋" w:eastAsia="仿宋" w:cs="仿宋"/>
          <w:bCs/>
          <w:color w:val="auto"/>
          <w:sz w:val="24"/>
          <w:szCs w:val="24"/>
          <w:highlight w:val="none"/>
          <w:u w:val="none"/>
          <w:lang w:val="en-US" w:eastAsia="zh-CN"/>
        </w:rPr>
        <w:t>2025年07月01日10时30分（北京时间）</w:t>
      </w:r>
      <w:r>
        <w:rPr>
          <w:rFonts w:hint="eastAsia" w:ascii="仿宋" w:hAnsi="仿宋" w:eastAsia="仿宋" w:cs="仿宋"/>
          <w:bCs/>
          <w:color w:val="auto"/>
          <w:sz w:val="24"/>
          <w:szCs w:val="24"/>
          <w:highlight w:val="none"/>
          <w:u w:val="none"/>
          <w:lang w:val="en-US" w:eastAsia="zh-CN"/>
        </w:rPr>
        <w:t>；</w:t>
      </w:r>
    </w:p>
    <w:p w14:paraId="165B6EAC">
      <w:pPr>
        <w:keepNext w:val="0"/>
        <w:keepLines w:val="0"/>
        <w:pageBreakBefore w:val="0"/>
        <w:kinsoku/>
        <w:wordWrap/>
        <w:overflowPunct/>
        <w:topLinePunct w:val="0"/>
        <w:bidi w:val="0"/>
        <w:adjustRightInd w:val="0"/>
        <w:snapToGrid w:val="0"/>
        <w:spacing w:line="360" w:lineRule="auto"/>
        <w:ind w:left="0" w:leftChars="0" w:firstLine="480" w:firstLineChars="200"/>
        <w:jc w:val="left"/>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2、地点：长春市二道区洋浦大街6999号凯利中心AB栋101开标四室。</w:t>
      </w:r>
    </w:p>
    <w:p w14:paraId="2EC1F03B">
      <w:pPr>
        <w:keepNext w:val="0"/>
        <w:keepLines w:val="0"/>
        <w:pageBreakBefore w:val="0"/>
        <w:kinsoku/>
        <w:wordWrap/>
        <w:overflowPunct/>
        <w:topLinePunct w:val="0"/>
        <w:bidi w:val="0"/>
        <w:adjustRightInd w:val="0"/>
        <w:snapToGrid w:val="0"/>
        <w:spacing w:line="360" w:lineRule="auto"/>
        <w:ind w:left="0" w:leftChars="0" w:firstLine="480" w:firstLineChars="200"/>
        <w:jc w:val="left"/>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3.本项目采用全流程电子化采购，供应商需通过“政采云”平台（https://www.zcygov.cn/）制作并递交电子投标文件，并按规定时间解密成功。所有供应商须在项目开启后24小时内将纸质文件递交至代理机构。</w:t>
      </w:r>
    </w:p>
    <w:p w14:paraId="73942519">
      <w:pPr>
        <w:keepNext w:val="0"/>
        <w:keepLines w:val="0"/>
        <w:pageBreakBefore w:val="0"/>
        <w:kinsoku/>
        <w:wordWrap/>
        <w:overflowPunct/>
        <w:topLinePunct w:val="0"/>
        <w:bidi w:val="0"/>
        <w:adjustRightInd w:val="0"/>
        <w:snapToGrid w:val="0"/>
        <w:spacing w:line="360" w:lineRule="auto"/>
        <w:ind w:left="0" w:leftChars="0" w:firstLine="480" w:firstLineChars="200"/>
        <w:jc w:val="left"/>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操作流程：供应商在“政采云”平台注册入库成为正式供应商后，在平台按《政府采购项目电子交易管理操作指南-供应商》进行操作。业务操作流程咨询电话：95763，由于供应商自身原因在递交投标文件截止时间前无法完成办理的，后果自负；</w:t>
      </w:r>
    </w:p>
    <w:p w14:paraId="022FFD20">
      <w:pPr>
        <w:keepNext w:val="0"/>
        <w:keepLines w:val="0"/>
        <w:pageBreakBefore w:val="0"/>
        <w:kinsoku/>
        <w:wordWrap/>
        <w:overflowPunct/>
        <w:topLinePunct w:val="0"/>
        <w:bidi w:val="0"/>
        <w:adjustRightInd w:val="0"/>
        <w:snapToGrid w:val="0"/>
        <w:spacing w:line="360" w:lineRule="auto"/>
        <w:ind w:left="0" w:leftChars="0" w:firstLine="480" w:firstLineChars="200"/>
        <w:jc w:val="left"/>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4.逾期送达的或者未送达指定地点的（未上传符合要求的电子投标文件或未解密成功）投标文件，采购人不予受理；</w:t>
      </w:r>
    </w:p>
    <w:p w14:paraId="3D2E138C">
      <w:pPr>
        <w:keepNext w:val="0"/>
        <w:keepLines w:val="0"/>
        <w:pageBreakBefore w:val="0"/>
        <w:kinsoku/>
        <w:wordWrap/>
        <w:overflowPunct/>
        <w:topLinePunct w:val="0"/>
        <w:bidi w:val="0"/>
        <w:adjustRightInd w:val="0"/>
        <w:snapToGrid w:val="0"/>
        <w:spacing w:line="360" w:lineRule="auto"/>
        <w:ind w:left="0" w:leftChars="0" w:firstLine="480" w:firstLineChars="200"/>
        <w:jc w:val="left"/>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5.有效供应商不足三家时，采购人另行组织采购。</w:t>
      </w:r>
    </w:p>
    <w:p w14:paraId="1F53E76E">
      <w:pPr>
        <w:keepNext w:val="0"/>
        <w:keepLines w:val="0"/>
        <w:pageBreakBefore w:val="0"/>
        <w:shd w:val="clear" w:color="auto" w:fill="FFFFFF"/>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五、开启</w:t>
      </w:r>
    </w:p>
    <w:p w14:paraId="6E35743C">
      <w:pPr>
        <w:keepNext w:val="0"/>
        <w:keepLines w:val="0"/>
        <w:pageBreakBefore w:val="0"/>
        <w:shd w:val="clear" w:color="auto" w:fill="FFFFFF"/>
        <w:kinsoku/>
        <w:wordWrap/>
        <w:overflowPunct/>
        <w:topLinePunct w:val="0"/>
        <w:bidi w:val="0"/>
        <w:adjustRightInd w:val="0"/>
        <w:snapToGrid w:val="0"/>
        <w:spacing w:line="360" w:lineRule="auto"/>
        <w:ind w:left="0" w:leftChars="0" w:firstLine="504" w:firstLineChars="200"/>
        <w:rPr>
          <w:rFonts w:hint="eastAsia" w:ascii="仿宋" w:hAnsi="仿宋" w:eastAsia="仿宋" w:cs="仿宋"/>
          <w:bCs/>
          <w:color w:val="auto"/>
          <w:sz w:val="24"/>
          <w:szCs w:val="24"/>
          <w:highlight w:val="none"/>
          <w:u w:val="none"/>
          <w:lang w:val="en-US" w:eastAsia="zh-CN"/>
        </w:rPr>
      </w:pPr>
      <w:r>
        <w:rPr>
          <w:rFonts w:hint="eastAsia" w:ascii="仿宋" w:hAnsi="仿宋" w:eastAsia="仿宋" w:cs="仿宋"/>
          <w:color w:val="auto"/>
          <w:spacing w:val="6"/>
          <w:sz w:val="24"/>
          <w:szCs w:val="24"/>
          <w:highlight w:val="none"/>
        </w:rPr>
        <w:t>时间：</w:t>
      </w:r>
      <w:r>
        <w:rPr>
          <w:rFonts w:hint="eastAsia" w:ascii="仿宋" w:hAnsi="仿宋" w:eastAsia="仿宋" w:cs="仿宋"/>
          <w:bCs/>
          <w:color w:val="auto"/>
          <w:sz w:val="24"/>
          <w:szCs w:val="24"/>
          <w:highlight w:val="none"/>
          <w:u w:val="none"/>
          <w:lang w:val="en-US" w:eastAsia="zh-CN"/>
        </w:rPr>
        <w:t>2025年07月01日10时30分（北京时间）；</w:t>
      </w:r>
    </w:p>
    <w:p w14:paraId="080140FF">
      <w:pPr>
        <w:keepNext w:val="0"/>
        <w:keepLines w:val="0"/>
        <w:pageBreakBefore w:val="0"/>
        <w:shd w:val="clear" w:color="auto" w:fill="FFFFFF"/>
        <w:kinsoku/>
        <w:wordWrap/>
        <w:overflowPunct/>
        <w:topLinePunct w:val="0"/>
        <w:bidi w:val="0"/>
        <w:adjustRightInd w:val="0"/>
        <w:snapToGrid w:val="0"/>
        <w:spacing w:line="360" w:lineRule="auto"/>
        <w:ind w:left="0" w:leftChars="0" w:firstLine="504"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pacing w:val="6"/>
          <w:sz w:val="24"/>
          <w:szCs w:val="24"/>
          <w:highlight w:val="none"/>
        </w:rPr>
        <w:t>地点：</w:t>
      </w:r>
      <w:r>
        <w:rPr>
          <w:rFonts w:hint="eastAsia" w:ascii="仿宋" w:hAnsi="仿宋" w:eastAsia="仿宋" w:cs="仿宋"/>
          <w:b w:val="0"/>
          <w:color w:val="auto"/>
          <w:kern w:val="2"/>
          <w:sz w:val="24"/>
          <w:szCs w:val="24"/>
          <w:highlight w:val="none"/>
          <w:lang w:val="en-US" w:eastAsia="zh-CN" w:bidi="ar-SA"/>
        </w:rPr>
        <w:t>长春市二道区洋浦大街6999号凯利中心AB栋101</w:t>
      </w:r>
      <w:r>
        <w:rPr>
          <w:rFonts w:hint="eastAsia" w:ascii="仿宋" w:hAnsi="仿宋" w:eastAsia="仿宋" w:cs="仿宋"/>
          <w:b w:val="0"/>
          <w:color w:val="auto"/>
          <w:kern w:val="2"/>
          <w:sz w:val="24"/>
          <w:szCs w:val="24"/>
          <w:highlight w:val="none"/>
          <w:lang w:val="en-US" w:eastAsia="zh-CN" w:bidi="ar-SA"/>
        </w:rPr>
        <w:t>开标四室。</w:t>
      </w:r>
    </w:p>
    <w:p w14:paraId="011DE720">
      <w:pPr>
        <w:keepNext w:val="0"/>
        <w:keepLines w:val="0"/>
        <w:pageBreakBefore w:val="0"/>
        <w:shd w:val="clear" w:color="auto" w:fill="FFFFFF"/>
        <w:kinsoku/>
        <w:wordWrap/>
        <w:overflowPunct/>
        <w:topLinePunct w:val="0"/>
        <w:bidi w:val="0"/>
        <w:adjustRightInd w:val="0"/>
        <w:snapToGrid w:val="0"/>
        <w:spacing w:line="360" w:lineRule="auto"/>
        <w:ind w:left="0" w:leftChars="0"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本项目执行电子化招投标，供应商须通过政府采购云平台（网址：http:// www.zcygov.cn）递交电子版投标文件，并按规定时间解密成功。未上传电子文件或解密不成功的无磋商资格。</w:t>
      </w:r>
    </w:p>
    <w:p w14:paraId="65C252E5">
      <w:pPr>
        <w:keepNext w:val="0"/>
        <w:keepLines w:val="0"/>
        <w:pageBreakBefore w:val="0"/>
        <w:shd w:val="clear" w:color="auto" w:fill="FFFFFF"/>
        <w:kinsoku/>
        <w:wordWrap/>
        <w:overflowPunct/>
        <w:topLinePunct w:val="0"/>
        <w:bidi w:val="0"/>
        <w:adjustRightInd w:val="0"/>
        <w:snapToGrid w:val="0"/>
        <w:spacing w:line="360" w:lineRule="auto"/>
        <w:ind w:left="0" w:leftChars="0"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投标操作流程：供应商在政府采购云平台网注册入库成为正式供应商后，在平台上按《政府采购项目电子交易管理操作指南-供应商》进行投标操作。</w:t>
      </w:r>
    </w:p>
    <w:p w14:paraId="60F98232">
      <w:pPr>
        <w:keepNext w:val="0"/>
        <w:keepLines w:val="0"/>
        <w:pageBreakBefore w:val="0"/>
        <w:shd w:val="clear" w:color="auto" w:fill="FFFFFF"/>
        <w:kinsoku/>
        <w:wordWrap/>
        <w:overflowPunct/>
        <w:topLinePunct w:val="0"/>
        <w:bidi w:val="0"/>
        <w:adjustRightInd w:val="0"/>
        <w:snapToGrid w:val="0"/>
        <w:spacing w:line="360" w:lineRule="auto"/>
        <w:ind w:left="0" w:leftChars="0"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数字证书办理及投标技术咨询：供应商须办理数字证书方可参加投标。</w:t>
      </w:r>
    </w:p>
    <w:p w14:paraId="7A4EF7BF">
      <w:pPr>
        <w:keepNext w:val="0"/>
        <w:keepLines w:val="0"/>
        <w:pageBreakBefore w:val="0"/>
        <w:shd w:val="clear" w:color="auto" w:fill="FFFFFF"/>
        <w:kinsoku/>
        <w:wordWrap/>
        <w:overflowPunct/>
        <w:topLinePunct w:val="0"/>
        <w:bidi w:val="0"/>
        <w:adjustRightInd w:val="0"/>
        <w:snapToGrid w:val="0"/>
        <w:spacing w:line="360" w:lineRule="auto"/>
        <w:ind w:left="0" w:leftChars="0"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（数字证书办理时限为1-3个工作日，供应商须自行考虑办理时间，由于供应商自身原因在开标前无法完成办理，后果自负。）</w:t>
      </w:r>
    </w:p>
    <w:p w14:paraId="3A2CD9BB">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六、公告期限</w:t>
      </w:r>
      <w:bookmarkEnd w:id="33"/>
      <w:bookmarkEnd w:id="34"/>
      <w:bookmarkEnd w:id="35"/>
      <w:bookmarkEnd w:id="36"/>
    </w:p>
    <w:p w14:paraId="28F78C65">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个工作日。</w:t>
      </w:r>
    </w:p>
    <w:p w14:paraId="6A78B843">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bookmarkStart w:id="37" w:name="_Toc35393626"/>
      <w:bookmarkStart w:id="38" w:name="_Toc35393795"/>
      <w:r>
        <w:rPr>
          <w:rFonts w:hint="eastAsia" w:ascii="仿宋" w:hAnsi="仿宋" w:eastAsia="仿宋" w:cs="仿宋"/>
          <w:b/>
          <w:bCs/>
          <w:color w:val="auto"/>
          <w:sz w:val="24"/>
          <w:szCs w:val="24"/>
          <w:highlight w:val="none"/>
        </w:rPr>
        <w:t>七、其他补充事宜</w:t>
      </w:r>
      <w:bookmarkEnd w:id="37"/>
      <w:bookmarkEnd w:id="38"/>
    </w:p>
    <w:p w14:paraId="4D8702B7">
      <w:pPr>
        <w:keepNext w:val="0"/>
        <w:keepLines w:val="0"/>
        <w:pageBreakBefore w:val="0"/>
        <w:shd w:val="clear" w:color="auto" w:fill="FFFFFF"/>
        <w:kinsoku/>
        <w:wordWrap/>
        <w:overflowPunct/>
        <w:topLinePunct w:val="0"/>
        <w:bidi w:val="0"/>
        <w:adjustRightInd w:val="0"/>
        <w:snapToGrid w:val="0"/>
        <w:spacing w:line="360" w:lineRule="auto"/>
        <w:ind w:left="0" w:leftChars="0" w:firstLine="480" w:firstLineChars="200"/>
        <w:rPr>
          <w:rFonts w:hint="eastAsia" w:ascii="仿宋" w:hAnsi="仿宋" w:eastAsia="仿宋" w:cs="仿宋"/>
          <w:b w:val="0"/>
          <w:color w:val="auto"/>
          <w:kern w:val="2"/>
          <w:sz w:val="24"/>
          <w:szCs w:val="24"/>
          <w:highlight w:val="none"/>
          <w:lang w:val="zh-CN" w:eastAsia="zh-CN" w:bidi="ar-SA"/>
        </w:rPr>
      </w:pPr>
      <w:bookmarkStart w:id="39" w:name="_Toc28359085"/>
      <w:bookmarkStart w:id="40" w:name="_Toc35393627"/>
      <w:bookmarkStart w:id="41" w:name="_Toc35393796"/>
      <w:bookmarkStart w:id="42" w:name="_Toc28359008"/>
      <w:r>
        <w:rPr>
          <w:rFonts w:hint="eastAsia" w:ascii="仿宋" w:hAnsi="仿宋" w:eastAsia="仿宋" w:cs="仿宋"/>
          <w:b w:val="0"/>
          <w:color w:val="auto"/>
          <w:kern w:val="2"/>
          <w:sz w:val="24"/>
          <w:szCs w:val="24"/>
          <w:highlight w:val="none"/>
          <w:lang w:val="zh-CN" w:eastAsia="zh-CN" w:bidi="ar-SA"/>
        </w:rPr>
        <w:t>1</w:t>
      </w:r>
      <w:r>
        <w:rPr>
          <w:rFonts w:hint="eastAsia" w:ascii="仿宋" w:hAnsi="仿宋" w:eastAsia="仿宋" w:cs="仿宋"/>
          <w:b w:val="0"/>
          <w:color w:val="auto"/>
          <w:kern w:val="2"/>
          <w:sz w:val="24"/>
          <w:szCs w:val="24"/>
          <w:highlight w:val="none"/>
          <w:lang w:val="en-US" w:eastAsia="zh-CN" w:bidi="ar-SA"/>
        </w:rPr>
        <w:t>.</w:t>
      </w:r>
      <w:r>
        <w:rPr>
          <w:rFonts w:hint="eastAsia" w:ascii="仿宋" w:hAnsi="仿宋" w:eastAsia="仿宋" w:cs="仿宋"/>
          <w:b w:val="0"/>
          <w:color w:val="auto"/>
          <w:kern w:val="2"/>
          <w:sz w:val="24"/>
          <w:szCs w:val="24"/>
          <w:highlight w:val="none"/>
          <w:lang w:val="zh-CN" w:eastAsia="zh-CN" w:bidi="ar-SA"/>
        </w:rPr>
        <w:t>本次</w:t>
      </w:r>
      <w:r>
        <w:rPr>
          <w:rFonts w:hint="eastAsia" w:ascii="仿宋" w:hAnsi="仿宋" w:eastAsia="仿宋" w:cs="仿宋"/>
          <w:b w:val="0"/>
          <w:color w:val="auto"/>
          <w:kern w:val="2"/>
          <w:sz w:val="24"/>
          <w:szCs w:val="24"/>
          <w:highlight w:val="none"/>
          <w:lang w:val="en-US" w:eastAsia="zh-CN" w:bidi="ar-SA"/>
        </w:rPr>
        <w:t>竞争性磋商</w:t>
      </w:r>
      <w:r>
        <w:rPr>
          <w:rFonts w:hint="eastAsia" w:ascii="仿宋" w:hAnsi="仿宋" w:eastAsia="仿宋" w:cs="仿宋"/>
          <w:b w:val="0"/>
          <w:color w:val="auto"/>
          <w:kern w:val="2"/>
          <w:sz w:val="24"/>
          <w:szCs w:val="24"/>
          <w:highlight w:val="none"/>
          <w:lang w:val="zh-CN" w:eastAsia="zh-CN" w:bidi="ar-SA"/>
        </w:rPr>
        <w:t>公告</w:t>
      </w:r>
      <w:r>
        <w:rPr>
          <w:rFonts w:hint="eastAsia" w:ascii="仿宋" w:hAnsi="仿宋" w:eastAsia="仿宋" w:cs="仿宋"/>
          <w:b w:val="0"/>
          <w:color w:val="auto"/>
          <w:kern w:val="2"/>
          <w:sz w:val="24"/>
          <w:szCs w:val="24"/>
          <w:highlight w:val="none"/>
          <w:lang w:val="en-US" w:eastAsia="zh-CN" w:bidi="ar-SA"/>
        </w:rPr>
        <w:t>同时在《中国政府采购网》、政采云平台发布同步推送到吉林省政府采购网和《长春市公共资源交易网》上。</w:t>
      </w:r>
    </w:p>
    <w:p w14:paraId="65BA7EEA">
      <w:pPr>
        <w:keepNext w:val="0"/>
        <w:keepLines w:val="0"/>
        <w:pageBreakBefore w:val="0"/>
        <w:shd w:val="clear" w:color="auto" w:fill="FFFFFF"/>
        <w:kinsoku/>
        <w:wordWrap/>
        <w:overflowPunct/>
        <w:topLinePunct w:val="0"/>
        <w:bidi w:val="0"/>
        <w:adjustRightInd w:val="0"/>
        <w:snapToGrid w:val="0"/>
        <w:spacing w:line="360" w:lineRule="auto"/>
        <w:ind w:left="0" w:leftChars="0" w:firstLine="480" w:firstLineChars="200"/>
        <w:rPr>
          <w:rFonts w:hint="eastAsia" w:ascii="仿宋" w:hAnsi="仿宋" w:eastAsia="仿宋" w:cs="仿宋"/>
          <w:b w:val="0"/>
          <w:color w:val="auto"/>
          <w:kern w:val="2"/>
          <w:sz w:val="24"/>
          <w:szCs w:val="24"/>
          <w:highlight w:val="none"/>
          <w:lang w:val="zh-CN" w:eastAsia="zh-CN" w:bidi="ar-SA"/>
        </w:rPr>
      </w:pPr>
      <w:r>
        <w:rPr>
          <w:rFonts w:hint="eastAsia" w:ascii="仿宋" w:hAnsi="仿宋" w:eastAsia="仿宋" w:cs="仿宋"/>
          <w:b w:val="0"/>
          <w:color w:val="auto"/>
          <w:kern w:val="2"/>
          <w:sz w:val="24"/>
          <w:szCs w:val="24"/>
          <w:highlight w:val="none"/>
          <w:lang w:val="zh-CN" w:eastAsia="zh-CN" w:bidi="ar-SA"/>
        </w:rPr>
        <w:t>2.若对项目采购电子交易系统操作有疑问，可登录“政采云”平台（https://www.zcygov.cn/），点击右侧咨询小采，获取采小蜜智能服务管家帮助，或拨打政采云服务热线95763获取热线服务帮助。</w:t>
      </w:r>
    </w:p>
    <w:p w14:paraId="0B8E7BA0">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八、对本次采购提出询问，请按以下方式联系。</w:t>
      </w:r>
      <w:bookmarkEnd w:id="39"/>
      <w:bookmarkEnd w:id="40"/>
      <w:bookmarkEnd w:id="41"/>
      <w:bookmarkEnd w:id="42"/>
    </w:p>
    <w:p w14:paraId="7EA87AE2">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sz w:val="24"/>
          <w:szCs w:val="24"/>
          <w:highlight w:val="none"/>
          <w:lang w:eastAsia="zh-CN"/>
        </w:rPr>
      </w:pPr>
      <w:r>
        <w:rPr>
          <w:rFonts w:hint="eastAsia" w:ascii="仿宋" w:hAnsi="仿宋" w:eastAsia="仿宋" w:cs="仿宋"/>
          <w:caps w:val="0"/>
          <w:color w:val="auto"/>
          <w:kern w:val="2"/>
          <w:sz w:val="24"/>
          <w:szCs w:val="24"/>
          <w:highlight w:val="none"/>
          <w:lang w:eastAsia="zh-CN"/>
        </w:rPr>
        <w:t>1.采购人信息</w:t>
      </w:r>
    </w:p>
    <w:p w14:paraId="6778D771">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eastAsia="zh-CN"/>
        </w:rPr>
      </w:pPr>
      <w:r>
        <w:rPr>
          <w:rFonts w:hint="eastAsia" w:ascii="仿宋" w:hAnsi="仿宋" w:eastAsia="仿宋" w:cs="仿宋"/>
          <w:caps w:val="0"/>
          <w:color w:val="auto"/>
          <w:kern w:val="2"/>
          <w:sz w:val="24"/>
          <w:szCs w:val="24"/>
          <w:highlight w:val="none"/>
          <w:lang w:eastAsia="zh-CN"/>
        </w:rPr>
        <w:t>名称：</w:t>
      </w:r>
      <w:r>
        <w:rPr>
          <w:rFonts w:hint="eastAsia" w:ascii="仿宋" w:hAnsi="仿宋" w:eastAsia="仿宋" w:cs="仿宋"/>
          <w:bCs/>
          <w:color w:val="auto"/>
          <w:sz w:val="24"/>
          <w:szCs w:val="24"/>
          <w:highlight w:val="none"/>
          <w:u w:val="none"/>
          <w:lang w:eastAsia="zh-CN"/>
        </w:rPr>
        <w:t>农安县万顺乡人民政府</w:t>
      </w:r>
    </w:p>
    <w:p w14:paraId="416E8A48">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val="en-US" w:eastAsia="zh-CN"/>
        </w:rPr>
      </w:pPr>
      <w:r>
        <w:rPr>
          <w:rFonts w:hint="eastAsia" w:ascii="仿宋" w:hAnsi="仿宋" w:eastAsia="仿宋" w:cs="仿宋"/>
          <w:caps w:val="0"/>
          <w:color w:val="auto"/>
          <w:kern w:val="2"/>
          <w:sz w:val="24"/>
          <w:szCs w:val="24"/>
          <w:highlight w:val="none"/>
          <w:lang w:eastAsia="zh-CN"/>
        </w:rPr>
        <w:t>地址：</w:t>
      </w:r>
      <w:r>
        <w:rPr>
          <w:rFonts w:hint="eastAsia" w:ascii="仿宋" w:hAnsi="仿宋" w:eastAsia="仿宋" w:cs="仿宋"/>
          <w:bCs/>
          <w:color w:val="auto"/>
          <w:sz w:val="24"/>
          <w:szCs w:val="24"/>
          <w:highlight w:val="none"/>
          <w:u w:val="none"/>
          <w:lang w:eastAsia="zh-CN"/>
        </w:rPr>
        <w:t>吉林省长春市农安县万顺乡街内</w:t>
      </w:r>
    </w:p>
    <w:p w14:paraId="0A52F61D">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bCs/>
          <w:color w:val="auto"/>
          <w:sz w:val="24"/>
          <w:szCs w:val="24"/>
          <w:highlight w:val="none"/>
          <w:u w:val="none"/>
          <w:lang w:val="en-US" w:eastAsia="zh-CN"/>
        </w:rPr>
      </w:pPr>
      <w:r>
        <w:rPr>
          <w:rFonts w:hint="eastAsia" w:ascii="仿宋" w:hAnsi="仿宋" w:eastAsia="仿宋" w:cs="仿宋"/>
          <w:caps w:val="0"/>
          <w:color w:val="auto"/>
          <w:kern w:val="2"/>
          <w:sz w:val="24"/>
          <w:szCs w:val="24"/>
          <w:highlight w:val="none"/>
          <w:lang w:val="en-US" w:eastAsia="zh-CN"/>
        </w:rPr>
        <w:t>联 系 人</w:t>
      </w:r>
      <w:r>
        <w:rPr>
          <w:rFonts w:hint="eastAsia" w:ascii="仿宋" w:hAnsi="仿宋" w:eastAsia="仿宋" w:cs="仿宋"/>
          <w:bCs/>
          <w:color w:val="auto"/>
          <w:sz w:val="24"/>
          <w:szCs w:val="24"/>
          <w:highlight w:val="none"/>
          <w:u w:val="none"/>
          <w:lang w:val="en-US" w:eastAsia="zh-CN"/>
        </w:rPr>
        <w:t xml:space="preserve">：姜福洲 </w:t>
      </w:r>
    </w:p>
    <w:p w14:paraId="0F15862D">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val="en-US" w:eastAsia="zh-CN"/>
        </w:rPr>
      </w:pPr>
      <w:r>
        <w:rPr>
          <w:rFonts w:hint="eastAsia" w:ascii="仿宋" w:hAnsi="仿宋" w:eastAsia="仿宋" w:cs="仿宋"/>
          <w:bCs/>
          <w:color w:val="auto"/>
          <w:sz w:val="24"/>
          <w:szCs w:val="24"/>
          <w:highlight w:val="none"/>
          <w:u w:val="none"/>
          <w:lang w:val="en-US" w:eastAsia="zh-CN"/>
        </w:rPr>
        <w:t>联系电话：</w:t>
      </w:r>
      <w:r>
        <w:rPr>
          <w:rFonts w:hint="eastAsia" w:ascii="仿宋" w:hAnsi="仿宋" w:eastAsia="仿宋" w:cs="仿宋"/>
          <w:bCs/>
          <w:color w:val="auto"/>
          <w:sz w:val="24"/>
          <w:szCs w:val="24"/>
          <w:highlight w:val="none"/>
          <w:u w:val="none"/>
          <w:lang w:eastAsia="zh-CN"/>
        </w:rPr>
        <w:t>13756623197</w:t>
      </w:r>
      <w:r>
        <w:rPr>
          <w:rFonts w:hint="eastAsia" w:ascii="仿宋" w:hAnsi="仿宋" w:eastAsia="仿宋" w:cs="仿宋"/>
          <w:bCs/>
          <w:color w:val="auto"/>
          <w:sz w:val="24"/>
          <w:szCs w:val="24"/>
          <w:highlight w:val="none"/>
          <w:u w:val="none"/>
          <w:lang w:val="en-US" w:eastAsia="zh-CN"/>
        </w:rPr>
        <w:t>（办公</w:t>
      </w:r>
      <w:r>
        <w:rPr>
          <w:rFonts w:hint="eastAsia" w:ascii="仿宋" w:hAnsi="仿宋" w:eastAsia="仿宋" w:cs="仿宋"/>
          <w:caps w:val="0"/>
          <w:color w:val="auto"/>
          <w:kern w:val="2"/>
          <w:sz w:val="24"/>
          <w:szCs w:val="24"/>
          <w:highlight w:val="none"/>
          <w:lang w:val="en-US" w:eastAsia="zh-CN"/>
        </w:rPr>
        <w:t>电话）</w:t>
      </w:r>
    </w:p>
    <w:p w14:paraId="3B70C302">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sz w:val="24"/>
          <w:szCs w:val="24"/>
          <w:highlight w:val="none"/>
          <w:lang w:eastAsia="zh-CN"/>
        </w:rPr>
      </w:pPr>
      <w:r>
        <w:rPr>
          <w:rFonts w:hint="eastAsia" w:ascii="仿宋" w:hAnsi="仿宋" w:eastAsia="仿宋" w:cs="仿宋"/>
          <w:caps w:val="0"/>
          <w:color w:val="auto"/>
          <w:kern w:val="2"/>
          <w:sz w:val="24"/>
          <w:szCs w:val="24"/>
          <w:highlight w:val="none"/>
          <w:lang w:eastAsia="zh-CN"/>
        </w:rPr>
        <w:t>2.采购代理机构信息</w:t>
      </w:r>
    </w:p>
    <w:p w14:paraId="5CCD6B54">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sz w:val="24"/>
          <w:szCs w:val="24"/>
          <w:highlight w:val="none"/>
          <w:lang w:eastAsia="zh-CN"/>
        </w:rPr>
      </w:pPr>
      <w:r>
        <w:rPr>
          <w:rFonts w:hint="eastAsia" w:ascii="仿宋" w:hAnsi="仿宋" w:eastAsia="仿宋" w:cs="仿宋"/>
          <w:caps w:val="0"/>
          <w:color w:val="auto"/>
          <w:kern w:val="2"/>
          <w:sz w:val="24"/>
          <w:szCs w:val="24"/>
          <w:highlight w:val="none"/>
          <w:lang w:eastAsia="zh-CN"/>
        </w:rPr>
        <w:t>名称：吉林省中舜工程咨询有限公司</w:t>
      </w:r>
    </w:p>
    <w:p w14:paraId="18AC6539">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sz w:val="24"/>
          <w:szCs w:val="24"/>
          <w:highlight w:val="none"/>
          <w:lang w:eastAsia="zh-CN"/>
        </w:rPr>
      </w:pPr>
      <w:r>
        <w:rPr>
          <w:rFonts w:hint="eastAsia" w:ascii="仿宋" w:hAnsi="仿宋" w:eastAsia="仿宋" w:cs="仿宋"/>
          <w:caps w:val="0"/>
          <w:color w:val="auto"/>
          <w:kern w:val="2"/>
          <w:sz w:val="24"/>
          <w:szCs w:val="24"/>
          <w:highlight w:val="none"/>
          <w:lang w:eastAsia="zh-CN"/>
        </w:rPr>
        <w:t>地址：</w:t>
      </w:r>
      <w:r>
        <w:rPr>
          <w:rFonts w:hint="eastAsia" w:ascii="仿宋" w:hAnsi="仿宋" w:eastAsia="仿宋" w:cs="仿宋"/>
          <w:color w:val="auto"/>
          <w:kern w:val="2"/>
          <w:sz w:val="24"/>
          <w:szCs w:val="24"/>
          <w:highlight w:val="none"/>
          <w:lang w:val="zh-CN" w:eastAsia="zh-CN"/>
        </w:rPr>
        <w:t>长春市净月开发区龙湖天泽大路地块一期13＃【幢】2单元804号</w:t>
      </w:r>
    </w:p>
    <w:p w14:paraId="6F401E23">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val="en-US" w:eastAsia="zh-CN"/>
        </w:rPr>
      </w:pPr>
      <w:r>
        <w:rPr>
          <w:rFonts w:hint="eastAsia" w:ascii="仿宋" w:hAnsi="仿宋" w:eastAsia="仿宋" w:cs="仿宋"/>
          <w:caps w:val="0"/>
          <w:color w:val="auto"/>
          <w:kern w:val="2"/>
          <w:sz w:val="24"/>
          <w:szCs w:val="24"/>
          <w:highlight w:val="none"/>
          <w:lang w:val="en-US" w:eastAsia="zh-CN"/>
        </w:rPr>
        <w:t xml:space="preserve">联 系 人：赫彬  </w:t>
      </w:r>
    </w:p>
    <w:p w14:paraId="2D4C0E95">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val="en-US" w:eastAsia="zh-CN"/>
        </w:rPr>
      </w:pPr>
      <w:r>
        <w:rPr>
          <w:rFonts w:hint="eastAsia" w:ascii="仿宋" w:hAnsi="仿宋" w:eastAsia="仿宋" w:cs="仿宋"/>
          <w:caps w:val="0"/>
          <w:color w:val="auto"/>
          <w:kern w:val="2"/>
          <w:sz w:val="24"/>
          <w:szCs w:val="24"/>
          <w:highlight w:val="none"/>
          <w:lang w:eastAsia="zh-CN"/>
        </w:rPr>
        <w:t>联系电话：</w:t>
      </w:r>
      <w:r>
        <w:rPr>
          <w:rFonts w:hint="eastAsia" w:ascii="仿宋" w:hAnsi="仿宋" w:eastAsia="仿宋" w:cs="仿宋"/>
          <w:caps w:val="0"/>
          <w:color w:val="auto"/>
          <w:kern w:val="2"/>
          <w:sz w:val="24"/>
          <w:szCs w:val="24"/>
          <w:highlight w:val="none"/>
          <w:lang w:val="en-US" w:eastAsia="zh-CN"/>
        </w:rPr>
        <w:t>17386805697（办公电话）</w:t>
      </w:r>
    </w:p>
    <w:p w14:paraId="43C37099">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eastAsia="zh-CN"/>
        </w:rPr>
      </w:pPr>
      <w:r>
        <w:rPr>
          <w:rFonts w:hint="eastAsia" w:ascii="仿宋" w:hAnsi="仿宋" w:eastAsia="仿宋" w:cs="仿宋"/>
          <w:caps w:val="0"/>
          <w:color w:val="auto"/>
          <w:kern w:val="2"/>
          <w:sz w:val="24"/>
          <w:szCs w:val="24"/>
          <w:highlight w:val="none"/>
          <w:lang w:eastAsia="zh-CN"/>
        </w:rPr>
        <w:t>3. 项目联系方式</w:t>
      </w:r>
    </w:p>
    <w:p w14:paraId="3585360A">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val="en-US" w:eastAsia="zh-CN"/>
        </w:rPr>
      </w:pPr>
      <w:r>
        <w:rPr>
          <w:rFonts w:hint="eastAsia" w:ascii="仿宋" w:hAnsi="仿宋" w:eastAsia="仿宋" w:cs="仿宋"/>
          <w:caps w:val="0"/>
          <w:color w:val="auto"/>
          <w:kern w:val="2"/>
          <w:sz w:val="24"/>
          <w:szCs w:val="24"/>
          <w:highlight w:val="none"/>
          <w:lang w:eastAsia="zh-CN"/>
        </w:rPr>
        <w:t>项目联系人：</w:t>
      </w:r>
      <w:r>
        <w:rPr>
          <w:rFonts w:hint="eastAsia" w:ascii="仿宋" w:hAnsi="仿宋" w:eastAsia="仿宋" w:cs="仿宋"/>
          <w:caps w:val="0"/>
          <w:color w:val="auto"/>
          <w:kern w:val="2"/>
          <w:sz w:val="24"/>
          <w:szCs w:val="24"/>
          <w:highlight w:val="none"/>
          <w:lang w:val="en-US" w:eastAsia="zh-CN"/>
        </w:rPr>
        <w:t>赫彬</w:t>
      </w:r>
    </w:p>
    <w:p w14:paraId="7AFC62E5">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eastAsia="zh-CN"/>
        </w:rPr>
      </w:pPr>
      <w:r>
        <w:rPr>
          <w:rFonts w:hint="eastAsia" w:ascii="仿宋" w:hAnsi="仿宋" w:eastAsia="仿宋" w:cs="仿宋"/>
          <w:caps w:val="0"/>
          <w:color w:val="auto"/>
          <w:kern w:val="2"/>
          <w:sz w:val="24"/>
          <w:szCs w:val="24"/>
          <w:highlight w:val="none"/>
          <w:lang w:eastAsia="zh-CN"/>
        </w:rPr>
        <w:t>电</w:t>
      </w:r>
      <w:r>
        <w:rPr>
          <w:rFonts w:hint="eastAsia" w:ascii="仿宋" w:hAnsi="仿宋" w:eastAsia="仿宋" w:cs="仿宋"/>
          <w:caps w:val="0"/>
          <w:color w:val="auto"/>
          <w:kern w:val="2"/>
          <w:sz w:val="24"/>
          <w:szCs w:val="24"/>
          <w:highlight w:val="none"/>
          <w:lang w:val="en-US" w:eastAsia="zh-CN"/>
        </w:rPr>
        <w:t xml:space="preserve">      </w:t>
      </w:r>
      <w:r>
        <w:rPr>
          <w:rFonts w:hint="eastAsia" w:ascii="仿宋" w:hAnsi="仿宋" w:eastAsia="仿宋" w:cs="仿宋"/>
          <w:caps w:val="0"/>
          <w:color w:val="auto"/>
          <w:kern w:val="2"/>
          <w:sz w:val="24"/>
          <w:szCs w:val="24"/>
          <w:highlight w:val="none"/>
          <w:lang w:eastAsia="zh-CN"/>
        </w:rPr>
        <w:t>话：</w:t>
      </w:r>
      <w:r>
        <w:rPr>
          <w:rFonts w:hint="eastAsia" w:ascii="仿宋" w:hAnsi="仿宋" w:eastAsia="仿宋" w:cs="仿宋"/>
          <w:caps w:val="0"/>
          <w:color w:val="auto"/>
          <w:kern w:val="2"/>
          <w:sz w:val="24"/>
          <w:szCs w:val="24"/>
          <w:highlight w:val="none"/>
          <w:lang w:val="en-US" w:eastAsia="zh-CN"/>
        </w:rPr>
        <w:t>17386805697（办公电话）</w:t>
      </w:r>
    </w:p>
    <w:p w14:paraId="3E5872DF">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eastAsia="zh-CN"/>
        </w:rPr>
      </w:pPr>
      <w:r>
        <w:rPr>
          <w:rFonts w:hint="eastAsia" w:ascii="仿宋" w:hAnsi="仿宋" w:eastAsia="仿宋" w:cs="仿宋"/>
          <w:caps w:val="0"/>
          <w:color w:val="auto"/>
          <w:kern w:val="2"/>
          <w:sz w:val="24"/>
          <w:szCs w:val="24"/>
          <w:highlight w:val="none"/>
          <w:lang w:eastAsia="zh-CN"/>
        </w:rPr>
        <w:t>4.监督部门：</w:t>
      </w:r>
    </w:p>
    <w:p w14:paraId="703E73A6">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eastAsia="zh-CN"/>
        </w:rPr>
      </w:pPr>
      <w:r>
        <w:rPr>
          <w:rFonts w:hint="eastAsia" w:ascii="仿宋" w:hAnsi="仿宋" w:eastAsia="仿宋" w:cs="仿宋"/>
          <w:caps w:val="0"/>
          <w:color w:val="auto"/>
          <w:kern w:val="2"/>
          <w:sz w:val="24"/>
          <w:szCs w:val="24"/>
          <w:highlight w:val="none"/>
          <w:lang w:eastAsia="zh-CN"/>
        </w:rPr>
        <w:t>监管部门：农安县财政局</w:t>
      </w:r>
    </w:p>
    <w:p w14:paraId="03A83896">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val="en-US" w:eastAsia="zh-CN"/>
        </w:rPr>
      </w:pPr>
      <w:r>
        <w:rPr>
          <w:rFonts w:hint="eastAsia" w:ascii="仿宋" w:hAnsi="仿宋" w:eastAsia="仿宋" w:cs="仿宋"/>
          <w:caps w:val="0"/>
          <w:color w:val="auto"/>
          <w:kern w:val="2"/>
          <w:sz w:val="24"/>
          <w:szCs w:val="24"/>
          <w:highlight w:val="none"/>
          <w:lang w:val="en-US" w:eastAsia="zh-CN"/>
        </w:rPr>
        <w:t>电话：0431-83220543</w:t>
      </w:r>
    </w:p>
    <w:p w14:paraId="77EB5F0C">
      <w:pPr>
        <w:keepNext w:val="0"/>
        <w:keepLines w:val="0"/>
        <w:pageBreakBefore w:val="0"/>
        <w:kinsoku/>
        <w:wordWrap/>
        <w:overflowPunct/>
        <w:topLinePunct w:val="0"/>
        <w:bidi w:val="0"/>
        <w:adjustRightInd w:val="0"/>
        <w:snapToGrid w:val="0"/>
        <w:spacing w:line="360" w:lineRule="auto"/>
        <w:ind w:left="0" w:leftChars="0" w:firstLine="480" w:firstLineChars="200"/>
        <w:jc w:val="left"/>
        <w:outlineLvl w:val="9"/>
        <w:rPr>
          <w:rFonts w:hint="eastAsia" w:ascii="仿宋" w:hAnsi="仿宋" w:eastAsia="仿宋" w:cs="仿宋"/>
          <w:b w:val="0"/>
          <w:color w:val="auto"/>
          <w:sz w:val="24"/>
          <w:szCs w:val="24"/>
          <w:highlight w:val="none"/>
          <w:lang w:val="en-US" w:eastAsia="zh-CN"/>
        </w:rPr>
      </w:pPr>
    </w:p>
    <w:p w14:paraId="0DD4E8BF">
      <w:pPr>
        <w:keepNext w:val="0"/>
        <w:keepLines w:val="0"/>
        <w:pageBreakBefore w:val="0"/>
        <w:kinsoku/>
        <w:wordWrap/>
        <w:overflowPunct/>
        <w:topLinePunct w:val="0"/>
        <w:bidi w:val="0"/>
        <w:adjustRightInd w:val="0"/>
        <w:snapToGrid w:val="0"/>
        <w:spacing w:line="360" w:lineRule="auto"/>
        <w:ind w:left="0" w:leftChars="0" w:firstLine="480" w:firstLineChars="200"/>
        <w:jc w:val="left"/>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来源：</w:t>
      </w:r>
      <w:r>
        <w:rPr>
          <w:rFonts w:hint="eastAsia" w:ascii="仿宋" w:hAnsi="仿宋" w:eastAsia="仿宋" w:cs="仿宋"/>
          <w:caps w:val="0"/>
          <w:color w:val="auto"/>
          <w:kern w:val="2"/>
          <w:sz w:val="24"/>
          <w:szCs w:val="24"/>
          <w:highlight w:val="none"/>
          <w:lang w:eastAsia="zh-CN"/>
        </w:rPr>
        <w:t>吉林省中舜工程咨询有限公司</w:t>
      </w:r>
    </w:p>
    <w:p w14:paraId="0A974EC3">
      <w:pPr>
        <w:keepNext w:val="0"/>
        <w:keepLines w:val="0"/>
        <w:pageBreakBefore w:val="0"/>
        <w:kinsoku/>
        <w:wordWrap/>
        <w:overflowPunct/>
        <w:topLinePunct w:val="0"/>
        <w:bidi w:val="0"/>
        <w:adjustRightInd w:val="0"/>
        <w:snapToGrid w:val="0"/>
        <w:spacing w:line="360" w:lineRule="auto"/>
        <w:ind w:left="0" w:leftChars="0" w:firstLine="480" w:firstLineChars="200"/>
        <w:jc w:val="left"/>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初审：</w:t>
      </w:r>
      <w:r>
        <w:rPr>
          <w:rFonts w:hint="eastAsia" w:ascii="仿宋" w:hAnsi="仿宋" w:eastAsia="仿宋" w:cs="仿宋"/>
          <w:caps w:val="0"/>
          <w:color w:val="auto"/>
          <w:kern w:val="2"/>
          <w:sz w:val="24"/>
          <w:szCs w:val="24"/>
          <w:highlight w:val="none"/>
          <w:lang w:val="en-US" w:eastAsia="zh-CN"/>
        </w:rPr>
        <w:t>赫彬</w:t>
      </w:r>
    </w:p>
    <w:p w14:paraId="67281656">
      <w:pPr>
        <w:keepNext w:val="0"/>
        <w:keepLines w:val="0"/>
        <w:pageBreakBefore w:val="0"/>
        <w:kinsoku/>
        <w:wordWrap/>
        <w:overflowPunct/>
        <w:topLinePunct w:val="0"/>
        <w:bidi w:val="0"/>
        <w:adjustRightInd w:val="0"/>
        <w:snapToGrid w:val="0"/>
        <w:spacing w:line="360" w:lineRule="auto"/>
        <w:ind w:left="0" w:leftChars="0" w:firstLine="480" w:firstLineChars="200"/>
        <w:jc w:val="left"/>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复审：</w:t>
      </w:r>
      <w:r>
        <w:rPr>
          <w:rFonts w:hint="eastAsia" w:ascii="仿宋" w:hAnsi="仿宋" w:eastAsia="仿宋" w:cs="仿宋"/>
          <w:bCs/>
          <w:color w:val="auto"/>
          <w:sz w:val="24"/>
          <w:szCs w:val="24"/>
          <w:highlight w:val="none"/>
          <w:u w:val="none"/>
          <w:lang w:eastAsia="zh-CN"/>
        </w:rPr>
        <w:t xml:space="preserve">姜福洲 </w:t>
      </w:r>
    </w:p>
    <w:p w14:paraId="5BCD7890">
      <w:pPr>
        <w:keepNext w:val="0"/>
        <w:keepLines w:val="0"/>
        <w:pageBreakBefore w:val="0"/>
        <w:kinsoku/>
        <w:wordWrap/>
        <w:overflowPunct/>
        <w:topLinePunct w:val="0"/>
        <w:bidi w:val="0"/>
        <w:adjustRightInd w:val="0"/>
        <w:snapToGrid w:val="0"/>
        <w:spacing w:line="360" w:lineRule="auto"/>
        <w:ind w:left="0" w:leftChars="0" w:firstLine="480" w:firstLineChars="200"/>
        <w:jc w:val="left"/>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终审：何健</w:t>
      </w:r>
    </w:p>
    <w:p w14:paraId="2AEF5632">
      <w:pPr>
        <w:rPr>
          <w:rFonts w:hint="eastAsia" w:ascii="仿宋" w:hAnsi="仿宋" w:eastAsia="仿宋" w:cs="仿宋"/>
          <w:color w:val="auto"/>
          <w:highlight w:val="none"/>
        </w:rPr>
      </w:pPr>
    </w:p>
    <w:p w14:paraId="342ED189">
      <w:pPr>
        <w:rPr>
          <w:rFonts w:hint="eastAsia" w:ascii="仿宋" w:hAnsi="仿宋" w:eastAsia="仿宋" w:cs="仿宋"/>
          <w:color w:val="auto"/>
          <w:highlight w:val="none"/>
        </w:rPr>
      </w:pPr>
    </w:p>
    <w:p w14:paraId="1E88513F">
      <w:pPr>
        <w:spacing w:line="360" w:lineRule="auto"/>
        <w:rPr>
          <w:rFonts w:hint="eastAsia" w:ascii="仿宋" w:hAnsi="仿宋" w:eastAsia="仿宋" w:cs="仿宋"/>
          <w:color w:val="auto"/>
          <w:highlight w:val="none"/>
        </w:rPr>
      </w:pPr>
    </w:p>
    <w:p w14:paraId="66C3A287">
      <w:pPr>
        <w:pStyle w:val="2"/>
        <w:spacing w:line="360" w:lineRule="auto"/>
        <w:rPr>
          <w:rFonts w:hint="eastAsia" w:ascii="仿宋" w:hAnsi="仿宋" w:eastAsia="仿宋" w:cs="仿宋"/>
          <w:color w:val="auto"/>
          <w:highlight w:val="none"/>
          <w:lang w:val="zh-CN"/>
        </w:rPr>
        <w:sectPr>
          <w:footerReference r:id="rId11" w:type="default"/>
          <w:pgSz w:w="11906" w:h="16838"/>
          <w:pgMar w:top="1440" w:right="1080" w:bottom="1440" w:left="1080" w:header="851" w:footer="992" w:gutter="0"/>
          <w:pgNumType w:fmt="decimal"/>
          <w:cols w:space="425" w:num="1"/>
          <w:docGrid w:type="lines" w:linePitch="312" w:charSpace="0"/>
        </w:sectPr>
      </w:pPr>
    </w:p>
    <w:p w14:paraId="778503D0">
      <w:pPr>
        <w:pStyle w:val="2"/>
        <w:rPr>
          <w:rFonts w:hint="eastAsia" w:ascii="仿宋" w:hAnsi="仿宋" w:eastAsia="仿宋" w:cs="仿宋"/>
          <w:color w:val="auto"/>
          <w:highlight w:val="none"/>
          <w:lang w:val="zh-CN"/>
        </w:rPr>
      </w:pPr>
      <w:bookmarkStart w:id="43" w:name="_Toc6063"/>
      <w:r>
        <w:rPr>
          <w:rFonts w:hint="eastAsia" w:ascii="仿宋" w:hAnsi="仿宋" w:eastAsia="仿宋" w:cs="仿宋"/>
          <w:color w:val="auto"/>
          <w:highlight w:val="none"/>
          <w:lang w:val="zh-CN"/>
        </w:rPr>
        <w:t>第二章 供应商须知</w:t>
      </w:r>
      <w:bookmarkEnd w:id="43"/>
    </w:p>
    <w:p w14:paraId="1E92B0BB">
      <w:pPr>
        <w:pStyle w:val="3"/>
        <w:rPr>
          <w:rFonts w:hint="eastAsia" w:ascii="仿宋" w:hAnsi="仿宋" w:eastAsia="仿宋" w:cs="仿宋"/>
          <w:color w:val="auto"/>
          <w:highlight w:val="none"/>
        </w:rPr>
      </w:pPr>
      <w:bookmarkStart w:id="44" w:name="_Toc28795"/>
      <w:bookmarkStart w:id="45" w:name="_Toc16769"/>
      <w:r>
        <w:rPr>
          <w:rFonts w:hint="eastAsia" w:ascii="仿宋" w:hAnsi="仿宋" w:eastAsia="仿宋" w:cs="仿宋"/>
          <w:color w:val="auto"/>
          <w:highlight w:val="none"/>
        </w:rPr>
        <w:t>供应商须知前附表</w:t>
      </w:r>
      <w:bookmarkEnd w:id="44"/>
      <w:bookmarkEnd w:id="45"/>
    </w:p>
    <w:tbl>
      <w:tblPr>
        <w:tblStyle w:val="31"/>
        <w:tblW w:w="9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9"/>
        <w:gridCol w:w="1728"/>
        <w:gridCol w:w="7492"/>
      </w:tblGrid>
      <w:tr w14:paraId="1FD6A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vAlign w:val="center"/>
          </w:tcPr>
          <w:p w14:paraId="131758A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728" w:type="dxa"/>
            <w:vAlign w:val="center"/>
          </w:tcPr>
          <w:p w14:paraId="210A967E">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条款名称</w:t>
            </w:r>
          </w:p>
        </w:tc>
        <w:tc>
          <w:tcPr>
            <w:tcW w:w="7492" w:type="dxa"/>
            <w:vAlign w:val="center"/>
          </w:tcPr>
          <w:p w14:paraId="44FF1F3D">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编列内容</w:t>
            </w:r>
          </w:p>
        </w:tc>
      </w:tr>
      <w:tr w14:paraId="28B22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759" w:type="dxa"/>
            <w:vAlign w:val="center"/>
          </w:tcPr>
          <w:p w14:paraId="0A76891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w:t>
            </w:r>
          </w:p>
        </w:tc>
        <w:tc>
          <w:tcPr>
            <w:tcW w:w="1728" w:type="dxa"/>
            <w:vAlign w:val="center"/>
          </w:tcPr>
          <w:p w14:paraId="22E0AB4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rPr>
              <w:t>采购人</w:t>
            </w:r>
          </w:p>
        </w:tc>
        <w:tc>
          <w:tcPr>
            <w:tcW w:w="7492" w:type="dxa"/>
            <w:vAlign w:val="center"/>
          </w:tcPr>
          <w:p w14:paraId="427245A7">
            <w:pPr>
              <w:pStyle w:val="50"/>
              <w:keepNext w:val="0"/>
              <w:keepLines w:val="0"/>
              <w:pageBreakBefore w:val="0"/>
              <w:kinsoku/>
              <w:wordWrap/>
              <w:overflowPunct/>
              <w:topLinePunct w:val="0"/>
              <w:bidi w:val="0"/>
              <w:adjustRightInd w:val="0"/>
              <w:snapToGrid w:val="0"/>
              <w:spacing w:line="360" w:lineRule="auto"/>
              <w:ind w:left="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    称：农安县万顺乡人民政府</w:t>
            </w:r>
          </w:p>
          <w:p w14:paraId="1E190CD0">
            <w:pPr>
              <w:pStyle w:val="50"/>
              <w:keepNext w:val="0"/>
              <w:keepLines w:val="0"/>
              <w:pageBreakBefore w:val="0"/>
              <w:kinsoku/>
              <w:wordWrap/>
              <w:overflowPunct/>
              <w:topLinePunct w:val="0"/>
              <w:bidi w:val="0"/>
              <w:adjustRightInd w:val="0"/>
              <w:snapToGrid w:val="0"/>
              <w:spacing w:line="360" w:lineRule="auto"/>
              <w:ind w:left="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    址：吉林省长春市农安县万顺乡街内</w:t>
            </w:r>
          </w:p>
          <w:p w14:paraId="6A9B5C59">
            <w:pPr>
              <w:pStyle w:val="50"/>
              <w:keepNext w:val="0"/>
              <w:keepLines w:val="0"/>
              <w:pageBreakBefore w:val="0"/>
              <w:kinsoku/>
              <w:wordWrap/>
              <w:overflowPunct/>
              <w:topLinePunct w:val="0"/>
              <w:bidi w:val="0"/>
              <w:adjustRightInd w:val="0"/>
              <w:snapToGrid w:val="0"/>
              <w:spacing w:line="360" w:lineRule="auto"/>
              <w:ind w:left="0" w:right="0" w:firstLine="0" w:firstLineChars="0"/>
              <w:jc w:val="left"/>
              <w:rPr>
                <w:rFonts w:hint="eastAsia" w:ascii="仿宋" w:hAnsi="仿宋" w:eastAsia="仿宋" w:cs="仿宋"/>
                <w:caps w:val="0"/>
                <w:color w:val="auto"/>
                <w:kern w:val="2"/>
                <w:sz w:val="24"/>
                <w:szCs w:val="24"/>
                <w:highlight w:val="none"/>
                <w:lang w:val="en-US" w:eastAsia="zh-CN"/>
              </w:rPr>
            </w:pPr>
            <w:r>
              <w:rPr>
                <w:rFonts w:hint="eastAsia" w:ascii="仿宋" w:hAnsi="仿宋" w:eastAsia="仿宋" w:cs="仿宋"/>
                <w:caps w:val="0"/>
                <w:color w:val="auto"/>
                <w:kern w:val="2"/>
                <w:sz w:val="24"/>
                <w:szCs w:val="24"/>
                <w:highlight w:val="none"/>
                <w:lang w:val="en-US" w:eastAsia="zh-CN"/>
              </w:rPr>
              <w:t xml:space="preserve">联 </w:t>
            </w:r>
            <w:r>
              <w:rPr>
                <w:rFonts w:hint="eastAsia" w:ascii="仿宋" w:hAnsi="仿宋" w:eastAsia="仿宋" w:cs="仿宋"/>
                <w:color w:val="auto"/>
                <w:sz w:val="24"/>
                <w:szCs w:val="24"/>
                <w:highlight w:val="none"/>
                <w:lang w:val="en-US" w:eastAsia="zh-CN"/>
              </w:rPr>
              <w:t>系 人</w:t>
            </w:r>
            <w:r>
              <w:rPr>
                <w:rFonts w:hint="eastAsia" w:ascii="仿宋" w:hAnsi="仿宋" w:eastAsia="仿宋" w:cs="仿宋"/>
                <w:caps w:val="0"/>
                <w:color w:val="auto"/>
                <w:kern w:val="2"/>
                <w:sz w:val="24"/>
                <w:szCs w:val="24"/>
                <w:highlight w:val="none"/>
                <w:lang w:val="en-US" w:eastAsia="zh-CN"/>
              </w:rPr>
              <w:t>：</w:t>
            </w:r>
            <w:r>
              <w:rPr>
                <w:rFonts w:hint="eastAsia" w:ascii="仿宋" w:hAnsi="仿宋" w:eastAsia="仿宋" w:cs="仿宋"/>
                <w:bCs/>
                <w:color w:val="auto"/>
                <w:sz w:val="24"/>
                <w:szCs w:val="24"/>
                <w:highlight w:val="none"/>
                <w:u w:val="none"/>
                <w:lang w:val="en-US" w:eastAsia="zh-CN"/>
              </w:rPr>
              <w:t xml:space="preserve">姜福洲 </w:t>
            </w:r>
          </w:p>
          <w:p w14:paraId="31BC9A34">
            <w:pPr>
              <w:keepNext w:val="0"/>
              <w:keepLines w:val="0"/>
              <w:pageBreakBefore w:val="0"/>
              <w:widowControl w:val="0"/>
              <w:kinsoku/>
              <w:overflowPunct/>
              <w:topLinePunct w:val="0"/>
              <w:autoSpaceDE/>
              <w:autoSpaceDN/>
              <w:bidi w:val="0"/>
              <w:adjustRightInd w:val="0"/>
              <w:snapToGri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aps w:val="0"/>
                <w:color w:val="auto"/>
                <w:kern w:val="2"/>
                <w:sz w:val="24"/>
                <w:szCs w:val="24"/>
                <w:highlight w:val="none"/>
                <w:lang w:val="en-US" w:eastAsia="zh-CN"/>
              </w:rPr>
              <w:t>联系电话：13756623197（办公电话）</w:t>
            </w:r>
          </w:p>
        </w:tc>
      </w:tr>
      <w:tr w14:paraId="47542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vAlign w:val="center"/>
          </w:tcPr>
          <w:p w14:paraId="17BBCCA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w:t>
            </w:r>
          </w:p>
        </w:tc>
        <w:tc>
          <w:tcPr>
            <w:tcW w:w="1728" w:type="dxa"/>
            <w:vAlign w:val="center"/>
          </w:tcPr>
          <w:p w14:paraId="60CFEE29">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采购代理机构</w:t>
            </w:r>
          </w:p>
        </w:tc>
        <w:tc>
          <w:tcPr>
            <w:tcW w:w="7492" w:type="dxa"/>
            <w:vAlign w:val="center"/>
          </w:tcPr>
          <w:p w14:paraId="3400B654">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名    称：吉林省中舜工程咨询有限公司</w:t>
            </w:r>
          </w:p>
          <w:p w14:paraId="2E02C51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eastAsia="zh-CN"/>
              </w:rPr>
              <w:t xml:space="preserve">地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址：</w:t>
            </w:r>
            <w:r>
              <w:rPr>
                <w:rFonts w:hint="eastAsia" w:ascii="仿宋" w:hAnsi="仿宋" w:eastAsia="仿宋" w:cs="仿宋"/>
                <w:color w:val="auto"/>
                <w:sz w:val="24"/>
                <w:szCs w:val="24"/>
                <w:highlight w:val="none"/>
                <w:lang w:val="zh-CN" w:eastAsia="zh-CN"/>
              </w:rPr>
              <w:t>长春市净月开发区龙湖天泽大路地块一期13＃【幢】2单元804号</w:t>
            </w:r>
          </w:p>
          <w:p w14:paraId="511C5119">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 系 人：赫彬</w:t>
            </w:r>
          </w:p>
          <w:p w14:paraId="45C60ACA">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联系电话：</w:t>
            </w:r>
            <w:r>
              <w:rPr>
                <w:rFonts w:hint="eastAsia" w:ascii="仿宋" w:hAnsi="仿宋" w:eastAsia="仿宋" w:cs="仿宋"/>
                <w:color w:val="auto"/>
                <w:sz w:val="24"/>
                <w:szCs w:val="24"/>
                <w:highlight w:val="none"/>
                <w:lang w:val="en-US" w:eastAsia="zh-CN"/>
              </w:rPr>
              <w:t>17386805697（办公电话）</w:t>
            </w:r>
          </w:p>
        </w:tc>
      </w:tr>
      <w:tr w14:paraId="39269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09156D8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w:t>
            </w:r>
          </w:p>
        </w:tc>
        <w:tc>
          <w:tcPr>
            <w:tcW w:w="1728" w:type="dxa"/>
            <w:vAlign w:val="center"/>
          </w:tcPr>
          <w:p w14:paraId="0E68B490">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项目名称</w:t>
            </w:r>
          </w:p>
        </w:tc>
        <w:tc>
          <w:tcPr>
            <w:tcW w:w="7492" w:type="dxa"/>
            <w:vAlign w:val="center"/>
          </w:tcPr>
          <w:p w14:paraId="687D7D0B">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2025年万顺乡土城村村屯道路建设项目。</w:t>
            </w:r>
          </w:p>
        </w:tc>
      </w:tr>
      <w:tr w14:paraId="02F05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jc w:val="center"/>
        </w:trPr>
        <w:tc>
          <w:tcPr>
            <w:tcW w:w="759" w:type="dxa"/>
            <w:vAlign w:val="center"/>
          </w:tcPr>
          <w:p w14:paraId="1AB84185">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4</w:t>
            </w:r>
          </w:p>
        </w:tc>
        <w:tc>
          <w:tcPr>
            <w:tcW w:w="1728" w:type="dxa"/>
            <w:vAlign w:val="center"/>
          </w:tcPr>
          <w:p w14:paraId="3A52F1ED">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项目地点</w:t>
            </w:r>
          </w:p>
        </w:tc>
        <w:tc>
          <w:tcPr>
            <w:tcW w:w="7492" w:type="dxa"/>
            <w:vAlign w:val="center"/>
          </w:tcPr>
          <w:p w14:paraId="16AEEFC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长春市农安县万顺乡土城村</w:t>
            </w:r>
            <w:r>
              <w:rPr>
                <w:rFonts w:hint="eastAsia" w:ascii="仿宋" w:hAnsi="仿宋" w:eastAsia="仿宋" w:cs="仿宋"/>
                <w:bCs/>
                <w:color w:val="auto"/>
                <w:sz w:val="24"/>
                <w:szCs w:val="24"/>
                <w:highlight w:val="none"/>
                <w:lang w:val="zh-CN" w:eastAsia="zh-CN"/>
              </w:rPr>
              <w:t>。</w:t>
            </w:r>
          </w:p>
        </w:tc>
      </w:tr>
      <w:tr w14:paraId="2E0A1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741CA27D">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5</w:t>
            </w:r>
          </w:p>
        </w:tc>
        <w:tc>
          <w:tcPr>
            <w:tcW w:w="1728" w:type="dxa"/>
            <w:vAlign w:val="center"/>
          </w:tcPr>
          <w:p w14:paraId="375B3B98">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资金来源及资金落实情况</w:t>
            </w:r>
          </w:p>
        </w:tc>
        <w:tc>
          <w:tcPr>
            <w:tcW w:w="7492" w:type="dxa"/>
            <w:vAlign w:val="center"/>
          </w:tcPr>
          <w:p w14:paraId="66B67CD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财政（其他）资金，</w:t>
            </w:r>
            <w:r>
              <w:rPr>
                <w:rFonts w:hint="eastAsia" w:ascii="仿宋" w:hAnsi="仿宋" w:eastAsia="仿宋" w:cs="仿宋"/>
                <w:bCs/>
                <w:color w:val="auto"/>
                <w:sz w:val="24"/>
                <w:szCs w:val="24"/>
                <w:highlight w:val="none"/>
                <w:lang w:val="en-US"/>
              </w:rPr>
              <w:t>已落实</w:t>
            </w:r>
            <w:r>
              <w:rPr>
                <w:rFonts w:hint="eastAsia" w:ascii="仿宋" w:hAnsi="仿宋" w:eastAsia="仿宋" w:cs="仿宋"/>
                <w:bCs/>
                <w:color w:val="auto"/>
                <w:sz w:val="24"/>
                <w:szCs w:val="24"/>
                <w:highlight w:val="none"/>
                <w:lang w:val="en-US" w:eastAsia="zh-CN"/>
              </w:rPr>
              <w:t>。</w:t>
            </w:r>
          </w:p>
        </w:tc>
      </w:tr>
      <w:tr w14:paraId="6D298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vAlign w:val="center"/>
          </w:tcPr>
          <w:p w14:paraId="621E86D5">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6</w:t>
            </w:r>
          </w:p>
        </w:tc>
        <w:tc>
          <w:tcPr>
            <w:tcW w:w="1728" w:type="dxa"/>
            <w:vAlign w:val="center"/>
          </w:tcPr>
          <w:p w14:paraId="5D805B4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项目概况</w:t>
            </w:r>
          </w:p>
        </w:tc>
        <w:tc>
          <w:tcPr>
            <w:tcW w:w="7492" w:type="dxa"/>
            <w:vAlign w:val="center"/>
          </w:tcPr>
          <w:p w14:paraId="026E15A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2025年万顺乡土城村村屯道路建设项目施工；详见施工图纸及工程量清单。</w:t>
            </w:r>
          </w:p>
        </w:tc>
      </w:tr>
      <w:tr w14:paraId="4F999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vAlign w:val="center"/>
          </w:tcPr>
          <w:p w14:paraId="0A1D011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7</w:t>
            </w:r>
          </w:p>
        </w:tc>
        <w:tc>
          <w:tcPr>
            <w:tcW w:w="1728" w:type="dxa"/>
            <w:vAlign w:val="center"/>
          </w:tcPr>
          <w:p w14:paraId="0B34866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rPr>
              <w:t>采购范围</w:t>
            </w:r>
          </w:p>
        </w:tc>
        <w:tc>
          <w:tcPr>
            <w:tcW w:w="7492" w:type="dxa"/>
            <w:vAlign w:val="center"/>
          </w:tcPr>
          <w:p w14:paraId="22379892">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施工图纸及工程量清单所包含的全部内容以及与施工相关的所有内容</w:t>
            </w:r>
            <w:r>
              <w:rPr>
                <w:rFonts w:hint="eastAsia" w:ascii="仿宋" w:hAnsi="仿宋" w:eastAsia="仿宋" w:cs="仿宋"/>
                <w:bCs/>
                <w:color w:val="auto"/>
                <w:sz w:val="24"/>
                <w:szCs w:val="24"/>
                <w:highlight w:val="none"/>
                <w:lang w:eastAsia="zh-CN"/>
              </w:rPr>
              <w:t>。</w:t>
            </w:r>
          </w:p>
        </w:tc>
      </w:tr>
      <w:tr w14:paraId="3DDD7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vAlign w:val="center"/>
          </w:tcPr>
          <w:p w14:paraId="4925FBF3">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8</w:t>
            </w:r>
          </w:p>
        </w:tc>
        <w:tc>
          <w:tcPr>
            <w:tcW w:w="1728" w:type="dxa"/>
            <w:vAlign w:val="center"/>
          </w:tcPr>
          <w:p w14:paraId="7FFC9C45">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rPr>
              <w:t>*合同履行期限</w:t>
            </w:r>
            <w:r>
              <w:rPr>
                <w:rFonts w:hint="eastAsia" w:ascii="仿宋" w:hAnsi="仿宋" w:eastAsia="仿宋" w:cs="仿宋"/>
                <w:color w:val="auto"/>
                <w:sz w:val="24"/>
                <w:szCs w:val="24"/>
                <w:highlight w:val="none"/>
                <w:lang w:eastAsia="zh-CN"/>
              </w:rPr>
              <w:t>（计划工期）</w:t>
            </w:r>
          </w:p>
        </w:tc>
        <w:tc>
          <w:tcPr>
            <w:tcW w:w="7492" w:type="dxa"/>
            <w:vAlign w:val="center"/>
          </w:tcPr>
          <w:p w14:paraId="4ECDB274">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eastAsia="zh-CN"/>
              </w:rPr>
              <w:t>自合同签订之日起至2025年11月15日内完工（具体以甲乙双方实际签订合同为准）。</w:t>
            </w:r>
          </w:p>
        </w:tc>
      </w:tr>
      <w:tr w14:paraId="485AA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vAlign w:val="center"/>
          </w:tcPr>
          <w:p w14:paraId="4FECBFB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9</w:t>
            </w:r>
          </w:p>
        </w:tc>
        <w:tc>
          <w:tcPr>
            <w:tcW w:w="1728" w:type="dxa"/>
            <w:vAlign w:val="center"/>
          </w:tcPr>
          <w:p w14:paraId="373D945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rPr>
              <w:t>*质量要求</w:t>
            </w:r>
          </w:p>
        </w:tc>
        <w:tc>
          <w:tcPr>
            <w:tcW w:w="7492" w:type="dxa"/>
            <w:vAlign w:val="center"/>
          </w:tcPr>
          <w:p w14:paraId="77A3062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eastAsia="zh-CN"/>
              </w:rPr>
              <w:t>符合国家现行工程施工质量验收统一标准及相关标准的合格工程。</w:t>
            </w:r>
          </w:p>
        </w:tc>
      </w:tr>
      <w:tr w14:paraId="75ACD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vAlign w:val="center"/>
          </w:tcPr>
          <w:p w14:paraId="2658CBE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10</w:t>
            </w:r>
          </w:p>
        </w:tc>
        <w:tc>
          <w:tcPr>
            <w:tcW w:w="1728" w:type="dxa"/>
            <w:vAlign w:val="center"/>
          </w:tcPr>
          <w:p w14:paraId="76A365E0">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rPr>
              <w:t>资格要求</w:t>
            </w:r>
          </w:p>
        </w:tc>
        <w:tc>
          <w:tcPr>
            <w:tcW w:w="7492" w:type="dxa"/>
            <w:vAlign w:val="center"/>
          </w:tcPr>
          <w:p w14:paraId="74E11D6C">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color w:val="auto"/>
                <w:spacing w:val="6"/>
                <w:sz w:val="24"/>
                <w:szCs w:val="24"/>
                <w:highlight w:val="none"/>
              </w:rPr>
              <w:t>供应商须满足《中华人民共和国政府采购法》第二十二条规定；</w:t>
            </w:r>
          </w:p>
          <w:p w14:paraId="1A9E6CD5">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rPr>
              <w:t>2.落实政府采购政策需满足的资格要求：</w:t>
            </w:r>
            <w:r>
              <w:rPr>
                <w:rFonts w:hint="eastAsia" w:ascii="仿宋" w:hAnsi="仿宋" w:eastAsia="仿宋" w:cs="仿宋"/>
                <w:bCs/>
                <w:color w:val="auto"/>
                <w:sz w:val="24"/>
                <w:szCs w:val="24"/>
                <w:highlight w:val="none"/>
                <w:lang w:val="en-US" w:eastAsia="zh-CN"/>
              </w:rPr>
              <w:t>本项目专门面向小微企业采购，供应商须是小微企业，残疾人福利性单位、监狱企业视同小型、微型企业。本项目中小企业划分标准所属行业为</w:t>
            </w:r>
            <w:r>
              <w:rPr>
                <w:rFonts w:hint="eastAsia" w:ascii="仿宋" w:hAnsi="仿宋" w:eastAsia="仿宋" w:cs="仿宋"/>
                <w:bCs/>
                <w:color w:val="auto"/>
                <w:sz w:val="24"/>
                <w:szCs w:val="24"/>
                <w:highlight w:val="none"/>
                <w:u w:val="none"/>
                <w:lang w:val="en-US" w:eastAsia="zh-CN"/>
              </w:rPr>
              <w:t>：</w:t>
            </w:r>
            <w:r>
              <w:rPr>
                <w:rFonts w:hint="eastAsia" w:ascii="仿宋" w:hAnsi="仿宋" w:eastAsia="仿宋" w:cs="仿宋"/>
                <w:b/>
                <w:bCs w:val="0"/>
                <w:color w:val="auto"/>
                <w:sz w:val="24"/>
                <w:szCs w:val="24"/>
                <w:highlight w:val="none"/>
                <w:u w:val="single"/>
                <w:lang w:val="en-US" w:eastAsia="zh-CN"/>
              </w:rPr>
              <w:t>建筑业</w:t>
            </w:r>
            <w:r>
              <w:rPr>
                <w:rFonts w:hint="eastAsia" w:ascii="仿宋" w:hAnsi="仿宋" w:eastAsia="仿宋" w:cs="仿宋"/>
                <w:b/>
                <w:bCs w:val="0"/>
                <w:color w:val="auto"/>
                <w:sz w:val="24"/>
                <w:szCs w:val="24"/>
                <w:highlight w:val="none"/>
                <w:lang w:val="en-US" w:eastAsia="zh-CN"/>
              </w:rPr>
              <w:t>。</w:t>
            </w:r>
          </w:p>
          <w:p w14:paraId="2C265A7C">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（1）依据《中华人民共和国政府采购法》及《中华人民共和国政府采购法实施条例》的有关规定，落实政府采购政策，详见磋商文件；</w:t>
            </w:r>
          </w:p>
          <w:p w14:paraId="1DF52991">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（2）《政府采购促进中小企业发展管理办法》（财库〔2020〕46号）；</w:t>
            </w:r>
          </w:p>
          <w:p w14:paraId="2EDF0960">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（3）《财政部司法部关于政府采购支持监狱企业发展有关问题的通知》（财库[2014]68号）；</w:t>
            </w:r>
          </w:p>
          <w:p w14:paraId="3113C053">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（4）《关于促进残疾人就业政府采购政策的通知》（财库〔2017〕141号）；</w:t>
            </w:r>
          </w:p>
          <w:p w14:paraId="38E536FA">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（5）《关于调整优化节能产品、环境标志产品政府采购执行机制的通知》(财库[2019]9号)；</w:t>
            </w:r>
          </w:p>
          <w:p w14:paraId="205E0A8E">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（6）《长春市财政局关于进一步做好我市政府采购促进中小企业发展有关工作的通知》（长财采购〔2021〕416号）；</w:t>
            </w:r>
          </w:p>
          <w:p w14:paraId="24EBD962">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3.本项目的特定资格要求：</w:t>
            </w:r>
          </w:p>
          <w:p w14:paraId="4E9C746B">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snapToGrid w:val="0"/>
                <w:color w:val="auto"/>
                <w:sz w:val="24"/>
                <w:szCs w:val="24"/>
                <w:highlight w:val="none"/>
                <w:lang w:val="en-US" w:eastAsia="zh-CN"/>
              </w:rPr>
            </w:pPr>
            <w:r>
              <w:rPr>
                <w:rFonts w:hint="eastAsia" w:ascii="仿宋" w:hAnsi="仿宋" w:eastAsia="仿宋" w:cs="仿宋"/>
                <w:bCs/>
                <w:snapToGrid w:val="0"/>
                <w:color w:val="auto"/>
                <w:sz w:val="24"/>
                <w:szCs w:val="24"/>
                <w:highlight w:val="none"/>
                <w:lang w:val="en-US" w:eastAsia="zh-CN"/>
              </w:rPr>
              <w:t>3.1供应商须具备建设行政主管部门核发有效的</w:t>
            </w:r>
            <w:r>
              <w:rPr>
                <w:rFonts w:hint="eastAsia" w:ascii="仿宋" w:hAnsi="仿宋" w:eastAsia="仿宋" w:cs="仿宋"/>
                <w:bCs/>
                <w:snapToGrid w:val="0"/>
                <w:color w:val="auto"/>
                <w:sz w:val="24"/>
                <w:szCs w:val="24"/>
                <w:highlight w:val="none"/>
                <w:lang w:val="zh-CN" w:eastAsia="zh-CN"/>
              </w:rPr>
              <w:t>市政公用工程施工总承包三级（含）及以上资质</w:t>
            </w:r>
            <w:r>
              <w:rPr>
                <w:rFonts w:hint="eastAsia" w:ascii="仿宋" w:hAnsi="仿宋" w:eastAsia="仿宋" w:cs="仿宋"/>
                <w:bCs/>
                <w:snapToGrid w:val="0"/>
                <w:color w:val="auto"/>
                <w:sz w:val="24"/>
                <w:szCs w:val="24"/>
                <w:highlight w:val="none"/>
                <w:lang w:val="en-US" w:eastAsia="zh-CN"/>
              </w:rPr>
              <w:t>，具有有效的安全生产许可证，并在人员、设备、资金等方面具有相应的施工能力；</w:t>
            </w:r>
          </w:p>
          <w:p w14:paraId="668017F1">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snapToGrid w:val="0"/>
                <w:color w:val="auto"/>
                <w:sz w:val="24"/>
                <w:szCs w:val="24"/>
                <w:highlight w:val="none"/>
                <w:lang w:val="en-US" w:eastAsia="zh-CN"/>
              </w:rPr>
            </w:pPr>
            <w:r>
              <w:rPr>
                <w:rFonts w:hint="eastAsia" w:ascii="仿宋" w:hAnsi="仿宋" w:eastAsia="仿宋" w:cs="仿宋"/>
                <w:bCs/>
                <w:snapToGrid w:val="0"/>
                <w:color w:val="auto"/>
                <w:sz w:val="24"/>
                <w:szCs w:val="24"/>
                <w:highlight w:val="none"/>
                <w:lang w:val="en-US" w:eastAsia="zh-CN"/>
              </w:rPr>
              <w:t>3.2拟派项目经理须具备市政公用工程工程专业二级及以上注册建造师</w:t>
            </w:r>
            <w:r>
              <w:rPr>
                <w:rFonts w:hint="eastAsia" w:ascii="仿宋" w:hAnsi="仿宋" w:eastAsia="仿宋" w:cs="仿宋"/>
                <w:bCs/>
                <w:snapToGrid w:val="0"/>
                <w:color w:val="auto"/>
                <w:sz w:val="24"/>
                <w:szCs w:val="24"/>
                <w:highlight w:val="none"/>
                <w:lang w:val="zh-CN" w:eastAsia="zh-CN"/>
              </w:rPr>
              <w:t>执业资格</w:t>
            </w:r>
            <w:r>
              <w:rPr>
                <w:rFonts w:hint="eastAsia" w:ascii="仿宋" w:hAnsi="仿宋" w:eastAsia="仿宋" w:cs="仿宋"/>
                <w:bCs/>
                <w:snapToGrid w:val="0"/>
                <w:color w:val="auto"/>
                <w:sz w:val="24"/>
                <w:szCs w:val="24"/>
                <w:highlight w:val="none"/>
                <w:lang w:val="en-US" w:eastAsia="zh-CN"/>
              </w:rPr>
              <w:t>，具有有效的安全生产考核证书(B类)，且未担任其他在施工程项目的项目经理，须提供最新的缴纳社会保险证明材料，须体现项目经理姓名；</w:t>
            </w:r>
          </w:p>
          <w:p w14:paraId="58B49095">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供应商不得为“信用中国”网站（www.creditchina.gov.cn）中列入失信被执行人和重大税收违法失信主体名单的供应商，不得为中国政府采购网（www.ccgp.gov.cn）政府采购严重违法失信行为记录名单中被财政部门禁止参加政府采购活动的供应商（在处罚决定规定的时间和地域范围内）（详见财库【2016】125号文）；</w:t>
            </w:r>
          </w:p>
          <w:p w14:paraId="723F5A4C">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5.单位负责人为同一人或者存在直接控股、管理关系的不同供应商，不得参加同一合同项下的政府采购活动。</w:t>
            </w:r>
          </w:p>
          <w:p w14:paraId="2BD6D071">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6.为本采购项目提供过整体设计、规范编制或者项目管理、监理、检测等服务的投标人及其附属机构，不得再参加本采购项目的投标活动。</w:t>
            </w:r>
          </w:p>
        </w:tc>
      </w:tr>
      <w:tr w14:paraId="6E2CC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759" w:type="dxa"/>
            <w:vAlign w:val="center"/>
          </w:tcPr>
          <w:p w14:paraId="1F620E9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11</w:t>
            </w:r>
          </w:p>
        </w:tc>
        <w:tc>
          <w:tcPr>
            <w:tcW w:w="1728" w:type="dxa"/>
            <w:vAlign w:val="center"/>
          </w:tcPr>
          <w:p w14:paraId="67E4F1CF">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是否接受联合体投标</w:t>
            </w:r>
          </w:p>
        </w:tc>
        <w:tc>
          <w:tcPr>
            <w:tcW w:w="7492" w:type="dxa"/>
            <w:vAlign w:val="center"/>
          </w:tcPr>
          <w:p w14:paraId="6309F764">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☑不接受</w:t>
            </w:r>
          </w:p>
          <w:p w14:paraId="417AE0F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□接受，应满足下列要求：</w:t>
            </w:r>
          </w:p>
          <w:p w14:paraId="125FE76E">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联合体资质按照联合体协议约定的分工认定。</w:t>
            </w:r>
          </w:p>
        </w:tc>
      </w:tr>
      <w:tr w14:paraId="74AE5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340D5724">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12</w:t>
            </w:r>
          </w:p>
        </w:tc>
        <w:tc>
          <w:tcPr>
            <w:tcW w:w="1728" w:type="dxa"/>
            <w:vAlign w:val="center"/>
          </w:tcPr>
          <w:p w14:paraId="13A19DB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踏勘现场</w:t>
            </w:r>
          </w:p>
        </w:tc>
        <w:tc>
          <w:tcPr>
            <w:tcW w:w="7492" w:type="dxa"/>
            <w:vAlign w:val="center"/>
          </w:tcPr>
          <w:p w14:paraId="20A2542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☑不组织，供应商自行踏勘</w:t>
            </w:r>
          </w:p>
          <w:p w14:paraId="18C7D944">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□组织，踏勘时间：</w:t>
            </w:r>
            <w:r>
              <w:rPr>
                <w:rFonts w:hint="eastAsia"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u w:val="single"/>
                <w:lang w:val="en-US"/>
              </w:rPr>
              <w:tab/>
            </w:r>
            <w:r>
              <w:rPr>
                <w:rFonts w:hint="eastAsia" w:ascii="仿宋" w:hAnsi="仿宋" w:eastAsia="仿宋" w:cs="仿宋"/>
                <w:color w:val="auto"/>
                <w:sz w:val="24"/>
                <w:szCs w:val="24"/>
                <w:highlight w:val="none"/>
                <w:lang w:val="en-US"/>
              </w:rPr>
              <w:t>年</w:t>
            </w:r>
            <w:r>
              <w:rPr>
                <w:rFonts w:hint="eastAsia"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u w:val="single"/>
                <w:lang w:val="en-US"/>
              </w:rPr>
              <w:tab/>
            </w:r>
            <w:r>
              <w:rPr>
                <w:rFonts w:hint="eastAsia" w:ascii="仿宋" w:hAnsi="仿宋" w:eastAsia="仿宋" w:cs="仿宋"/>
                <w:color w:val="auto"/>
                <w:sz w:val="24"/>
                <w:szCs w:val="24"/>
                <w:highlight w:val="none"/>
                <w:lang w:val="en-US"/>
              </w:rPr>
              <w:t>月</w:t>
            </w:r>
            <w:r>
              <w:rPr>
                <w:rFonts w:hint="eastAsia"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u w:val="single"/>
                <w:lang w:val="en-US"/>
              </w:rPr>
              <w:tab/>
            </w:r>
            <w:r>
              <w:rPr>
                <w:rFonts w:hint="eastAsia" w:ascii="仿宋" w:hAnsi="仿宋" w:eastAsia="仿宋" w:cs="仿宋"/>
                <w:color w:val="auto"/>
                <w:sz w:val="24"/>
                <w:szCs w:val="24"/>
                <w:highlight w:val="none"/>
                <w:lang w:val="en-US"/>
              </w:rPr>
              <w:t>日踏勘集中地点：</w:t>
            </w:r>
          </w:p>
        </w:tc>
      </w:tr>
      <w:tr w14:paraId="20A8E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64E3F5EA">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13</w:t>
            </w:r>
          </w:p>
        </w:tc>
        <w:tc>
          <w:tcPr>
            <w:tcW w:w="1728" w:type="dxa"/>
            <w:vAlign w:val="center"/>
          </w:tcPr>
          <w:p w14:paraId="60F68E3D">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磋商预备会</w:t>
            </w:r>
          </w:p>
        </w:tc>
        <w:tc>
          <w:tcPr>
            <w:tcW w:w="7492" w:type="dxa"/>
            <w:vAlign w:val="center"/>
          </w:tcPr>
          <w:p w14:paraId="4C474412">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☑不召开</w:t>
            </w:r>
          </w:p>
          <w:p w14:paraId="78DD9819">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□召开，召开时间：</w:t>
            </w:r>
            <w:r>
              <w:rPr>
                <w:rFonts w:hint="eastAsia"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u w:val="single"/>
                <w:lang w:val="en-US"/>
              </w:rPr>
              <w:tab/>
            </w:r>
            <w:r>
              <w:rPr>
                <w:rFonts w:hint="eastAsia" w:ascii="仿宋" w:hAnsi="仿宋" w:eastAsia="仿宋" w:cs="仿宋"/>
                <w:color w:val="auto"/>
                <w:sz w:val="24"/>
                <w:szCs w:val="24"/>
                <w:highlight w:val="none"/>
                <w:lang w:val="en-US"/>
              </w:rPr>
              <w:t>年</w:t>
            </w:r>
            <w:r>
              <w:rPr>
                <w:rFonts w:hint="eastAsia"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u w:val="single"/>
                <w:lang w:val="en-US"/>
              </w:rPr>
              <w:tab/>
            </w:r>
            <w:r>
              <w:rPr>
                <w:rFonts w:hint="eastAsia" w:ascii="仿宋" w:hAnsi="仿宋" w:eastAsia="仿宋" w:cs="仿宋"/>
                <w:color w:val="auto"/>
                <w:sz w:val="24"/>
                <w:szCs w:val="24"/>
                <w:highlight w:val="none"/>
                <w:lang w:val="en-US"/>
              </w:rPr>
              <w:t>月</w:t>
            </w:r>
            <w:r>
              <w:rPr>
                <w:rFonts w:hint="eastAsia"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u w:val="single"/>
                <w:lang w:val="en-US"/>
              </w:rPr>
              <w:tab/>
            </w:r>
            <w:r>
              <w:rPr>
                <w:rFonts w:hint="eastAsia" w:ascii="仿宋" w:hAnsi="仿宋" w:eastAsia="仿宋" w:cs="仿宋"/>
                <w:color w:val="auto"/>
                <w:sz w:val="24"/>
                <w:szCs w:val="24"/>
                <w:highlight w:val="none"/>
                <w:lang w:val="en-US"/>
              </w:rPr>
              <w:t>日召开地点：</w:t>
            </w:r>
          </w:p>
        </w:tc>
      </w:tr>
      <w:tr w14:paraId="7A2EE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2E81843A">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14</w:t>
            </w:r>
          </w:p>
        </w:tc>
        <w:tc>
          <w:tcPr>
            <w:tcW w:w="1728" w:type="dxa"/>
            <w:vAlign w:val="center"/>
          </w:tcPr>
          <w:p w14:paraId="5705B4E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供应商提出问题时间</w:t>
            </w:r>
          </w:p>
        </w:tc>
        <w:tc>
          <w:tcPr>
            <w:tcW w:w="7492" w:type="dxa"/>
            <w:vAlign w:val="center"/>
          </w:tcPr>
          <w:p w14:paraId="39EA5594">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提交首次</w:t>
            </w:r>
            <w:r>
              <w:rPr>
                <w:rFonts w:hint="eastAsia" w:ascii="仿宋" w:hAnsi="仿宋" w:eastAsia="仿宋" w:cs="仿宋"/>
                <w:color w:val="auto"/>
                <w:sz w:val="24"/>
                <w:szCs w:val="24"/>
                <w:highlight w:val="none"/>
                <w:lang w:val="en-US"/>
              </w:rPr>
              <w:t>响应文件截止</w:t>
            </w:r>
            <w:r>
              <w:rPr>
                <w:rFonts w:hint="eastAsia" w:ascii="仿宋" w:hAnsi="仿宋" w:eastAsia="仿宋" w:cs="仿宋"/>
                <w:color w:val="auto"/>
                <w:sz w:val="24"/>
                <w:szCs w:val="24"/>
                <w:highlight w:val="none"/>
                <w:lang w:val="en-US" w:eastAsia="zh-CN"/>
              </w:rPr>
              <w:t>时间</w:t>
            </w:r>
            <w:r>
              <w:rPr>
                <w:rFonts w:hint="eastAsia" w:ascii="仿宋" w:hAnsi="仿宋" w:eastAsia="仿宋" w:cs="仿宋"/>
                <w:color w:val="auto"/>
                <w:sz w:val="24"/>
                <w:szCs w:val="24"/>
                <w:highlight w:val="none"/>
                <w:lang w:val="en-US"/>
              </w:rPr>
              <w:t>5日前</w:t>
            </w:r>
          </w:p>
          <w:p w14:paraId="7C96AEA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 xml:space="preserve">投标疑问的提交：书面形式。一式二份，加盖单位公章。同时将电子版发送至邮箱17386805697@163.com </w:t>
            </w:r>
          </w:p>
        </w:tc>
      </w:tr>
      <w:tr w14:paraId="2E009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5CF95C4A">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15</w:t>
            </w:r>
          </w:p>
        </w:tc>
        <w:tc>
          <w:tcPr>
            <w:tcW w:w="1728" w:type="dxa"/>
            <w:vAlign w:val="center"/>
          </w:tcPr>
          <w:p w14:paraId="42B06775">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采购人澄清截止时间</w:t>
            </w:r>
          </w:p>
        </w:tc>
        <w:tc>
          <w:tcPr>
            <w:tcW w:w="7492" w:type="dxa"/>
            <w:vAlign w:val="center"/>
          </w:tcPr>
          <w:p w14:paraId="318E1563">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提交首次</w:t>
            </w:r>
            <w:r>
              <w:rPr>
                <w:rFonts w:hint="eastAsia" w:ascii="仿宋" w:hAnsi="仿宋" w:eastAsia="仿宋" w:cs="仿宋"/>
                <w:color w:val="auto"/>
                <w:sz w:val="24"/>
                <w:szCs w:val="24"/>
                <w:highlight w:val="none"/>
                <w:lang w:val="en-US"/>
              </w:rPr>
              <w:t>响应文件截止</w:t>
            </w:r>
            <w:r>
              <w:rPr>
                <w:rFonts w:hint="eastAsia" w:ascii="仿宋" w:hAnsi="仿宋" w:eastAsia="仿宋" w:cs="仿宋"/>
                <w:color w:val="auto"/>
                <w:sz w:val="24"/>
                <w:szCs w:val="24"/>
                <w:highlight w:val="none"/>
                <w:lang w:val="en-US" w:eastAsia="zh-CN"/>
              </w:rPr>
              <w:t>时间</w:t>
            </w:r>
            <w:r>
              <w:rPr>
                <w:rFonts w:hint="eastAsia" w:ascii="仿宋" w:hAnsi="仿宋" w:eastAsia="仿宋" w:cs="仿宋"/>
                <w:color w:val="auto"/>
                <w:sz w:val="24"/>
                <w:szCs w:val="24"/>
                <w:highlight w:val="none"/>
                <w:lang w:val="en-US"/>
              </w:rPr>
              <w:t>5日前</w:t>
            </w:r>
          </w:p>
        </w:tc>
      </w:tr>
      <w:tr w14:paraId="4C51A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jc w:val="center"/>
        </w:trPr>
        <w:tc>
          <w:tcPr>
            <w:tcW w:w="759" w:type="dxa"/>
            <w:vAlign w:val="center"/>
          </w:tcPr>
          <w:p w14:paraId="23EDB638">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16</w:t>
            </w:r>
          </w:p>
        </w:tc>
        <w:tc>
          <w:tcPr>
            <w:tcW w:w="1728" w:type="dxa"/>
            <w:vAlign w:val="center"/>
          </w:tcPr>
          <w:p w14:paraId="18C279EF">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分包</w:t>
            </w:r>
          </w:p>
        </w:tc>
        <w:tc>
          <w:tcPr>
            <w:tcW w:w="7492" w:type="dxa"/>
            <w:vAlign w:val="center"/>
          </w:tcPr>
          <w:p w14:paraId="011FE5B9">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☑不允许</w:t>
            </w:r>
          </w:p>
          <w:p w14:paraId="710FE33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□允许，分包内容要求：</w:t>
            </w:r>
          </w:p>
          <w:p w14:paraId="53919E9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分包金额要求：</w:t>
            </w:r>
          </w:p>
          <w:p w14:paraId="07FBA0C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接受分包的第三人资质要求：</w:t>
            </w:r>
          </w:p>
        </w:tc>
      </w:tr>
      <w:tr w14:paraId="7C6E3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759" w:type="dxa"/>
            <w:vAlign w:val="center"/>
          </w:tcPr>
          <w:p w14:paraId="420DB6D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17</w:t>
            </w:r>
          </w:p>
        </w:tc>
        <w:tc>
          <w:tcPr>
            <w:tcW w:w="1728" w:type="dxa"/>
            <w:vAlign w:val="center"/>
          </w:tcPr>
          <w:p w14:paraId="6A0E0EB8">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偏离</w:t>
            </w:r>
          </w:p>
        </w:tc>
        <w:tc>
          <w:tcPr>
            <w:tcW w:w="7492" w:type="dxa"/>
            <w:vAlign w:val="center"/>
          </w:tcPr>
          <w:p w14:paraId="7012C56B">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☑不允许</w:t>
            </w:r>
          </w:p>
          <w:p w14:paraId="50EFE56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□允许，可偏离的项目和范围见第六章“技术标准和要求”：</w:t>
            </w:r>
          </w:p>
          <w:p w14:paraId="323A198E">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允许偏离最高项数： </w:t>
            </w:r>
            <w:r>
              <w:rPr>
                <w:rFonts w:hint="eastAsia" w:ascii="仿宋" w:hAnsi="仿宋" w:eastAsia="仿宋" w:cs="仿宋"/>
                <w:color w:val="auto"/>
                <w:sz w:val="24"/>
                <w:szCs w:val="24"/>
                <w:highlight w:val="none"/>
                <w:lang w:val="en-US"/>
              </w:rPr>
              <w:tab/>
            </w:r>
          </w:p>
          <w:p w14:paraId="10DC841B">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偏差调整方法： </w:t>
            </w:r>
            <w:r>
              <w:rPr>
                <w:rFonts w:hint="eastAsia" w:ascii="仿宋" w:hAnsi="仿宋" w:eastAsia="仿宋" w:cs="仿宋"/>
                <w:color w:val="auto"/>
                <w:sz w:val="24"/>
                <w:szCs w:val="24"/>
                <w:highlight w:val="none"/>
                <w:lang w:val="en-US"/>
              </w:rPr>
              <w:tab/>
            </w:r>
          </w:p>
        </w:tc>
      </w:tr>
      <w:tr w14:paraId="45C9A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403206B8">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18</w:t>
            </w:r>
          </w:p>
        </w:tc>
        <w:tc>
          <w:tcPr>
            <w:tcW w:w="1728" w:type="dxa"/>
            <w:vAlign w:val="center"/>
          </w:tcPr>
          <w:p w14:paraId="4F8F051F">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构成竞争性磋商文件的其他材料</w:t>
            </w:r>
          </w:p>
        </w:tc>
        <w:tc>
          <w:tcPr>
            <w:tcW w:w="7492" w:type="dxa"/>
            <w:vAlign w:val="center"/>
          </w:tcPr>
          <w:p w14:paraId="5460F409">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答疑</w:t>
            </w:r>
            <w:r>
              <w:rPr>
                <w:rFonts w:hint="eastAsia" w:ascii="仿宋" w:hAnsi="仿宋" w:eastAsia="仿宋" w:cs="仿宋"/>
                <w:color w:val="auto"/>
                <w:sz w:val="24"/>
                <w:szCs w:val="24"/>
                <w:highlight w:val="none"/>
                <w:lang w:val="en-US" w:eastAsia="zh-CN"/>
              </w:rPr>
              <w:t>/补充</w:t>
            </w:r>
            <w:r>
              <w:rPr>
                <w:rFonts w:hint="eastAsia" w:ascii="仿宋" w:hAnsi="仿宋" w:eastAsia="仿宋" w:cs="仿宋"/>
                <w:color w:val="auto"/>
                <w:sz w:val="24"/>
                <w:szCs w:val="24"/>
                <w:highlight w:val="none"/>
                <w:lang w:val="en-US"/>
              </w:rPr>
              <w:t>文件</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val="en-US"/>
              </w:rPr>
              <w:t>、工程量清单</w:t>
            </w:r>
            <w:r>
              <w:rPr>
                <w:rFonts w:hint="eastAsia" w:ascii="仿宋" w:hAnsi="仿宋" w:eastAsia="仿宋" w:cs="仿宋"/>
                <w:color w:val="auto"/>
                <w:sz w:val="24"/>
                <w:szCs w:val="24"/>
                <w:highlight w:val="none"/>
                <w:lang w:val="en-US" w:eastAsia="zh-CN"/>
              </w:rPr>
              <w:t>、图纸</w:t>
            </w:r>
            <w:r>
              <w:rPr>
                <w:rFonts w:hint="eastAsia" w:ascii="仿宋" w:hAnsi="仿宋" w:eastAsia="仿宋" w:cs="仿宋"/>
                <w:color w:val="auto"/>
                <w:sz w:val="24"/>
                <w:szCs w:val="24"/>
                <w:highlight w:val="none"/>
                <w:lang w:val="en-US"/>
              </w:rPr>
              <w:t>等</w:t>
            </w:r>
          </w:p>
        </w:tc>
      </w:tr>
      <w:tr w14:paraId="5B9B5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61FED0B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19</w:t>
            </w:r>
          </w:p>
        </w:tc>
        <w:tc>
          <w:tcPr>
            <w:tcW w:w="1728" w:type="dxa"/>
            <w:vAlign w:val="center"/>
          </w:tcPr>
          <w:p w14:paraId="698C5F4C">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供应商要求澄清竞争性磋商文件时间</w:t>
            </w:r>
          </w:p>
        </w:tc>
        <w:tc>
          <w:tcPr>
            <w:tcW w:w="7492" w:type="dxa"/>
            <w:vAlign w:val="center"/>
          </w:tcPr>
          <w:p w14:paraId="57FEEFD1">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提交首次</w:t>
            </w:r>
            <w:r>
              <w:rPr>
                <w:rFonts w:hint="eastAsia" w:ascii="仿宋" w:hAnsi="仿宋" w:eastAsia="仿宋" w:cs="仿宋"/>
                <w:color w:val="auto"/>
                <w:sz w:val="24"/>
                <w:szCs w:val="24"/>
                <w:highlight w:val="none"/>
                <w:lang w:val="en-US"/>
              </w:rPr>
              <w:t>响应文件截止</w:t>
            </w:r>
            <w:r>
              <w:rPr>
                <w:rFonts w:hint="eastAsia" w:ascii="仿宋" w:hAnsi="仿宋" w:eastAsia="仿宋" w:cs="仿宋"/>
                <w:color w:val="auto"/>
                <w:sz w:val="24"/>
                <w:szCs w:val="24"/>
                <w:highlight w:val="none"/>
                <w:lang w:val="en-US" w:eastAsia="zh-CN"/>
              </w:rPr>
              <w:t>时间</w:t>
            </w:r>
            <w:r>
              <w:rPr>
                <w:rFonts w:hint="eastAsia" w:ascii="仿宋" w:hAnsi="仿宋" w:eastAsia="仿宋" w:cs="仿宋"/>
                <w:color w:val="auto"/>
                <w:sz w:val="24"/>
                <w:szCs w:val="24"/>
                <w:highlight w:val="none"/>
                <w:lang w:val="en-US"/>
              </w:rPr>
              <w:t xml:space="preserve"> 5 日前</w:t>
            </w:r>
          </w:p>
          <w:p w14:paraId="29AA3C1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投标疑问的提交：书面形式。接受</w:t>
            </w:r>
            <w:r>
              <w:rPr>
                <w:rFonts w:hint="eastAsia" w:ascii="仿宋" w:hAnsi="仿宋" w:eastAsia="仿宋" w:cs="仿宋"/>
                <w:color w:val="auto"/>
                <w:sz w:val="24"/>
                <w:szCs w:val="24"/>
                <w:highlight w:val="none"/>
                <w:lang w:val="en-US"/>
              </w:rPr>
              <w:t>通过“政采云”及书面形式向采购人、采购代理机构提出质疑。</w:t>
            </w:r>
            <w:r>
              <w:rPr>
                <w:rFonts w:hint="eastAsia" w:ascii="仿宋" w:hAnsi="仿宋" w:eastAsia="仿宋" w:cs="仿宋"/>
                <w:color w:val="auto"/>
                <w:sz w:val="24"/>
                <w:szCs w:val="24"/>
                <w:highlight w:val="none"/>
                <w:lang w:val="en-US" w:eastAsia="zh-CN"/>
              </w:rPr>
              <w:t>同时提供纸质一式二份，加盖单位公章。</w:t>
            </w:r>
          </w:p>
        </w:tc>
      </w:tr>
      <w:tr w14:paraId="6CE43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740AC99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20</w:t>
            </w:r>
          </w:p>
        </w:tc>
        <w:tc>
          <w:tcPr>
            <w:tcW w:w="1728" w:type="dxa"/>
            <w:vAlign w:val="center"/>
          </w:tcPr>
          <w:p w14:paraId="3DE8B424">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eastAsia="zh-CN"/>
              </w:rPr>
              <w:t>文件递交</w:t>
            </w:r>
            <w:r>
              <w:rPr>
                <w:rFonts w:hint="eastAsia" w:ascii="仿宋" w:hAnsi="仿宋" w:eastAsia="仿宋" w:cs="仿宋"/>
                <w:color w:val="auto"/>
                <w:sz w:val="24"/>
                <w:szCs w:val="24"/>
                <w:highlight w:val="none"/>
              </w:rPr>
              <w:t>截止时间</w:t>
            </w:r>
          </w:p>
        </w:tc>
        <w:tc>
          <w:tcPr>
            <w:tcW w:w="7492" w:type="dxa"/>
            <w:vAlign w:val="center"/>
          </w:tcPr>
          <w:p w14:paraId="325E5AEB">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2025年07月01日10点30分</w:t>
            </w:r>
          </w:p>
        </w:tc>
      </w:tr>
      <w:tr w14:paraId="565DE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jc w:val="center"/>
        </w:trPr>
        <w:tc>
          <w:tcPr>
            <w:tcW w:w="759" w:type="dxa"/>
            <w:vAlign w:val="center"/>
          </w:tcPr>
          <w:p w14:paraId="7CEDDEA0">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21</w:t>
            </w:r>
          </w:p>
        </w:tc>
        <w:tc>
          <w:tcPr>
            <w:tcW w:w="1728" w:type="dxa"/>
            <w:vAlign w:val="center"/>
          </w:tcPr>
          <w:p w14:paraId="5C487ADC">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供应商确认收到竞争性磋商文件</w:t>
            </w:r>
          </w:p>
          <w:p w14:paraId="4D6D3FDA">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澄清的时间</w:t>
            </w:r>
          </w:p>
        </w:tc>
        <w:tc>
          <w:tcPr>
            <w:tcW w:w="7492" w:type="dxa"/>
            <w:vAlign w:val="center"/>
          </w:tcPr>
          <w:p w14:paraId="3E9C695A">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在收到相应修改文件后</w:t>
            </w:r>
            <w:r>
              <w:rPr>
                <w:rFonts w:hint="eastAsia" w:ascii="仿宋" w:hAnsi="仿宋" w:eastAsia="仿宋" w:cs="仿宋"/>
                <w:color w:val="auto"/>
                <w:sz w:val="24"/>
                <w:szCs w:val="24"/>
                <w:highlight w:val="none"/>
                <w:lang w:val="en-US" w:eastAsia="zh-CN"/>
              </w:rPr>
              <w:t xml:space="preserve"> 24</w:t>
            </w:r>
            <w:r>
              <w:rPr>
                <w:rFonts w:hint="eastAsia" w:ascii="仿宋" w:hAnsi="仿宋" w:eastAsia="仿宋" w:cs="仿宋"/>
                <w:color w:val="auto"/>
                <w:sz w:val="24"/>
                <w:szCs w:val="24"/>
                <w:highlight w:val="none"/>
                <w:lang w:val="zh-CN" w:eastAsia="zh-CN"/>
              </w:rPr>
              <w:t>小时内</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eastAsia="zh-CN"/>
              </w:rPr>
              <w:t>请潜在</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在参加本项目活动期间关注网站信息，所有有投标意愿的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有义务在网上自行查询，无需书面回复。磋商文件的澄清、修改、变更、延期等文件一经发布即视为已告知了所有已报名的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，因</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自身原因没有及时查看、下载文件导致的一切后果由投标人自行负责。</w:t>
            </w:r>
          </w:p>
        </w:tc>
      </w:tr>
      <w:tr w14:paraId="7A3F8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759" w:type="dxa"/>
            <w:vAlign w:val="center"/>
          </w:tcPr>
          <w:p w14:paraId="0A311609">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22</w:t>
            </w:r>
          </w:p>
        </w:tc>
        <w:tc>
          <w:tcPr>
            <w:tcW w:w="1728" w:type="dxa"/>
            <w:vAlign w:val="center"/>
          </w:tcPr>
          <w:p w14:paraId="34DFE2B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供应商确认收到</w:t>
            </w:r>
          </w:p>
          <w:p w14:paraId="6089980C">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竞争性磋商文件修改的时间</w:t>
            </w:r>
          </w:p>
        </w:tc>
        <w:tc>
          <w:tcPr>
            <w:tcW w:w="7492" w:type="dxa"/>
            <w:vAlign w:val="center"/>
          </w:tcPr>
          <w:p w14:paraId="15D0A42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在收到相应修改文件后</w:t>
            </w:r>
            <w:r>
              <w:rPr>
                <w:rFonts w:hint="eastAsia" w:ascii="仿宋" w:hAnsi="仿宋" w:eastAsia="仿宋" w:cs="仿宋"/>
                <w:color w:val="auto"/>
                <w:sz w:val="24"/>
                <w:szCs w:val="24"/>
                <w:highlight w:val="none"/>
                <w:lang w:val="en-US" w:eastAsia="zh-CN"/>
              </w:rPr>
              <w:t xml:space="preserve"> 24</w:t>
            </w:r>
            <w:r>
              <w:rPr>
                <w:rFonts w:hint="eastAsia" w:ascii="仿宋" w:hAnsi="仿宋" w:eastAsia="仿宋" w:cs="仿宋"/>
                <w:color w:val="auto"/>
                <w:sz w:val="24"/>
                <w:szCs w:val="24"/>
                <w:highlight w:val="none"/>
                <w:lang w:val="zh-CN" w:eastAsia="zh-CN"/>
              </w:rPr>
              <w:t>小时内</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eastAsia="zh-CN"/>
              </w:rPr>
              <w:t>请潜在</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在参加本项目活动期间关注网站信息，所有有投标意愿的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有义务在网上自行查询，无需书面回复。磋商文件的澄清、修改、变更、延期等文件一经发布即视为已告知了所有已报名的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，因</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自身原因没有及时查看、下载文件导致的一切后果由投标人自行负责。</w:t>
            </w:r>
          </w:p>
        </w:tc>
      </w:tr>
      <w:tr w14:paraId="10789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7F49E916">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23</w:t>
            </w:r>
          </w:p>
        </w:tc>
        <w:tc>
          <w:tcPr>
            <w:tcW w:w="1728" w:type="dxa"/>
            <w:vAlign w:val="center"/>
          </w:tcPr>
          <w:p w14:paraId="20EFCA35">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构成响应文件的其他材料</w:t>
            </w:r>
          </w:p>
        </w:tc>
        <w:tc>
          <w:tcPr>
            <w:tcW w:w="7492" w:type="dxa"/>
            <w:vAlign w:val="center"/>
          </w:tcPr>
          <w:p w14:paraId="13855564">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4F2C8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vAlign w:val="center"/>
          </w:tcPr>
          <w:p w14:paraId="5CEFDCD6">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24</w:t>
            </w:r>
          </w:p>
        </w:tc>
        <w:tc>
          <w:tcPr>
            <w:tcW w:w="1728" w:type="dxa"/>
            <w:vAlign w:val="center"/>
          </w:tcPr>
          <w:p w14:paraId="46D7F83D">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*磋商有效期</w:t>
            </w:r>
          </w:p>
        </w:tc>
        <w:tc>
          <w:tcPr>
            <w:tcW w:w="7492" w:type="dxa"/>
            <w:vAlign w:val="center"/>
          </w:tcPr>
          <w:p w14:paraId="04289AB6">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90 天（日历天）</w:t>
            </w:r>
          </w:p>
        </w:tc>
      </w:tr>
      <w:tr w14:paraId="1E361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vAlign w:val="center"/>
          </w:tcPr>
          <w:p w14:paraId="4AB23DB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25</w:t>
            </w:r>
          </w:p>
        </w:tc>
        <w:tc>
          <w:tcPr>
            <w:tcW w:w="1728" w:type="dxa"/>
            <w:vAlign w:val="center"/>
          </w:tcPr>
          <w:p w14:paraId="7C08CAED">
            <w:pPr>
              <w:pStyle w:val="50"/>
              <w:keepNext w:val="0"/>
              <w:keepLines w:val="0"/>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sz w:val="24"/>
                <w:szCs w:val="24"/>
                <w:highlight w:val="none"/>
              </w:rPr>
              <w:t>*磋商保证金</w:t>
            </w:r>
          </w:p>
        </w:tc>
        <w:tc>
          <w:tcPr>
            <w:tcW w:w="7492" w:type="dxa"/>
            <w:vAlign w:val="center"/>
          </w:tcPr>
          <w:p w14:paraId="12846495">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eastAsia="zh-CN"/>
              </w:rPr>
              <w:t>磋商保证金的形式：</w:t>
            </w:r>
            <w:r>
              <w:rPr>
                <w:rFonts w:hint="eastAsia" w:ascii="仿宋" w:hAnsi="仿宋" w:eastAsia="仿宋" w:cs="仿宋"/>
                <w:b w:val="0"/>
                <w:bCs w:val="0"/>
                <w:color w:val="auto"/>
                <w:sz w:val="24"/>
                <w:szCs w:val="24"/>
                <w:highlight w:val="none"/>
                <w:lang w:val="zh-CN" w:eastAsia="zh-CN"/>
              </w:rPr>
              <w:t>银行转账、支票、汇票、本票或者金融机构、担保机构出具的保函等非现金形式交纳。银行转账或支票形式提交的磋商保证金应当从供应商的基本账户转出。</w:t>
            </w:r>
          </w:p>
          <w:p w14:paraId="087BECCD">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eastAsia="zh-CN"/>
              </w:rPr>
              <w:t>磋商保证金递交的时间及方式：</w:t>
            </w:r>
            <w:r>
              <w:rPr>
                <w:rFonts w:hint="eastAsia" w:ascii="仿宋" w:hAnsi="仿宋" w:eastAsia="仿宋" w:cs="仿宋"/>
                <w:color w:val="auto"/>
                <w:sz w:val="24"/>
                <w:szCs w:val="24"/>
                <w:highlight w:val="none"/>
                <w:lang w:val="zh-CN" w:eastAsia="zh-CN"/>
              </w:rPr>
              <w:t xml:space="preserve">供应商须在投标截止时间前将磋商保证金存入指定账户。磋商保证金的确认以最终到账日期为准。 </w:t>
            </w:r>
          </w:p>
          <w:p w14:paraId="5F814295">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磋商保证金的金额：人民币</w:t>
            </w:r>
            <w:r>
              <w:rPr>
                <w:rFonts w:hint="eastAsia" w:ascii="仿宋" w:hAnsi="仿宋" w:eastAsia="仿宋" w:cs="仿宋"/>
                <w:color w:val="auto"/>
                <w:sz w:val="24"/>
                <w:szCs w:val="24"/>
                <w:highlight w:val="none"/>
                <w:lang w:val="en-US" w:eastAsia="zh-CN"/>
              </w:rPr>
              <w:t>14000</w:t>
            </w:r>
            <w:r>
              <w:rPr>
                <w:rFonts w:hint="eastAsia" w:ascii="仿宋" w:hAnsi="仿宋" w:eastAsia="仿宋" w:cs="仿宋"/>
                <w:color w:val="auto"/>
                <w:sz w:val="24"/>
                <w:szCs w:val="24"/>
                <w:highlight w:val="none"/>
                <w:lang w:val="zh-CN" w:eastAsia="zh-CN"/>
              </w:rPr>
              <w:t>元整（依据长财采购[2021]695 号文件，免收诚信记录良好供应商的磋商保证金，经“信用中国”网站 查询存在行政处罚信息的供应商，须按规定递交</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lang w:val="zh-CN" w:eastAsia="zh-CN"/>
              </w:rPr>
              <w:t>保证金并将保证金截图或查询截图发送采购代理机构邮箱</w:t>
            </w:r>
            <w:r>
              <w:rPr>
                <w:rFonts w:hint="eastAsia" w:ascii="仿宋" w:hAnsi="仿宋" w:eastAsia="仿宋" w:cs="仿宋"/>
                <w:color w:val="auto"/>
                <w:sz w:val="24"/>
                <w:szCs w:val="24"/>
                <w:highlight w:val="none"/>
                <w:lang w:val="en-US" w:eastAsia="zh-CN"/>
              </w:rPr>
              <w:t>17386805697@163.com</w:t>
            </w:r>
            <w:r>
              <w:rPr>
                <w:rFonts w:hint="eastAsia" w:ascii="仿宋" w:hAnsi="仿宋" w:eastAsia="仿宋" w:cs="仿宋"/>
                <w:color w:val="auto"/>
                <w:sz w:val="24"/>
                <w:szCs w:val="24"/>
                <w:highlight w:val="none"/>
                <w:lang w:val="zh-CN" w:eastAsia="zh-CN"/>
              </w:rPr>
              <w:t>）。</w:t>
            </w:r>
          </w:p>
          <w:p w14:paraId="372B551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zh-CN" w:eastAsia="zh-CN"/>
              </w:rPr>
              <w:t>磋商保证金银行账号：</w:t>
            </w:r>
          </w:p>
          <w:p w14:paraId="41EB0662">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账户名称：吉林省中舜工程咨询有限公司</w:t>
            </w:r>
          </w:p>
          <w:p w14:paraId="2D11A673">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收款单位开户银行：吉林银行股份有限公司长春平阳支行</w:t>
            </w:r>
          </w:p>
          <w:p w14:paraId="04D8D4C9">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收款单位账</w:t>
            </w:r>
            <w:r>
              <w:rPr>
                <w:rFonts w:hint="eastAsia" w:ascii="仿宋" w:hAnsi="仿宋" w:eastAsia="仿宋" w:cs="仿宋"/>
                <w:b w:val="0"/>
                <w:bCs w:val="0"/>
                <w:color w:val="auto"/>
                <w:sz w:val="24"/>
                <w:szCs w:val="24"/>
                <w:highlight w:val="none"/>
                <w:lang w:val="en-US" w:eastAsia="zh-CN"/>
              </w:rPr>
              <w:t>号</w:t>
            </w:r>
            <w:r>
              <w:rPr>
                <w:rFonts w:hint="eastAsia" w:ascii="仿宋" w:hAnsi="仿宋" w:eastAsia="仿宋" w:cs="仿宋"/>
                <w:b w:val="0"/>
                <w:bCs w:val="0"/>
                <w:color w:val="auto"/>
                <w:sz w:val="24"/>
                <w:szCs w:val="24"/>
                <w:highlight w:val="none"/>
                <w:lang w:val="zh-CN" w:eastAsia="zh-CN"/>
              </w:rPr>
              <w:t>：8935808010000001</w:t>
            </w:r>
          </w:p>
          <w:p w14:paraId="68DEF204">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eastAsia="zh-CN"/>
              </w:rPr>
              <w:t xml:space="preserve">磋商保证金须知： </w:t>
            </w:r>
          </w:p>
          <w:p w14:paraId="057960AE">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磋商保证金应当在提交响应文件截止时间前</w:t>
            </w:r>
            <w:r>
              <w:rPr>
                <w:rFonts w:hint="eastAsia" w:ascii="仿宋" w:hAnsi="仿宋" w:eastAsia="仿宋" w:cs="仿宋"/>
                <w:color w:val="auto"/>
                <w:sz w:val="24"/>
                <w:szCs w:val="24"/>
                <w:highlight w:val="none"/>
                <w:lang w:val="en-US" w:eastAsia="zh-CN"/>
              </w:rPr>
              <w:t>递交</w:t>
            </w:r>
            <w:r>
              <w:rPr>
                <w:rFonts w:hint="eastAsia" w:ascii="仿宋" w:hAnsi="仿宋" w:eastAsia="仿宋" w:cs="仿宋"/>
                <w:color w:val="auto"/>
                <w:sz w:val="24"/>
                <w:szCs w:val="24"/>
                <w:highlight w:val="none"/>
                <w:lang w:val="zh-CN" w:eastAsia="zh-CN"/>
              </w:rPr>
              <w:t xml:space="preserve">。 </w:t>
            </w:r>
          </w:p>
          <w:p w14:paraId="33D17F11">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采用保函形式的，供应商应在提交响应文件截止时间前递交保函原件</w:t>
            </w:r>
            <w:r>
              <w:rPr>
                <w:rFonts w:hint="eastAsia" w:ascii="仿宋" w:hAnsi="仿宋" w:eastAsia="仿宋" w:cs="仿宋"/>
                <w:color w:val="auto"/>
                <w:sz w:val="24"/>
                <w:szCs w:val="24"/>
                <w:highlight w:val="none"/>
                <w:lang w:val="en-US" w:eastAsia="zh-CN"/>
              </w:rPr>
              <w:t>到开启现场</w:t>
            </w:r>
            <w:r>
              <w:rPr>
                <w:rFonts w:hint="eastAsia" w:ascii="仿宋" w:hAnsi="仿宋" w:eastAsia="仿宋" w:cs="仿宋"/>
                <w:color w:val="auto"/>
                <w:sz w:val="24"/>
                <w:szCs w:val="24"/>
                <w:highlight w:val="none"/>
                <w:lang w:val="zh-CN" w:eastAsia="zh-CN"/>
              </w:rPr>
              <w:t xml:space="preserve">。未按要求递交保函原件的，投标无效。 </w:t>
            </w:r>
          </w:p>
          <w:p w14:paraId="41A9282D">
            <w:pPr>
              <w:pStyle w:val="50"/>
              <w:keepNext w:val="0"/>
              <w:keepLines w:val="0"/>
              <w:pageBreakBefore w:val="0"/>
              <w:kinsoku/>
              <w:wordWrap/>
              <w:overflowPunct/>
              <w:topLinePunct w:val="0"/>
              <w:bidi w:val="0"/>
              <w:adjustRightInd w:val="0"/>
              <w:snapToGrid w:val="0"/>
              <w:spacing w:line="360" w:lineRule="auto"/>
              <w:ind w:left="0" w:leftChars="0" w:right="0" w:rightChars="0" w:firstLine="0" w:firstLineChars="0"/>
              <w:jc w:val="both"/>
              <w:rPr>
                <w:rFonts w:hint="eastAsia" w:ascii="仿宋" w:hAnsi="仿宋" w:eastAsia="仿宋" w:cs="仿宋"/>
                <w:b/>
                <w:bCs/>
                <w:color w:val="auto"/>
                <w:kern w:val="2"/>
                <w:sz w:val="24"/>
                <w:szCs w:val="24"/>
                <w:highlight w:val="none"/>
                <w:lang w:val="zh-CN" w:eastAsia="zh-CN" w:bidi="zh-CN"/>
              </w:rPr>
            </w:pPr>
            <w:r>
              <w:rPr>
                <w:rFonts w:hint="eastAsia" w:ascii="仿宋" w:hAnsi="仿宋" w:eastAsia="仿宋" w:cs="仿宋"/>
                <w:color w:val="auto"/>
                <w:sz w:val="24"/>
                <w:szCs w:val="24"/>
                <w:highlight w:val="none"/>
                <w:lang w:val="zh-CN" w:eastAsia="zh-CN"/>
              </w:rPr>
              <w:t>温馨提示：供应商在交纳保证金时，请备注中注明本项目的项目名称，便于查询相关信息。</w:t>
            </w:r>
          </w:p>
        </w:tc>
      </w:tr>
      <w:tr w14:paraId="5B483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jc w:val="center"/>
        </w:trPr>
        <w:tc>
          <w:tcPr>
            <w:tcW w:w="759" w:type="dxa"/>
            <w:vAlign w:val="center"/>
          </w:tcPr>
          <w:p w14:paraId="3A99E00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26</w:t>
            </w:r>
          </w:p>
        </w:tc>
        <w:tc>
          <w:tcPr>
            <w:tcW w:w="1728" w:type="dxa"/>
            <w:vAlign w:val="center"/>
          </w:tcPr>
          <w:p w14:paraId="2B90BFF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近年财务状况的年份要求</w:t>
            </w:r>
          </w:p>
        </w:tc>
        <w:tc>
          <w:tcPr>
            <w:tcW w:w="7492" w:type="dxa"/>
            <w:vAlign w:val="center"/>
          </w:tcPr>
          <w:p w14:paraId="034805CB">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2024年</w:t>
            </w:r>
          </w:p>
        </w:tc>
      </w:tr>
      <w:tr w14:paraId="4A406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vAlign w:val="center"/>
          </w:tcPr>
          <w:p w14:paraId="2ADE55A8">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27</w:t>
            </w:r>
          </w:p>
        </w:tc>
        <w:tc>
          <w:tcPr>
            <w:tcW w:w="1728" w:type="dxa"/>
            <w:vAlign w:val="center"/>
          </w:tcPr>
          <w:p w14:paraId="44B3160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近年完成的类似项目的年份要求</w:t>
            </w:r>
          </w:p>
        </w:tc>
        <w:tc>
          <w:tcPr>
            <w:tcW w:w="7492" w:type="dxa"/>
            <w:vAlign w:val="center"/>
          </w:tcPr>
          <w:p w14:paraId="3C34E01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20</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lang w:val="en-US"/>
              </w:rPr>
              <w:t>年</w:t>
            </w:r>
            <w:r>
              <w:rPr>
                <w:rFonts w:hint="eastAsia" w:ascii="仿宋" w:hAnsi="仿宋" w:eastAsia="仿宋" w:cs="仿宋"/>
                <w:color w:val="auto"/>
                <w:sz w:val="24"/>
                <w:szCs w:val="24"/>
                <w:highlight w:val="none"/>
                <w:lang w:val="en-US" w:eastAsia="zh-CN"/>
              </w:rPr>
              <w:t>1月1日至今</w:t>
            </w:r>
          </w:p>
        </w:tc>
      </w:tr>
      <w:tr w14:paraId="0FE91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759" w:type="dxa"/>
            <w:vAlign w:val="center"/>
          </w:tcPr>
          <w:p w14:paraId="46FB857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28</w:t>
            </w:r>
          </w:p>
        </w:tc>
        <w:tc>
          <w:tcPr>
            <w:tcW w:w="1728" w:type="dxa"/>
            <w:vAlign w:val="center"/>
          </w:tcPr>
          <w:p w14:paraId="7F0446CF">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rPr>
              <w:t>是否允许递交备选响应方案</w:t>
            </w:r>
          </w:p>
        </w:tc>
        <w:tc>
          <w:tcPr>
            <w:tcW w:w="7492" w:type="dxa"/>
            <w:vAlign w:val="center"/>
          </w:tcPr>
          <w:p w14:paraId="4DE4F89D">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☑不允许</w:t>
            </w:r>
          </w:p>
          <w:p w14:paraId="0D2CCDE6">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□允许，备选响应方案的编制要求见附表七“备选响应方案编制要求”，评审和比较方法见第三章“评审办法”。</w:t>
            </w:r>
          </w:p>
        </w:tc>
      </w:tr>
      <w:tr w14:paraId="17165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jc w:val="center"/>
        </w:trPr>
        <w:tc>
          <w:tcPr>
            <w:tcW w:w="759" w:type="dxa"/>
            <w:vAlign w:val="center"/>
          </w:tcPr>
          <w:p w14:paraId="71175E95">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29</w:t>
            </w:r>
          </w:p>
        </w:tc>
        <w:tc>
          <w:tcPr>
            <w:tcW w:w="1728" w:type="dxa"/>
            <w:vAlign w:val="center"/>
          </w:tcPr>
          <w:p w14:paraId="076334B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rPr>
              <w:t>响应文件份数</w:t>
            </w:r>
          </w:p>
        </w:tc>
        <w:tc>
          <w:tcPr>
            <w:tcW w:w="7492" w:type="dxa"/>
            <w:vAlign w:val="center"/>
          </w:tcPr>
          <w:p w14:paraId="04C66EB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正本1份、</w:t>
            </w:r>
            <w:r>
              <w:rPr>
                <w:rFonts w:hint="eastAsia" w:ascii="仿宋" w:hAnsi="仿宋" w:eastAsia="仿宋" w:cs="仿宋"/>
                <w:color w:val="auto"/>
                <w:sz w:val="24"/>
                <w:szCs w:val="24"/>
                <w:highlight w:val="none"/>
                <w:lang w:val="en-US" w:eastAsia="zh-CN"/>
              </w:rPr>
              <w:t>副本3份</w:t>
            </w:r>
            <w:r>
              <w:rPr>
                <w:rFonts w:hint="eastAsia" w:ascii="仿宋" w:hAnsi="仿宋" w:eastAsia="仿宋" w:cs="仿宋"/>
                <w:color w:val="auto"/>
                <w:sz w:val="24"/>
                <w:szCs w:val="24"/>
                <w:highlight w:val="none"/>
                <w:lang w:val="en-US"/>
              </w:rPr>
              <w:t>、</w:t>
            </w:r>
            <w:r>
              <w:rPr>
                <w:rFonts w:hint="eastAsia" w:ascii="仿宋" w:hAnsi="仿宋" w:eastAsia="仿宋" w:cs="仿宋"/>
                <w:bCs/>
                <w:color w:val="auto"/>
                <w:sz w:val="24"/>
                <w:szCs w:val="24"/>
                <w:highlight w:val="none"/>
              </w:rPr>
              <w:t>电子版（U盘）2份</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内含word版本及上传到政采云平台的签字盖章版本</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w:t>
            </w:r>
          </w:p>
        </w:tc>
      </w:tr>
      <w:tr w14:paraId="191DC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vAlign w:val="center"/>
          </w:tcPr>
          <w:p w14:paraId="0957B86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30</w:t>
            </w:r>
          </w:p>
        </w:tc>
        <w:tc>
          <w:tcPr>
            <w:tcW w:w="1728" w:type="dxa"/>
            <w:vAlign w:val="center"/>
          </w:tcPr>
          <w:p w14:paraId="5AC311E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rPr>
              <w:t>签字或盖章要求</w:t>
            </w:r>
          </w:p>
        </w:tc>
        <w:tc>
          <w:tcPr>
            <w:tcW w:w="7492" w:type="dxa"/>
            <w:vAlign w:val="center"/>
          </w:tcPr>
          <w:p w14:paraId="792844D6">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1.所有要求签字的地方都应用不褪色的墨水或签字笔由本人亲笔手写签字（包括姓和名），不得用盖章（如签名章、签字章等）代替，也不得由他人代签。</w:t>
            </w:r>
          </w:p>
          <w:p w14:paraId="2BEC085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2.所有要求盖章的地方都应按照竞争性磋商文件的规定加盖与供应商名称全称相一致的标准公章，不得使用彩喷或者彩印的印章、不得使用专用章（如经济合同章、投标专用章等）或下属单位印章代替。</w:t>
            </w:r>
          </w:p>
          <w:p w14:paraId="2D6B2D83">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响应文件格式中要求供应商“法定代表人或其委托代理人”签字的，如法定代表人亲自投标而不委托代理人投标，由法定代表人签字；如法定代表人授权委托代理人投标，由委托代理人签字，也可由法定代表人签字。</w:t>
            </w:r>
          </w:p>
          <w:p w14:paraId="2BC53E1C">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4.响应文件应尽量避免涂改和插字，如有修改，除了按采购人书面请示进行修改的以外，均应由法定代表人（或授权委托人）在修改处盖章或签名确认。</w:t>
            </w:r>
          </w:p>
        </w:tc>
      </w:tr>
      <w:tr w14:paraId="4C000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25018D93">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31</w:t>
            </w:r>
          </w:p>
        </w:tc>
        <w:tc>
          <w:tcPr>
            <w:tcW w:w="1728" w:type="dxa"/>
            <w:vAlign w:val="center"/>
          </w:tcPr>
          <w:p w14:paraId="51679ADD">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rPr>
              <w:t>装订要求</w:t>
            </w:r>
          </w:p>
        </w:tc>
        <w:tc>
          <w:tcPr>
            <w:tcW w:w="7492" w:type="dxa"/>
            <w:vAlign w:val="center"/>
          </w:tcPr>
          <w:p w14:paraId="7A5A5EFD">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val="zh-CN"/>
              </w:rPr>
              <w:t>响应文件的装订要整齐、牢固，便于保管和利用</w:t>
            </w:r>
            <w:r>
              <w:rPr>
                <w:rFonts w:hint="eastAsia" w:ascii="仿宋" w:hAnsi="仿宋" w:eastAsia="仿宋" w:cs="仿宋"/>
                <w:color w:val="auto"/>
                <w:sz w:val="24"/>
                <w:szCs w:val="24"/>
                <w:highlight w:val="none"/>
              </w:rPr>
              <w:t>，不易拆散和换页，不得采用活页装订。*响应文件用纸统一使用A4规格复印纸。</w:t>
            </w:r>
          </w:p>
        </w:tc>
      </w:tr>
      <w:tr w14:paraId="724C2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759" w:type="dxa"/>
            <w:vAlign w:val="center"/>
          </w:tcPr>
          <w:p w14:paraId="0C6BA934">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32</w:t>
            </w:r>
          </w:p>
        </w:tc>
        <w:tc>
          <w:tcPr>
            <w:tcW w:w="1728" w:type="dxa"/>
            <w:vAlign w:val="center"/>
          </w:tcPr>
          <w:p w14:paraId="14C7BB29">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封套上写明</w:t>
            </w:r>
          </w:p>
        </w:tc>
        <w:tc>
          <w:tcPr>
            <w:tcW w:w="7492" w:type="dxa"/>
            <w:vAlign w:val="center"/>
          </w:tcPr>
          <w:p w14:paraId="41D2DD1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格式及签章盖章符合</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文件要求，详见投标人须知4.1.3。</w:t>
            </w:r>
          </w:p>
        </w:tc>
      </w:tr>
      <w:tr w14:paraId="2A9A3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4C998960">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33</w:t>
            </w:r>
          </w:p>
        </w:tc>
        <w:tc>
          <w:tcPr>
            <w:tcW w:w="1728" w:type="dxa"/>
            <w:vAlign w:val="center"/>
          </w:tcPr>
          <w:p w14:paraId="15930210">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递交响应文件地点</w:t>
            </w:r>
          </w:p>
        </w:tc>
        <w:tc>
          <w:tcPr>
            <w:tcW w:w="7492" w:type="dxa"/>
            <w:vAlign w:val="center"/>
          </w:tcPr>
          <w:p w14:paraId="38BEFB51">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长春市二道区洋浦大街6999号凯利中心AB栋101开标四室。</w:t>
            </w:r>
          </w:p>
        </w:tc>
      </w:tr>
      <w:tr w14:paraId="752B5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vAlign w:val="center"/>
          </w:tcPr>
          <w:p w14:paraId="35BA218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34</w:t>
            </w:r>
          </w:p>
        </w:tc>
        <w:tc>
          <w:tcPr>
            <w:tcW w:w="1728" w:type="dxa"/>
            <w:vAlign w:val="center"/>
          </w:tcPr>
          <w:p w14:paraId="18ACDA3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是否退还响应文件</w:t>
            </w:r>
          </w:p>
        </w:tc>
        <w:tc>
          <w:tcPr>
            <w:tcW w:w="7492" w:type="dxa"/>
            <w:vAlign w:val="center"/>
          </w:tcPr>
          <w:p w14:paraId="552E703E">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否</w:t>
            </w:r>
            <w:r>
              <w:rPr>
                <w:rFonts w:hint="eastAsia" w:ascii="仿宋" w:hAnsi="仿宋" w:eastAsia="仿宋" w:cs="仿宋"/>
                <w:color w:val="auto"/>
                <w:sz w:val="24"/>
                <w:szCs w:val="24"/>
                <w:highlight w:val="none"/>
                <w:lang w:val="en-US" w:eastAsia="zh-CN"/>
              </w:rPr>
              <w:t>。</w:t>
            </w:r>
          </w:p>
        </w:tc>
      </w:tr>
      <w:tr w14:paraId="63F71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vAlign w:val="center"/>
          </w:tcPr>
          <w:p w14:paraId="16ED143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35</w:t>
            </w:r>
          </w:p>
        </w:tc>
        <w:tc>
          <w:tcPr>
            <w:tcW w:w="1728" w:type="dxa"/>
            <w:vAlign w:val="center"/>
          </w:tcPr>
          <w:p w14:paraId="0A191E8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磋商时间和地点</w:t>
            </w:r>
          </w:p>
        </w:tc>
        <w:tc>
          <w:tcPr>
            <w:tcW w:w="7492" w:type="dxa"/>
            <w:vAlign w:val="center"/>
          </w:tcPr>
          <w:p w14:paraId="2143F04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磋商时间：</w:t>
            </w:r>
            <w:r>
              <w:rPr>
                <w:rFonts w:hint="eastAsia" w:ascii="仿宋" w:hAnsi="仿宋" w:eastAsia="仿宋" w:cs="仿宋"/>
                <w:color w:val="auto"/>
                <w:sz w:val="24"/>
                <w:szCs w:val="24"/>
                <w:highlight w:val="none"/>
                <w:lang w:val="en-US" w:eastAsia="zh-CN"/>
              </w:rPr>
              <w:t>2025年07月01日10点30分</w:t>
            </w:r>
            <w:r>
              <w:rPr>
                <w:rFonts w:hint="eastAsia" w:ascii="仿宋" w:hAnsi="仿宋" w:eastAsia="仿宋" w:cs="仿宋"/>
                <w:bCs/>
                <w:color w:val="auto"/>
                <w:kern w:val="2"/>
                <w:sz w:val="24"/>
                <w:szCs w:val="24"/>
                <w:highlight w:val="none"/>
                <w:u w:val="none"/>
                <w:lang w:val="en-US" w:eastAsia="zh-CN" w:bidi="ar-SA"/>
              </w:rPr>
              <w:t>。</w:t>
            </w:r>
          </w:p>
          <w:p w14:paraId="1C1A1D1B">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地点：</w:t>
            </w:r>
            <w:r>
              <w:rPr>
                <w:rFonts w:hint="eastAsia" w:ascii="仿宋" w:hAnsi="仿宋" w:eastAsia="仿宋" w:cs="仿宋"/>
                <w:color w:val="auto"/>
                <w:sz w:val="24"/>
                <w:szCs w:val="24"/>
                <w:highlight w:val="none"/>
                <w:lang w:val="en-US" w:eastAsia="zh-CN"/>
              </w:rPr>
              <w:t>长春市二道区洋浦大街6999号凯利中心AB栋101</w:t>
            </w:r>
            <w:r>
              <w:rPr>
                <w:rFonts w:hint="eastAsia" w:ascii="仿宋" w:hAnsi="仿宋" w:eastAsia="仿宋" w:cs="仿宋"/>
                <w:color w:val="auto"/>
                <w:sz w:val="24"/>
                <w:szCs w:val="24"/>
                <w:highlight w:val="none"/>
                <w:lang w:val="en-US" w:eastAsia="zh-CN"/>
              </w:rPr>
              <w:t>开标四室。</w:t>
            </w:r>
          </w:p>
        </w:tc>
      </w:tr>
      <w:tr w14:paraId="62B74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4470CEAA">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36</w:t>
            </w:r>
          </w:p>
        </w:tc>
        <w:tc>
          <w:tcPr>
            <w:tcW w:w="1728" w:type="dxa"/>
            <w:vAlign w:val="center"/>
          </w:tcPr>
          <w:p w14:paraId="3964254F">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开</w:t>
            </w:r>
            <w:r>
              <w:rPr>
                <w:rFonts w:hint="eastAsia" w:ascii="仿宋" w:hAnsi="仿宋" w:eastAsia="仿宋" w:cs="仿宋"/>
                <w:bCs/>
                <w:color w:val="auto"/>
                <w:sz w:val="24"/>
                <w:szCs w:val="24"/>
                <w:highlight w:val="none"/>
                <w:lang w:val="en-US" w:eastAsia="zh-CN"/>
              </w:rPr>
              <w:t>启</w:t>
            </w:r>
            <w:r>
              <w:rPr>
                <w:rFonts w:hint="eastAsia" w:ascii="仿宋" w:hAnsi="仿宋" w:eastAsia="仿宋" w:cs="仿宋"/>
                <w:bCs/>
                <w:color w:val="auto"/>
                <w:sz w:val="24"/>
                <w:szCs w:val="24"/>
                <w:highlight w:val="none"/>
                <w:lang w:val="en-US"/>
              </w:rPr>
              <w:t>程序</w:t>
            </w:r>
          </w:p>
        </w:tc>
        <w:tc>
          <w:tcPr>
            <w:tcW w:w="7492" w:type="dxa"/>
            <w:vAlign w:val="center"/>
          </w:tcPr>
          <w:p w14:paraId="0CF1B83F">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解密</w:t>
            </w:r>
            <w:r>
              <w:rPr>
                <w:rFonts w:hint="eastAsia" w:ascii="仿宋" w:hAnsi="仿宋" w:eastAsia="仿宋" w:cs="仿宋"/>
                <w:color w:val="auto"/>
                <w:sz w:val="24"/>
                <w:szCs w:val="24"/>
                <w:highlight w:val="none"/>
                <w:lang w:val="en-US"/>
              </w:rPr>
              <w:t>情况：</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US"/>
              </w:rPr>
              <w:t>在开</w:t>
            </w:r>
            <w:r>
              <w:rPr>
                <w:rFonts w:hint="eastAsia" w:ascii="仿宋" w:hAnsi="仿宋" w:eastAsia="仿宋" w:cs="仿宋"/>
                <w:color w:val="auto"/>
                <w:sz w:val="24"/>
                <w:szCs w:val="24"/>
                <w:highlight w:val="none"/>
                <w:lang w:val="en-US" w:eastAsia="zh-CN"/>
              </w:rPr>
              <w:t>启时间开始到规定的时间内</w:t>
            </w:r>
            <w:r>
              <w:rPr>
                <w:rFonts w:hint="eastAsia" w:ascii="仿宋" w:hAnsi="仿宋" w:eastAsia="仿宋" w:cs="仿宋"/>
                <w:color w:val="auto"/>
                <w:sz w:val="24"/>
                <w:szCs w:val="24"/>
                <w:highlight w:val="none"/>
                <w:lang w:val="en-US"/>
              </w:rPr>
              <w:t>持编制投标文件的供应商数字证书</w:t>
            </w:r>
            <w:r>
              <w:rPr>
                <w:rFonts w:hint="eastAsia" w:ascii="仿宋" w:hAnsi="仿宋" w:eastAsia="仿宋" w:cs="仿宋"/>
                <w:color w:val="auto"/>
                <w:sz w:val="24"/>
                <w:szCs w:val="24"/>
                <w:highlight w:val="none"/>
                <w:lang w:val="en-US" w:eastAsia="zh-CN"/>
              </w:rPr>
              <w:t>远程</w:t>
            </w:r>
            <w:r>
              <w:rPr>
                <w:rFonts w:hint="eastAsia" w:ascii="仿宋" w:hAnsi="仿宋" w:eastAsia="仿宋" w:cs="仿宋"/>
                <w:color w:val="auto"/>
                <w:sz w:val="24"/>
                <w:szCs w:val="24"/>
                <w:highlight w:val="none"/>
                <w:lang w:val="en-US"/>
              </w:rPr>
              <w:t>解密；</w:t>
            </w:r>
            <w:r>
              <w:rPr>
                <w:rFonts w:hint="eastAsia" w:ascii="仿宋" w:hAnsi="仿宋" w:eastAsia="仿宋" w:cs="仿宋"/>
                <w:color w:val="auto"/>
                <w:sz w:val="24"/>
                <w:szCs w:val="24"/>
                <w:highlight w:val="none"/>
                <w:lang w:val="en-US" w:eastAsia="zh-CN"/>
              </w:rPr>
              <w:t>未解密或解密不成功的视为未递交响应文件。</w:t>
            </w:r>
          </w:p>
          <w:p w14:paraId="2B7773C9">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lang w:val="en-US"/>
              </w:rPr>
              <w:t>顺序：按</w:t>
            </w:r>
            <w:r>
              <w:rPr>
                <w:rFonts w:hint="eastAsia" w:ascii="仿宋" w:hAnsi="仿宋" w:eastAsia="仿宋" w:cs="仿宋"/>
                <w:color w:val="auto"/>
                <w:sz w:val="24"/>
                <w:szCs w:val="24"/>
                <w:highlight w:val="none"/>
                <w:lang w:val="en-US" w:eastAsia="zh-CN"/>
              </w:rPr>
              <w:t>系统</w:t>
            </w:r>
            <w:r>
              <w:rPr>
                <w:rFonts w:hint="eastAsia" w:ascii="仿宋" w:hAnsi="仿宋" w:eastAsia="仿宋" w:cs="仿宋"/>
                <w:color w:val="auto"/>
                <w:sz w:val="24"/>
                <w:szCs w:val="24"/>
                <w:highlight w:val="none"/>
                <w:lang w:val="en-US"/>
              </w:rPr>
              <w:t>顺序进行。</w:t>
            </w:r>
          </w:p>
        </w:tc>
      </w:tr>
      <w:tr w14:paraId="6ED12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63B00BAE">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37</w:t>
            </w:r>
          </w:p>
        </w:tc>
        <w:tc>
          <w:tcPr>
            <w:tcW w:w="1728" w:type="dxa"/>
            <w:vAlign w:val="center"/>
          </w:tcPr>
          <w:p w14:paraId="6884BE74">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竞争性磋商小组的组建</w:t>
            </w:r>
          </w:p>
        </w:tc>
        <w:tc>
          <w:tcPr>
            <w:tcW w:w="7492" w:type="dxa"/>
            <w:vAlign w:val="center"/>
          </w:tcPr>
          <w:p w14:paraId="2795414B">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竞争性磋商小组构成：3 人。</w:t>
            </w:r>
          </w:p>
          <w:p w14:paraId="6C3F0B7C">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评标专家确定方式：</w:t>
            </w:r>
            <w:r>
              <w:rPr>
                <w:rFonts w:hint="eastAsia" w:ascii="仿宋" w:hAnsi="仿宋" w:eastAsia="仿宋" w:cs="仿宋"/>
                <w:color w:val="auto"/>
                <w:sz w:val="24"/>
                <w:szCs w:val="24"/>
                <w:highlight w:val="none"/>
              </w:rPr>
              <w:t>从</w:t>
            </w:r>
            <w:r>
              <w:rPr>
                <w:rFonts w:hint="eastAsia" w:ascii="仿宋" w:hAnsi="仿宋" w:eastAsia="仿宋" w:cs="仿宋"/>
                <w:color w:val="auto"/>
                <w:sz w:val="24"/>
                <w:szCs w:val="24"/>
                <w:highlight w:val="none"/>
                <w:lang w:val="en-US" w:eastAsia="zh-CN"/>
              </w:rPr>
              <w:t>长春市政采云</w:t>
            </w:r>
            <w:r>
              <w:rPr>
                <w:rFonts w:hint="eastAsia" w:ascii="仿宋" w:hAnsi="仿宋" w:eastAsia="仿宋" w:cs="仿宋"/>
                <w:color w:val="auto"/>
                <w:sz w:val="24"/>
                <w:szCs w:val="24"/>
                <w:highlight w:val="none"/>
              </w:rPr>
              <w:t>评标专家库中随机抽取产生。</w:t>
            </w:r>
          </w:p>
        </w:tc>
      </w:tr>
      <w:tr w14:paraId="46EB7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759" w:type="dxa"/>
            <w:vAlign w:val="center"/>
          </w:tcPr>
          <w:p w14:paraId="64E44F00">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38</w:t>
            </w:r>
          </w:p>
        </w:tc>
        <w:tc>
          <w:tcPr>
            <w:tcW w:w="1728" w:type="dxa"/>
            <w:vAlign w:val="center"/>
          </w:tcPr>
          <w:p w14:paraId="76672706">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是否授权竞争性磋商小组确定成交供应商</w:t>
            </w:r>
          </w:p>
        </w:tc>
        <w:tc>
          <w:tcPr>
            <w:tcW w:w="7492" w:type="dxa"/>
            <w:vAlign w:val="center"/>
          </w:tcPr>
          <w:p w14:paraId="6181B272">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□是</w:t>
            </w:r>
          </w:p>
          <w:p w14:paraId="3A7A490E">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☑否，推荐的成交候选人人数：</w:t>
            </w:r>
            <w:r>
              <w:rPr>
                <w:rFonts w:hint="eastAsia" w:ascii="仿宋" w:hAnsi="仿宋" w:eastAsia="仿宋" w:cs="仿宋"/>
                <w:color w:val="auto"/>
                <w:sz w:val="24"/>
                <w:szCs w:val="24"/>
                <w:highlight w:val="none"/>
                <w:u w:val="single"/>
                <w:lang w:val="en-US"/>
              </w:rPr>
              <w:t>3</w:t>
            </w:r>
            <w:r>
              <w:rPr>
                <w:rFonts w:hint="eastAsia" w:ascii="仿宋" w:hAnsi="仿宋" w:eastAsia="仿宋" w:cs="仿宋"/>
                <w:color w:val="auto"/>
                <w:sz w:val="24"/>
                <w:szCs w:val="24"/>
                <w:highlight w:val="none"/>
                <w:lang w:val="en-US"/>
              </w:rPr>
              <w:t>名</w:t>
            </w:r>
          </w:p>
        </w:tc>
      </w:tr>
      <w:tr w14:paraId="2D41F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tcBorders>
              <w:right w:val="single" w:color="auto" w:sz="4" w:space="0"/>
            </w:tcBorders>
            <w:vAlign w:val="center"/>
          </w:tcPr>
          <w:p w14:paraId="482B8E7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39</w:t>
            </w:r>
          </w:p>
        </w:tc>
        <w:tc>
          <w:tcPr>
            <w:tcW w:w="1728" w:type="dxa"/>
            <w:tcBorders>
              <w:left w:val="single" w:color="auto" w:sz="4" w:space="0"/>
            </w:tcBorders>
            <w:vAlign w:val="center"/>
          </w:tcPr>
          <w:p w14:paraId="20FC1913">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履约保证金</w:t>
            </w:r>
          </w:p>
        </w:tc>
        <w:tc>
          <w:tcPr>
            <w:tcW w:w="7492" w:type="dxa"/>
            <w:vAlign w:val="center"/>
          </w:tcPr>
          <w:p w14:paraId="7B9DC1C5">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按合同约定。</w:t>
            </w:r>
          </w:p>
        </w:tc>
      </w:tr>
      <w:tr w14:paraId="50092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tcBorders>
              <w:right w:val="single" w:color="auto" w:sz="4" w:space="0"/>
            </w:tcBorders>
            <w:vAlign w:val="center"/>
          </w:tcPr>
          <w:p w14:paraId="688EA99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40</w:t>
            </w:r>
          </w:p>
        </w:tc>
        <w:tc>
          <w:tcPr>
            <w:tcW w:w="1728" w:type="dxa"/>
            <w:tcBorders>
              <w:left w:val="single" w:color="auto" w:sz="4" w:space="0"/>
            </w:tcBorders>
            <w:vAlign w:val="center"/>
          </w:tcPr>
          <w:p w14:paraId="6E8B538F">
            <w:pPr>
              <w:pStyle w:val="50"/>
              <w:keepNext w:val="0"/>
              <w:keepLines w:val="0"/>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仿宋" w:hAnsi="仿宋" w:eastAsia="仿宋" w:cs="仿宋"/>
                <w:bCs/>
                <w:color w:val="auto"/>
                <w:kern w:val="2"/>
                <w:sz w:val="24"/>
                <w:szCs w:val="24"/>
                <w:highlight w:val="none"/>
                <w:lang w:val="en-US" w:eastAsia="zh-CN" w:bidi="zh-CN"/>
              </w:rPr>
            </w:pPr>
            <w:r>
              <w:rPr>
                <w:rFonts w:hint="eastAsia" w:ascii="仿宋" w:hAnsi="仿宋" w:eastAsia="仿宋" w:cs="仿宋"/>
                <w:bCs/>
                <w:color w:val="auto"/>
                <w:sz w:val="24"/>
                <w:szCs w:val="24"/>
                <w:highlight w:val="none"/>
                <w:lang w:val="en-US" w:eastAsia="zh-CN"/>
              </w:rPr>
              <w:t>质保金</w:t>
            </w:r>
          </w:p>
        </w:tc>
        <w:tc>
          <w:tcPr>
            <w:tcW w:w="7492" w:type="dxa"/>
            <w:vAlign w:val="center"/>
          </w:tcPr>
          <w:p w14:paraId="4457DB7D">
            <w:pPr>
              <w:pStyle w:val="50"/>
              <w:keepNext w:val="0"/>
              <w:keepLines w:val="0"/>
              <w:pageBreakBefore w:val="0"/>
              <w:kinsoku/>
              <w:wordWrap/>
              <w:overflowPunct/>
              <w:topLinePunct w:val="0"/>
              <w:bidi w:val="0"/>
              <w:adjustRightInd w:val="0"/>
              <w:snapToGrid w:val="0"/>
              <w:spacing w:line="360" w:lineRule="auto"/>
              <w:ind w:left="0" w:leftChars="0" w:right="0" w:firstLine="0" w:firstLine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sz w:val="24"/>
                <w:szCs w:val="24"/>
                <w:highlight w:val="none"/>
                <w:lang w:val="en-US" w:eastAsia="zh-CN"/>
              </w:rPr>
              <w:t>按合同约定。</w:t>
            </w:r>
          </w:p>
        </w:tc>
      </w:tr>
      <w:tr w14:paraId="5CF78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tcBorders>
              <w:right w:val="single" w:color="auto" w:sz="4" w:space="0"/>
            </w:tcBorders>
            <w:vAlign w:val="center"/>
          </w:tcPr>
          <w:p w14:paraId="73133A24">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4</w:t>
            </w:r>
            <w:r>
              <w:rPr>
                <w:rFonts w:hint="eastAsia" w:ascii="仿宋" w:hAnsi="仿宋" w:eastAsia="仿宋" w:cs="仿宋"/>
                <w:color w:val="auto"/>
                <w:sz w:val="24"/>
                <w:szCs w:val="24"/>
                <w:highlight w:val="none"/>
                <w:lang w:val="en-US" w:eastAsia="zh-CN"/>
              </w:rPr>
              <w:t>1</w:t>
            </w:r>
          </w:p>
        </w:tc>
        <w:tc>
          <w:tcPr>
            <w:tcW w:w="9220" w:type="dxa"/>
            <w:gridSpan w:val="2"/>
            <w:tcBorders>
              <w:left w:val="single" w:color="auto" w:sz="4" w:space="0"/>
            </w:tcBorders>
            <w:vAlign w:val="center"/>
          </w:tcPr>
          <w:p w14:paraId="57748F7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需要补充的其他内容</w:t>
            </w:r>
          </w:p>
        </w:tc>
      </w:tr>
      <w:tr w14:paraId="352A3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jc w:val="center"/>
        </w:trPr>
        <w:tc>
          <w:tcPr>
            <w:tcW w:w="759" w:type="dxa"/>
            <w:tcBorders>
              <w:right w:val="single" w:color="auto" w:sz="4" w:space="0"/>
            </w:tcBorders>
            <w:vAlign w:val="center"/>
          </w:tcPr>
          <w:p w14:paraId="490DFF3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4</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val="en-US"/>
              </w:rPr>
              <w:t>.1</w:t>
            </w:r>
          </w:p>
        </w:tc>
        <w:tc>
          <w:tcPr>
            <w:tcW w:w="1728" w:type="dxa"/>
            <w:tcBorders>
              <w:left w:val="single" w:color="auto" w:sz="4" w:space="0"/>
            </w:tcBorders>
            <w:vAlign w:val="center"/>
          </w:tcPr>
          <w:p w14:paraId="3BBDC37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招标</w:t>
            </w:r>
            <w:r>
              <w:rPr>
                <w:rFonts w:hint="eastAsia" w:ascii="仿宋" w:hAnsi="仿宋" w:eastAsia="仿宋" w:cs="仿宋"/>
                <w:b w:val="0"/>
                <w:bCs/>
                <w:color w:val="auto"/>
                <w:sz w:val="24"/>
                <w:szCs w:val="24"/>
                <w:highlight w:val="none"/>
                <w:lang w:val="en-US"/>
              </w:rPr>
              <w:t>代理服务费</w:t>
            </w:r>
          </w:p>
        </w:tc>
        <w:tc>
          <w:tcPr>
            <w:tcW w:w="7492" w:type="dxa"/>
            <w:vAlign w:val="center"/>
          </w:tcPr>
          <w:p w14:paraId="6BE346B8">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0" w:firstLineChars="0"/>
              <w:jc w:val="both"/>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kern w:val="0"/>
                <w:sz w:val="24"/>
                <w:szCs w:val="24"/>
                <w:highlight w:val="none"/>
                <w:lang w:val="en-US" w:eastAsia="zh-CN" w:bidi="ar"/>
              </w:rPr>
              <w:t>参照执行发改价格[2015]299号，由成交供应商向采购代理机构支付招标代理服务费</w:t>
            </w:r>
            <w:r>
              <w:rPr>
                <w:rFonts w:hint="eastAsia" w:ascii="仿宋" w:hAnsi="仿宋" w:eastAsia="仿宋" w:cs="仿宋"/>
                <w:b w:val="0"/>
                <w:bCs/>
                <w:color w:val="auto"/>
                <w:kern w:val="0"/>
                <w:sz w:val="24"/>
                <w:szCs w:val="24"/>
                <w:highlight w:val="none"/>
                <w:lang w:val="en-US" w:eastAsia="zh-CN" w:bidi="ar"/>
              </w:rPr>
              <w:t>2.15万元。</w:t>
            </w:r>
          </w:p>
        </w:tc>
      </w:tr>
      <w:tr w14:paraId="2D94E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4D929FCE">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4</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val="en-US"/>
              </w:rPr>
              <w:t>.2</w:t>
            </w:r>
          </w:p>
        </w:tc>
        <w:tc>
          <w:tcPr>
            <w:tcW w:w="1728" w:type="dxa"/>
            <w:vAlign w:val="center"/>
          </w:tcPr>
          <w:p w14:paraId="1984023E">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u w:val="none"/>
                <w:lang w:eastAsia="zh-CN"/>
              </w:rPr>
              <w:t>最高限价</w:t>
            </w:r>
          </w:p>
        </w:tc>
        <w:tc>
          <w:tcPr>
            <w:tcW w:w="7492" w:type="dxa"/>
            <w:vAlign w:val="center"/>
          </w:tcPr>
          <w:p w14:paraId="4A7F336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rPr>
              <w:t>供应商的投标报价不得超过采购人的</w:t>
            </w:r>
            <w:r>
              <w:rPr>
                <w:rFonts w:hint="eastAsia" w:ascii="仿宋" w:hAnsi="仿宋" w:eastAsia="仿宋" w:cs="仿宋"/>
                <w:b w:val="0"/>
                <w:bCs/>
                <w:color w:val="auto"/>
                <w:sz w:val="24"/>
                <w:szCs w:val="24"/>
                <w:highlight w:val="none"/>
                <w:lang w:val="en-US" w:eastAsia="zh-CN"/>
              </w:rPr>
              <w:t>最高限价</w:t>
            </w:r>
            <w:r>
              <w:rPr>
                <w:rFonts w:hint="eastAsia" w:ascii="仿宋" w:hAnsi="仿宋" w:eastAsia="仿宋" w:cs="仿宋"/>
                <w:b w:val="0"/>
                <w:bCs/>
                <w:color w:val="auto"/>
                <w:sz w:val="24"/>
                <w:szCs w:val="24"/>
                <w:highlight w:val="none"/>
                <w:lang w:val="en-US"/>
              </w:rPr>
              <w:t>，否则按废标处理。</w:t>
            </w:r>
          </w:p>
          <w:p w14:paraId="331D056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最高限价</w:t>
            </w:r>
            <w:r>
              <w:rPr>
                <w:rFonts w:hint="eastAsia" w:ascii="仿宋" w:hAnsi="仿宋" w:eastAsia="仿宋" w:cs="仿宋"/>
                <w:b w:val="0"/>
                <w:bCs/>
                <w:color w:val="auto"/>
                <w:sz w:val="24"/>
                <w:szCs w:val="24"/>
                <w:highlight w:val="none"/>
                <w:lang w:val="en-US"/>
              </w:rPr>
              <w:t>：</w:t>
            </w:r>
            <w:r>
              <w:rPr>
                <w:rFonts w:hint="eastAsia" w:ascii="仿宋" w:hAnsi="仿宋" w:eastAsia="仿宋" w:cs="仿宋"/>
                <w:b w:val="0"/>
                <w:bCs/>
                <w:color w:val="auto"/>
                <w:sz w:val="24"/>
                <w:szCs w:val="24"/>
                <w:highlight w:val="none"/>
                <w:lang w:val="en-US" w:eastAsia="zh-CN"/>
              </w:rPr>
              <w:t>1,439,177.00元。</w:t>
            </w:r>
          </w:p>
        </w:tc>
      </w:tr>
      <w:tr w14:paraId="1A749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5CE7891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4</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val="en-US"/>
              </w:rPr>
              <w:t>.3</w:t>
            </w:r>
          </w:p>
        </w:tc>
        <w:tc>
          <w:tcPr>
            <w:tcW w:w="1728" w:type="dxa"/>
            <w:vAlign w:val="center"/>
          </w:tcPr>
          <w:p w14:paraId="611260FC">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结算方式</w:t>
            </w:r>
          </w:p>
        </w:tc>
        <w:tc>
          <w:tcPr>
            <w:tcW w:w="7492" w:type="dxa"/>
            <w:vAlign w:val="center"/>
          </w:tcPr>
          <w:p w14:paraId="65634A8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合同方式：</w:t>
            </w:r>
            <w:r>
              <w:rPr>
                <w:rFonts w:hint="eastAsia" w:ascii="仿宋" w:hAnsi="仿宋" w:eastAsia="仿宋" w:cs="仿宋"/>
                <w:color w:val="auto"/>
                <w:sz w:val="24"/>
                <w:szCs w:val="24"/>
                <w:highlight w:val="none"/>
                <w:lang w:val="en-US" w:eastAsia="zh-CN"/>
              </w:rPr>
              <w:t>固定综合单价合同</w:t>
            </w:r>
            <w:r>
              <w:rPr>
                <w:rFonts w:hint="eastAsia" w:ascii="仿宋" w:hAnsi="仿宋" w:eastAsia="仿宋" w:cs="仿宋"/>
                <w:color w:val="auto"/>
                <w:sz w:val="24"/>
                <w:szCs w:val="24"/>
                <w:highlight w:val="none"/>
                <w:lang w:val="en-US"/>
              </w:rPr>
              <w:t>。</w:t>
            </w:r>
          </w:p>
          <w:p w14:paraId="7A8A76CD">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工程报价方式：采用工程量清单计价方式。</w:t>
            </w:r>
          </w:p>
        </w:tc>
      </w:tr>
      <w:tr w14:paraId="23B7B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vAlign w:val="center"/>
          </w:tcPr>
          <w:p w14:paraId="7D65E82A">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4</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val="en-US"/>
              </w:rPr>
              <w:t>.4</w:t>
            </w:r>
          </w:p>
        </w:tc>
        <w:tc>
          <w:tcPr>
            <w:tcW w:w="1728" w:type="dxa"/>
            <w:vAlign w:val="center"/>
          </w:tcPr>
          <w:p w14:paraId="3604968A">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付款方式</w:t>
            </w:r>
          </w:p>
        </w:tc>
        <w:tc>
          <w:tcPr>
            <w:tcW w:w="7492" w:type="dxa"/>
            <w:vAlign w:val="center"/>
          </w:tcPr>
          <w:p w14:paraId="2331AA81">
            <w:pPr>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kern w:val="0"/>
                <w:sz w:val="24"/>
                <w:szCs w:val="24"/>
                <w:highlight w:val="none"/>
              </w:rPr>
            </w:pPr>
            <w:r>
              <w:rPr>
                <w:rFonts w:hint="eastAsia" w:ascii="仿宋" w:hAnsi="仿宋" w:eastAsia="仿宋" w:cs="仿宋"/>
                <w:bCs/>
                <w:color w:val="auto"/>
                <w:kern w:val="15"/>
                <w:sz w:val="24"/>
                <w:szCs w:val="24"/>
                <w:highlight w:val="none"/>
              </w:rPr>
              <w:t>以实际签订合同为准。</w:t>
            </w:r>
          </w:p>
        </w:tc>
      </w:tr>
      <w:tr w14:paraId="16C56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jc w:val="center"/>
        </w:trPr>
        <w:tc>
          <w:tcPr>
            <w:tcW w:w="759" w:type="dxa"/>
            <w:vAlign w:val="center"/>
          </w:tcPr>
          <w:p w14:paraId="24F55B75">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4</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val="en-US"/>
              </w:rPr>
              <w:t>.5</w:t>
            </w:r>
          </w:p>
        </w:tc>
        <w:tc>
          <w:tcPr>
            <w:tcW w:w="1728" w:type="dxa"/>
            <w:vAlign w:val="center"/>
          </w:tcPr>
          <w:p w14:paraId="00D4A32E">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政府采购进口产品的规定</w:t>
            </w:r>
          </w:p>
        </w:tc>
        <w:tc>
          <w:tcPr>
            <w:tcW w:w="7492" w:type="dxa"/>
            <w:vAlign w:val="center"/>
          </w:tcPr>
          <w:p w14:paraId="3D8A7CA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按照财政部《政府采购进口产品管理办法》第一章第四条关于“政府采购应当采购本国产品，确需采购进口产品（指通过中国海关报关验放进入中国境内且产自关境外的产品）的，实行审核管理”的规定，</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rPr>
              <w:t>文件中凡未明确标明采购进口产品的，均为采购本国产品，</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US"/>
              </w:rPr>
              <w:t>必须投标本国产品，投标进口产品的为无效投标。在中国境内生产或组装的外国品牌产品须标明该产品在中国国内制造厂商名称。否则，按进口产品对待。</w:t>
            </w:r>
          </w:p>
        </w:tc>
      </w:tr>
      <w:tr w14:paraId="3ACF5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759" w:type="dxa"/>
            <w:vAlign w:val="center"/>
          </w:tcPr>
          <w:p w14:paraId="388CFDC9">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4</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val="en-US"/>
              </w:rPr>
              <w:t>.6</w:t>
            </w:r>
          </w:p>
        </w:tc>
        <w:tc>
          <w:tcPr>
            <w:tcW w:w="1728" w:type="dxa"/>
            <w:vAlign w:val="center"/>
          </w:tcPr>
          <w:p w14:paraId="611FB853">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政府强制采购节能产品的规定</w:t>
            </w:r>
          </w:p>
        </w:tc>
        <w:tc>
          <w:tcPr>
            <w:tcW w:w="7492" w:type="dxa"/>
            <w:vAlign w:val="center"/>
          </w:tcPr>
          <w:p w14:paraId="508A3441">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政府强制采购节能产品的规定:按照财政部、发展改革委、生态环境部、市场监管总局《关于调整优化节能产品、环境标志产品政府采购执行机制的通知》财库〔2019〕9 号文件规定执行。</w:t>
            </w:r>
          </w:p>
        </w:tc>
      </w:tr>
      <w:tr w14:paraId="139AC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759" w:type="dxa"/>
            <w:vAlign w:val="center"/>
          </w:tcPr>
          <w:p w14:paraId="36E606D1">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41.7</w:t>
            </w:r>
          </w:p>
        </w:tc>
        <w:tc>
          <w:tcPr>
            <w:tcW w:w="1728" w:type="dxa"/>
            <w:vAlign w:val="center"/>
          </w:tcPr>
          <w:p w14:paraId="398BB6F6">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zh-CN"/>
              </w:rPr>
              <w:t>促进残疾人就业政府采购政策</w:t>
            </w:r>
          </w:p>
        </w:tc>
        <w:tc>
          <w:tcPr>
            <w:tcW w:w="7492" w:type="dxa"/>
            <w:vAlign w:val="center"/>
          </w:tcPr>
          <w:p w14:paraId="3A3973A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bCs/>
                <w:color w:val="auto"/>
                <w:sz w:val="24"/>
                <w:szCs w:val="24"/>
                <w:highlight w:val="none"/>
                <w:lang w:val="zh-CN"/>
              </w:rPr>
              <w:t>本项目依据财政部《财政部 民政部 中国残疾人联合会关于促进残疾人就业政府采购政策的通知》（财库[2017]141 号）文件执行。残疾人福利性单位视同小型、微型企业。</w:t>
            </w:r>
          </w:p>
        </w:tc>
      </w:tr>
      <w:tr w14:paraId="34965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jc w:val="center"/>
        </w:trPr>
        <w:tc>
          <w:tcPr>
            <w:tcW w:w="759" w:type="dxa"/>
            <w:vAlign w:val="center"/>
          </w:tcPr>
          <w:p w14:paraId="10FB2965">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rPr>
              <w:t>4</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val="en-US"/>
              </w:rPr>
              <w:t>.</w:t>
            </w:r>
            <w:r>
              <w:rPr>
                <w:rFonts w:hint="eastAsia" w:ascii="仿宋" w:hAnsi="仿宋" w:eastAsia="仿宋" w:cs="仿宋"/>
                <w:bCs/>
                <w:color w:val="auto"/>
                <w:sz w:val="24"/>
                <w:szCs w:val="24"/>
                <w:highlight w:val="none"/>
                <w:lang w:val="en-US" w:eastAsia="zh-CN"/>
              </w:rPr>
              <w:t>8</w:t>
            </w:r>
          </w:p>
        </w:tc>
        <w:tc>
          <w:tcPr>
            <w:tcW w:w="1728" w:type="dxa"/>
            <w:vAlign w:val="center"/>
          </w:tcPr>
          <w:p w14:paraId="4EB97779">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中小企业所属行业</w:t>
            </w:r>
          </w:p>
        </w:tc>
        <w:tc>
          <w:tcPr>
            <w:tcW w:w="7492" w:type="dxa"/>
            <w:vAlign w:val="center"/>
          </w:tcPr>
          <w:p w14:paraId="5CC12C20">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u w:val="none"/>
                <w:lang w:val="en-US" w:eastAsia="zh-CN"/>
              </w:rPr>
              <w:t>本项目专门面向中小企业采购</w:t>
            </w:r>
            <w:r>
              <w:rPr>
                <w:rFonts w:hint="eastAsia" w:ascii="仿宋" w:hAnsi="仿宋" w:eastAsia="仿宋" w:cs="仿宋"/>
                <w:bCs/>
                <w:color w:val="auto"/>
                <w:sz w:val="24"/>
                <w:szCs w:val="24"/>
                <w:highlight w:val="none"/>
                <w:lang w:val="en-US" w:eastAsia="zh-CN"/>
              </w:rPr>
              <w:t>，供应商须是中小微企业，残疾人福利性单位、监狱企业视同小型、微型企业。本项目中小企业划分标准所属行业为</w:t>
            </w:r>
            <w:r>
              <w:rPr>
                <w:rFonts w:hint="eastAsia" w:ascii="仿宋" w:hAnsi="仿宋" w:eastAsia="仿宋" w:cs="仿宋"/>
                <w:bCs/>
                <w:color w:val="auto"/>
                <w:sz w:val="24"/>
                <w:szCs w:val="24"/>
                <w:highlight w:val="none"/>
                <w:u w:val="none"/>
                <w:lang w:val="en-US" w:eastAsia="zh-CN"/>
              </w:rPr>
              <w:t>：</w:t>
            </w:r>
            <w:r>
              <w:rPr>
                <w:rFonts w:hint="eastAsia" w:ascii="仿宋" w:hAnsi="仿宋" w:eastAsia="仿宋" w:cs="仿宋"/>
                <w:b/>
                <w:bCs w:val="0"/>
                <w:color w:val="auto"/>
                <w:sz w:val="24"/>
                <w:szCs w:val="24"/>
                <w:highlight w:val="none"/>
                <w:u w:val="single"/>
                <w:lang w:val="en-US" w:eastAsia="zh-CN"/>
              </w:rPr>
              <w:t>建筑业</w:t>
            </w:r>
            <w:r>
              <w:rPr>
                <w:rFonts w:hint="eastAsia" w:ascii="仿宋" w:hAnsi="仿宋" w:eastAsia="仿宋" w:cs="仿宋"/>
                <w:bCs/>
                <w:color w:val="auto"/>
                <w:sz w:val="24"/>
                <w:szCs w:val="24"/>
                <w:highlight w:val="none"/>
                <w:lang w:val="en-US" w:eastAsia="zh-CN"/>
              </w:rPr>
              <w:t>。</w:t>
            </w:r>
          </w:p>
          <w:p w14:paraId="690ED40C">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提供中小企业业声明函或残疾人福利性单位、监狱企业证明原件于响应文件内。</w:t>
            </w:r>
          </w:p>
        </w:tc>
      </w:tr>
      <w:tr w14:paraId="1A657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jc w:val="center"/>
        </w:trPr>
        <w:tc>
          <w:tcPr>
            <w:tcW w:w="759" w:type="dxa"/>
            <w:vAlign w:val="center"/>
          </w:tcPr>
          <w:p w14:paraId="24EA7A34">
            <w:pPr>
              <w:autoSpaceDE w:val="0"/>
              <w:autoSpaceDN w:val="0"/>
              <w:adjustRightInd w:val="0"/>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41.9</w:t>
            </w:r>
          </w:p>
        </w:tc>
        <w:tc>
          <w:tcPr>
            <w:tcW w:w="9220" w:type="dxa"/>
            <w:gridSpan w:val="2"/>
            <w:vAlign w:val="center"/>
          </w:tcPr>
          <w:p w14:paraId="36250E84">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信用信息查询渠道及截止时点</w:t>
            </w:r>
          </w:p>
          <w:p w14:paraId="6D8EEE0C">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1、查询渠道：“信用中国”网站（www.creditchina.gov.cn）及中国政府采购网【www.ccgp.gov.cn）；</w:t>
            </w:r>
          </w:p>
          <w:p w14:paraId="6F9C0BE3">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2、截止时点：响应文件开启后由资格审查小组在政采云平台直接审查。</w:t>
            </w:r>
          </w:p>
        </w:tc>
      </w:tr>
      <w:tr w14:paraId="599A9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vAlign w:val="center"/>
          </w:tcPr>
          <w:p w14:paraId="1B9C5C09">
            <w:pPr>
              <w:autoSpaceDE w:val="0"/>
              <w:autoSpaceDN w:val="0"/>
              <w:adjustRightInd w:val="0"/>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41.10</w:t>
            </w:r>
          </w:p>
        </w:tc>
        <w:tc>
          <w:tcPr>
            <w:tcW w:w="9220" w:type="dxa"/>
            <w:gridSpan w:val="2"/>
            <w:vAlign w:val="center"/>
          </w:tcPr>
          <w:p w14:paraId="10360408">
            <w:pPr>
              <w:pStyle w:val="50"/>
              <w:keepNext w:val="0"/>
              <w:keepLines w:val="0"/>
              <w:pageBreakBefore w:val="0"/>
              <w:kinsoku/>
              <w:wordWrap/>
              <w:overflowPunct/>
              <w:topLinePunct w:val="0"/>
              <w:bidi w:val="0"/>
              <w:adjustRightInd w:val="0"/>
              <w:snapToGrid w:val="0"/>
              <w:spacing w:line="360" w:lineRule="auto"/>
              <w:ind w:left="0" w:right="0" w:firstLine="0" w:firstLineChars="0"/>
              <w:jc w:val="lef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与本项目相类似的项目业绩指：工程内容及规模与本项目相类似的项目业绩。</w:t>
            </w:r>
          </w:p>
        </w:tc>
      </w:tr>
      <w:tr w14:paraId="0B3A8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759" w:type="dxa"/>
            <w:vAlign w:val="center"/>
          </w:tcPr>
          <w:p w14:paraId="6BBC9502">
            <w:pPr>
              <w:autoSpaceDE w:val="0"/>
              <w:autoSpaceDN w:val="0"/>
              <w:adjustRightInd w:val="0"/>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41.11</w:t>
            </w:r>
          </w:p>
        </w:tc>
        <w:tc>
          <w:tcPr>
            <w:tcW w:w="9220" w:type="dxa"/>
            <w:gridSpan w:val="2"/>
            <w:vAlign w:val="center"/>
          </w:tcPr>
          <w:p w14:paraId="499A12BF">
            <w:pPr>
              <w:pStyle w:val="24"/>
              <w:spacing w:line="360" w:lineRule="exact"/>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低于成本价不正当竞争预防措施：</w:t>
            </w:r>
          </w:p>
          <w:p w14:paraId="3E3F93EA">
            <w:pPr>
              <w:pStyle w:val="24"/>
              <w:spacing w:line="360" w:lineRule="exact"/>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在评审过程中，供应商报价过低，有可能影响工程质量或者不能诚信履约的，评审小组应当要求其在合理的时间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约20分钟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内提供书面说明，并提交相关证明材料，供应商不能证明其报价合理性的，评审小组应当将其作为无效处理。供应商的书面说明材料应当按照国家财务会计制度的规定要求，逐项就供应商提供的货物、工程和服务的主营业务成本、税金及附加、销售费用、管理费用、财务费用等成本构成事项详细陈述）。</w:t>
            </w:r>
          </w:p>
          <w:p w14:paraId="2C934B06">
            <w:pPr>
              <w:pStyle w:val="24"/>
              <w:spacing w:line="360" w:lineRule="exact"/>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供应商书面说明应当签字确认或者加盖公章，否则无效。书面说明的签字确认，由其法定代表人或授权代表完成。</w:t>
            </w:r>
          </w:p>
          <w:p w14:paraId="0F49243A">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提供书面说明后，评审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作为无效处理。</w:t>
            </w:r>
          </w:p>
          <w:p w14:paraId="53A109FF">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4、供应商拟低价投标的，请事先做好书面说明或提供相关证明材料备用（一般含如下内容：1.成本构成。包含原材料成本、人工费用、施工设施设备、运输、税收等。2.较其他投标申请人能支撑自己报更低价格优势的说明等）。</w:t>
            </w:r>
          </w:p>
        </w:tc>
      </w:tr>
      <w:tr w14:paraId="6520D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759" w:type="dxa"/>
            <w:vAlign w:val="center"/>
          </w:tcPr>
          <w:p w14:paraId="272E2E74">
            <w:pPr>
              <w:autoSpaceDE w:val="0"/>
              <w:autoSpaceDN w:val="0"/>
              <w:adjustRightInd w:val="0"/>
              <w:snapToGrid w:val="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41.12</w:t>
            </w:r>
          </w:p>
        </w:tc>
        <w:tc>
          <w:tcPr>
            <w:tcW w:w="9220" w:type="dxa"/>
            <w:gridSpan w:val="2"/>
            <w:vAlign w:val="center"/>
          </w:tcPr>
          <w:p w14:paraId="28436C0A">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在本项目采购</w:t>
            </w:r>
            <w:r>
              <w:rPr>
                <w:rFonts w:hint="eastAsia" w:ascii="仿宋" w:hAnsi="仿宋" w:eastAsia="仿宋" w:cs="仿宋"/>
                <w:color w:val="auto"/>
                <w:sz w:val="24"/>
                <w:szCs w:val="24"/>
                <w:highlight w:val="none"/>
              </w:rPr>
              <w:t>过程中，</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所提供的所有证件均需在有效期内且单位名称与</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的名称一致，如企业名称发生变更，需提供主管部门出具的变更证明材料，否则</w:t>
            </w:r>
            <w:r>
              <w:rPr>
                <w:rFonts w:hint="eastAsia" w:ascii="仿宋" w:hAnsi="仿宋" w:eastAsia="仿宋" w:cs="仿宋"/>
                <w:color w:val="auto"/>
                <w:sz w:val="24"/>
                <w:szCs w:val="24"/>
                <w:highlight w:val="none"/>
                <w:lang w:val="en-US" w:eastAsia="zh-CN"/>
              </w:rPr>
              <w:t>有影响磋商的情形由供应商自行承担</w:t>
            </w:r>
            <w:r>
              <w:rPr>
                <w:rFonts w:hint="eastAsia" w:ascii="仿宋" w:hAnsi="仿宋" w:eastAsia="仿宋" w:cs="仿宋"/>
                <w:color w:val="auto"/>
                <w:sz w:val="24"/>
                <w:szCs w:val="24"/>
                <w:highlight w:val="none"/>
              </w:rPr>
              <w:t>。</w:t>
            </w:r>
          </w:p>
        </w:tc>
      </w:tr>
      <w:tr w14:paraId="6DB2E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759" w:type="dxa"/>
            <w:vAlign w:val="center"/>
          </w:tcPr>
          <w:p w14:paraId="36C1B7D3">
            <w:pPr>
              <w:autoSpaceDE w:val="0"/>
              <w:autoSpaceDN w:val="0"/>
              <w:adjustRightInd w:val="0"/>
              <w:snapToGrid w:val="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41.13</w:t>
            </w:r>
          </w:p>
        </w:tc>
        <w:tc>
          <w:tcPr>
            <w:tcW w:w="9220" w:type="dxa"/>
            <w:gridSpan w:val="2"/>
            <w:vAlign w:val="center"/>
          </w:tcPr>
          <w:p w14:paraId="385D95EA">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sz w:val="24"/>
                <w:szCs w:val="24"/>
                <w:highlight w:val="none"/>
                <w:lang w:val="zh-CN"/>
              </w:rPr>
              <w:t>根据甲方需求，如果</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lang w:val="zh-CN"/>
              </w:rPr>
              <w:t>计划发生改变或项目取消，合同自动变更或终止，</w:t>
            </w:r>
            <w:r>
              <w:rPr>
                <w:rFonts w:hint="eastAsia" w:ascii="仿宋" w:hAnsi="仿宋" w:eastAsia="仿宋" w:cs="仿宋"/>
                <w:b w:val="0"/>
                <w:bCs/>
                <w:color w:val="auto"/>
                <w:sz w:val="24"/>
                <w:szCs w:val="24"/>
                <w:highlight w:val="none"/>
                <w:lang w:eastAsia="zh-CN"/>
              </w:rPr>
              <w:t>成交</w:t>
            </w:r>
            <w:r>
              <w:rPr>
                <w:rFonts w:hint="eastAsia" w:ascii="仿宋" w:hAnsi="仿宋" w:eastAsia="仿宋" w:cs="仿宋"/>
                <w:b w:val="0"/>
                <w:bCs/>
                <w:color w:val="auto"/>
                <w:sz w:val="24"/>
                <w:szCs w:val="24"/>
                <w:highlight w:val="none"/>
                <w:lang w:val="zh-CN"/>
              </w:rPr>
              <w:t>单位不得提出异议且配合甲方完成相关手续。</w:t>
            </w:r>
          </w:p>
        </w:tc>
      </w:tr>
      <w:tr w14:paraId="4A785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759" w:type="dxa"/>
            <w:shd w:val="clear" w:color="auto" w:fill="auto"/>
            <w:vAlign w:val="center"/>
          </w:tcPr>
          <w:p w14:paraId="3BB16FF8">
            <w:pPr>
              <w:autoSpaceDE w:val="0"/>
              <w:autoSpaceDN w:val="0"/>
              <w:adjustRightInd w:val="0"/>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41.14</w:t>
            </w:r>
          </w:p>
        </w:tc>
        <w:tc>
          <w:tcPr>
            <w:tcW w:w="9220" w:type="dxa"/>
            <w:gridSpan w:val="2"/>
            <w:vAlign w:val="center"/>
          </w:tcPr>
          <w:p w14:paraId="00341AF6">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1、本项目采用两轮报价（包括首次报价），第二轮报价即最后报价；</w:t>
            </w:r>
          </w:p>
          <w:p w14:paraId="721DC403">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2、每一名造价师只能担任本项目其中一个投标单位的造价工作，且此造价师应该承认该项目的二次报价（最终报价），并根据二次报价修改分项报价。</w:t>
            </w:r>
          </w:p>
        </w:tc>
      </w:tr>
      <w:tr w14:paraId="0EE1C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759" w:type="dxa"/>
            <w:shd w:val="clear" w:color="auto" w:fill="auto"/>
            <w:vAlign w:val="center"/>
          </w:tcPr>
          <w:p w14:paraId="0285BD99">
            <w:pPr>
              <w:spacing w:line="360" w:lineRule="auto"/>
              <w:jc w:val="center"/>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41.15</w:t>
            </w:r>
          </w:p>
        </w:tc>
        <w:tc>
          <w:tcPr>
            <w:tcW w:w="9220" w:type="dxa"/>
            <w:gridSpan w:val="2"/>
            <w:shd w:val="clear" w:color="auto" w:fill="auto"/>
            <w:vAlign w:val="center"/>
          </w:tcPr>
          <w:p w14:paraId="67FABF3F">
            <w:pPr>
              <w:spacing w:line="360" w:lineRule="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投标人代表出席开标会：</w:t>
            </w:r>
          </w:p>
          <w:p w14:paraId="7C06A36C">
            <w:pPr>
              <w:spacing w:line="360" w:lineRule="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 xml:space="preserve">1、本项目开标采用“政采云”平台进行远程开标，供应商无须到现场，供应商应提前自行准备设备及 CA 锁，准时参加开标会议，按主持人要求按时解密投标文件。 </w:t>
            </w:r>
          </w:p>
          <w:p w14:paraId="5C2BE786">
            <w:pPr>
              <w:spacing w:line="360" w:lineRule="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 xml:space="preserve">2、进入会议人员应为本项目投标单位被授权人。 </w:t>
            </w:r>
          </w:p>
          <w:p w14:paraId="12C668DE">
            <w:pPr>
              <w:spacing w:line="360" w:lineRule="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3、供应商未参加开标会议的或未完全参加开标会议全过程的，视为认同开标会议结果。</w:t>
            </w:r>
          </w:p>
        </w:tc>
      </w:tr>
      <w:tr w14:paraId="274CB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759" w:type="dxa"/>
            <w:shd w:val="clear" w:color="auto" w:fill="auto"/>
            <w:vAlign w:val="center"/>
          </w:tcPr>
          <w:p w14:paraId="6593703E">
            <w:pPr>
              <w:autoSpaceDE w:val="0"/>
              <w:autoSpaceDN w:val="0"/>
              <w:adjustRightInd w:val="0"/>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41.16</w:t>
            </w:r>
          </w:p>
        </w:tc>
        <w:tc>
          <w:tcPr>
            <w:tcW w:w="9220" w:type="dxa"/>
            <w:gridSpan w:val="2"/>
            <w:vAlign w:val="center"/>
          </w:tcPr>
          <w:p w14:paraId="272E0AF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电子标说明：</w:t>
            </w:r>
            <w:r>
              <w:rPr>
                <w:rFonts w:hint="eastAsia" w:ascii="仿宋" w:hAnsi="仿宋" w:eastAsia="仿宋" w:cs="仿宋"/>
                <w:color w:val="auto"/>
                <w:sz w:val="24"/>
                <w:szCs w:val="24"/>
                <w:highlight w:val="none"/>
                <w:lang w:val="zh-CN" w:eastAsia="zh-CN"/>
              </w:rPr>
              <w:t>上传的电子证件及资料均需按要求签字盖章上传，否则按未签章处理。</w:t>
            </w:r>
            <w:r>
              <w:rPr>
                <w:rFonts w:hint="eastAsia" w:ascii="仿宋" w:hAnsi="仿宋" w:eastAsia="仿宋" w:cs="仿宋"/>
                <w:color w:val="auto"/>
                <w:sz w:val="24"/>
                <w:szCs w:val="24"/>
                <w:highlight w:val="none"/>
                <w:lang w:val="en-US" w:eastAsia="zh-CN"/>
              </w:rPr>
              <w:t>以上传至政采云平台的投标文件为准，进行评审。</w:t>
            </w:r>
          </w:p>
          <w:p w14:paraId="24E2B952">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投标文件电子版方面技术支持：95763</w:t>
            </w:r>
          </w:p>
          <w:p w14:paraId="367DA5B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投标人在政府采购云平台（网址：http:// www.zcygov.cn）通过数字证书制作投标文件1份（此投标文件需上传至政府采购云平台，并在开标</w:t>
            </w:r>
            <w:r>
              <w:rPr>
                <w:rFonts w:hint="eastAsia" w:ascii="仿宋" w:hAnsi="仿宋" w:eastAsia="仿宋" w:cs="仿宋"/>
                <w:color w:val="auto"/>
                <w:sz w:val="24"/>
                <w:szCs w:val="24"/>
                <w:highlight w:val="none"/>
                <w:lang w:val="en-US" w:eastAsia="zh-CN"/>
              </w:rPr>
              <w:t>时间</w:t>
            </w:r>
            <w:r>
              <w:rPr>
                <w:rFonts w:hint="eastAsia" w:ascii="仿宋" w:hAnsi="仿宋" w:eastAsia="仿宋" w:cs="仿宋"/>
                <w:color w:val="auto"/>
                <w:sz w:val="24"/>
                <w:szCs w:val="24"/>
                <w:highlight w:val="none"/>
                <w:lang w:val="zh-CN" w:eastAsia="zh-CN"/>
              </w:rPr>
              <w:t>持编制投标文件的供应商数字证书</w:t>
            </w:r>
            <w:r>
              <w:rPr>
                <w:rFonts w:hint="eastAsia" w:ascii="仿宋" w:hAnsi="仿宋" w:eastAsia="仿宋" w:cs="仿宋"/>
                <w:color w:val="auto"/>
                <w:sz w:val="24"/>
                <w:szCs w:val="24"/>
                <w:highlight w:val="none"/>
                <w:lang w:val="en-US" w:eastAsia="zh-CN"/>
              </w:rPr>
              <w:t>远程</w:t>
            </w:r>
            <w:r>
              <w:rPr>
                <w:rFonts w:hint="eastAsia" w:ascii="仿宋" w:hAnsi="仿宋" w:eastAsia="仿宋" w:cs="仿宋"/>
                <w:color w:val="auto"/>
                <w:sz w:val="24"/>
                <w:szCs w:val="24"/>
                <w:highlight w:val="none"/>
                <w:lang w:val="zh-CN" w:eastAsia="zh-CN"/>
              </w:rPr>
              <w:t>解密）。</w:t>
            </w:r>
          </w:p>
          <w:p w14:paraId="2B3D720C">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备注：</w:t>
            </w:r>
          </w:p>
          <w:p w14:paraId="76D7B142">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1、如是联合体投标数字证书须同时携带。</w:t>
            </w:r>
          </w:p>
          <w:p w14:paraId="4E5027D2">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2、投标文件电子版(U盘)按招标文件规定执行，用数字证书编制的电子版按《政府采购项目电子交易管理操作指南-供应商》进行投标操作。</w:t>
            </w:r>
          </w:p>
        </w:tc>
      </w:tr>
    </w:tbl>
    <w:p w14:paraId="7B46AABD">
      <w:pPr>
        <w:autoSpaceDE w:val="0"/>
        <w:autoSpaceDN w:val="0"/>
        <w:adjustRightInd w:val="0"/>
        <w:snapToGrid w:val="0"/>
        <w:spacing w:line="360" w:lineRule="auto"/>
        <w:ind w:firstLine="482"/>
        <w:rPr>
          <w:rFonts w:hint="eastAsia" w:ascii="仿宋" w:hAnsi="仿宋" w:eastAsia="仿宋" w:cs="仿宋"/>
          <w:b/>
          <w:bCs/>
          <w:color w:val="auto"/>
          <w:sz w:val="24"/>
          <w:szCs w:val="24"/>
          <w:highlight w:val="none"/>
        </w:rPr>
      </w:pPr>
    </w:p>
    <w:p w14:paraId="12B1B870">
      <w:pPr>
        <w:ind w:right="-128" w:rightChars="-61" w:firstLine="219" w:firstLineChars="91"/>
        <w:rPr>
          <w:rFonts w:hint="eastAsia" w:ascii="仿宋" w:hAnsi="仿宋" w:eastAsia="仿宋" w:cs="仿宋"/>
          <w:b/>
          <w:bCs/>
          <w:color w:val="auto"/>
          <w:sz w:val="24"/>
          <w:szCs w:val="24"/>
          <w:highlight w:val="none"/>
        </w:rPr>
        <w:sectPr>
          <w:footerReference r:id="rId12" w:type="default"/>
          <w:pgSz w:w="11906" w:h="16838"/>
          <w:pgMar w:top="1440" w:right="1080" w:bottom="1440" w:left="1080" w:header="851" w:footer="992" w:gutter="0"/>
          <w:pgNumType w:fmt="decimal"/>
          <w:cols w:space="425" w:num="1"/>
          <w:docGrid w:type="lines" w:linePitch="312" w:charSpace="0"/>
        </w:sectPr>
      </w:pPr>
    </w:p>
    <w:p w14:paraId="7784BAFB">
      <w:pPr>
        <w:pStyle w:val="3"/>
        <w:rPr>
          <w:rFonts w:hint="eastAsia" w:ascii="仿宋" w:hAnsi="仿宋" w:eastAsia="仿宋" w:cs="仿宋"/>
          <w:color w:val="auto"/>
          <w:highlight w:val="none"/>
          <w:lang w:eastAsia="zh-CN"/>
        </w:rPr>
      </w:pPr>
      <w:bookmarkStart w:id="46" w:name="_Toc6059"/>
      <w:r>
        <w:rPr>
          <w:rFonts w:hint="eastAsia" w:ascii="仿宋" w:hAnsi="仿宋" w:eastAsia="仿宋" w:cs="仿宋"/>
          <w:color w:val="auto"/>
          <w:highlight w:val="none"/>
          <w:lang w:eastAsia="zh-CN"/>
        </w:rPr>
        <w:t>供应商须知</w:t>
      </w:r>
      <w:bookmarkEnd w:id="46"/>
    </w:p>
    <w:p w14:paraId="36B50813">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1、总</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则</w:t>
      </w:r>
    </w:p>
    <w:p w14:paraId="2719FF8E">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项目概况</w:t>
      </w:r>
    </w:p>
    <w:p w14:paraId="2A04C9C0">
      <w:pPr>
        <w:pStyle w:val="51"/>
        <w:numPr>
          <w:ilvl w:val="2"/>
          <w:numId w:val="2"/>
        </w:numPr>
        <w:tabs>
          <w:tab w:val="left" w:pos="1698"/>
        </w:tabs>
        <w:adjustRightInd w:val="0"/>
        <w:snapToGrid w:val="0"/>
        <w:spacing w:line="360" w:lineRule="auto"/>
        <w:ind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根据《中华人民共和国采购法》等有关法律、法规和规章的规定，本采购项目已具备采购条件，现对本工程进行采购。</w:t>
      </w:r>
    </w:p>
    <w:p w14:paraId="1667648E">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本采购项目采购人：见供应商须知前附表第 1 项。</w:t>
      </w:r>
    </w:p>
    <w:p w14:paraId="0374D4DB">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本采购项目采购代理机构：见供应商须知前附表第 2 项。</w:t>
      </w:r>
    </w:p>
    <w:p w14:paraId="53700473">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本采购项目名称：见供应商须知前附表第 3 项。</w:t>
      </w:r>
    </w:p>
    <w:p w14:paraId="23403506">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本采购项目建设地点：见供应商须知前附表第 4 项。</w:t>
      </w:r>
    </w:p>
    <w:p w14:paraId="59776FD9">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资金来源和落实情况</w:t>
      </w:r>
    </w:p>
    <w:p w14:paraId="0ACD1CD5">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本采购项目的资金来源：见供应商须知前附表第 5 项。</w:t>
      </w:r>
    </w:p>
    <w:p w14:paraId="25301E6A">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本采购项目的资金落实情况：见供应商须知前附表第 6 项。</w:t>
      </w:r>
    </w:p>
    <w:p w14:paraId="2AAE2FDD">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采购范围、合同履行期限</w:t>
      </w:r>
      <w:r>
        <w:rPr>
          <w:rFonts w:hint="eastAsia" w:ascii="仿宋" w:hAnsi="仿宋" w:eastAsia="仿宋" w:cs="仿宋"/>
          <w:b/>
          <w:color w:val="auto"/>
          <w:sz w:val="24"/>
          <w:szCs w:val="24"/>
          <w:highlight w:val="none"/>
          <w:lang w:eastAsia="zh-CN"/>
        </w:rPr>
        <w:t>（计划工期）</w:t>
      </w:r>
      <w:r>
        <w:rPr>
          <w:rFonts w:hint="eastAsia" w:ascii="仿宋" w:hAnsi="仿宋" w:eastAsia="仿宋" w:cs="仿宋"/>
          <w:b/>
          <w:color w:val="auto"/>
          <w:sz w:val="24"/>
          <w:szCs w:val="24"/>
          <w:highlight w:val="none"/>
        </w:rPr>
        <w:t>和质量要求</w:t>
      </w:r>
    </w:p>
    <w:p w14:paraId="59743EBE">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本次采购范围：本项目范围内的工程，均包括在投标方的范围内。</w:t>
      </w:r>
    </w:p>
    <w:p w14:paraId="42514A8F">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本工程的合同履行期限</w:t>
      </w:r>
      <w:r>
        <w:rPr>
          <w:rFonts w:hint="eastAsia" w:ascii="仿宋" w:hAnsi="仿宋" w:eastAsia="仿宋" w:cs="仿宋"/>
          <w:color w:val="auto"/>
          <w:sz w:val="24"/>
          <w:szCs w:val="24"/>
          <w:highlight w:val="none"/>
          <w:lang w:eastAsia="zh-CN"/>
        </w:rPr>
        <w:t>（计划工期）</w:t>
      </w:r>
      <w:r>
        <w:rPr>
          <w:rFonts w:hint="eastAsia" w:ascii="仿宋" w:hAnsi="仿宋" w:eastAsia="仿宋" w:cs="仿宋"/>
          <w:color w:val="auto"/>
          <w:sz w:val="24"/>
          <w:szCs w:val="24"/>
          <w:highlight w:val="none"/>
        </w:rPr>
        <w:t>：详见前附表第 8 项。</w:t>
      </w:r>
    </w:p>
    <w:p w14:paraId="00E14AC7">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本工程的质量要求：见供应商须知前附表第 9 项。</w:t>
      </w:r>
    </w:p>
    <w:p w14:paraId="5A7F4707">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供应商资格要求</w:t>
      </w:r>
    </w:p>
    <w:p w14:paraId="14422B7E">
      <w:pPr>
        <w:pStyle w:val="51"/>
        <w:numPr>
          <w:ilvl w:val="2"/>
          <w:numId w:val="2"/>
        </w:numPr>
        <w:tabs>
          <w:tab w:val="left" w:pos="1698"/>
        </w:tabs>
        <w:adjustRightInd w:val="0"/>
        <w:snapToGrid w:val="0"/>
        <w:spacing w:line="360" w:lineRule="auto"/>
        <w:ind w:left="1697" w:right="-128" w:rightChars="-61" w:hanging="5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供应商应具备承担本工程施工的资质条件、能力和信誉。</w:t>
      </w:r>
    </w:p>
    <w:p w14:paraId="2975626C">
      <w:pPr>
        <w:pStyle w:val="51"/>
        <w:numPr>
          <w:ilvl w:val="0"/>
          <w:numId w:val="3"/>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资质条件：见供应商须知前附表第 10 项；</w:t>
      </w:r>
    </w:p>
    <w:p w14:paraId="5DCD84C7">
      <w:pPr>
        <w:pStyle w:val="51"/>
        <w:numPr>
          <w:ilvl w:val="0"/>
          <w:numId w:val="3"/>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财务要求：见供应商须知前附表第 10 项；</w:t>
      </w:r>
    </w:p>
    <w:p w14:paraId="6B10D7A2">
      <w:pPr>
        <w:pStyle w:val="51"/>
        <w:numPr>
          <w:ilvl w:val="0"/>
          <w:numId w:val="3"/>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业绩要求：见供应商须知前附表第 10 项；</w:t>
      </w:r>
    </w:p>
    <w:p w14:paraId="1BF7E9E8">
      <w:pPr>
        <w:pStyle w:val="51"/>
        <w:numPr>
          <w:ilvl w:val="0"/>
          <w:numId w:val="3"/>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信誉要求：见供应商须知前附表第 10 项；</w:t>
      </w:r>
    </w:p>
    <w:p w14:paraId="643A9D16">
      <w:pPr>
        <w:pStyle w:val="51"/>
        <w:numPr>
          <w:ilvl w:val="0"/>
          <w:numId w:val="3"/>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项目经理</w:t>
      </w:r>
      <w:r>
        <w:rPr>
          <w:rFonts w:hint="eastAsia" w:ascii="仿宋" w:hAnsi="仿宋" w:eastAsia="仿宋" w:cs="仿宋"/>
          <w:color w:val="auto"/>
          <w:sz w:val="24"/>
          <w:szCs w:val="24"/>
          <w:highlight w:val="none"/>
        </w:rPr>
        <w:t>资格：见供应商须知前附表第 10 项；</w:t>
      </w:r>
    </w:p>
    <w:p w14:paraId="4987294E">
      <w:pPr>
        <w:pStyle w:val="51"/>
        <w:numPr>
          <w:ilvl w:val="0"/>
          <w:numId w:val="3"/>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其他要求：见供应商须知前附表第 10 项。</w:t>
      </w:r>
    </w:p>
    <w:p w14:paraId="7B2BEB30">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本工程不接受联合体投标。</w:t>
      </w:r>
    </w:p>
    <w:p w14:paraId="7EB4C0C8">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供应商不得存在下列情形之一：</w:t>
      </w:r>
    </w:p>
    <w:p w14:paraId="7BB5DF31">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为采购人不具有独立法人资格的附属机构（单位）；</w:t>
      </w:r>
    </w:p>
    <w:p w14:paraId="4A5D6FC5">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为本工程的监理人；</w:t>
      </w:r>
    </w:p>
    <w:p w14:paraId="1132174B">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为本工程的代建人；</w:t>
      </w:r>
    </w:p>
    <w:p w14:paraId="66749D0C">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为本工程提供采购代理服务的；</w:t>
      </w:r>
    </w:p>
    <w:p w14:paraId="50E09EA1">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与本工程的监理人或代建人或采购代理机构同为一个法定代表人的；</w:t>
      </w:r>
    </w:p>
    <w:p w14:paraId="0B4CEB01">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与本工程的监理人或代建人或采购代理机构相互控股或参股的；</w:t>
      </w:r>
    </w:p>
    <w:p w14:paraId="4CAC7C0E">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与本工程的监理人或代建人或采购代理机构相互任职或工作的；</w:t>
      </w:r>
    </w:p>
    <w:p w14:paraId="1891449F">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被责令停业的；</w:t>
      </w:r>
    </w:p>
    <w:p w14:paraId="42D5CE01">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被暂停或取消投标资格的；</w:t>
      </w:r>
    </w:p>
    <w:p w14:paraId="539579FB">
      <w:pPr>
        <w:pStyle w:val="51"/>
        <w:numPr>
          <w:ilvl w:val="0"/>
          <w:numId w:val="4"/>
        </w:numPr>
        <w:tabs>
          <w:tab w:val="left" w:pos="1754"/>
        </w:tabs>
        <w:adjustRightInd w:val="0"/>
        <w:snapToGrid w:val="0"/>
        <w:spacing w:line="360" w:lineRule="auto"/>
        <w:ind w:left="1753" w:right="-128" w:rightChars="-61" w:hanging="6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财产被接管或冻结的；</w:t>
      </w:r>
    </w:p>
    <w:p w14:paraId="0B78D714">
      <w:pPr>
        <w:pStyle w:val="51"/>
        <w:numPr>
          <w:ilvl w:val="0"/>
          <w:numId w:val="4"/>
        </w:numPr>
        <w:tabs>
          <w:tab w:val="left" w:pos="1754"/>
        </w:tabs>
        <w:adjustRightInd w:val="0"/>
        <w:snapToGrid w:val="0"/>
        <w:spacing w:line="360" w:lineRule="auto"/>
        <w:ind w:left="1753" w:right="-128" w:rightChars="-61" w:hanging="6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在最近三年内有骗取成交或严重违约或重大工程质量问题的。</w:t>
      </w:r>
    </w:p>
    <w:p w14:paraId="1C1CD144">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费用承担</w:t>
      </w:r>
    </w:p>
    <w:p w14:paraId="67517B29">
      <w:pPr>
        <w:pStyle w:val="12"/>
        <w:adjustRightInd w:val="0"/>
        <w:snapToGrid w:val="0"/>
        <w:spacing w:line="360" w:lineRule="auto"/>
        <w:ind w:left="111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供应商准备和参加磋商活动发生的费用自理。</w:t>
      </w:r>
    </w:p>
    <w:p w14:paraId="5209669C">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保密</w:t>
      </w:r>
    </w:p>
    <w:p w14:paraId="65982D36">
      <w:pPr>
        <w:pStyle w:val="12"/>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参与采购活动的各方应对竞争性磋商文件和响应文件中的商业和技术等秘密保密，违者应对由此造成的后果承担法律责任。</w:t>
      </w:r>
    </w:p>
    <w:p w14:paraId="26B427C5">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语言文字</w:t>
      </w:r>
    </w:p>
    <w:p w14:paraId="7E66A49F">
      <w:pPr>
        <w:pStyle w:val="12"/>
        <w:adjustRightInd w:val="0"/>
        <w:snapToGrid w:val="0"/>
        <w:spacing w:line="360" w:lineRule="auto"/>
        <w:ind w:left="111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除专用术语外，与采购有关的语言均使用中文。必要时专用术语应附有中文注释。</w:t>
      </w:r>
    </w:p>
    <w:p w14:paraId="55D6C7ED">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计量单位</w:t>
      </w:r>
    </w:p>
    <w:p w14:paraId="7E977333">
      <w:pPr>
        <w:pStyle w:val="12"/>
        <w:adjustRightInd w:val="0"/>
        <w:snapToGrid w:val="0"/>
        <w:spacing w:line="360" w:lineRule="auto"/>
        <w:ind w:left="111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所有计量均采用中华人民共和国法定计量单位。</w:t>
      </w:r>
    </w:p>
    <w:p w14:paraId="37EFE6C1">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踏勘现场</w:t>
      </w:r>
    </w:p>
    <w:p w14:paraId="24E76421">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供应商须知前附表第 12 项规定不组织踏勘现场。</w:t>
      </w:r>
    </w:p>
    <w:p w14:paraId="44371BB4">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供应商自行踏勘现场发生的费用自理。</w:t>
      </w:r>
    </w:p>
    <w:p w14:paraId="66598896">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除采购人的原因外，供应商自行负责在踏勘现场中所发生的人员伤亡和财产损失。</w:t>
      </w:r>
    </w:p>
    <w:p w14:paraId="1CC04232">
      <w:pPr>
        <w:pStyle w:val="51"/>
        <w:numPr>
          <w:ilvl w:val="2"/>
          <w:numId w:val="2"/>
        </w:numPr>
        <w:tabs>
          <w:tab w:val="left" w:pos="1750"/>
        </w:tabs>
        <w:adjustRightInd w:val="0"/>
        <w:snapToGrid w:val="0"/>
        <w:spacing w:line="360" w:lineRule="auto"/>
        <w:ind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采购人在踏勘现场中介绍的工程场地和相关的周边环境情况，供供应商在编制响应文件时参考，采购人不对供应商据此作出的判断和决策负责。</w:t>
      </w:r>
    </w:p>
    <w:p w14:paraId="0B6FA0C3">
      <w:pPr>
        <w:numPr>
          <w:ilvl w:val="1"/>
          <w:numId w:val="2"/>
        </w:numPr>
        <w:tabs>
          <w:tab w:val="left" w:pos="1650"/>
        </w:tabs>
        <w:adjustRightInd w:val="0"/>
        <w:snapToGrid w:val="0"/>
        <w:spacing w:line="360" w:lineRule="auto"/>
        <w:ind w:left="1649" w:right="-128" w:rightChars="-61" w:hanging="52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磋商预备会</w:t>
      </w:r>
    </w:p>
    <w:p w14:paraId="2284F4C9">
      <w:pPr>
        <w:pStyle w:val="51"/>
        <w:numPr>
          <w:ilvl w:val="2"/>
          <w:numId w:val="2"/>
        </w:numPr>
        <w:tabs>
          <w:tab w:val="left" w:pos="1856"/>
        </w:tabs>
        <w:adjustRightInd w:val="0"/>
        <w:snapToGrid w:val="0"/>
        <w:spacing w:line="360" w:lineRule="auto"/>
        <w:ind w:left="1855" w:right="-128" w:rightChars="-61" w:hanging="73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供应商须知前附表第 13 项规定不召开磋商预备会。</w:t>
      </w:r>
    </w:p>
    <w:p w14:paraId="1EBC8713">
      <w:pPr>
        <w:pStyle w:val="51"/>
        <w:numPr>
          <w:ilvl w:val="2"/>
          <w:numId w:val="2"/>
        </w:numPr>
        <w:tabs>
          <w:tab w:val="left" w:pos="1856"/>
        </w:tabs>
        <w:adjustRightInd w:val="0"/>
        <w:snapToGrid w:val="0"/>
        <w:spacing w:line="360" w:lineRule="auto"/>
        <w:ind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供应商应在供应商须知前附表第 15 项规定的时间前，以书面形式将提出的问题送达采购人，以便采购人澄清。未在上述规定时间内提出的问题，采购人有解答和拒绝解答的权利。如采购人以书面形式解答，供应商不得以采购人发出答疑文件时间不满足法定时间要求为由提出质疑或投诉。开标结束后，供应商不得就竞争性磋商文件条款提出质疑或投诉。</w:t>
      </w:r>
    </w:p>
    <w:p w14:paraId="2514F3C1">
      <w:pPr>
        <w:pStyle w:val="51"/>
        <w:numPr>
          <w:ilvl w:val="2"/>
          <w:numId w:val="2"/>
        </w:numPr>
        <w:tabs>
          <w:tab w:val="left" w:pos="1856"/>
        </w:tabs>
        <w:adjustRightInd w:val="0"/>
        <w:snapToGrid w:val="0"/>
        <w:spacing w:line="360" w:lineRule="auto"/>
        <w:ind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采购人在供应商须知前附表规定的时间内，将对供应商所提问题的澄清，以书面方式通知所有购买竞争性磋商文件的供应商。该澄清内容为竞争性磋商文件的组成部分</w:t>
      </w:r>
      <w:r>
        <w:rPr>
          <w:rFonts w:hint="eastAsia" w:ascii="仿宋" w:hAnsi="仿宋" w:eastAsia="仿宋" w:cs="仿宋"/>
          <w:color w:val="auto"/>
          <w:sz w:val="24"/>
          <w:szCs w:val="24"/>
          <w:highlight w:val="none"/>
          <w:lang w:eastAsia="zh-CN"/>
        </w:rPr>
        <w:t>。</w:t>
      </w:r>
    </w:p>
    <w:p w14:paraId="155343CF">
      <w:pPr>
        <w:numPr>
          <w:ilvl w:val="1"/>
          <w:numId w:val="2"/>
        </w:numPr>
        <w:tabs>
          <w:tab w:val="left" w:pos="1650"/>
        </w:tabs>
        <w:adjustRightInd w:val="0"/>
        <w:snapToGrid w:val="0"/>
        <w:spacing w:line="360" w:lineRule="auto"/>
        <w:ind w:left="1649" w:right="-128" w:rightChars="-61" w:hanging="52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p w14:paraId="3375CCEB">
      <w:pPr>
        <w:pStyle w:val="12"/>
        <w:adjustRightInd w:val="0"/>
        <w:snapToGrid w:val="0"/>
        <w:spacing w:line="360" w:lineRule="auto"/>
        <w:ind w:left="111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本工程按施工合同执行。</w:t>
      </w:r>
    </w:p>
    <w:p w14:paraId="77C6D62B">
      <w:pPr>
        <w:numPr>
          <w:ilvl w:val="1"/>
          <w:numId w:val="2"/>
        </w:numPr>
        <w:tabs>
          <w:tab w:val="left" w:pos="1650"/>
        </w:tabs>
        <w:adjustRightInd w:val="0"/>
        <w:snapToGrid w:val="0"/>
        <w:spacing w:line="360" w:lineRule="auto"/>
        <w:ind w:left="1649" w:right="-128" w:rightChars="-61" w:hanging="52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偏离</w:t>
      </w:r>
    </w:p>
    <w:p w14:paraId="151D8E7E">
      <w:pPr>
        <w:pStyle w:val="12"/>
        <w:adjustRightInd w:val="0"/>
        <w:snapToGrid w:val="0"/>
        <w:spacing w:line="360" w:lineRule="auto"/>
        <w:ind w:left="111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供应商须知前附表不允许响应文件偏离。</w:t>
      </w:r>
    </w:p>
    <w:p w14:paraId="046ADA33">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2、竞争性磋商文件</w:t>
      </w:r>
    </w:p>
    <w:p w14:paraId="03246FE4">
      <w:pPr>
        <w:numPr>
          <w:ilvl w:val="1"/>
          <w:numId w:val="5"/>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竞争性磋商文件的组成</w:t>
      </w:r>
    </w:p>
    <w:p w14:paraId="1F74D27A">
      <w:pPr>
        <w:pStyle w:val="51"/>
        <w:numPr>
          <w:ilvl w:val="2"/>
          <w:numId w:val="5"/>
        </w:numPr>
        <w:tabs>
          <w:tab w:val="left" w:pos="1698"/>
        </w:tabs>
        <w:adjustRightInd w:val="0"/>
        <w:snapToGrid w:val="0"/>
        <w:spacing w:line="360" w:lineRule="auto"/>
        <w:ind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竞争性磋商文件除以下内容外，采购人采购期间发出的答疑纪要和其它补充修改函件，均是竞争性磋商文件的组成部分，对供应商起约束作用。</w:t>
      </w:r>
    </w:p>
    <w:p w14:paraId="521C05E7">
      <w:pPr>
        <w:pStyle w:val="12"/>
        <w:adjustRightInd w:val="0"/>
        <w:snapToGrid w:val="0"/>
        <w:spacing w:line="360" w:lineRule="auto"/>
        <w:ind w:left="111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本竞争性磋商文件包括：</w:t>
      </w:r>
    </w:p>
    <w:p w14:paraId="5200DA09">
      <w:pPr>
        <w:pStyle w:val="12"/>
        <w:numPr>
          <w:ilvl w:val="0"/>
          <w:numId w:val="6"/>
        </w:numPr>
        <w:adjustRightInd w:val="0"/>
        <w:snapToGrid w:val="0"/>
        <w:spacing w:line="360" w:lineRule="auto"/>
        <w:ind w:left="153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竞争性磋商公告； </w:t>
      </w:r>
    </w:p>
    <w:p w14:paraId="2D443F03">
      <w:pPr>
        <w:pStyle w:val="12"/>
        <w:numPr>
          <w:ilvl w:val="0"/>
          <w:numId w:val="6"/>
        </w:numPr>
        <w:adjustRightInd w:val="0"/>
        <w:snapToGrid w:val="0"/>
        <w:spacing w:line="360" w:lineRule="auto"/>
        <w:ind w:left="153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供应商须知；</w:t>
      </w:r>
    </w:p>
    <w:p w14:paraId="5EEF565A">
      <w:pPr>
        <w:pStyle w:val="12"/>
        <w:adjustRightInd w:val="0"/>
        <w:snapToGrid w:val="0"/>
        <w:spacing w:line="360" w:lineRule="auto"/>
        <w:ind w:left="153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 评审办法；</w:t>
      </w:r>
    </w:p>
    <w:p w14:paraId="13A6DFEF">
      <w:pPr>
        <w:pStyle w:val="12"/>
        <w:adjustRightInd w:val="0"/>
        <w:snapToGrid w:val="0"/>
        <w:spacing w:line="360" w:lineRule="auto"/>
        <w:ind w:left="153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第四章 合同条款及格式； </w:t>
      </w:r>
    </w:p>
    <w:p w14:paraId="5E2A8DB1">
      <w:pPr>
        <w:pStyle w:val="12"/>
        <w:adjustRightInd w:val="0"/>
        <w:snapToGrid w:val="0"/>
        <w:spacing w:line="360" w:lineRule="auto"/>
        <w:ind w:left="153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 工程量清单</w:t>
      </w:r>
      <w:r>
        <w:rPr>
          <w:rFonts w:hint="eastAsia" w:ascii="仿宋" w:hAnsi="仿宋" w:eastAsia="仿宋" w:cs="仿宋"/>
          <w:color w:val="auto"/>
          <w:sz w:val="24"/>
          <w:szCs w:val="24"/>
          <w:highlight w:val="none"/>
          <w:lang w:val="en-US" w:eastAsia="zh-CN"/>
        </w:rPr>
        <w:t>及图纸</w:t>
      </w:r>
      <w:r>
        <w:rPr>
          <w:rFonts w:hint="eastAsia" w:ascii="仿宋" w:hAnsi="仿宋" w:eastAsia="仿宋" w:cs="仿宋"/>
          <w:color w:val="auto"/>
          <w:sz w:val="24"/>
          <w:szCs w:val="24"/>
          <w:highlight w:val="none"/>
        </w:rPr>
        <w:t>；</w:t>
      </w:r>
    </w:p>
    <w:p w14:paraId="5E73B3E3">
      <w:pPr>
        <w:pStyle w:val="12"/>
        <w:adjustRightInd w:val="0"/>
        <w:snapToGrid w:val="0"/>
        <w:spacing w:line="360" w:lineRule="auto"/>
        <w:ind w:left="153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第六章 技术标准和要求； </w:t>
      </w:r>
    </w:p>
    <w:p w14:paraId="6548F583">
      <w:pPr>
        <w:pStyle w:val="12"/>
        <w:adjustRightInd w:val="0"/>
        <w:snapToGrid w:val="0"/>
        <w:spacing w:line="360" w:lineRule="auto"/>
        <w:ind w:left="153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第七章 响应文件格式；</w:t>
      </w:r>
    </w:p>
    <w:p w14:paraId="18018F7C">
      <w:pPr>
        <w:pStyle w:val="51"/>
        <w:numPr>
          <w:ilvl w:val="2"/>
          <w:numId w:val="5"/>
        </w:numPr>
        <w:tabs>
          <w:tab w:val="left" w:pos="1750"/>
        </w:tabs>
        <w:adjustRightInd w:val="0"/>
        <w:snapToGrid w:val="0"/>
        <w:spacing w:line="360" w:lineRule="auto"/>
        <w:ind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认真审阅竞争性磋商文件中所有事项、格式、条款和规范要求等，如果供应商的响应文件没有按照竞争性磋商文件要求提交全部资料或者响应文件没有对竞争性磋商文件做出实质性响应，其风险应由供应商自行承担并根据有关条款规定，其响应有可能被拒绝。</w:t>
      </w:r>
    </w:p>
    <w:p w14:paraId="61A0D519">
      <w:pPr>
        <w:numPr>
          <w:ilvl w:val="1"/>
          <w:numId w:val="5"/>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竞争性磋商文件的澄清</w:t>
      </w:r>
    </w:p>
    <w:p w14:paraId="39AD3C30">
      <w:pPr>
        <w:keepNext w:val="0"/>
        <w:keepLines w:val="0"/>
        <w:pageBreakBefore w:val="0"/>
        <w:widowControl/>
        <w:suppressLineNumbers w:val="0"/>
        <w:kinsoku/>
        <w:wordWrap/>
        <w:overflowPunct/>
        <w:topLinePunct w:val="0"/>
        <w:autoSpaceDE/>
        <w:autoSpaceDN/>
        <w:bidi w:val="0"/>
        <w:adjustRightInd/>
        <w:snapToGrid/>
        <w:spacing w:line="360" w:lineRule="auto"/>
        <w:ind w:left="636" w:leftChars="303" w:firstLine="422"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2.2.1 如有疑问，应在供应商须知前附表第 15 项规定的时间前以书面形式（包括信函、电报、传真等可以有形地表现所载内容的形式，下同），要求采购人对竞争性磋商文件予以澄清，否则不得对第五章“工程量清单”作任何修改。 </w:t>
      </w:r>
    </w:p>
    <w:p w14:paraId="79503AF8">
      <w:pPr>
        <w:keepNext w:val="0"/>
        <w:keepLines w:val="0"/>
        <w:pageBreakBefore w:val="0"/>
        <w:widowControl/>
        <w:suppressLineNumbers w:val="0"/>
        <w:kinsoku/>
        <w:wordWrap/>
        <w:overflowPunct/>
        <w:topLinePunct w:val="0"/>
        <w:autoSpaceDE/>
        <w:autoSpaceDN/>
        <w:bidi w:val="0"/>
        <w:adjustRightInd/>
        <w:snapToGrid/>
        <w:spacing w:line="360" w:lineRule="auto"/>
        <w:ind w:left="636" w:leftChars="303" w:firstLine="422"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2.2.2 竞争性磋商文件的澄清将在供应商须知前附表第 19 项规定的投标截止时间 5 天前以书面形式发给所有购买竞争性磋商文件的供应商，但不指明澄清问题的来源。如果澄清发出的时间距投标截止时间不足 5 天，相应延长投标截止时间。 </w:t>
      </w:r>
    </w:p>
    <w:p w14:paraId="2FCA7BCA">
      <w:pPr>
        <w:keepNext w:val="0"/>
        <w:keepLines w:val="0"/>
        <w:pageBreakBefore w:val="0"/>
        <w:widowControl/>
        <w:suppressLineNumbers w:val="0"/>
        <w:kinsoku/>
        <w:wordWrap/>
        <w:overflowPunct/>
        <w:topLinePunct w:val="0"/>
        <w:autoSpaceDE/>
        <w:autoSpaceDN/>
        <w:bidi w:val="0"/>
        <w:adjustRightInd/>
        <w:snapToGrid/>
        <w:spacing w:line="360" w:lineRule="auto"/>
        <w:ind w:left="636" w:leftChars="303" w:firstLine="422"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2.2.3 供应商在收到澄清后，应在供应商须知前附表规定的时间内以书面形式通知采购人，确认已收到该澄清。</w:t>
      </w:r>
    </w:p>
    <w:p w14:paraId="41A1D68F">
      <w:pPr>
        <w:numPr>
          <w:ilvl w:val="1"/>
          <w:numId w:val="5"/>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竞争性磋商文件的修改</w:t>
      </w:r>
    </w:p>
    <w:p w14:paraId="08A5F671">
      <w:pPr>
        <w:pStyle w:val="51"/>
        <w:numPr>
          <w:ilvl w:val="2"/>
          <w:numId w:val="5"/>
        </w:numPr>
        <w:tabs>
          <w:tab w:val="left" w:pos="1750"/>
        </w:tabs>
        <w:adjustRightInd w:val="0"/>
        <w:snapToGrid w:val="0"/>
        <w:spacing w:line="360" w:lineRule="auto"/>
        <w:ind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在投标截止前，采购人可以书面形式修改竞争性磋商文件，并通知所有已购买竞争性磋商文件的供应商。</w:t>
      </w:r>
    </w:p>
    <w:p w14:paraId="48647C93">
      <w:pPr>
        <w:pStyle w:val="51"/>
        <w:numPr>
          <w:ilvl w:val="2"/>
          <w:numId w:val="5"/>
        </w:numPr>
        <w:tabs>
          <w:tab w:val="left" w:pos="1750"/>
        </w:tabs>
        <w:adjustRightInd w:val="0"/>
        <w:snapToGrid w:val="0"/>
        <w:spacing w:line="360" w:lineRule="auto"/>
        <w:ind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供应商收到修改内容后，应在供应商须知前附表规定的时间内以书面形式通知采购人，确认已收到该修改。</w:t>
      </w:r>
    </w:p>
    <w:p w14:paraId="5E13E960">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3、响应文件</w:t>
      </w:r>
    </w:p>
    <w:p w14:paraId="0F2B360D">
      <w:pPr>
        <w:numPr>
          <w:ilvl w:val="1"/>
          <w:numId w:val="7"/>
        </w:numPr>
        <w:tabs>
          <w:tab w:val="left" w:pos="1599"/>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响应文件的组成</w:t>
      </w:r>
    </w:p>
    <w:p w14:paraId="6CB89452">
      <w:pPr>
        <w:pStyle w:val="51"/>
        <w:numPr>
          <w:ilvl w:val="2"/>
          <w:numId w:val="8"/>
        </w:numPr>
        <w:tabs>
          <w:tab w:val="left" w:pos="1753"/>
        </w:tabs>
        <w:adjustRightInd w:val="0"/>
        <w:snapToGrid w:val="0"/>
        <w:spacing w:line="360" w:lineRule="auto"/>
        <w:ind w:right="-128" w:rightChars="-61" w:firstLine="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响应文件应包括下列内容： </w:t>
      </w:r>
    </w:p>
    <w:p w14:paraId="480005BF">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1</w:t>
      </w:r>
      <w:r>
        <w:rPr>
          <w:rFonts w:hint="eastAsia" w:ascii="仿宋" w:hAnsi="仿宋" w:eastAsia="仿宋" w:cs="仿宋"/>
          <w:color w:val="auto"/>
          <w:sz w:val="24"/>
          <w:szCs w:val="24"/>
          <w:highlight w:val="none"/>
        </w:rPr>
        <w:t>）投标函及投标函附录</w:t>
      </w:r>
    </w:p>
    <w:p w14:paraId="5DD34546">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2</w:t>
      </w:r>
      <w:r>
        <w:rPr>
          <w:rFonts w:hint="eastAsia" w:ascii="仿宋" w:hAnsi="仿宋" w:eastAsia="仿宋" w:cs="仿宋"/>
          <w:color w:val="auto"/>
          <w:sz w:val="24"/>
          <w:szCs w:val="24"/>
          <w:highlight w:val="none"/>
        </w:rPr>
        <w:t>）法定代表人身份证明</w:t>
      </w:r>
    </w:p>
    <w:p w14:paraId="67F09069">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3</w:t>
      </w:r>
      <w:r>
        <w:rPr>
          <w:rFonts w:hint="eastAsia" w:ascii="仿宋" w:hAnsi="仿宋" w:eastAsia="仿宋" w:cs="仿宋"/>
          <w:color w:val="auto"/>
          <w:sz w:val="24"/>
          <w:szCs w:val="24"/>
          <w:highlight w:val="none"/>
        </w:rPr>
        <w:t>）授权委托书</w:t>
      </w:r>
    </w:p>
    <w:p w14:paraId="3BD12A80">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磋商保证金</w:t>
      </w:r>
    </w:p>
    <w:p w14:paraId="5BF2A138">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5</w:t>
      </w:r>
      <w:r>
        <w:rPr>
          <w:rFonts w:hint="eastAsia" w:ascii="仿宋" w:hAnsi="仿宋" w:eastAsia="仿宋" w:cs="仿宋"/>
          <w:color w:val="auto"/>
          <w:sz w:val="24"/>
          <w:szCs w:val="24"/>
          <w:highlight w:val="none"/>
        </w:rPr>
        <w:t>）已标价工程量清单</w:t>
      </w:r>
    </w:p>
    <w:p w14:paraId="19D76A22">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6</w:t>
      </w:r>
      <w:r>
        <w:rPr>
          <w:rFonts w:hint="eastAsia" w:ascii="仿宋" w:hAnsi="仿宋" w:eastAsia="仿宋" w:cs="仿宋"/>
          <w:color w:val="auto"/>
          <w:sz w:val="24"/>
          <w:szCs w:val="24"/>
          <w:highlight w:val="none"/>
        </w:rPr>
        <w:t>）施工组织设计</w:t>
      </w:r>
    </w:p>
    <w:p w14:paraId="60BD55C1">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7</w:t>
      </w:r>
      <w:r>
        <w:rPr>
          <w:rFonts w:hint="eastAsia" w:ascii="仿宋" w:hAnsi="仿宋" w:eastAsia="仿宋" w:cs="仿宋"/>
          <w:color w:val="auto"/>
          <w:sz w:val="24"/>
          <w:szCs w:val="24"/>
          <w:highlight w:val="none"/>
        </w:rPr>
        <w:t>）项目管理机构</w:t>
      </w:r>
    </w:p>
    <w:p w14:paraId="5E4614E3">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8</w:t>
      </w:r>
      <w:r>
        <w:rPr>
          <w:rFonts w:hint="eastAsia" w:ascii="仿宋" w:hAnsi="仿宋" w:eastAsia="仿宋" w:cs="仿宋"/>
          <w:color w:val="auto"/>
          <w:sz w:val="24"/>
          <w:szCs w:val="24"/>
          <w:highlight w:val="none"/>
        </w:rPr>
        <w:t>）资格审查资料</w:t>
      </w:r>
    </w:p>
    <w:p w14:paraId="59EF006D">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9</w:t>
      </w:r>
      <w:r>
        <w:rPr>
          <w:rFonts w:hint="eastAsia" w:ascii="仿宋" w:hAnsi="仿宋" w:eastAsia="仿宋" w:cs="仿宋"/>
          <w:color w:val="auto"/>
          <w:sz w:val="24"/>
          <w:szCs w:val="24"/>
          <w:highlight w:val="none"/>
        </w:rPr>
        <w:t>）其他材料</w:t>
      </w:r>
    </w:p>
    <w:p w14:paraId="5D033555">
      <w:pPr>
        <w:numPr>
          <w:ilvl w:val="1"/>
          <w:numId w:val="7"/>
        </w:numPr>
        <w:tabs>
          <w:tab w:val="left" w:pos="1599"/>
        </w:tabs>
        <w:adjustRightInd w:val="0"/>
        <w:snapToGrid w:val="0"/>
        <w:spacing w:line="360" w:lineRule="auto"/>
        <w:ind w:right="-128" w:rightChars="-61"/>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响应报价</w:t>
      </w:r>
    </w:p>
    <w:p w14:paraId="57E7C97D">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1 响应货币：所有响应报价均以人民币元为计算单位。</w:t>
      </w:r>
    </w:p>
    <w:p w14:paraId="21CBA582">
      <w:pPr>
        <w:pStyle w:val="51"/>
        <w:tabs>
          <w:tab w:val="left" w:pos="1750"/>
        </w:tabs>
        <w:adjustRightInd w:val="0"/>
        <w:snapToGrid w:val="0"/>
        <w:spacing w:line="360" w:lineRule="auto"/>
        <w:ind w:left="1118" w:right="-128" w:rightChars="-61" w:firstLine="0"/>
        <w:jc w:val="left"/>
        <w:rPr>
          <w:rFonts w:hint="eastAsia" w:ascii="仿宋" w:hAnsi="仿宋" w:eastAsia="仿宋" w:cs="仿宋"/>
          <w:b w:val="0"/>
          <w:bCs w:val="0"/>
          <w:color w:val="auto"/>
          <w:sz w:val="24"/>
          <w:szCs w:val="24"/>
          <w:highlight w:val="none"/>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2 供应商应一次性报出工程总价，报价时只允许有一个报价，任何有选择的、</w:t>
      </w:r>
      <w:r>
        <w:rPr>
          <w:rFonts w:hint="eastAsia" w:ascii="仿宋" w:hAnsi="仿宋" w:eastAsia="仿宋" w:cs="仿宋"/>
          <w:b w:val="0"/>
          <w:bCs w:val="0"/>
          <w:color w:val="auto"/>
          <w:sz w:val="24"/>
          <w:szCs w:val="24"/>
          <w:highlight w:val="none"/>
          <w:lang w:val="zh-CN"/>
        </w:rPr>
        <w:t>可调整的报价将不予接受。供应商所报价格应为验收合格并交付使用的全部价格。</w:t>
      </w:r>
    </w:p>
    <w:p w14:paraId="3D0D287E">
      <w:pPr>
        <w:pStyle w:val="51"/>
        <w:tabs>
          <w:tab w:val="left" w:pos="1750"/>
        </w:tabs>
        <w:adjustRightInd w:val="0"/>
        <w:snapToGrid w:val="0"/>
        <w:spacing w:line="360" w:lineRule="auto"/>
        <w:ind w:left="1118" w:right="-128" w:rightChars="-61" w:firstLine="0"/>
        <w:jc w:val="left"/>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已标价的工程量清单需加盖国家注册造价师执业章及签字，无造价师的供应商，可聘用其他公司的造价师。</w:t>
      </w:r>
    </w:p>
    <w:p w14:paraId="6F81CCB0">
      <w:pPr>
        <w:pStyle w:val="51"/>
        <w:tabs>
          <w:tab w:val="left" w:pos="1750"/>
        </w:tabs>
        <w:adjustRightInd w:val="0"/>
        <w:snapToGrid w:val="0"/>
        <w:spacing w:line="360" w:lineRule="auto"/>
        <w:ind w:left="1118" w:right="-128" w:rightChars="-61" w:firstLine="0"/>
        <w:jc w:val="left"/>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同一公司不得再就同一工程接受委托编制报价。</w:t>
      </w:r>
    </w:p>
    <w:p w14:paraId="2654EACC">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val="zh-CN"/>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val="zh-CN"/>
        </w:rPr>
        <w:t>3 最低报价不能作为成交的保证。</w:t>
      </w:r>
    </w:p>
    <w:p w14:paraId="5C2CB0FE">
      <w:pPr>
        <w:numPr>
          <w:ilvl w:val="1"/>
          <w:numId w:val="7"/>
        </w:numPr>
        <w:tabs>
          <w:tab w:val="left" w:pos="1544"/>
        </w:tabs>
        <w:adjustRightInd w:val="0"/>
        <w:snapToGrid w:val="0"/>
        <w:spacing w:line="360" w:lineRule="auto"/>
        <w:ind w:left="1543" w:right="-128" w:rightChars="-61" w:hanging="42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磋商有效期</w:t>
      </w:r>
    </w:p>
    <w:p w14:paraId="3AB1B4C4">
      <w:pPr>
        <w:pStyle w:val="51"/>
        <w:numPr>
          <w:ilvl w:val="2"/>
          <w:numId w:val="7"/>
        </w:numPr>
        <w:tabs>
          <w:tab w:val="left" w:pos="1750"/>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磋商有效期见供应商须知前附表第 24 项所规定的期限，在此期限内，凡符合本竞争性磋商文件要求的响应文件均保持有效。</w:t>
      </w:r>
    </w:p>
    <w:p w14:paraId="0D1FF38E">
      <w:pPr>
        <w:pStyle w:val="51"/>
        <w:numPr>
          <w:ilvl w:val="2"/>
          <w:numId w:val="7"/>
        </w:numPr>
        <w:tabs>
          <w:tab w:val="left" w:pos="1750"/>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特殊情况下，采购人在原定磋商有效期内，可以根据需要以书面形式向供应商提出延长磋商有效期的要求，对此要求供应商须以书面形式予以答复。供应商可以拒绝采购人这种要求，而不被没收磋商保证金。同意延长磋商有效期的供应商既不能要求也不允许修改其响应文件，但需要相应的延长磋商有效期，在延长的磋商有效期内，本须知第 3.7 条关于磋商保证金的退还与没收的规定仍然适用。</w:t>
      </w:r>
    </w:p>
    <w:p w14:paraId="03235F5E">
      <w:pPr>
        <w:numPr>
          <w:ilvl w:val="1"/>
          <w:numId w:val="7"/>
        </w:numPr>
        <w:tabs>
          <w:tab w:val="left" w:pos="1544"/>
        </w:tabs>
        <w:adjustRightInd w:val="0"/>
        <w:snapToGrid w:val="0"/>
        <w:spacing w:line="360" w:lineRule="auto"/>
        <w:ind w:left="1543" w:right="-128" w:rightChars="-61" w:hanging="42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磋商保证金</w:t>
      </w:r>
    </w:p>
    <w:p w14:paraId="11DE492F">
      <w:pPr>
        <w:pStyle w:val="51"/>
        <w:numPr>
          <w:ilvl w:val="2"/>
          <w:numId w:val="7"/>
        </w:numPr>
        <w:tabs>
          <w:tab w:val="left" w:pos="1750"/>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供应商应在提交响应文件的同时，按有关规定提交供应商须知前附表第 25 项所规定数额的磋商保证金并作为其响应文件的一部分。</w:t>
      </w:r>
    </w:p>
    <w:p w14:paraId="45AAF36A">
      <w:pPr>
        <w:pStyle w:val="51"/>
        <w:numPr>
          <w:ilvl w:val="2"/>
          <w:numId w:val="7"/>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供应商应按供应商须知前附表第 25 项所规定的转账方式提交磋商保证金；</w:t>
      </w:r>
    </w:p>
    <w:p w14:paraId="4FAAC268">
      <w:pPr>
        <w:pStyle w:val="51"/>
        <w:numPr>
          <w:ilvl w:val="2"/>
          <w:numId w:val="7"/>
        </w:numPr>
        <w:tabs>
          <w:tab w:val="left" w:pos="1750"/>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对于未能按要求提交磋商保证金的响应文件，采购人将视为不响应竞争性磋商文件而予以拒绝；</w:t>
      </w:r>
    </w:p>
    <w:p w14:paraId="1E6207BE">
      <w:pPr>
        <w:pStyle w:val="51"/>
        <w:numPr>
          <w:ilvl w:val="2"/>
          <w:numId w:val="7"/>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未成交的供应商的磋商保证金从发放成交通知书起 3 个工作日内予以退还（不计利息）。</w:t>
      </w:r>
    </w:p>
    <w:p w14:paraId="77F5FE7C">
      <w:pPr>
        <w:pStyle w:val="51"/>
        <w:numPr>
          <w:ilvl w:val="2"/>
          <w:numId w:val="7"/>
        </w:numPr>
        <w:tabs>
          <w:tab w:val="left" w:pos="1750"/>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成交供应商的磋商保证金，在成交供应商按本须知第 7.4 条规定签订合同并按本须知第 7.3 条规定提交履约金后 5 个工作日内予以退还(不计利息)。</w:t>
      </w:r>
    </w:p>
    <w:p w14:paraId="1E1F9CD9">
      <w:pPr>
        <w:pStyle w:val="51"/>
        <w:numPr>
          <w:ilvl w:val="2"/>
          <w:numId w:val="7"/>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如供应商发生下列情况之一时，磋商保证金将被没收：</w:t>
      </w:r>
    </w:p>
    <w:p w14:paraId="29FA6027">
      <w:pPr>
        <w:pStyle w:val="51"/>
        <w:numPr>
          <w:ilvl w:val="0"/>
          <w:numId w:val="9"/>
        </w:numPr>
        <w:tabs>
          <w:tab w:val="left" w:pos="1542"/>
        </w:tabs>
        <w:adjustRightInd w:val="0"/>
        <w:snapToGrid w:val="0"/>
        <w:spacing w:line="360" w:lineRule="auto"/>
        <w:ind w:right="-128" w:rightChars="-61" w:hanging="4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供应商在磋商有效期内撤回其响应文件；</w:t>
      </w:r>
    </w:p>
    <w:p w14:paraId="436CE392">
      <w:pPr>
        <w:pStyle w:val="51"/>
        <w:numPr>
          <w:ilvl w:val="0"/>
          <w:numId w:val="9"/>
        </w:numPr>
        <w:tabs>
          <w:tab w:val="left" w:pos="1542"/>
        </w:tabs>
        <w:adjustRightInd w:val="0"/>
        <w:snapToGrid w:val="0"/>
        <w:spacing w:line="360" w:lineRule="auto"/>
        <w:ind w:right="-128" w:rightChars="-61" w:hanging="4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供应商拒绝按本须知第 6.8 条规定修正报价；</w:t>
      </w:r>
    </w:p>
    <w:p w14:paraId="6DC03253">
      <w:pPr>
        <w:pStyle w:val="51"/>
        <w:numPr>
          <w:ilvl w:val="0"/>
          <w:numId w:val="9"/>
        </w:numPr>
        <w:tabs>
          <w:tab w:val="left" w:pos="1542"/>
        </w:tabs>
        <w:adjustRightInd w:val="0"/>
        <w:snapToGrid w:val="0"/>
        <w:spacing w:line="360" w:lineRule="auto"/>
        <w:ind w:right="-128" w:rightChars="-61" w:hanging="4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成交供应商未能在规定期限内提交履约担保或签订合同协议。</w:t>
      </w:r>
    </w:p>
    <w:p w14:paraId="6A247F28">
      <w:pPr>
        <w:pStyle w:val="51"/>
        <w:numPr>
          <w:ilvl w:val="0"/>
          <w:numId w:val="9"/>
        </w:numPr>
        <w:tabs>
          <w:tab w:val="left" w:pos="1542"/>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若成交供应商不能按本须知第 7.4 款的规定执行，采购人将有充分的理由解除成交通知书，并没收其磋商保证金，给采购人造成的损失超过磋商保证金数额的，还应当对超过部分予以赔偿。</w:t>
      </w:r>
    </w:p>
    <w:p w14:paraId="51481E29">
      <w:pPr>
        <w:numPr>
          <w:ilvl w:val="1"/>
          <w:numId w:val="7"/>
        </w:numPr>
        <w:tabs>
          <w:tab w:val="left" w:pos="1544"/>
        </w:tabs>
        <w:adjustRightInd w:val="0"/>
        <w:snapToGrid w:val="0"/>
        <w:spacing w:line="360" w:lineRule="auto"/>
        <w:ind w:left="1543" w:right="-128" w:rightChars="-61" w:hanging="42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资格审查资料</w:t>
      </w:r>
    </w:p>
    <w:p w14:paraId="3FBE5933">
      <w:pPr>
        <w:pStyle w:val="51"/>
        <w:numPr>
          <w:ilvl w:val="2"/>
          <w:numId w:val="7"/>
        </w:numPr>
        <w:tabs>
          <w:tab w:val="left" w:pos="1753"/>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“供应商基本情况表”应附供应商营业执照副本、</w:t>
      </w:r>
      <w:r>
        <w:rPr>
          <w:rFonts w:hint="eastAsia" w:ascii="仿宋" w:hAnsi="仿宋" w:eastAsia="仿宋" w:cs="仿宋"/>
          <w:color w:val="auto"/>
          <w:sz w:val="24"/>
          <w:szCs w:val="24"/>
          <w:highlight w:val="none"/>
          <w:lang w:val="en-US"/>
        </w:rPr>
        <w:t>资质证书、</w:t>
      </w:r>
      <w:r>
        <w:rPr>
          <w:rFonts w:hint="eastAsia" w:ascii="仿宋" w:hAnsi="仿宋" w:eastAsia="仿宋" w:cs="仿宋"/>
          <w:color w:val="auto"/>
          <w:sz w:val="24"/>
          <w:szCs w:val="24"/>
          <w:highlight w:val="none"/>
        </w:rPr>
        <w:t>安全生产许可证等材料的复印件。</w:t>
      </w:r>
    </w:p>
    <w:p w14:paraId="2927D8FD">
      <w:pPr>
        <w:pStyle w:val="51"/>
        <w:numPr>
          <w:ilvl w:val="2"/>
          <w:numId w:val="7"/>
        </w:numPr>
        <w:tabs>
          <w:tab w:val="left" w:pos="1753"/>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“近年财务状况表”应附经会计师事务所或审计机构审计的财务会计报表，包括资产负债表、现金流量表、利润表和财务情况说明书的复印件，具体年份要求见供应商须知前附表。</w:t>
      </w:r>
    </w:p>
    <w:p w14:paraId="00BB3158">
      <w:pPr>
        <w:pStyle w:val="51"/>
        <w:numPr>
          <w:ilvl w:val="2"/>
          <w:numId w:val="7"/>
        </w:numPr>
        <w:tabs>
          <w:tab w:val="left" w:pos="1753"/>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“近年完成的类似项目情况表”应附成交通知书和(或)合同协议书或工程接收证书(工程竣工验收证书)的复印件，具体年份要求见供应商须知前附表。每张表格只填写一个项目，并标明序号。</w:t>
      </w:r>
    </w:p>
    <w:p w14:paraId="30873857">
      <w:pPr>
        <w:pStyle w:val="51"/>
        <w:numPr>
          <w:ilvl w:val="2"/>
          <w:numId w:val="7"/>
        </w:numPr>
        <w:tabs>
          <w:tab w:val="left" w:pos="1698"/>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“正在施工和新承接的项目情况表”应附成交通知书和(或)合同协议书复印件。每张表格只填写一个项目，并标明序号。</w:t>
      </w:r>
    </w:p>
    <w:p w14:paraId="1782D5E5">
      <w:pPr>
        <w:pStyle w:val="51"/>
        <w:numPr>
          <w:ilvl w:val="2"/>
          <w:numId w:val="7"/>
        </w:numPr>
        <w:tabs>
          <w:tab w:val="left" w:pos="1698"/>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“近年发生的诉讼及仲裁情况”应说明相关情况，并附法院或仲裁机构作出的判决、裁决等有关法律文书复印件，具体年份要求见供应商须知前附表。</w:t>
      </w:r>
    </w:p>
    <w:p w14:paraId="50D5D854">
      <w:pPr>
        <w:pStyle w:val="51"/>
        <w:numPr>
          <w:ilvl w:val="2"/>
          <w:numId w:val="7"/>
        </w:numPr>
        <w:tabs>
          <w:tab w:val="left" w:pos="1750"/>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供应商须知前附表规定接受联合体投标的，本章第3.8.1项至第3.8.5项规定的表格和资料应包括联合体各方相关情况。</w:t>
      </w:r>
    </w:p>
    <w:p w14:paraId="1C2E14F0">
      <w:pPr>
        <w:numPr>
          <w:ilvl w:val="1"/>
          <w:numId w:val="7"/>
        </w:numPr>
        <w:tabs>
          <w:tab w:val="left" w:pos="1544"/>
        </w:tabs>
        <w:adjustRightInd w:val="0"/>
        <w:snapToGrid w:val="0"/>
        <w:spacing w:line="360" w:lineRule="auto"/>
        <w:ind w:left="1543" w:right="-128" w:rightChars="-61" w:hanging="42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供应商的替代方案</w:t>
      </w:r>
    </w:p>
    <w:p w14:paraId="38CB8588">
      <w:pPr>
        <w:pStyle w:val="51"/>
        <w:numPr>
          <w:ilvl w:val="2"/>
          <w:numId w:val="7"/>
        </w:numPr>
        <w:tabs>
          <w:tab w:val="left" w:pos="1750"/>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供应商所提交的响应文件应满足竞争性磋商文件的要求，除非供应商须知前附表第 28 项中允许供应商提交替代方案，否则替代方案将不予考虑。如果允许供应商提交替代方案，则执行供应商须知第 3.8.2 款的规定。</w:t>
      </w:r>
    </w:p>
    <w:p w14:paraId="34A1D5EE">
      <w:pPr>
        <w:pStyle w:val="51"/>
        <w:numPr>
          <w:ilvl w:val="2"/>
          <w:numId w:val="7"/>
        </w:numPr>
        <w:tabs>
          <w:tab w:val="left" w:pos="1750"/>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如果供应商须知前附表第 28 项中允许供应商提交替代方案，则供应商除提交正式响应文件外，按照竞争性磋商文件要求提交替代方案。替代方案应包括设计计算书、技术规范、单价分析表、替代方案报价、所建议的施工方案等满足评审需要的全部资料。</w:t>
      </w:r>
    </w:p>
    <w:p w14:paraId="754FFF08">
      <w:pPr>
        <w:numPr>
          <w:ilvl w:val="1"/>
          <w:numId w:val="7"/>
        </w:numPr>
        <w:tabs>
          <w:tab w:val="left" w:pos="1650"/>
        </w:tabs>
        <w:adjustRightInd w:val="0"/>
        <w:snapToGrid w:val="0"/>
        <w:spacing w:line="360" w:lineRule="auto"/>
        <w:ind w:left="1649" w:right="-128" w:rightChars="-61" w:hanging="52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响应文件的编制</w:t>
      </w:r>
    </w:p>
    <w:p w14:paraId="7E5FE4E2">
      <w:pPr>
        <w:pStyle w:val="51"/>
        <w:numPr>
          <w:ilvl w:val="2"/>
          <w:numId w:val="7"/>
        </w:numPr>
        <w:tabs>
          <w:tab w:val="left" w:pos="1856"/>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响应文件应按第</w:t>
      </w:r>
      <w:r>
        <w:rPr>
          <w:rFonts w:hint="eastAsia" w:ascii="仿宋" w:hAnsi="仿宋" w:eastAsia="仿宋" w:cs="仿宋"/>
          <w:color w:val="auto"/>
          <w:sz w:val="24"/>
          <w:szCs w:val="24"/>
          <w:highlight w:val="none"/>
          <w:lang w:val="en-US"/>
        </w:rPr>
        <w:t>七</w:t>
      </w:r>
      <w:r>
        <w:rPr>
          <w:rFonts w:hint="eastAsia" w:ascii="仿宋" w:hAnsi="仿宋" w:eastAsia="仿宋" w:cs="仿宋"/>
          <w:color w:val="auto"/>
          <w:sz w:val="24"/>
          <w:szCs w:val="24"/>
          <w:highlight w:val="none"/>
        </w:rPr>
        <w:t>章“响应文件格式”进行编写，如有必要，可以增加附页，作为响应文件的组成部分。其中，投标函附录在满足竞争性磋商文件实质性要求的基础上，可以提出比竞争性磋商文件要求更有利于采购人的承诺。</w:t>
      </w:r>
    </w:p>
    <w:p w14:paraId="492D9F1F">
      <w:pPr>
        <w:pStyle w:val="51"/>
        <w:numPr>
          <w:ilvl w:val="2"/>
          <w:numId w:val="7"/>
        </w:numPr>
        <w:tabs>
          <w:tab w:val="left" w:pos="1856"/>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响应文件应当对竞争性磋商文件有关合同履行期限</w:t>
      </w:r>
      <w:r>
        <w:rPr>
          <w:rFonts w:hint="eastAsia" w:ascii="仿宋" w:hAnsi="仿宋" w:eastAsia="仿宋" w:cs="仿宋"/>
          <w:color w:val="auto"/>
          <w:sz w:val="24"/>
          <w:szCs w:val="24"/>
          <w:highlight w:val="none"/>
          <w:lang w:eastAsia="zh-CN"/>
        </w:rPr>
        <w:t>（计划工期）</w:t>
      </w:r>
      <w:r>
        <w:rPr>
          <w:rFonts w:hint="eastAsia" w:ascii="仿宋" w:hAnsi="仿宋" w:eastAsia="仿宋" w:cs="仿宋"/>
          <w:color w:val="auto"/>
          <w:sz w:val="24"/>
          <w:szCs w:val="24"/>
          <w:highlight w:val="none"/>
        </w:rPr>
        <w:t>、投标有效期、质量要求、技术标准和要求、采购范围等实质性内容作出响应。</w:t>
      </w:r>
    </w:p>
    <w:p w14:paraId="5AB6288F">
      <w:pPr>
        <w:pStyle w:val="51"/>
        <w:numPr>
          <w:ilvl w:val="2"/>
          <w:numId w:val="7"/>
        </w:numPr>
        <w:tabs>
          <w:tab w:val="left" w:pos="1856"/>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响应文件正本一份，副本份数见供应商须知前附表第29项。正本和副本的封面上应清楚地标记“正本”或“副本”的字样。当副本和正本不一致时，以正本为准。</w:t>
      </w:r>
    </w:p>
    <w:p w14:paraId="68357B81">
      <w:pPr>
        <w:pStyle w:val="51"/>
        <w:numPr>
          <w:ilvl w:val="2"/>
          <w:numId w:val="7"/>
        </w:numPr>
        <w:tabs>
          <w:tab w:val="left" w:pos="1856"/>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应用不褪色的材料书写或打印，并由供应商的法定代表人或其委托代理人签字或盖单位章。委托代理人签字的，响应文件应附法定代表人签署的授权委托书。所有要求签字的地方都应用不褪色的墨水或签字笔由本人亲笔手写签字（包括姓和名），不得用盖章（如签名章、签字章等）代替，也不得由他人代签。所有要求盖章的地方都应加盖供应商（法定名称）章（鲜章），不得使用专用章（如经济合同章、投标专用章等）或下属单位印章代替。</w:t>
      </w:r>
    </w:p>
    <w:p w14:paraId="220A9676">
      <w:pPr>
        <w:pStyle w:val="12"/>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响应文件应尽量避免涂改、行间插字或删除。如果出现上述情况，改动之处应加盖单位章或由供应商的法定代表人或其授权的代理人签字确认。签字或盖章的具体要求见供应商须知前附表第30项。</w:t>
      </w:r>
    </w:p>
    <w:p w14:paraId="060F24A6">
      <w:pPr>
        <w:pStyle w:val="51"/>
        <w:numPr>
          <w:ilvl w:val="2"/>
          <w:numId w:val="7"/>
        </w:numPr>
        <w:tabs>
          <w:tab w:val="left" w:pos="1856"/>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响应文件的正本与副本应分别装订成册，并编制目录及页码。装订应牢固、整齐便于保管和利用，不易拆散和换页，不得采用活页装订。装订要求按供应商须知前附表第 31 项执行。</w:t>
      </w:r>
    </w:p>
    <w:p w14:paraId="41FB288D">
      <w:pPr>
        <w:pStyle w:val="12"/>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电子版单独放入一个密封袋中，加贴封条，并在封套封口处加盖供应商单位章，在封套上标记“响应文件电子版”字样。</w:t>
      </w:r>
    </w:p>
    <w:p w14:paraId="1803012F">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4、投</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标</w:t>
      </w:r>
    </w:p>
    <w:p w14:paraId="56385A9A">
      <w:pPr>
        <w:numPr>
          <w:ilvl w:val="1"/>
          <w:numId w:val="10"/>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响应文件的密封和标记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本项目不适用</w:t>
      </w:r>
      <w:r>
        <w:rPr>
          <w:rFonts w:hint="eastAsia" w:ascii="仿宋" w:hAnsi="仿宋" w:eastAsia="仿宋" w:cs="仿宋"/>
          <w:color w:val="auto"/>
          <w:sz w:val="24"/>
          <w:szCs w:val="24"/>
          <w:highlight w:val="none"/>
          <w:lang w:eastAsia="zh-CN"/>
        </w:rPr>
        <w:t>）</w:t>
      </w:r>
    </w:p>
    <w:p w14:paraId="02A7C1B1">
      <w:pPr>
        <w:pStyle w:val="51"/>
        <w:numPr>
          <w:ilvl w:val="2"/>
          <w:numId w:val="10"/>
        </w:numPr>
        <w:tabs>
          <w:tab w:val="left" w:pos="1698"/>
        </w:tabs>
        <w:adjustRightInd w:val="0"/>
        <w:snapToGrid w:val="0"/>
        <w:spacing w:line="360" w:lineRule="auto"/>
        <w:ind w:right="-128" w:rightChars="-61" w:hanging="5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响应文件的正本与副本包装在一起，加贴封条，并在封套的封口处加盖密封章</w:t>
      </w:r>
      <w:r>
        <w:rPr>
          <w:rFonts w:hint="eastAsia" w:ascii="仿宋" w:hAnsi="仿宋" w:eastAsia="仿宋" w:cs="仿宋"/>
          <w:color w:val="auto"/>
          <w:sz w:val="24"/>
          <w:szCs w:val="24"/>
          <w:highlight w:val="none"/>
          <w:lang w:val="en-US" w:eastAsia="zh-CN"/>
        </w:rPr>
        <w:t>或公章</w:t>
      </w:r>
      <w:r>
        <w:rPr>
          <w:rFonts w:hint="eastAsia" w:ascii="仿宋" w:hAnsi="仿宋" w:eastAsia="仿宋" w:cs="仿宋"/>
          <w:color w:val="auto"/>
          <w:sz w:val="24"/>
          <w:szCs w:val="24"/>
          <w:highlight w:val="none"/>
        </w:rPr>
        <w:t>。</w:t>
      </w:r>
    </w:p>
    <w:p w14:paraId="5C97D30A">
      <w:pPr>
        <w:pStyle w:val="51"/>
        <w:numPr>
          <w:ilvl w:val="2"/>
          <w:numId w:val="10"/>
        </w:numPr>
        <w:tabs>
          <w:tab w:val="left" w:pos="1750"/>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响应文件的封套上应清楚地标记</w:t>
      </w:r>
      <w:r>
        <w:rPr>
          <w:rFonts w:hint="eastAsia" w:ascii="仿宋" w:hAnsi="仿宋" w:eastAsia="仿宋" w:cs="仿宋"/>
          <w:color w:val="auto"/>
          <w:sz w:val="24"/>
          <w:szCs w:val="24"/>
          <w:highlight w:val="none"/>
          <w:lang w:val="en-US"/>
        </w:rPr>
        <w:t>项目项目名称、项目编号、</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US"/>
        </w:rPr>
        <w:t>名称、联系方式等</w:t>
      </w:r>
      <w:r>
        <w:rPr>
          <w:rFonts w:hint="eastAsia" w:ascii="仿宋" w:hAnsi="仿宋" w:eastAsia="仿宋" w:cs="仿宋"/>
          <w:color w:val="auto"/>
          <w:sz w:val="24"/>
          <w:szCs w:val="24"/>
          <w:highlight w:val="none"/>
        </w:rPr>
        <w:t>字样，封套上应写明的其他内容见供应商须知前附表第 32 项。</w:t>
      </w:r>
    </w:p>
    <w:p w14:paraId="1951D831">
      <w:pPr>
        <w:pStyle w:val="51"/>
        <w:numPr>
          <w:ilvl w:val="2"/>
          <w:numId w:val="10"/>
        </w:numPr>
        <w:tabs>
          <w:tab w:val="left" w:pos="1750"/>
        </w:tabs>
        <w:adjustRightInd w:val="0"/>
        <w:snapToGrid w:val="0"/>
        <w:spacing w:line="360" w:lineRule="auto"/>
        <w:ind w:left="1750" w:right="-128" w:rightChars="-61" w:hanging="63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未按本章第 4.1.1 项或第 4.1.2 项要求密封和加写标记的响应文件，采购人不予受理。</w:t>
      </w:r>
    </w:p>
    <w:p w14:paraId="7BD1C704">
      <w:pPr>
        <w:numPr>
          <w:ilvl w:val="1"/>
          <w:numId w:val="10"/>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响应文件的递交</w:t>
      </w:r>
    </w:p>
    <w:p w14:paraId="2BD1656D">
      <w:pPr>
        <w:pStyle w:val="51"/>
        <w:numPr>
          <w:ilvl w:val="2"/>
          <w:numId w:val="10"/>
        </w:numPr>
        <w:tabs>
          <w:tab w:val="left" w:pos="1750"/>
        </w:tabs>
        <w:adjustRightInd w:val="0"/>
        <w:snapToGrid w:val="0"/>
        <w:spacing w:line="360" w:lineRule="auto"/>
        <w:ind w:left="1750" w:right="-128" w:rightChars="-61" w:hanging="63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供应商应在供应商须知前附表第 20 项规定的投标截止时间前递交响应文件。</w:t>
      </w:r>
    </w:p>
    <w:p w14:paraId="019E296C">
      <w:pPr>
        <w:pStyle w:val="51"/>
        <w:numPr>
          <w:ilvl w:val="2"/>
          <w:numId w:val="10"/>
        </w:numPr>
        <w:tabs>
          <w:tab w:val="left" w:pos="1750"/>
        </w:tabs>
        <w:adjustRightInd w:val="0"/>
        <w:snapToGrid w:val="0"/>
        <w:spacing w:line="360" w:lineRule="auto"/>
        <w:ind w:left="1750" w:right="-128" w:rightChars="-61" w:hanging="63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供应商递交响应文件的地点：见供应商须知前附表第 33 项。</w:t>
      </w:r>
    </w:p>
    <w:p w14:paraId="754C89A4">
      <w:pPr>
        <w:pStyle w:val="51"/>
        <w:numPr>
          <w:ilvl w:val="2"/>
          <w:numId w:val="10"/>
        </w:numPr>
        <w:tabs>
          <w:tab w:val="left" w:pos="1750"/>
        </w:tabs>
        <w:adjustRightInd w:val="0"/>
        <w:snapToGrid w:val="0"/>
        <w:spacing w:line="360" w:lineRule="auto"/>
        <w:ind w:left="1750" w:right="-128" w:rightChars="-61" w:hanging="63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除供应商须知前附表另有规定外，供应商所递交的响应文件不予退还。</w:t>
      </w:r>
    </w:p>
    <w:p w14:paraId="0960D2AD">
      <w:pPr>
        <w:pStyle w:val="51"/>
        <w:numPr>
          <w:ilvl w:val="2"/>
          <w:numId w:val="10"/>
        </w:numPr>
        <w:tabs>
          <w:tab w:val="left" w:pos="1750"/>
        </w:tabs>
        <w:adjustRightInd w:val="0"/>
        <w:snapToGrid w:val="0"/>
        <w:spacing w:line="360" w:lineRule="auto"/>
        <w:ind w:left="1750" w:right="-128" w:rightChars="-61" w:hanging="63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采购人收到响应文件后，向供应商出具签收凭证。</w:t>
      </w:r>
    </w:p>
    <w:p w14:paraId="2F6DE236">
      <w:pPr>
        <w:pStyle w:val="51"/>
        <w:numPr>
          <w:ilvl w:val="2"/>
          <w:numId w:val="10"/>
        </w:numPr>
        <w:tabs>
          <w:tab w:val="left" w:pos="1750"/>
        </w:tabs>
        <w:adjustRightInd w:val="0"/>
        <w:snapToGrid w:val="0"/>
        <w:spacing w:line="360" w:lineRule="auto"/>
        <w:ind w:left="1750" w:right="-128" w:rightChars="-61" w:hanging="63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逾期送达的或者未送达指定地点的响应文件，采购人不予受理。</w:t>
      </w:r>
    </w:p>
    <w:p w14:paraId="1142132D">
      <w:pPr>
        <w:numPr>
          <w:ilvl w:val="1"/>
          <w:numId w:val="10"/>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响应文件的修改与撤回</w:t>
      </w:r>
    </w:p>
    <w:p w14:paraId="4316C91E">
      <w:pPr>
        <w:pStyle w:val="51"/>
        <w:numPr>
          <w:ilvl w:val="2"/>
          <w:numId w:val="10"/>
        </w:numPr>
        <w:tabs>
          <w:tab w:val="left" w:pos="1750"/>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在供应商须知前附表第 20 项规定的投标截止时间前，供应商可以修改或撤回已递交的响应文件，但应以书面形式通知采购人。</w:t>
      </w:r>
    </w:p>
    <w:p w14:paraId="673B601C">
      <w:pPr>
        <w:pStyle w:val="51"/>
        <w:numPr>
          <w:ilvl w:val="2"/>
          <w:numId w:val="10"/>
        </w:numPr>
        <w:tabs>
          <w:tab w:val="left" w:pos="1750"/>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供应商修改或撤回已递交响应文件的书面通知应按照本章第 3.10.3 项的要求签字或盖章。采购人收到书面通知后，向供应商出具签收凭证。</w:t>
      </w:r>
    </w:p>
    <w:p w14:paraId="1DC14199">
      <w:pPr>
        <w:pStyle w:val="51"/>
        <w:numPr>
          <w:ilvl w:val="2"/>
          <w:numId w:val="10"/>
        </w:numPr>
        <w:tabs>
          <w:tab w:val="left" w:pos="1750"/>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修改的内容为响应文件的组成部分。修改的响应文件应按照本章第 3 条、第 4 条规定进行编制、密封、标记和递交，并标明“修改”字样。</w:t>
      </w:r>
    </w:p>
    <w:p w14:paraId="71FB9F55">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5、递交响应文件</w:t>
      </w:r>
    </w:p>
    <w:p w14:paraId="445718A6">
      <w:pPr>
        <w:numPr>
          <w:ilvl w:val="1"/>
          <w:numId w:val="11"/>
        </w:numPr>
        <w:tabs>
          <w:tab w:val="left" w:pos="1491"/>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时间和地点</w:t>
      </w:r>
    </w:p>
    <w:p w14:paraId="1012870A">
      <w:pPr>
        <w:pStyle w:val="12"/>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采购人在供应商须知前附表第20 项规定的磋商</w:t>
      </w:r>
      <w:r>
        <w:rPr>
          <w:rFonts w:hint="eastAsia" w:ascii="仿宋" w:hAnsi="仿宋" w:eastAsia="仿宋" w:cs="仿宋"/>
          <w:color w:val="auto"/>
          <w:sz w:val="24"/>
          <w:szCs w:val="24"/>
          <w:highlight w:val="none"/>
          <w:lang w:eastAsia="zh-CN"/>
        </w:rPr>
        <w:t>文件递交</w:t>
      </w:r>
      <w:r>
        <w:rPr>
          <w:rFonts w:hint="eastAsia" w:ascii="仿宋" w:hAnsi="仿宋" w:eastAsia="仿宋" w:cs="仿宋"/>
          <w:color w:val="auto"/>
          <w:sz w:val="24"/>
          <w:szCs w:val="24"/>
          <w:highlight w:val="none"/>
        </w:rPr>
        <w:t>截止时间和供应商须知前附表第33 项的地点进行磋商，并邀请所有供应商的法定代表人或其委托代理人准时参加。</w:t>
      </w:r>
    </w:p>
    <w:p w14:paraId="7DC37E96">
      <w:pPr>
        <w:numPr>
          <w:ilvl w:val="1"/>
          <w:numId w:val="11"/>
        </w:numPr>
        <w:tabs>
          <w:tab w:val="left" w:pos="1544"/>
        </w:tabs>
        <w:adjustRightInd w:val="0"/>
        <w:snapToGrid w:val="0"/>
        <w:spacing w:line="360" w:lineRule="auto"/>
        <w:ind w:left="1543" w:right="-128" w:rightChars="-61" w:hanging="423"/>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响应文件有效性界定标准</w:t>
      </w:r>
    </w:p>
    <w:p w14:paraId="55BC55C8">
      <w:pPr>
        <w:pStyle w:val="12"/>
        <w:adjustRightInd w:val="0"/>
        <w:snapToGrid w:val="0"/>
        <w:spacing w:line="360" w:lineRule="auto"/>
        <w:ind w:left="1118"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递交响应文件时，响应文件出现下列情形之一的将视为无效，按废标处理，不得进入评标：</w:t>
      </w:r>
    </w:p>
    <w:p w14:paraId="440301B1">
      <w:pPr>
        <w:pStyle w:val="51"/>
        <w:numPr>
          <w:ilvl w:val="2"/>
          <w:numId w:val="11"/>
        </w:numPr>
        <w:tabs>
          <w:tab w:val="left" w:pos="1750"/>
        </w:tabs>
        <w:adjustRightInd w:val="0"/>
        <w:snapToGrid w:val="0"/>
        <w:spacing w:line="360" w:lineRule="auto"/>
        <w:ind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响应文件未按投标须知第 4.1 条款密封的。</w:t>
      </w:r>
    </w:p>
    <w:p w14:paraId="2399ACEE">
      <w:pPr>
        <w:pStyle w:val="51"/>
        <w:numPr>
          <w:ilvl w:val="2"/>
          <w:numId w:val="11"/>
        </w:numPr>
        <w:tabs>
          <w:tab w:val="left" w:pos="1750"/>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响应文件的关键内容字迹模糊、无法辨认的（指投标书中涉及造价、工期的数字或文字难以确认）。</w:t>
      </w:r>
    </w:p>
    <w:p w14:paraId="108DFE68">
      <w:pPr>
        <w:pStyle w:val="51"/>
        <w:numPr>
          <w:ilvl w:val="2"/>
          <w:numId w:val="11"/>
        </w:numPr>
        <w:tabs>
          <w:tab w:val="left" w:pos="1750"/>
        </w:tabs>
        <w:adjustRightInd w:val="0"/>
        <w:snapToGrid w:val="0"/>
        <w:spacing w:line="360" w:lineRule="auto"/>
        <w:ind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供应商未按照竞争性磋商文件的要求提供磋商保证金或保证金数额不足。</w:t>
      </w:r>
    </w:p>
    <w:p w14:paraId="6170CB75">
      <w:pPr>
        <w:pStyle w:val="51"/>
        <w:numPr>
          <w:ilvl w:val="2"/>
          <w:numId w:val="11"/>
        </w:numPr>
        <w:tabs>
          <w:tab w:val="left" w:pos="1750"/>
        </w:tabs>
        <w:adjustRightInd w:val="0"/>
        <w:snapToGrid w:val="0"/>
        <w:spacing w:line="360" w:lineRule="auto"/>
        <w:ind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有两个以上不同的报价，且未注明何者有效的。</w:t>
      </w:r>
    </w:p>
    <w:p w14:paraId="2AE443D3">
      <w:pPr>
        <w:pStyle w:val="51"/>
        <w:numPr>
          <w:ilvl w:val="2"/>
          <w:numId w:val="11"/>
        </w:numPr>
        <w:tabs>
          <w:tab w:val="left" w:pos="1750"/>
        </w:tabs>
        <w:adjustRightInd w:val="0"/>
        <w:snapToGrid w:val="0"/>
        <w:spacing w:line="360" w:lineRule="auto"/>
        <w:ind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供应商法定代表人或代理人均未参加开标会议的。</w:t>
      </w:r>
    </w:p>
    <w:p w14:paraId="60C8C079">
      <w:pPr>
        <w:pStyle w:val="51"/>
        <w:numPr>
          <w:ilvl w:val="2"/>
          <w:numId w:val="11"/>
        </w:numPr>
        <w:tabs>
          <w:tab w:val="left" w:pos="1750"/>
        </w:tabs>
        <w:adjustRightInd w:val="0"/>
        <w:snapToGrid w:val="0"/>
        <w:spacing w:line="360" w:lineRule="auto"/>
        <w:ind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响应文件正本、副本没按竞争性磋商文件要求的份数提供的。</w:t>
      </w:r>
    </w:p>
    <w:p w14:paraId="76FCB399">
      <w:pPr>
        <w:pStyle w:val="51"/>
        <w:numPr>
          <w:ilvl w:val="2"/>
          <w:numId w:val="11"/>
        </w:numPr>
        <w:tabs>
          <w:tab w:val="left" w:pos="1750"/>
        </w:tabs>
        <w:adjustRightInd w:val="0"/>
        <w:snapToGrid w:val="0"/>
        <w:spacing w:line="360" w:lineRule="auto"/>
        <w:ind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响应文件递交截止时间后（迟到）送达的响应文件。</w:t>
      </w:r>
    </w:p>
    <w:p w14:paraId="404366CD">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6、评</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审</w:t>
      </w:r>
    </w:p>
    <w:p w14:paraId="3CD9E5C8">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磋商评审会议</w:t>
      </w:r>
    </w:p>
    <w:p w14:paraId="3E89C844">
      <w:pPr>
        <w:pStyle w:val="12"/>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递交响应文件结束后，即召开磋商评审会议，磋商评审会议采用保密方式进行。磋商评审工作在采购人代表监督下，由采购代理机构组织进行，竞争性磋商小组负责评标。</w:t>
      </w:r>
    </w:p>
    <w:p w14:paraId="30FA3DD7">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竞争性磋商小组</w:t>
      </w:r>
    </w:p>
    <w:p w14:paraId="36EC72AE">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评审由采购人依法组建的竞争性磋商小组负责。竞争性磋商小组由采购人或其委托的采购代理机构熟悉相关业务的代表，以及有关技术、经济等方面的专家组成。竞争性磋商小组成员人数以及技术、经济等方面专家的确定方式见供应商须知前附表第 37 项。</w:t>
      </w:r>
    </w:p>
    <w:p w14:paraId="478CC52D">
      <w:pPr>
        <w:pStyle w:val="51"/>
        <w:numPr>
          <w:ilvl w:val="2"/>
          <w:numId w:val="12"/>
        </w:numPr>
        <w:tabs>
          <w:tab w:val="left" w:pos="1750"/>
        </w:tabs>
        <w:adjustRightInd w:val="0"/>
        <w:snapToGrid w:val="0"/>
        <w:spacing w:line="360" w:lineRule="auto"/>
        <w:ind w:left="1750"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竞争性磋商小组成员有下列情形之一的，应当回避：</w:t>
      </w:r>
    </w:p>
    <w:p w14:paraId="0528FEE3">
      <w:pPr>
        <w:pStyle w:val="51"/>
        <w:numPr>
          <w:ilvl w:val="3"/>
          <w:numId w:val="12"/>
        </w:numPr>
        <w:tabs>
          <w:tab w:val="left" w:pos="1909"/>
        </w:tabs>
        <w:adjustRightInd w:val="0"/>
        <w:snapToGrid w:val="0"/>
        <w:spacing w:line="360" w:lineRule="auto"/>
        <w:ind w:right="-128" w:rightChars="-61" w:hanging="79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采购人或供应商的主要负责人的近亲属；</w:t>
      </w:r>
    </w:p>
    <w:p w14:paraId="4C4FDBB7">
      <w:pPr>
        <w:pStyle w:val="51"/>
        <w:numPr>
          <w:ilvl w:val="3"/>
          <w:numId w:val="12"/>
        </w:numPr>
        <w:tabs>
          <w:tab w:val="left" w:pos="1909"/>
        </w:tabs>
        <w:adjustRightInd w:val="0"/>
        <w:snapToGrid w:val="0"/>
        <w:spacing w:line="360" w:lineRule="auto"/>
        <w:ind w:right="-128" w:rightChars="-61" w:hanging="79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项目主管部门的人员；</w:t>
      </w:r>
    </w:p>
    <w:p w14:paraId="7D849C63">
      <w:pPr>
        <w:pStyle w:val="51"/>
        <w:numPr>
          <w:ilvl w:val="3"/>
          <w:numId w:val="12"/>
        </w:numPr>
        <w:tabs>
          <w:tab w:val="left" w:pos="1909"/>
        </w:tabs>
        <w:adjustRightInd w:val="0"/>
        <w:snapToGrid w:val="0"/>
        <w:spacing w:line="360" w:lineRule="auto"/>
        <w:ind w:right="-128" w:rightChars="-61" w:hanging="79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与供应商有经济利益关系，可能影响对投标公正评审的；</w:t>
      </w:r>
    </w:p>
    <w:p w14:paraId="16285E3E">
      <w:pPr>
        <w:pStyle w:val="51"/>
        <w:numPr>
          <w:ilvl w:val="3"/>
          <w:numId w:val="12"/>
        </w:numPr>
        <w:tabs>
          <w:tab w:val="left" w:pos="1964"/>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曾因在采购、评审以及其他与采购有关活动中从事违法行为而受过行政处罚或刑事处罚的。</w:t>
      </w:r>
    </w:p>
    <w:p w14:paraId="43694536">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评审原则及评审办法</w:t>
      </w:r>
    </w:p>
    <w:p w14:paraId="13DBC85E">
      <w:pPr>
        <w:pStyle w:val="51"/>
        <w:numPr>
          <w:ilvl w:val="2"/>
          <w:numId w:val="12"/>
        </w:numPr>
        <w:tabs>
          <w:tab w:val="left" w:pos="1698"/>
        </w:tabs>
        <w:adjustRightInd w:val="0"/>
        <w:snapToGrid w:val="0"/>
        <w:spacing w:line="360" w:lineRule="auto"/>
        <w:ind w:left="1697" w:right="-128" w:rightChars="-61" w:hanging="5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竞争性磋商小组应严格遵循公开、公正、公平；科学合理、竞争择选的评审原则。</w:t>
      </w:r>
    </w:p>
    <w:p w14:paraId="796BE8A7">
      <w:pPr>
        <w:pStyle w:val="51"/>
        <w:numPr>
          <w:ilvl w:val="2"/>
          <w:numId w:val="12"/>
        </w:numPr>
        <w:tabs>
          <w:tab w:val="left" w:pos="1698"/>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竞争性磋商小组根据评审原则，对供应商的报价、合同履行期限</w:t>
      </w:r>
      <w:r>
        <w:rPr>
          <w:rFonts w:hint="eastAsia" w:ascii="仿宋" w:hAnsi="仿宋" w:eastAsia="仿宋" w:cs="仿宋"/>
          <w:color w:val="auto"/>
          <w:sz w:val="24"/>
          <w:szCs w:val="24"/>
          <w:highlight w:val="none"/>
          <w:lang w:eastAsia="zh-CN"/>
        </w:rPr>
        <w:t>（计划工期）</w:t>
      </w:r>
      <w:r>
        <w:rPr>
          <w:rFonts w:hint="eastAsia" w:ascii="仿宋" w:hAnsi="仿宋" w:eastAsia="仿宋" w:cs="仿宋"/>
          <w:color w:val="auto"/>
          <w:sz w:val="24"/>
          <w:szCs w:val="24"/>
          <w:highlight w:val="none"/>
        </w:rPr>
        <w:t>、质量、施工方案等方面进行评比， 择优选定成交供应商。</w:t>
      </w:r>
    </w:p>
    <w:p w14:paraId="726314C6">
      <w:pPr>
        <w:pStyle w:val="51"/>
        <w:numPr>
          <w:ilvl w:val="2"/>
          <w:numId w:val="12"/>
        </w:numPr>
        <w:tabs>
          <w:tab w:val="left" w:pos="1698"/>
        </w:tabs>
        <w:adjustRightInd w:val="0"/>
        <w:snapToGrid w:val="0"/>
        <w:spacing w:line="360" w:lineRule="auto"/>
        <w:ind w:left="1697" w:right="-128" w:rightChars="-61" w:hanging="5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本项目的评审办法为综合评标价法（详见第三章评审办法）。</w:t>
      </w:r>
    </w:p>
    <w:p w14:paraId="036DD9C5">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w:t>
      </w:r>
    </w:p>
    <w:p w14:paraId="0F340EBC">
      <w:pPr>
        <w:pStyle w:val="12"/>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竞争性磋商小组按照第三章“评审办法”规定的方法、评审因素、标准和程序对响应文件进行评审。第三章“评审办法”没有规定的方法、评审因素和标准，不作为评审依据。</w:t>
      </w:r>
    </w:p>
    <w:p w14:paraId="0C400848">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评审内容的保密</w:t>
      </w:r>
    </w:p>
    <w:p w14:paraId="014A4967">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磋商响应文件递交后，直到宣布授予成交供应商合同为止，凡属于对响应文件的评审和比较、成交候选人的推荐情况以及与评标有关的其他情况均不得向供应商或与该工程无关的其他人泄露。</w:t>
      </w:r>
    </w:p>
    <w:p w14:paraId="1A0695DC">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在响应文件的评审和比较、成交候选人推荐以及授予合同的过程中，供应商对采购人和竞争性磋商小组施加影响的任何行为，都将导致取消投标资格。</w:t>
      </w:r>
    </w:p>
    <w:p w14:paraId="3C5D4A84">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评审工作程序</w:t>
      </w:r>
    </w:p>
    <w:p w14:paraId="55333E2E">
      <w:pPr>
        <w:pStyle w:val="51"/>
        <w:numPr>
          <w:ilvl w:val="2"/>
          <w:numId w:val="12"/>
        </w:numPr>
        <w:tabs>
          <w:tab w:val="left" w:pos="1750"/>
        </w:tabs>
        <w:adjustRightInd w:val="0"/>
        <w:snapToGrid w:val="0"/>
        <w:spacing w:line="360" w:lineRule="auto"/>
        <w:ind w:left="1750"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采购人依法组建竞争性磋商小组；</w:t>
      </w:r>
    </w:p>
    <w:p w14:paraId="6CBD6FA1">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竞争性磋商小组对实质上响应竞争性磋商文件要求的响应文件，依据本项目评审办法进行综合评审，推荐拟成交供应商，并提交评审意见和提出成交候选结果；</w:t>
      </w:r>
    </w:p>
    <w:p w14:paraId="16D575E1">
      <w:pPr>
        <w:pStyle w:val="51"/>
        <w:numPr>
          <w:ilvl w:val="2"/>
          <w:numId w:val="12"/>
        </w:numPr>
        <w:tabs>
          <w:tab w:val="left" w:pos="1750"/>
        </w:tabs>
        <w:adjustRightInd w:val="0"/>
        <w:snapToGrid w:val="0"/>
        <w:spacing w:line="360" w:lineRule="auto"/>
        <w:ind w:left="1750"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采购人依法确定成交供应商。</w:t>
      </w:r>
    </w:p>
    <w:p w14:paraId="744E6651">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响应文件的澄清</w:t>
      </w:r>
    </w:p>
    <w:p w14:paraId="7A6121EA">
      <w:pPr>
        <w:pStyle w:val="12"/>
        <w:adjustRightInd w:val="0"/>
        <w:snapToGrid w:val="0"/>
        <w:spacing w:line="360" w:lineRule="auto"/>
        <w:ind w:left="1118"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有助于响应文件的审查、评价和比较，竞争性磋商小组可以用书面形式要求供应商对响应文件含糊不明的内容作必要的澄清或者说明。有关澄清说明与答复，供应商应以书面的形式进行，但是澄清或者说明不得超过响应文件的范围和改变响应文件的实质性内容。</w:t>
      </w:r>
    </w:p>
    <w:p w14:paraId="408A3C2F">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错误的修正</w:t>
      </w:r>
    </w:p>
    <w:p w14:paraId="2F9FAE60">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可以书面方式要求供应商对响应文件中含义不明确、对同类问题表述不一致或者有明显文字和计算错误的内容作必要的澄清、说明或者补正。澄清、说明或者补正应以书面方式进行，并不得超出响应文件的范围或者改变响应文件的实质性内容。</w:t>
      </w:r>
    </w:p>
    <w:p w14:paraId="4A601338">
      <w:pPr>
        <w:pStyle w:val="12"/>
        <w:adjustRightInd w:val="0"/>
        <w:snapToGrid w:val="0"/>
        <w:spacing w:line="360" w:lineRule="auto"/>
        <w:ind w:left="1118"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响应文件错误修正原则：</w:t>
      </w:r>
    </w:p>
    <w:p w14:paraId="47FCC751">
      <w:pPr>
        <w:pStyle w:val="12"/>
        <w:adjustRightInd w:val="0"/>
        <w:snapToGrid w:val="0"/>
        <w:spacing w:line="360" w:lineRule="auto"/>
        <w:ind w:left="1118"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 如果用数字表示的数额与用文字表示的数额不一致时，以文字数额为准；</w:t>
      </w:r>
    </w:p>
    <w:p w14:paraId="73083344">
      <w:pPr>
        <w:pStyle w:val="12"/>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 响应文件中当出现投标报价前后不一致时，以投标书填报的为准；投标工期出现前后不一致时， 以施工组织设计的工期计划为准；工程质量目标（标准）、</w:t>
      </w:r>
      <w:r>
        <w:rPr>
          <w:rFonts w:hint="eastAsia" w:ascii="仿宋" w:hAnsi="仿宋" w:eastAsia="仿宋" w:cs="仿宋"/>
          <w:color w:val="auto"/>
          <w:sz w:val="24"/>
          <w:szCs w:val="24"/>
          <w:highlight w:val="none"/>
          <w:lang w:eastAsia="zh-CN"/>
        </w:rPr>
        <w:t>项目经理</w:t>
      </w:r>
      <w:r>
        <w:rPr>
          <w:rFonts w:hint="eastAsia" w:ascii="仿宋" w:hAnsi="仿宋" w:eastAsia="仿宋" w:cs="仿宋"/>
          <w:color w:val="auto"/>
          <w:sz w:val="24"/>
          <w:szCs w:val="24"/>
          <w:highlight w:val="none"/>
        </w:rPr>
        <w:t>名称前后不一致时，以投标书填报的为准。</w:t>
      </w:r>
    </w:p>
    <w:p w14:paraId="3207AA52">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竞争性磋商小组按上述修正错误的原则及方法，对响应文件进行修正。经供应商确认同意后， 修正后的响应文件对供应商起约束作用。如果供应商不接受修正后的内容，则采购人将有充分理由废标。</w:t>
      </w:r>
    </w:p>
    <w:p w14:paraId="00E41B47">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响应文件的评价和比较</w:t>
      </w:r>
    </w:p>
    <w:p w14:paraId="718DD910">
      <w:pPr>
        <w:pStyle w:val="51"/>
        <w:numPr>
          <w:ilvl w:val="2"/>
          <w:numId w:val="12"/>
        </w:numPr>
        <w:tabs>
          <w:tab w:val="left" w:pos="1750"/>
        </w:tabs>
        <w:adjustRightInd w:val="0"/>
        <w:snapToGrid w:val="0"/>
        <w:spacing w:line="360" w:lineRule="auto"/>
        <w:ind w:left="1750"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竞争性磋商小组将仅对实质上响应竞争性磋商文件要求的响应文件进行评价和比较。</w:t>
      </w:r>
    </w:p>
    <w:p w14:paraId="1C182ECC">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竞争性磋商小组依据评审原则、评审办法，对供应商的工期、施工方案、企业业绩、</w:t>
      </w:r>
      <w:r>
        <w:rPr>
          <w:rFonts w:hint="eastAsia" w:ascii="仿宋" w:hAnsi="仿宋" w:eastAsia="仿宋" w:cs="仿宋"/>
          <w:color w:val="auto"/>
          <w:sz w:val="24"/>
          <w:szCs w:val="24"/>
          <w:highlight w:val="none"/>
          <w:lang w:eastAsia="zh-CN"/>
        </w:rPr>
        <w:t>项目经理</w:t>
      </w:r>
      <w:r>
        <w:rPr>
          <w:rFonts w:hint="eastAsia" w:ascii="仿宋" w:hAnsi="仿宋" w:eastAsia="仿宋" w:cs="仿宋"/>
          <w:color w:val="auto"/>
          <w:sz w:val="24"/>
          <w:szCs w:val="24"/>
          <w:highlight w:val="none"/>
        </w:rPr>
        <w:t>、技术负责人、主要施工组织机构及专业人员、投标报价</w:t>
      </w:r>
      <w:r>
        <w:rPr>
          <w:rFonts w:hint="eastAsia" w:ascii="仿宋" w:hAnsi="仿宋" w:eastAsia="仿宋" w:cs="仿宋"/>
          <w:color w:val="auto"/>
          <w:sz w:val="24"/>
          <w:szCs w:val="24"/>
          <w:highlight w:val="none"/>
          <w:lang w:val="en-US" w:eastAsia="zh-CN"/>
        </w:rPr>
        <w:t>及最后报价</w:t>
      </w:r>
      <w:r>
        <w:rPr>
          <w:rFonts w:hint="eastAsia" w:ascii="仿宋" w:hAnsi="仿宋" w:eastAsia="仿宋" w:cs="仿宋"/>
          <w:color w:val="auto"/>
          <w:sz w:val="24"/>
          <w:szCs w:val="24"/>
          <w:highlight w:val="none"/>
        </w:rPr>
        <w:t>、财务状况等进行评价，推荐合格的成交候选人。</w:t>
      </w:r>
    </w:p>
    <w:p w14:paraId="5887296F">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在评审过程中，竞争性磋商小组若发现供应商以他人的名义投标、串通投标、以行贿手段谋取成交或者以其他弄虚作假方式投标的，该供应商的投标将作废标处理。</w:t>
      </w:r>
    </w:p>
    <w:p w14:paraId="11F65FF5">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评审过程中，竞争性磋商小组若发现供应商的报价明显低于其他投标报价或者在设有标底时明显低于标底，使得其投标报价可能低于其个别成本的，将要求该供应商做出书面说明并提供相关证明材料。供应商不能合理说明或者不能提供相关证明材料的，由竞争性磋商小组认定该供应商以低于成本报价竞标，其投标将作废标处理。</w:t>
      </w:r>
    </w:p>
    <w:p w14:paraId="2C26E291">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7、合同授予</w:t>
      </w:r>
    </w:p>
    <w:p w14:paraId="05939594">
      <w:pPr>
        <w:numPr>
          <w:ilvl w:val="1"/>
          <w:numId w:val="13"/>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成交方式</w:t>
      </w:r>
    </w:p>
    <w:p w14:paraId="526861D6">
      <w:pPr>
        <w:pStyle w:val="12"/>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除供应商须知前附表第 38 项竞争性磋商小组直接确定预成交供应商外，采购人依据竞争性磋商小组推荐的成交候选人确定成交供应商。</w:t>
      </w:r>
    </w:p>
    <w:p w14:paraId="35FCB9FD">
      <w:pPr>
        <w:numPr>
          <w:ilvl w:val="1"/>
          <w:numId w:val="13"/>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成交通知</w:t>
      </w:r>
    </w:p>
    <w:p w14:paraId="56F1AC79">
      <w:pPr>
        <w:pStyle w:val="12"/>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在本章第 3.6 款规定的磋商有效期内，采购人以书面形式向成交供应商发出成交通知书，同时将成交结果通知未成交的供应商。</w:t>
      </w:r>
    </w:p>
    <w:p w14:paraId="448565D0">
      <w:pPr>
        <w:numPr>
          <w:ilvl w:val="1"/>
          <w:numId w:val="13"/>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履约担保</w:t>
      </w:r>
    </w:p>
    <w:p w14:paraId="5C700CBC">
      <w:pPr>
        <w:pStyle w:val="51"/>
        <w:numPr>
          <w:ilvl w:val="2"/>
          <w:numId w:val="13"/>
        </w:numPr>
        <w:tabs>
          <w:tab w:val="left" w:pos="1750"/>
        </w:tabs>
        <w:adjustRightInd w:val="0"/>
        <w:snapToGrid w:val="0"/>
        <w:spacing w:line="360" w:lineRule="auto"/>
        <w:ind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在签订合同前，成交供应商应按供应商须知前附表第 3</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项的金额向采购人提交履约保证金。</w:t>
      </w:r>
    </w:p>
    <w:p w14:paraId="2584E0FE">
      <w:pPr>
        <w:pStyle w:val="51"/>
        <w:numPr>
          <w:ilvl w:val="2"/>
          <w:numId w:val="13"/>
        </w:numPr>
        <w:tabs>
          <w:tab w:val="left" w:pos="1750"/>
        </w:tabs>
        <w:adjustRightInd w:val="0"/>
        <w:snapToGrid w:val="0"/>
        <w:spacing w:line="360" w:lineRule="auto"/>
        <w:ind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成交供应商不能按本章第 7.3.1 项要求提交履约担保的，视为放弃中标，其磋商保证金不予退还，给采购人造成的损失超过磋商保证金数额的，成交供应商还应当对超过部分予以赔偿。</w:t>
      </w:r>
    </w:p>
    <w:p w14:paraId="0C5A333C">
      <w:pPr>
        <w:numPr>
          <w:ilvl w:val="1"/>
          <w:numId w:val="13"/>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签订合同</w:t>
      </w:r>
    </w:p>
    <w:p w14:paraId="3B47412B">
      <w:pPr>
        <w:pStyle w:val="51"/>
        <w:numPr>
          <w:ilvl w:val="2"/>
          <w:numId w:val="13"/>
        </w:numPr>
        <w:tabs>
          <w:tab w:val="left" w:pos="1750"/>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采购人和成交供应商应当自成交通知书发出之日起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天内，根据竞争性磋商文件和成交供应商的响应文件订立书面合同。成交供应商无正当理由拒签合同的，采购人取消其成交资格，其磋商保证金不予退还；给采购人造成的损失超过磋商保证金数额的，成交供应商还应当对超过部分予以赔偿。</w:t>
      </w:r>
    </w:p>
    <w:p w14:paraId="3FF0D8E0">
      <w:pPr>
        <w:pStyle w:val="51"/>
        <w:numPr>
          <w:ilvl w:val="2"/>
          <w:numId w:val="13"/>
        </w:numPr>
        <w:tabs>
          <w:tab w:val="left" w:pos="1750"/>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发出成交通知书后，采购人无正当理由拒签合同的，采购人向成交供应商退还磋商保证金； 给成交供应商造成损失的，还应当赔偿损失。</w:t>
      </w:r>
    </w:p>
    <w:p w14:paraId="0951E651">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8、重新采购和终止采购</w:t>
      </w:r>
    </w:p>
    <w:p w14:paraId="25E2556D">
      <w:pPr>
        <w:numPr>
          <w:ilvl w:val="1"/>
          <w:numId w:val="14"/>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重新采购</w:t>
      </w:r>
    </w:p>
    <w:p w14:paraId="541353D1">
      <w:pPr>
        <w:pStyle w:val="12"/>
        <w:adjustRightInd w:val="0"/>
        <w:snapToGrid w:val="0"/>
        <w:spacing w:line="360" w:lineRule="auto"/>
        <w:ind w:left="1118"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有下列情形之一的，采购人将重新采购：</w:t>
      </w:r>
    </w:p>
    <w:p w14:paraId="1353262A">
      <w:pPr>
        <w:pStyle w:val="51"/>
        <w:numPr>
          <w:ilvl w:val="0"/>
          <w:numId w:val="15"/>
        </w:numPr>
        <w:tabs>
          <w:tab w:val="left" w:pos="1648"/>
        </w:tabs>
        <w:adjustRightInd w:val="0"/>
        <w:snapToGrid w:val="0"/>
        <w:spacing w:line="360" w:lineRule="auto"/>
        <w:ind w:right="-128" w:rightChars="-61" w:hanging="53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响应文件递交截止时间止，供应商少于 3 个的；</w:t>
      </w:r>
    </w:p>
    <w:p w14:paraId="5179972C">
      <w:pPr>
        <w:pStyle w:val="51"/>
        <w:numPr>
          <w:ilvl w:val="0"/>
          <w:numId w:val="15"/>
        </w:numPr>
        <w:tabs>
          <w:tab w:val="left" w:pos="1648"/>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竞争性磋商小组根据本办法的规定否决不合格的响应文件或者界定为废标后，有效报价不足三个，使得磋商明显缺乏竞争的，竞争性磋商小组可以否决全部报价。供应商少于三个或者所有报价被否决的，采购人应当依法重新采购；</w:t>
      </w:r>
    </w:p>
    <w:p w14:paraId="2D302D35">
      <w:pPr>
        <w:pStyle w:val="51"/>
        <w:numPr>
          <w:ilvl w:val="0"/>
          <w:numId w:val="15"/>
        </w:numPr>
        <w:tabs>
          <w:tab w:val="left" w:pos="1648"/>
        </w:tabs>
        <w:adjustRightInd w:val="0"/>
        <w:snapToGrid w:val="0"/>
        <w:spacing w:line="360" w:lineRule="auto"/>
        <w:ind w:right="-128" w:rightChars="-61" w:hanging="53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经竞争性磋商小组评审后否决所有响应文件的。</w:t>
      </w:r>
    </w:p>
    <w:p w14:paraId="49F080A2">
      <w:pPr>
        <w:numPr>
          <w:ilvl w:val="1"/>
          <w:numId w:val="14"/>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终止采购</w:t>
      </w:r>
    </w:p>
    <w:p w14:paraId="116F232D">
      <w:pPr>
        <w:pStyle w:val="12"/>
        <w:adjustRightInd w:val="0"/>
        <w:snapToGrid w:val="0"/>
        <w:spacing w:line="360" w:lineRule="auto"/>
        <w:ind w:left="1118"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因特殊事项终止采购活动的。</w:t>
      </w:r>
    </w:p>
    <w:p w14:paraId="2EEAC860">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9、纪律和监督</w:t>
      </w:r>
    </w:p>
    <w:p w14:paraId="6D941D73">
      <w:pPr>
        <w:numPr>
          <w:ilvl w:val="1"/>
          <w:numId w:val="16"/>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对采购人的纪律要求</w:t>
      </w:r>
    </w:p>
    <w:p w14:paraId="2E0E6040">
      <w:pPr>
        <w:pStyle w:val="12"/>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采购人不得泄漏采购活动中应当保密的情况和资料，不得与供应商串通损害国家利益、社会公共利益或者他人合法权益。</w:t>
      </w:r>
    </w:p>
    <w:p w14:paraId="65847F13">
      <w:pPr>
        <w:numPr>
          <w:ilvl w:val="1"/>
          <w:numId w:val="16"/>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对供应商的纪律要求</w:t>
      </w:r>
    </w:p>
    <w:p w14:paraId="0341C225">
      <w:pPr>
        <w:pStyle w:val="12"/>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供应商不得相互串通投标或者与采购人串通投标，不得向采购人或者竞争性磋商小组成员行贿谋取中标，不得以他人名义投标或者以其他方式弄虚作假骗取中标；供应商不得以任何方式干扰、影响评审工作。</w:t>
      </w:r>
    </w:p>
    <w:p w14:paraId="3E55AE6E">
      <w:pPr>
        <w:numPr>
          <w:ilvl w:val="1"/>
          <w:numId w:val="16"/>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对竞争性磋商小组成员的纪律要求</w:t>
      </w:r>
    </w:p>
    <w:p w14:paraId="3693346F">
      <w:pPr>
        <w:pStyle w:val="12"/>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成员不得收受他人的财物或者其他好处，不得向他人透漏对响应文件的评审和比较、成交候选人的推荐情况以及评审有关的其他情况。在评审活动中，竞争性磋商小组成员不得擅离职守，影响评审程序正常进行，不得使用第三章“评审办法”没有规定的评审因素和标准进行评审。</w:t>
      </w:r>
    </w:p>
    <w:p w14:paraId="31F2A547">
      <w:pPr>
        <w:numPr>
          <w:ilvl w:val="1"/>
          <w:numId w:val="16"/>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对与评审活动有关的工作人员的纪律要求</w:t>
      </w:r>
    </w:p>
    <w:p w14:paraId="2B0E90D7">
      <w:pPr>
        <w:pStyle w:val="12"/>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评审活动有关的工作人员不得收受他人的财物或者其他好处，不得向他人透漏对响应文件的评审和比较、成交供应商的推荐情况以及评审有关的其他情况。在评审活动中，与评审活动有关的工作人员不得擅离职守，影响评审程序正常进行。</w:t>
      </w:r>
    </w:p>
    <w:p w14:paraId="6F14468A">
      <w:pPr>
        <w:numPr>
          <w:ilvl w:val="1"/>
          <w:numId w:val="16"/>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投诉</w:t>
      </w:r>
    </w:p>
    <w:p w14:paraId="4B70298A">
      <w:pPr>
        <w:pStyle w:val="12"/>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供应商和其他利害关系人认为本次采购活动违反法律、法规和规章规定的，有权向有关行政监督部门投诉。</w:t>
      </w:r>
    </w:p>
    <w:p w14:paraId="170F1B71">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10、需要补充的其他内容</w:t>
      </w:r>
    </w:p>
    <w:p w14:paraId="23B645AD">
      <w:pPr>
        <w:pStyle w:val="12"/>
        <w:adjustRightInd w:val="0"/>
        <w:snapToGrid w:val="0"/>
        <w:spacing w:line="360" w:lineRule="auto"/>
        <w:ind w:left="1118"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需要补充的其他内容：见供应商须知前附表。</w:t>
      </w:r>
    </w:p>
    <w:p w14:paraId="3D704D8F">
      <w:pPr>
        <w:pStyle w:val="30"/>
        <w:outlineLvl w:val="9"/>
        <w:rPr>
          <w:rFonts w:hint="eastAsia" w:ascii="仿宋" w:hAnsi="仿宋" w:eastAsia="仿宋" w:cs="仿宋"/>
          <w:color w:val="auto"/>
          <w:sz w:val="24"/>
          <w:szCs w:val="24"/>
          <w:highlight w:val="none"/>
        </w:rPr>
        <w:sectPr>
          <w:pgSz w:w="11906" w:h="16838"/>
          <w:pgMar w:top="1440" w:right="1080" w:bottom="1440" w:left="1080" w:header="851" w:footer="992" w:gutter="0"/>
          <w:pgNumType w:fmt="decimal"/>
          <w:cols w:space="425" w:num="1"/>
          <w:docGrid w:type="lines" w:linePitch="312" w:charSpace="0"/>
        </w:sectPr>
      </w:pPr>
    </w:p>
    <w:p w14:paraId="4A9F94C3">
      <w:pPr>
        <w:keepNext w:val="0"/>
        <w:keepLines w:val="0"/>
        <w:widowControl w:val="0"/>
        <w:suppressLineNumbers w:val="0"/>
        <w:spacing w:before="0" w:beforeAutospacing="0" w:after="0" w:afterAutospacing="0" w:line="400" w:lineRule="exact"/>
        <w:ind w:left="0" w:right="0"/>
        <w:jc w:val="both"/>
        <w:rPr>
          <w:rFonts w:hint="eastAsia" w:ascii="仿宋" w:hAnsi="仿宋" w:eastAsia="仿宋" w:cs="仿宋"/>
          <w:b/>
          <w:bCs w:val="0"/>
          <w:color w:val="auto"/>
          <w:sz w:val="24"/>
          <w:szCs w:val="20"/>
          <w:highlight w:val="none"/>
          <w:lang w:val="en-US"/>
        </w:rPr>
      </w:pPr>
      <w:r>
        <w:rPr>
          <w:rFonts w:hint="eastAsia" w:ascii="仿宋" w:hAnsi="仿宋" w:eastAsia="仿宋" w:cs="仿宋"/>
          <w:b/>
          <w:bCs w:val="0"/>
          <w:color w:val="auto"/>
          <w:kern w:val="0"/>
          <w:sz w:val="24"/>
          <w:szCs w:val="20"/>
          <w:highlight w:val="none"/>
          <w:shd w:val="clear" w:fill="FFFFFF"/>
          <w:lang w:val="en-US" w:eastAsia="zh-CN" w:bidi="ar"/>
        </w:rPr>
        <w:t>附表一：</w:t>
      </w:r>
      <w:r>
        <w:rPr>
          <w:rFonts w:hint="eastAsia" w:ascii="仿宋" w:hAnsi="仿宋" w:eastAsia="仿宋" w:cs="仿宋"/>
          <w:b/>
          <w:bCs w:val="0"/>
          <w:color w:val="auto"/>
          <w:kern w:val="2"/>
          <w:sz w:val="24"/>
          <w:szCs w:val="20"/>
          <w:highlight w:val="none"/>
          <w:lang w:val="en-US" w:eastAsia="zh-CN" w:bidi="ar"/>
        </w:rPr>
        <w:t>问题澄清通知</w:t>
      </w:r>
    </w:p>
    <w:p w14:paraId="3A6A9598">
      <w:pPr>
        <w:keepNext w:val="0"/>
        <w:keepLines w:val="0"/>
        <w:widowControl w:val="0"/>
        <w:suppressLineNumbers w:val="0"/>
        <w:spacing w:before="312" w:beforeLines="100" w:beforeAutospacing="0" w:after="312" w:afterLines="100" w:afterAutospacing="0" w:line="400" w:lineRule="exact"/>
        <w:ind w:left="0" w:right="0"/>
        <w:jc w:val="center"/>
        <w:rPr>
          <w:rFonts w:hint="eastAsia" w:ascii="仿宋" w:hAnsi="仿宋" w:eastAsia="仿宋" w:cs="仿宋"/>
          <w:b/>
          <w:bCs w:val="0"/>
          <w:color w:val="auto"/>
          <w:sz w:val="28"/>
          <w:szCs w:val="28"/>
          <w:highlight w:val="none"/>
          <w:lang w:val="en-US"/>
        </w:rPr>
      </w:pPr>
      <w:r>
        <w:rPr>
          <w:rFonts w:hint="eastAsia" w:ascii="仿宋" w:hAnsi="仿宋" w:eastAsia="仿宋" w:cs="仿宋"/>
          <w:b/>
          <w:bCs w:val="0"/>
          <w:color w:val="auto"/>
          <w:kern w:val="2"/>
          <w:sz w:val="28"/>
          <w:szCs w:val="28"/>
          <w:highlight w:val="none"/>
          <w:lang w:val="en-US" w:eastAsia="zh-CN" w:bidi="ar"/>
        </w:rPr>
        <w:t>问题澄清通知</w:t>
      </w:r>
    </w:p>
    <w:p w14:paraId="0CDC5219">
      <w:pPr>
        <w:keepNext w:val="0"/>
        <w:keepLines w:val="0"/>
        <w:widowControl w:val="0"/>
        <w:suppressLineNumbers w:val="0"/>
        <w:spacing w:before="312" w:beforeLines="100" w:beforeAutospacing="0" w:after="312" w:afterLines="100" w:afterAutospacing="0" w:line="400" w:lineRule="exact"/>
        <w:ind w:left="0" w:right="0"/>
        <w:jc w:val="center"/>
        <w:rPr>
          <w:rFonts w:hint="eastAsia" w:ascii="仿宋" w:hAnsi="仿宋" w:eastAsia="仿宋" w:cs="仿宋"/>
          <w:color w:val="auto"/>
          <w:sz w:val="24"/>
          <w:szCs w:val="24"/>
          <w:highlight w:val="none"/>
          <w:u w:val="single"/>
          <w:lang w:val="en-US"/>
        </w:rPr>
      </w:pPr>
      <w:r>
        <w:rPr>
          <w:rFonts w:hint="eastAsia" w:ascii="仿宋" w:hAnsi="仿宋" w:eastAsia="仿宋" w:cs="仿宋"/>
          <w:color w:val="auto"/>
          <w:kern w:val="2"/>
          <w:sz w:val="24"/>
          <w:szCs w:val="24"/>
          <w:highlight w:val="none"/>
          <w:lang w:val="en-US" w:eastAsia="zh-CN" w:bidi="ar"/>
        </w:rPr>
        <w:t>项目采购编号：</w:t>
      </w:r>
    </w:p>
    <w:p w14:paraId="0FD59B19">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（供应商名称）：</w:t>
      </w:r>
    </w:p>
    <w:p w14:paraId="595D04E7">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（采购项目名称）</w:t>
      </w:r>
      <w:r>
        <w:rPr>
          <w:rFonts w:hint="eastAsia" w:ascii="仿宋" w:hAnsi="仿宋" w:eastAsia="仿宋" w:cs="仿宋"/>
          <w:color w:val="auto"/>
          <w:kern w:val="2"/>
          <w:sz w:val="24"/>
          <w:szCs w:val="24"/>
          <w:highlight w:val="none"/>
          <w:u w:val="single"/>
          <w:lang w:val="en-US" w:eastAsia="zh-CN" w:bidi="ar"/>
        </w:rPr>
        <w:t xml:space="preserve">        标</w:t>
      </w:r>
      <w:r>
        <w:rPr>
          <w:rFonts w:hint="eastAsia" w:ascii="仿宋" w:hAnsi="仿宋" w:eastAsia="仿宋" w:cs="仿宋"/>
          <w:color w:val="auto"/>
          <w:kern w:val="2"/>
          <w:sz w:val="24"/>
          <w:szCs w:val="24"/>
          <w:highlight w:val="none"/>
          <w:lang w:val="en-US" w:eastAsia="zh-CN" w:bidi="ar"/>
        </w:rPr>
        <w:t>段施工的磋商小组，对你方的响应文件进行了仔细的审查，现需你方对本通知所附质疑问卷中的问题以书面形式予以澄清、说明或者补正。</w:t>
      </w:r>
    </w:p>
    <w:p w14:paraId="187A48E8">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请将上述问题的澄清、说明或者补正于</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年</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月</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日</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时前密封递交至（详细地址）或传真至</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（传真号码）。采用传真方式的，应在</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年</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月</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日</w:t>
      </w:r>
    </w:p>
    <w:p w14:paraId="4A7051DB">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时前将原件递交至</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 xml:space="preserve"> （详细地址）。</w:t>
      </w:r>
    </w:p>
    <w:p w14:paraId="542A6FD7">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color w:val="auto"/>
          <w:sz w:val="24"/>
          <w:szCs w:val="24"/>
          <w:highlight w:val="none"/>
          <w:lang w:val="en-US"/>
        </w:rPr>
      </w:pPr>
    </w:p>
    <w:p w14:paraId="1B082333">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附件：质疑问卷</w:t>
      </w:r>
    </w:p>
    <w:p w14:paraId="6A995290">
      <w:pPr>
        <w:keepNext w:val="0"/>
        <w:keepLines w:val="0"/>
        <w:widowControl w:val="0"/>
        <w:suppressLineNumbers w:val="0"/>
        <w:spacing w:before="0" w:beforeAutospacing="0" w:after="0" w:afterAutospacing="0" w:line="480" w:lineRule="exact"/>
        <w:ind w:left="0" w:right="0" w:firstLine="4080" w:firstLineChars="1700"/>
        <w:jc w:val="both"/>
        <w:rPr>
          <w:rFonts w:hint="eastAsia" w:ascii="仿宋" w:hAnsi="仿宋" w:eastAsia="仿宋" w:cs="仿宋"/>
          <w:color w:val="auto"/>
          <w:kern w:val="2"/>
          <w:sz w:val="24"/>
          <w:szCs w:val="24"/>
          <w:highlight w:val="none"/>
          <w:u w:val="single"/>
          <w:lang w:val="en-US" w:eastAsia="zh-CN" w:bidi="ar"/>
        </w:rPr>
      </w:pPr>
    </w:p>
    <w:p w14:paraId="7C24FF78">
      <w:pPr>
        <w:keepNext w:val="0"/>
        <w:keepLines w:val="0"/>
        <w:widowControl w:val="0"/>
        <w:suppressLineNumbers w:val="0"/>
        <w:spacing w:before="0" w:beforeAutospacing="0" w:after="0" w:afterAutospacing="0" w:line="480" w:lineRule="exact"/>
        <w:ind w:left="0" w:right="0" w:firstLine="4080" w:firstLineChars="1700"/>
        <w:jc w:val="both"/>
        <w:rPr>
          <w:rFonts w:hint="eastAsia" w:ascii="仿宋" w:hAnsi="仿宋" w:eastAsia="仿宋" w:cs="仿宋"/>
          <w:color w:val="auto"/>
          <w:kern w:val="2"/>
          <w:sz w:val="24"/>
          <w:szCs w:val="24"/>
          <w:highlight w:val="none"/>
          <w:u w:val="single"/>
          <w:lang w:val="en-US" w:eastAsia="zh-CN" w:bidi="ar"/>
        </w:rPr>
      </w:pPr>
    </w:p>
    <w:p w14:paraId="6045731B">
      <w:pPr>
        <w:keepNext w:val="0"/>
        <w:keepLines w:val="0"/>
        <w:widowControl w:val="0"/>
        <w:suppressLineNumbers w:val="0"/>
        <w:spacing w:before="0" w:beforeAutospacing="0" w:after="0" w:afterAutospacing="0" w:line="480" w:lineRule="exact"/>
        <w:ind w:left="0" w:right="0" w:firstLine="4080" w:firstLineChars="1700"/>
        <w:jc w:val="both"/>
        <w:rPr>
          <w:rFonts w:hint="eastAsia" w:ascii="仿宋" w:hAnsi="仿宋" w:eastAsia="仿宋" w:cs="仿宋"/>
          <w:color w:val="auto"/>
          <w:kern w:val="2"/>
          <w:sz w:val="24"/>
          <w:szCs w:val="24"/>
          <w:highlight w:val="none"/>
          <w:u w:val="single"/>
          <w:lang w:val="en-US" w:eastAsia="zh-CN" w:bidi="ar"/>
        </w:rPr>
      </w:pPr>
    </w:p>
    <w:p w14:paraId="035174B5">
      <w:pPr>
        <w:keepNext w:val="0"/>
        <w:keepLines w:val="0"/>
        <w:widowControl w:val="0"/>
        <w:suppressLineNumbers w:val="0"/>
        <w:spacing w:before="0" w:beforeAutospacing="0" w:after="0" w:afterAutospacing="0" w:line="480" w:lineRule="exact"/>
        <w:ind w:left="0" w:right="0" w:firstLine="4080" w:firstLineChars="1700"/>
        <w:jc w:val="both"/>
        <w:rPr>
          <w:rFonts w:hint="eastAsia" w:ascii="仿宋" w:hAnsi="仿宋" w:eastAsia="仿宋" w:cs="仿宋"/>
          <w:color w:val="auto"/>
          <w:kern w:val="2"/>
          <w:sz w:val="24"/>
          <w:szCs w:val="24"/>
          <w:highlight w:val="none"/>
          <w:u w:val="single"/>
          <w:lang w:val="en-US" w:eastAsia="zh-CN" w:bidi="ar"/>
        </w:rPr>
      </w:pPr>
    </w:p>
    <w:p w14:paraId="5848A3CC">
      <w:pPr>
        <w:keepNext w:val="0"/>
        <w:keepLines w:val="0"/>
        <w:widowControl w:val="0"/>
        <w:suppressLineNumbers w:val="0"/>
        <w:spacing w:before="0" w:beforeAutospacing="0" w:after="0" w:afterAutospacing="0" w:line="480" w:lineRule="exact"/>
        <w:ind w:left="0" w:right="0" w:firstLine="4080" w:firstLineChars="17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（采购项目名称）</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标段施工磋商小组</w:t>
      </w:r>
    </w:p>
    <w:p w14:paraId="06F776DE">
      <w:pPr>
        <w:keepNext w:val="0"/>
        <w:keepLines w:val="0"/>
        <w:widowControl w:val="0"/>
        <w:suppressLineNumbers w:val="0"/>
        <w:spacing w:before="0" w:beforeAutospacing="0" w:after="0" w:afterAutospacing="0" w:line="480" w:lineRule="exact"/>
        <w:ind w:left="0" w:right="0" w:firstLine="3000" w:firstLineChars="125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 xml:space="preserve">     （经磋商小组授权的采购人代表签字或采购人加盖单位章）</w:t>
      </w:r>
    </w:p>
    <w:p w14:paraId="3789BAE6">
      <w:pPr>
        <w:keepNext w:val="0"/>
        <w:keepLines w:val="0"/>
        <w:widowControl w:val="0"/>
        <w:suppressLineNumbers w:val="0"/>
        <w:spacing w:before="0" w:beforeAutospacing="0" w:after="0" w:afterAutospacing="0" w:line="480" w:lineRule="exact"/>
        <w:ind w:left="0" w:right="0" w:firstLine="5520" w:firstLineChars="23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年</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月</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日</w:t>
      </w:r>
    </w:p>
    <w:p w14:paraId="3B4A4DFE">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b/>
          <w:bCs w:val="0"/>
          <w:color w:val="auto"/>
          <w:sz w:val="24"/>
          <w:szCs w:val="20"/>
          <w:highlight w:val="none"/>
          <w:lang w:val="en-US"/>
        </w:rPr>
      </w:pPr>
      <w:r>
        <w:rPr>
          <w:rFonts w:hint="eastAsia" w:ascii="仿宋" w:hAnsi="仿宋" w:eastAsia="仿宋" w:cs="仿宋"/>
          <w:color w:val="auto"/>
          <w:kern w:val="2"/>
          <w:sz w:val="24"/>
          <w:szCs w:val="24"/>
          <w:highlight w:val="none"/>
          <w:lang w:val="en-US" w:eastAsia="zh-CN" w:bidi="ar"/>
        </w:rPr>
        <w:br w:type="page"/>
      </w:r>
      <w:r>
        <w:rPr>
          <w:rFonts w:hint="eastAsia" w:ascii="仿宋" w:hAnsi="仿宋" w:eastAsia="仿宋" w:cs="仿宋"/>
          <w:b/>
          <w:bCs w:val="0"/>
          <w:color w:val="auto"/>
          <w:kern w:val="2"/>
          <w:sz w:val="24"/>
          <w:szCs w:val="20"/>
          <w:highlight w:val="none"/>
          <w:lang w:val="en-US" w:eastAsia="zh-CN" w:bidi="ar"/>
        </w:rPr>
        <w:t>附表二：问题的澄清</w:t>
      </w:r>
    </w:p>
    <w:p w14:paraId="1CA65308">
      <w:pPr>
        <w:keepNext w:val="0"/>
        <w:keepLines w:val="0"/>
        <w:widowControl w:val="0"/>
        <w:suppressLineNumbers w:val="0"/>
        <w:spacing w:before="312" w:beforeLines="100" w:beforeAutospacing="0" w:after="312" w:afterLines="100" w:afterAutospacing="0" w:line="480" w:lineRule="exact"/>
        <w:ind w:left="0" w:right="0"/>
        <w:jc w:val="center"/>
        <w:rPr>
          <w:rFonts w:hint="eastAsia" w:ascii="仿宋" w:hAnsi="仿宋" w:eastAsia="仿宋" w:cs="仿宋"/>
          <w:b/>
          <w:bCs w:val="0"/>
          <w:color w:val="auto"/>
          <w:sz w:val="28"/>
          <w:szCs w:val="28"/>
          <w:highlight w:val="none"/>
          <w:lang w:val="en-US"/>
        </w:rPr>
      </w:pPr>
      <w:r>
        <w:rPr>
          <w:rFonts w:hint="eastAsia" w:ascii="仿宋" w:hAnsi="仿宋" w:eastAsia="仿宋" w:cs="仿宋"/>
          <w:b/>
          <w:bCs w:val="0"/>
          <w:color w:val="auto"/>
          <w:kern w:val="2"/>
          <w:sz w:val="28"/>
          <w:szCs w:val="28"/>
          <w:highlight w:val="none"/>
          <w:lang w:val="en-US" w:eastAsia="zh-CN" w:bidi="ar"/>
        </w:rPr>
        <w:t>问题的澄清、说明或补正</w:t>
      </w:r>
    </w:p>
    <w:p w14:paraId="231A5B25">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color w:val="auto"/>
          <w:sz w:val="24"/>
          <w:szCs w:val="24"/>
          <w:highlight w:val="none"/>
          <w:u w:val="single"/>
          <w:lang w:val="en-US"/>
        </w:rPr>
      </w:pPr>
      <w:r>
        <w:rPr>
          <w:rFonts w:hint="eastAsia" w:ascii="仿宋" w:hAnsi="仿宋" w:eastAsia="仿宋" w:cs="仿宋"/>
          <w:color w:val="auto"/>
          <w:kern w:val="2"/>
          <w:sz w:val="24"/>
          <w:szCs w:val="24"/>
          <w:highlight w:val="none"/>
          <w:lang w:val="en-US" w:eastAsia="zh-CN" w:bidi="ar"/>
        </w:rPr>
        <w:t>项目采购编号：</w:t>
      </w:r>
    </w:p>
    <w:p w14:paraId="18F59690">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 xml:space="preserve">  </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（采购项目名称）</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标段施工磋商小组：</w:t>
      </w:r>
    </w:p>
    <w:p w14:paraId="64301170">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问题澄清通知（编号：</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）已收悉，现澄清、说明或者补正如下：</w:t>
      </w:r>
    </w:p>
    <w:p w14:paraId="1D2094C8">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1.</w:t>
      </w:r>
    </w:p>
    <w:p w14:paraId="393858CC">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2.</w:t>
      </w:r>
    </w:p>
    <w:p w14:paraId="0BB658CC">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p>
    <w:p w14:paraId="5808699D">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w:t>
      </w:r>
    </w:p>
    <w:p w14:paraId="4F98190F">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p>
    <w:p w14:paraId="74F94BA5">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p>
    <w:p w14:paraId="48F1D11D">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p>
    <w:p w14:paraId="682C0DAA">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p>
    <w:p w14:paraId="4CAA0F1E">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p>
    <w:p w14:paraId="194C1BAB">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p>
    <w:p w14:paraId="4F7D26F4">
      <w:pPr>
        <w:keepNext w:val="0"/>
        <w:keepLines w:val="0"/>
        <w:widowControl w:val="0"/>
        <w:suppressLineNumbers w:val="0"/>
        <w:tabs>
          <w:tab w:val="left" w:pos="3900"/>
          <w:tab w:val="right" w:pos="9070"/>
        </w:tabs>
        <w:wordWrap w:val="0"/>
        <w:spacing w:before="0" w:beforeAutospacing="0" w:after="0" w:afterAutospacing="0" w:line="480" w:lineRule="exact"/>
        <w:ind w:left="0" w:right="0" w:firstLine="480" w:firstLineChars="200"/>
        <w:jc w:val="left"/>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ab/>
      </w:r>
      <w:r>
        <w:rPr>
          <w:rFonts w:hint="eastAsia" w:ascii="仿宋" w:hAnsi="仿宋" w:eastAsia="仿宋" w:cs="仿宋"/>
          <w:color w:val="auto"/>
          <w:kern w:val="2"/>
          <w:sz w:val="24"/>
          <w:szCs w:val="24"/>
          <w:highlight w:val="none"/>
          <w:lang w:val="en-US" w:eastAsia="zh-CN" w:bidi="ar"/>
        </w:rPr>
        <w:tab/>
      </w:r>
      <w:r>
        <w:rPr>
          <w:rFonts w:hint="eastAsia" w:ascii="仿宋" w:hAnsi="仿宋" w:eastAsia="仿宋" w:cs="仿宋"/>
          <w:color w:val="auto"/>
          <w:kern w:val="2"/>
          <w:sz w:val="24"/>
          <w:szCs w:val="24"/>
          <w:highlight w:val="none"/>
          <w:lang w:val="en-US" w:eastAsia="zh-CN" w:bidi="ar"/>
        </w:rPr>
        <w:t>供应商：</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 xml:space="preserve">（盖单位章） </w:t>
      </w:r>
    </w:p>
    <w:p w14:paraId="29166D75">
      <w:pPr>
        <w:keepNext w:val="0"/>
        <w:keepLines w:val="0"/>
        <w:widowControl w:val="0"/>
        <w:suppressLineNumbers w:val="0"/>
        <w:wordWrap w:val="0"/>
        <w:spacing w:before="156" w:beforeLines="50" w:beforeAutospacing="0" w:after="156" w:afterLines="50" w:afterAutospacing="0" w:line="480" w:lineRule="exact"/>
        <w:ind w:left="0" w:right="0"/>
        <w:jc w:val="right"/>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 xml:space="preserve">    法定代表人或其授权委托人：</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 xml:space="preserve">（签字） </w:t>
      </w:r>
    </w:p>
    <w:p w14:paraId="51F73976">
      <w:pPr>
        <w:keepNext w:val="0"/>
        <w:keepLines w:val="0"/>
        <w:widowControl w:val="0"/>
        <w:suppressLineNumbers w:val="0"/>
        <w:spacing w:before="0" w:beforeAutospacing="0" w:after="0" w:afterAutospacing="0" w:line="480" w:lineRule="exact"/>
        <w:ind w:right="0"/>
        <w:jc w:val="right"/>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年</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月</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日</w:t>
      </w:r>
    </w:p>
    <w:p w14:paraId="3A4DC787">
      <w:pPr>
        <w:rPr>
          <w:rFonts w:hint="eastAsia" w:ascii="仿宋" w:hAnsi="仿宋" w:eastAsia="仿宋" w:cs="仿宋"/>
          <w:color w:val="auto"/>
          <w:sz w:val="24"/>
          <w:szCs w:val="24"/>
          <w:highlight w:val="none"/>
        </w:rPr>
        <w:sectPr>
          <w:pgSz w:w="11906" w:h="16838"/>
          <w:pgMar w:top="1440" w:right="1080" w:bottom="1440" w:left="1080" w:header="851" w:footer="992" w:gutter="0"/>
          <w:pgNumType w:fmt="decimal"/>
          <w:cols w:space="425" w:num="1"/>
          <w:docGrid w:type="lines" w:linePitch="312" w:charSpace="0"/>
        </w:sectPr>
      </w:pPr>
    </w:p>
    <w:p w14:paraId="3ABFA5EF">
      <w:pPr>
        <w:pStyle w:val="2"/>
        <w:rPr>
          <w:rFonts w:hint="eastAsia" w:ascii="仿宋" w:hAnsi="仿宋" w:eastAsia="仿宋" w:cs="仿宋"/>
          <w:color w:val="auto"/>
          <w:highlight w:val="none"/>
        </w:rPr>
      </w:pPr>
      <w:bookmarkStart w:id="47" w:name="_Toc5454"/>
      <w:bookmarkStart w:id="48" w:name="_Toc29906"/>
      <w:bookmarkStart w:id="49" w:name="_Toc21482"/>
      <w:bookmarkStart w:id="50" w:name="_Toc2045"/>
      <w:bookmarkStart w:id="51" w:name="_Toc20053"/>
      <w:bookmarkStart w:id="52" w:name="_Toc1498"/>
      <w:r>
        <w:rPr>
          <w:rFonts w:hint="eastAsia" w:ascii="仿宋" w:hAnsi="仿宋" w:eastAsia="仿宋" w:cs="仿宋"/>
          <w:color w:val="auto"/>
          <w:highlight w:val="none"/>
        </w:rPr>
        <w:t>第三章  评标标准和方法</w:t>
      </w:r>
      <w:bookmarkEnd w:id="47"/>
      <w:bookmarkEnd w:id="48"/>
      <w:bookmarkEnd w:id="49"/>
      <w:bookmarkEnd w:id="50"/>
      <w:bookmarkEnd w:id="51"/>
      <w:bookmarkEnd w:id="52"/>
    </w:p>
    <w:p w14:paraId="3B9B71FC">
      <w:pPr>
        <w:pStyle w:val="28"/>
        <w:spacing w:before="0" w:after="0"/>
        <w:outlineLvl w:val="1"/>
        <w:rPr>
          <w:rFonts w:hint="eastAsia" w:ascii="仿宋" w:hAnsi="仿宋" w:eastAsia="仿宋" w:cs="仿宋"/>
          <w:color w:val="auto"/>
          <w:sz w:val="24"/>
          <w:szCs w:val="24"/>
          <w:highlight w:val="none"/>
          <w:lang w:val="zh-CN"/>
        </w:rPr>
      </w:pPr>
      <w:bookmarkStart w:id="53" w:name="_Toc28394"/>
      <w:bookmarkStart w:id="54" w:name="_Toc382396561"/>
      <w:bookmarkStart w:id="55" w:name="_Toc30753"/>
      <w:bookmarkStart w:id="56" w:name="_Toc30546"/>
      <w:r>
        <w:rPr>
          <w:rFonts w:hint="eastAsia" w:ascii="仿宋" w:hAnsi="仿宋" w:eastAsia="仿宋" w:cs="仿宋"/>
          <w:color w:val="auto"/>
          <w:sz w:val="24"/>
          <w:szCs w:val="24"/>
          <w:highlight w:val="none"/>
          <w:lang w:val="zh-CN"/>
        </w:rPr>
        <w:t>评标办法前附表（一）</w:t>
      </w:r>
      <w:bookmarkEnd w:id="53"/>
      <w:bookmarkEnd w:id="54"/>
      <w:bookmarkEnd w:id="55"/>
      <w:bookmarkEnd w:id="56"/>
    </w:p>
    <w:p w14:paraId="5A211790">
      <w:pPr>
        <w:rPr>
          <w:rFonts w:hint="eastAsia" w:ascii="仿宋" w:hAnsi="仿宋" w:eastAsia="仿宋" w:cs="仿宋"/>
          <w:color w:val="auto"/>
          <w:highlight w:val="none"/>
          <w:lang w:val="zh-CN"/>
        </w:rPr>
      </w:pPr>
    </w:p>
    <w:tbl>
      <w:tblPr>
        <w:tblStyle w:val="31"/>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949"/>
        <w:gridCol w:w="2005"/>
        <w:gridCol w:w="6362"/>
      </w:tblGrid>
      <w:tr w14:paraId="758B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52" w:type="dxa"/>
            <w:gridSpan w:val="2"/>
            <w:vAlign w:val="center"/>
          </w:tcPr>
          <w:p w14:paraId="22C9BCC9">
            <w:pPr>
              <w:keepNext w:val="0"/>
              <w:keepLines w:val="0"/>
              <w:pageBreakBefore w:val="0"/>
              <w:widowControl w:val="0"/>
              <w:tabs>
                <w:tab w:val="left" w:pos="1080"/>
              </w:tabs>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条款号</w:t>
            </w:r>
          </w:p>
        </w:tc>
        <w:tc>
          <w:tcPr>
            <w:tcW w:w="2005" w:type="dxa"/>
            <w:vAlign w:val="center"/>
          </w:tcPr>
          <w:p w14:paraId="0F3EB06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评审因素</w:t>
            </w:r>
          </w:p>
        </w:tc>
        <w:tc>
          <w:tcPr>
            <w:tcW w:w="6362" w:type="dxa"/>
            <w:vAlign w:val="center"/>
          </w:tcPr>
          <w:p w14:paraId="196B893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评审标准</w:t>
            </w:r>
          </w:p>
        </w:tc>
      </w:tr>
      <w:tr w14:paraId="787E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03" w:type="dxa"/>
            <w:vMerge w:val="restart"/>
            <w:vAlign w:val="center"/>
          </w:tcPr>
          <w:p w14:paraId="29EF9D7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2.1.1</w:t>
            </w:r>
          </w:p>
        </w:tc>
        <w:tc>
          <w:tcPr>
            <w:tcW w:w="949" w:type="dxa"/>
            <w:vMerge w:val="restart"/>
            <w:vAlign w:val="center"/>
          </w:tcPr>
          <w:p w14:paraId="14C26911">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形式评审标准</w:t>
            </w:r>
          </w:p>
        </w:tc>
        <w:tc>
          <w:tcPr>
            <w:tcW w:w="2005" w:type="dxa"/>
            <w:vAlign w:val="center"/>
          </w:tcPr>
          <w:p w14:paraId="3714635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供应商名称</w:t>
            </w:r>
          </w:p>
        </w:tc>
        <w:tc>
          <w:tcPr>
            <w:tcW w:w="6362" w:type="dxa"/>
            <w:vAlign w:val="center"/>
          </w:tcPr>
          <w:p w14:paraId="650F3A88">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eastAsia="zh-CN"/>
              </w:rPr>
              <w:t>与营业执照、资质证书、安全生产许可证一致。</w:t>
            </w:r>
          </w:p>
        </w:tc>
      </w:tr>
      <w:tr w14:paraId="0294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703" w:type="dxa"/>
            <w:vMerge w:val="continue"/>
            <w:vAlign w:val="center"/>
          </w:tcPr>
          <w:p w14:paraId="2489F69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23006E25">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2005" w:type="dxa"/>
            <w:vAlign w:val="center"/>
          </w:tcPr>
          <w:p w14:paraId="4EB7E6A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投标函签字盖章</w:t>
            </w:r>
          </w:p>
        </w:tc>
        <w:tc>
          <w:tcPr>
            <w:tcW w:w="6362" w:type="dxa"/>
            <w:vAlign w:val="center"/>
          </w:tcPr>
          <w:p w14:paraId="612DE356">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eastAsia="zh-CN"/>
              </w:rPr>
              <w:t>有法定代表人或其委托代理人签字</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lang w:val="zh-CN" w:eastAsia="zh-CN"/>
              </w:rPr>
              <w:t>、供应商加盖单位公章。</w:t>
            </w:r>
          </w:p>
        </w:tc>
      </w:tr>
      <w:tr w14:paraId="2003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703" w:type="dxa"/>
            <w:vMerge w:val="continue"/>
            <w:tcBorders>
              <w:bottom w:val="single" w:color="auto" w:sz="4" w:space="0"/>
            </w:tcBorders>
            <w:vAlign w:val="center"/>
          </w:tcPr>
          <w:p w14:paraId="533C1A3D">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tcBorders>
              <w:bottom w:val="single" w:color="auto" w:sz="4" w:space="0"/>
            </w:tcBorders>
            <w:vAlign w:val="center"/>
          </w:tcPr>
          <w:p w14:paraId="44DE7B80">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2005" w:type="dxa"/>
            <w:tcBorders>
              <w:bottom w:val="single" w:color="auto" w:sz="4" w:space="0"/>
            </w:tcBorders>
            <w:vAlign w:val="center"/>
          </w:tcPr>
          <w:p w14:paraId="66F2D46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响应文件格式</w:t>
            </w:r>
          </w:p>
        </w:tc>
        <w:tc>
          <w:tcPr>
            <w:tcW w:w="6362" w:type="dxa"/>
            <w:tcBorders>
              <w:bottom w:val="single" w:color="auto" w:sz="4" w:space="0"/>
            </w:tcBorders>
            <w:vAlign w:val="center"/>
          </w:tcPr>
          <w:p w14:paraId="6DD890A5">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eastAsia="zh-CN"/>
              </w:rPr>
              <w:t>符合第七章“响应文件格式”的要求。并满足磋商文件要求的签字盖章要求。</w:t>
            </w:r>
          </w:p>
        </w:tc>
      </w:tr>
      <w:tr w14:paraId="3CD9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703" w:type="dxa"/>
            <w:vMerge w:val="continue"/>
            <w:tcBorders>
              <w:bottom w:val="single" w:color="auto" w:sz="4" w:space="0"/>
            </w:tcBorders>
            <w:vAlign w:val="center"/>
          </w:tcPr>
          <w:p w14:paraId="2F46634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tcBorders>
              <w:bottom w:val="single" w:color="auto" w:sz="4" w:space="0"/>
            </w:tcBorders>
            <w:vAlign w:val="center"/>
          </w:tcPr>
          <w:p w14:paraId="743E2C5A">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2005" w:type="dxa"/>
            <w:tcBorders>
              <w:bottom w:val="single" w:color="auto" w:sz="4" w:space="0"/>
            </w:tcBorders>
            <w:vAlign w:val="center"/>
          </w:tcPr>
          <w:p w14:paraId="69C4E36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报价唯一</w:t>
            </w:r>
          </w:p>
        </w:tc>
        <w:tc>
          <w:tcPr>
            <w:tcW w:w="6362" w:type="dxa"/>
            <w:tcBorders>
              <w:bottom w:val="single" w:color="auto" w:sz="4" w:space="0"/>
            </w:tcBorders>
            <w:vAlign w:val="center"/>
          </w:tcPr>
          <w:p w14:paraId="2E165531">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只能有一个有效报价。</w:t>
            </w:r>
          </w:p>
        </w:tc>
      </w:tr>
      <w:tr w14:paraId="7D5F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0019" w:type="dxa"/>
            <w:gridSpan w:val="4"/>
            <w:tcBorders>
              <w:bottom w:val="single" w:color="auto" w:sz="4" w:space="0"/>
            </w:tcBorders>
            <w:vAlign w:val="center"/>
          </w:tcPr>
          <w:p w14:paraId="486A8843">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注：以上各项评审标准，有一项不合格，即为投标被否决，不再进入后续资格评审。</w:t>
            </w:r>
          </w:p>
        </w:tc>
      </w:tr>
      <w:tr w14:paraId="11D6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703" w:type="dxa"/>
            <w:vMerge w:val="restart"/>
            <w:vAlign w:val="center"/>
          </w:tcPr>
          <w:p w14:paraId="0FC8432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2.1.2</w:t>
            </w:r>
          </w:p>
        </w:tc>
        <w:tc>
          <w:tcPr>
            <w:tcW w:w="949" w:type="dxa"/>
            <w:vMerge w:val="restart"/>
            <w:vAlign w:val="center"/>
          </w:tcPr>
          <w:p w14:paraId="5DE44F82">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资格评审标准</w:t>
            </w:r>
          </w:p>
        </w:tc>
        <w:tc>
          <w:tcPr>
            <w:tcW w:w="2005" w:type="dxa"/>
            <w:vAlign w:val="center"/>
          </w:tcPr>
          <w:p w14:paraId="453F42E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营业执照</w:t>
            </w:r>
          </w:p>
        </w:tc>
        <w:tc>
          <w:tcPr>
            <w:tcW w:w="6362" w:type="dxa"/>
            <w:vAlign w:val="center"/>
          </w:tcPr>
          <w:p w14:paraId="2E8F0609">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具备有效的营业执照，响应文件内附营业执照复印件加盖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lang w:val="zh-CN"/>
              </w:rPr>
              <w:t>。</w:t>
            </w:r>
          </w:p>
        </w:tc>
      </w:tr>
      <w:tr w14:paraId="098B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703" w:type="dxa"/>
            <w:vMerge w:val="continue"/>
            <w:vAlign w:val="center"/>
          </w:tcPr>
          <w:p w14:paraId="700E0356">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28242679">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2005" w:type="dxa"/>
            <w:vAlign w:val="center"/>
          </w:tcPr>
          <w:p w14:paraId="0F93DE2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资质等级</w:t>
            </w:r>
          </w:p>
        </w:tc>
        <w:tc>
          <w:tcPr>
            <w:tcW w:w="6362" w:type="dxa"/>
            <w:vAlign w:val="center"/>
          </w:tcPr>
          <w:p w14:paraId="0B1A9E39">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具备建设行政主管部门核发的</w:t>
            </w:r>
            <w:r>
              <w:rPr>
                <w:rFonts w:hint="eastAsia" w:ascii="仿宋" w:hAnsi="仿宋" w:eastAsia="仿宋" w:cs="仿宋"/>
                <w:color w:val="auto"/>
                <w:sz w:val="24"/>
                <w:szCs w:val="24"/>
                <w:highlight w:val="none"/>
                <w:lang w:eastAsia="zh-CN"/>
              </w:rPr>
              <w:t>市政公用工程施工总承包三级（含）及以上资质</w:t>
            </w:r>
            <w:r>
              <w:rPr>
                <w:rFonts w:hint="eastAsia" w:ascii="仿宋" w:hAnsi="仿宋" w:eastAsia="仿宋" w:cs="仿宋"/>
                <w:color w:val="auto"/>
                <w:sz w:val="24"/>
                <w:szCs w:val="24"/>
                <w:highlight w:val="none"/>
              </w:rPr>
              <w:t>的法人或其他组织，响应文件内附</w:t>
            </w:r>
            <w:r>
              <w:rPr>
                <w:rFonts w:hint="eastAsia" w:ascii="仿宋" w:hAnsi="仿宋" w:eastAsia="仿宋" w:cs="仿宋"/>
                <w:color w:val="auto"/>
                <w:sz w:val="24"/>
                <w:szCs w:val="24"/>
                <w:highlight w:val="none"/>
                <w:lang w:val="en-US" w:eastAsia="zh-CN"/>
              </w:rPr>
              <w:t>企业资质在吉林省建筑市场监管公共服务平台查询截图及</w:t>
            </w:r>
            <w:r>
              <w:rPr>
                <w:rFonts w:hint="eastAsia" w:ascii="仿宋" w:hAnsi="仿宋" w:eastAsia="仿宋" w:cs="仿宋"/>
                <w:color w:val="auto"/>
                <w:sz w:val="24"/>
                <w:szCs w:val="24"/>
                <w:highlight w:val="none"/>
              </w:rPr>
              <w:t>资质证书复印件加盖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lang w:eastAsia="zh-CN"/>
              </w:rPr>
              <w:t>。</w:t>
            </w:r>
          </w:p>
        </w:tc>
      </w:tr>
      <w:tr w14:paraId="32A3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3" w:type="dxa"/>
            <w:vMerge w:val="continue"/>
            <w:vAlign w:val="center"/>
          </w:tcPr>
          <w:p w14:paraId="0918980E">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2AC8AEFC">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2005" w:type="dxa"/>
            <w:vAlign w:val="center"/>
          </w:tcPr>
          <w:p w14:paraId="760E824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安全生产许可证</w:t>
            </w:r>
          </w:p>
        </w:tc>
        <w:tc>
          <w:tcPr>
            <w:tcW w:w="6362" w:type="dxa"/>
            <w:vAlign w:val="center"/>
          </w:tcPr>
          <w:p w14:paraId="364221C3">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具备有效的安全生产许可证，响应文件内附安全生产许可证复印件加盖供应商公章。</w:t>
            </w:r>
          </w:p>
        </w:tc>
      </w:tr>
      <w:tr w14:paraId="6557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703" w:type="dxa"/>
            <w:vMerge w:val="continue"/>
            <w:vAlign w:val="center"/>
          </w:tcPr>
          <w:p w14:paraId="3462B203">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77381170">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2005" w:type="dxa"/>
            <w:vAlign w:val="center"/>
          </w:tcPr>
          <w:p w14:paraId="5A1188D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项目经理</w:t>
            </w:r>
          </w:p>
        </w:tc>
        <w:tc>
          <w:tcPr>
            <w:tcW w:w="6362" w:type="dxa"/>
            <w:vAlign w:val="center"/>
          </w:tcPr>
          <w:p w14:paraId="428C0BC5">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sz w:val="24"/>
                <w:szCs w:val="24"/>
                <w:highlight w:val="none"/>
                <w:shd w:val="clear" w:color="auto" w:fill="FFFFFF"/>
              </w:rPr>
            </w:pPr>
            <w:r>
              <w:rPr>
                <w:rFonts w:hint="eastAsia" w:ascii="仿宋" w:hAnsi="仿宋" w:eastAsia="仿宋" w:cs="仿宋"/>
                <w:bCs/>
                <w:color w:val="auto"/>
                <w:sz w:val="24"/>
                <w:szCs w:val="24"/>
                <w:highlight w:val="none"/>
                <w:shd w:val="clear" w:color="auto" w:fill="FFFFFF"/>
              </w:rPr>
              <w:t>具备建设行政主管部门核发的</w:t>
            </w:r>
            <w:r>
              <w:rPr>
                <w:rFonts w:hint="eastAsia" w:ascii="仿宋" w:hAnsi="仿宋" w:eastAsia="仿宋" w:cs="仿宋"/>
                <w:bCs/>
                <w:snapToGrid w:val="0"/>
                <w:color w:val="auto"/>
                <w:sz w:val="24"/>
                <w:szCs w:val="24"/>
                <w:highlight w:val="none"/>
                <w:lang w:val="en-US" w:eastAsia="zh-CN"/>
              </w:rPr>
              <w:t>市政公用工程</w:t>
            </w:r>
            <w:r>
              <w:rPr>
                <w:rFonts w:hint="eastAsia" w:ascii="仿宋" w:hAnsi="仿宋" w:eastAsia="仿宋" w:cs="仿宋"/>
                <w:bCs/>
                <w:color w:val="auto"/>
                <w:sz w:val="24"/>
                <w:szCs w:val="24"/>
                <w:highlight w:val="none"/>
                <w:shd w:val="clear" w:color="auto" w:fill="FFFFFF"/>
                <w:lang w:eastAsia="zh-CN"/>
              </w:rPr>
              <w:t>专业</w:t>
            </w:r>
            <w:r>
              <w:rPr>
                <w:rFonts w:hint="eastAsia" w:ascii="仿宋" w:hAnsi="仿宋" w:eastAsia="仿宋" w:cs="仿宋"/>
                <w:bCs/>
                <w:color w:val="auto"/>
                <w:sz w:val="24"/>
                <w:szCs w:val="24"/>
                <w:highlight w:val="none"/>
                <w:shd w:val="clear" w:color="auto" w:fill="FFFFFF"/>
              </w:rPr>
              <w:t>二级及以上注册建造师证书，</w:t>
            </w:r>
            <w:r>
              <w:rPr>
                <w:rFonts w:hint="eastAsia" w:ascii="仿宋" w:hAnsi="仿宋" w:eastAsia="仿宋" w:cs="仿宋"/>
                <w:bCs/>
                <w:snapToGrid w:val="0"/>
                <w:color w:val="auto"/>
                <w:sz w:val="24"/>
                <w:szCs w:val="24"/>
                <w:highlight w:val="none"/>
              </w:rPr>
              <w:t>具有有效的安全生产考核证书(B类)</w:t>
            </w:r>
            <w:r>
              <w:rPr>
                <w:rFonts w:hint="eastAsia" w:ascii="仿宋" w:hAnsi="仿宋" w:eastAsia="仿宋" w:cs="仿宋"/>
                <w:bCs/>
                <w:color w:val="auto"/>
                <w:sz w:val="24"/>
                <w:szCs w:val="24"/>
                <w:highlight w:val="none"/>
                <w:shd w:val="clear" w:color="auto" w:fill="FFFFFF"/>
              </w:rPr>
              <w:t>，应无在建工程。</w:t>
            </w:r>
          </w:p>
          <w:p w14:paraId="5A5A07D2">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bCs/>
                <w:color w:val="auto"/>
                <w:sz w:val="24"/>
                <w:szCs w:val="24"/>
                <w:highlight w:val="none"/>
                <w:shd w:val="clear" w:color="auto" w:fill="FFFFFF"/>
              </w:rPr>
              <w:t>响应文件内附注册建造师证书、有效期内的项目负责人安全生产考核合格证书</w:t>
            </w:r>
            <w:r>
              <w:rPr>
                <w:rFonts w:hint="eastAsia" w:ascii="仿宋" w:hAnsi="仿宋" w:eastAsia="仿宋" w:cs="仿宋"/>
                <w:bCs/>
                <w:color w:val="auto"/>
                <w:sz w:val="24"/>
                <w:szCs w:val="24"/>
                <w:highlight w:val="none"/>
                <w:shd w:val="clear" w:color="auto" w:fill="FFFFFF"/>
                <w:lang w:eastAsia="zh-CN"/>
              </w:rPr>
              <w:t>、</w:t>
            </w:r>
            <w:r>
              <w:rPr>
                <w:rFonts w:hint="eastAsia" w:ascii="仿宋" w:hAnsi="仿宋" w:eastAsia="仿宋" w:cs="仿宋"/>
                <w:bCs/>
                <w:color w:val="auto"/>
                <w:sz w:val="24"/>
                <w:szCs w:val="24"/>
                <w:highlight w:val="none"/>
                <w:shd w:val="clear" w:color="auto" w:fill="FFFFFF"/>
                <w:lang w:val="en-US" w:eastAsia="zh-CN"/>
              </w:rPr>
              <w:t>近半年任意月份的社保证明</w:t>
            </w:r>
            <w:r>
              <w:rPr>
                <w:rFonts w:hint="eastAsia" w:ascii="仿宋" w:hAnsi="仿宋" w:eastAsia="仿宋" w:cs="仿宋"/>
                <w:bCs/>
                <w:color w:val="auto"/>
                <w:sz w:val="24"/>
                <w:szCs w:val="24"/>
                <w:highlight w:val="none"/>
                <w:shd w:val="clear" w:color="auto" w:fill="FFFFFF"/>
              </w:rPr>
              <w:t>复印件加盖</w:t>
            </w:r>
            <w:r>
              <w:rPr>
                <w:rFonts w:hint="eastAsia" w:ascii="仿宋" w:hAnsi="仿宋" w:eastAsia="仿宋" w:cs="仿宋"/>
                <w:bCs/>
                <w:color w:val="auto"/>
                <w:sz w:val="24"/>
                <w:szCs w:val="24"/>
                <w:highlight w:val="none"/>
                <w:shd w:val="clear" w:color="auto" w:fill="FFFFFF"/>
                <w:lang w:eastAsia="zh-CN"/>
              </w:rPr>
              <w:t>供应商</w:t>
            </w:r>
            <w:r>
              <w:rPr>
                <w:rFonts w:hint="eastAsia" w:ascii="仿宋" w:hAnsi="仿宋" w:eastAsia="仿宋" w:cs="仿宋"/>
                <w:bCs/>
                <w:color w:val="auto"/>
                <w:sz w:val="24"/>
                <w:szCs w:val="24"/>
                <w:highlight w:val="none"/>
                <w:shd w:val="clear" w:color="auto" w:fill="FFFFFF"/>
              </w:rPr>
              <w:t>公章、</w:t>
            </w:r>
            <w:r>
              <w:rPr>
                <w:rFonts w:hint="eastAsia" w:ascii="仿宋" w:hAnsi="仿宋" w:eastAsia="仿宋" w:cs="仿宋"/>
                <w:color w:val="auto"/>
                <w:kern w:val="2"/>
                <w:sz w:val="24"/>
                <w:szCs w:val="24"/>
                <w:highlight w:val="none"/>
                <w:lang w:val="en-US" w:eastAsia="zh-CN" w:bidi="ar-SA"/>
              </w:rPr>
              <w:t>无在建工程承诺书</w:t>
            </w:r>
            <w:r>
              <w:rPr>
                <w:rFonts w:hint="eastAsia" w:ascii="仿宋" w:hAnsi="仿宋" w:eastAsia="仿宋" w:cs="仿宋"/>
                <w:bCs/>
                <w:color w:val="auto"/>
                <w:sz w:val="24"/>
                <w:szCs w:val="24"/>
                <w:highlight w:val="none"/>
                <w:shd w:val="clear" w:color="auto" w:fill="FFFFFF"/>
                <w:lang w:eastAsia="zh-CN"/>
              </w:rPr>
              <w:t>。</w:t>
            </w:r>
          </w:p>
        </w:tc>
      </w:tr>
      <w:tr w14:paraId="69FC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703" w:type="dxa"/>
            <w:vMerge w:val="continue"/>
            <w:vAlign w:val="center"/>
          </w:tcPr>
          <w:p w14:paraId="00D0B3BC">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12A75EB9">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2005" w:type="dxa"/>
            <w:vAlign w:val="center"/>
          </w:tcPr>
          <w:p w14:paraId="0B8B5F8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sz w:val="24"/>
                <w:szCs w:val="24"/>
                <w:highlight w:val="none"/>
                <w:shd w:val="clear" w:color="auto" w:fill="FFFFFF"/>
                <w:lang w:val="zh-CN" w:eastAsia="zh-CN"/>
              </w:rPr>
            </w:pPr>
            <w:r>
              <w:rPr>
                <w:rFonts w:hint="eastAsia" w:ascii="仿宋" w:hAnsi="仿宋" w:eastAsia="仿宋" w:cs="仿宋"/>
                <w:bCs/>
                <w:color w:val="auto"/>
                <w:sz w:val="24"/>
                <w:szCs w:val="24"/>
                <w:highlight w:val="none"/>
                <w:shd w:val="clear" w:color="auto" w:fill="FFFFFF"/>
                <w:lang w:val="zh-CN" w:eastAsia="zh-CN"/>
              </w:rPr>
              <w:t>信誉</w:t>
            </w:r>
          </w:p>
        </w:tc>
        <w:tc>
          <w:tcPr>
            <w:tcW w:w="6362" w:type="dxa"/>
            <w:vAlign w:val="center"/>
          </w:tcPr>
          <w:p w14:paraId="5F5B6206">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sz w:val="24"/>
                <w:szCs w:val="24"/>
                <w:highlight w:val="none"/>
                <w:shd w:val="clear" w:color="auto" w:fill="FFFFFF"/>
                <w:lang w:val="en-US" w:eastAsia="zh-CN"/>
              </w:rPr>
            </w:pPr>
            <w:r>
              <w:rPr>
                <w:rFonts w:hint="eastAsia" w:ascii="仿宋" w:hAnsi="仿宋" w:eastAsia="仿宋" w:cs="仿宋"/>
                <w:bCs/>
                <w:color w:val="auto"/>
                <w:sz w:val="24"/>
                <w:szCs w:val="24"/>
                <w:highlight w:val="none"/>
                <w:shd w:val="clear" w:color="auto" w:fill="FFFFFF"/>
                <w:lang w:val="en-US" w:eastAsia="zh-CN"/>
              </w:rPr>
              <w:t>对在“信用中国”网站(www.creditchina.gov.cn)存在失信被执行人、重大税收违法失信主体，被中国政府采购网(www.ccgp.gov.cn)列入政府采购严重违法失信行为记录名单中列入经营异常名录或严重违法失信名单及其他不符合《中华人民共和国政府采购法》第二十二条规定条件的供应商，不得参与政府采购活动</w:t>
            </w:r>
            <w:r>
              <w:rPr>
                <w:rFonts w:hint="eastAsia" w:ascii="仿宋" w:hAnsi="仿宋" w:eastAsia="仿宋" w:cs="仿宋"/>
                <w:bCs/>
                <w:color w:val="auto"/>
                <w:sz w:val="24"/>
                <w:szCs w:val="24"/>
                <w:highlight w:val="none"/>
                <w:shd w:val="clear" w:color="auto" w:fill="FFFFFF"/>
                <w:lang w:val="zh-CN" w:eastAsia="zh-CN"/>
              </w:rPr>
              <w:t>（处罚决定规定的时间和地域范围内）</w:t>
            </w:r>
            <w:r>
              <w:rPr>
                <w:rFonts w:hint="eastAsia" w:ascii="仿宋" w:hAnsi="仿宋" w:eastAsia="仿宋" w:cs="仿宋"/>
                <w:bCs/>
                <w:color w:val="auto"/>
                <w:sz w:val="24"/>
                <w:szCs w:val="24"/>
                <w:highlight w:val="none"/>
                <w:shd w:val="clear" w:color="auto" w:fill="FFFFFF"/>
                <w:lang w:val="en-US" w:eastAsia="zh-CN"/>
              </w:rPr>
              <w:t>。</w:t>
            </w:r>
          </w:p>
          <w:p w14:paraId="0684EFD6">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sz w:val="24"/>
                <w:szCs w:val="24"/>
                <w:highlight w:val="none"/>
                <w:shd w:val="clear" w:color="auto" w:fill="FFFFFF"/>
                <w:lang w:val="en-US" w:eastAsia="zh-CN"/>
              </w:rPr>
            </w:pPr>
            <w:r>
              <w:rPr>
                <w:rFonts w:hint="eastAsia" w:ascii="仿宋" w:hAnsi="仿宋" w:eastAsia="仿宋" w:cs="仿宋"/>
                <w:bCs/>
                <w:color w:val="auto"/>
                <w:sz w:val="24"/>
                <w:szCs w:val="24"/>
                <w:highlight w:val="none"/>
                <w:shd w:val="clear" w:color="auto" w:fill="FFFFFF"/>
                <w:lang w:val="en-US" w:eastAsia="zh-CN"/>
              </w:rPr>
              <w:t>查询时间为本项目开启后进行评审前由资格审查小组在政采云系统直接网上查询。</w:t>
            </w:r>
          </w:p>
        </w:tc>
      </w:tr>
      <w:tr w14:paraId="77BD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7" w:hRule="atLeast"/>
          <w:jc w:val="center"/>
        </w:trPr>
        <w:tc>
          <w:tcPr>
            <w:tcW w:w="703" w:type="dxa"/>
            <w:vMerge w:val="continue"/>
            <w:vAlign w:val="center"/>
          </w:tcPr>
          <w:p w14:paraId="3C8EA7C0">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7E2BCDF2">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2005" w:type="dxa"/>
            <w:vAlign w:val="center"/>
          </w:tcPr>
          <w:p w14:paraId="38EC2872">
            <w:pPr>
              <w:autoSpaceDE w:val="0"/>
              <w:autoSpaceDN w:val="0"/>
              <w:adjustRightInd w:val="0"/>
              <w:jc w:val="center"/>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eastAsia="zh-CN"/>
              </w:rPr>
              <w:t>良好的商业信誉和健全的财务会计制度</w:t>
            </w:r>
          </w:p>
        </w:tc>
        <w:tc>
          <w:tcPr>
            <w:tcW w:w="6362" w:type="dxa"/>
            <w:vAlign w:val="center"/>
          </w:tcPr>
          <w:p w14:paraId="0893B766">
            <w:pPr>
              <w:autoSpaceDE w:val="0"/>
              <w:autoSpaceDN w:val="0"/>
              <w:adjustRightInd w:val="0"/>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投标人须具有良好的商业信誉和健全的财务会计制度，按照以下要求提供相应材料。</w:t>
            </w:r>
          </w:p>
          <w:p w14:paraId="477CF73C">
            <w:pPr>
              <w:widowControl/>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应提供</w:t>
            </w:r>
            <w:r>
              <w:rPr>
                <w:rFonts w:hint="eastAsia" w:ascii="仿宋" w:hAnsi="仿宋" w:eastAsia="仿宋" w:cs="仿宋"/>
                <w:color w:val="auto"/>
                <w:sz w:val="24"/>
                <w:szCs w:val="24"/>
                <w:highlight w:val="none"/>
                <w:lang w:val="en-US" w:eastAsia="zh-CN"/>
              </w:rPr>
              <w:t>2024</w:t>
            </w:r>
            <w:r>
              <w:rPr>
                <w:rFonts w:hint="eastAsia" w:ascii="仿宋" w:hAnsi="仿宋" w:eastAsia="仿宋" w:cs="仿宋"/>
                <w:color w:val="auto"/>
                <w:sz w:val="24"/>
                <w:szCs w:val="24"/>
                <w:highlight w:val="none"/>
                <w:lang w:eastAsia="zh-CN"/>
              </w:rPr>
              <w:t>度</w:t>
            </w:r>
            <w:r>
              <w:rPr>
                <w:rFonts w:hint="eastAsia" w:ascii="仿宋" w:hAnsi="仿宋" w:eastAsia="仿宋" w:cs="仿宋"/>
                <w:color w:val="auto"/>
                <w:sz w:val="24"/>
                <w:szCs w:val="24"/>
                <w:highlight w:val="none"/>
                <w:lang w:eastAsia="zh-CN"/>
              </w:rPr>
              <w:t>经审计的财务报告复印件，或其基本开户银行出具的开标日前三个月的资信证明原件（或复印件）或按投标文件格式提供资格条件承诺函</w:t>
            </w:r>
            <w:r>
              <w:rPr>
                <w:rFonts w:hint="eastAsia" w:ascii="仿宋" w:hAnsi="仿宋" w:eastAsia="仿宋" w:cs="仿宋"/>
                <w:b/>
                <w:color w:val="auto"/>
                <w:sz w:val="24"/>
                <w:szCs w:val="24"/>
                <w:highlight w:val="none"/>
                <w:lang w:eastAsia="zh-CN"/>
              </w:rPr>
              <w:t>①（不适用信用承诺的情形不得仅提供承诺函①）</w:t>
            </w:r>
            <w:r>
              <w:rPr>
                <w:rFonts w:hint="eastAsia" w:ascii="仿宋" w:hAnsi="仿宋" w:eastAsia="仿宋" w:cs="仿宋"/>
                <w:color w:val="auto"/>
                <w:sz w:val="24"/>
                <w:szCs w:val="24"/>
                <w:highlight w:val="none"/>
                <w:lang w:eastAsia="zh-CN"/>
              </w:rPr>
              <w:t xml:space="preserve">； </w:t>
            </w:r>
          </w:p>
          <w:p w14:paraId="431EAE21">
            <w:pPr>
              <w:widowControl/>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说明：银行资信证明若提供的是复印件，招标采购单位保留审核原件的权利。若资信证明中有注明复印无效等规定，则必须在投标文件正本中提供原件，否则将视为未提供资信证明。</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eastAsia="zh-CN"/>
              </w:rPr>
              <w:t>及以后新成立的企业可按投标文件格式提供资格条件承诺函</w:t>
            </w:r>
            <w:r>
              <w:rPr>
                <w:rFonts w:hint="eastAsia" w:ascii="仿宋" w:hAnsi="仿宋" w:eastAsia="仿宋" w:cs="仿宋"/>
                <w:b/>
                <w:color w:val="auto"/>
                <w:sz w:val="24"/>
                <w:szCs w:val="24"/>
                <w:highlight w:val="none"/>
                <w:lang w:eastAsia="zh-CN"/>
              </w:rPr>
              <w:t>①（不适用信用承诺的情形不得仅提供承诺函①）</w:t>
            </w:r>
            <w:r>
              <w:rPr>
                <w:rFonts w:hint="eastAsia" w:ascii="仿宋" w:hAnsi="仿宋" w:eastAsia="仿宋" w:cs="仿宋"/>
                <w:b/>
                <w:bCs/>
                <w:color w:val="auto"/>
                <w:sz w:val="24"/>
                <w:szCs w:val="24"/>
                <w:highlight w:val="none"/>
                <w:lang w:eastAsia="zh-CN"/>
              </w:rPr>
              <w:t>。</w:t>
            </w:r>
          </w:p>
        </w:tc>
      </w:tr>
      <w:tr w14:paraId="61A33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jc w:val="center"/>
        </w:trPr>
        <w:tc>
          <w:tcPr>
            <w:tcW w:w="703" w:type="dxa"/>
            <w:vMerge w:val="continue"/>
            <w:vAlign w:val="center"/>
          </w:tcPr>
          <w:p w14:paraId="2739979B">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42560918">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2005" w:type="dxa"/>
            <w:vAlign w:val="center"/>
          </w:tcPr>
          <w:p w14:paraId="68F849E6">
            <w:pPr>
              <w:kinsoku w:val="0"/>
              <w:overflowPunct w:val="0"/>
              <w:autoSpaceDE w:val="0"/>
              <w:autoSpaceDN w:val="0"/>
              <w:adjustRightInd w:val="0"/>
              <w:snapToGrid w:val="0"/>
              <w:spacing w:line="4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依法缴纳税收和社会保障资金证明</w:t>
            </w:r>
          </w:p>
        </w:tc>
        <w:tc>
          <w:tcPr>
            <w:tcW w:w="6362" w:type="dxa"/>
            <w:vAlign w:val="center"/>
          </w:tcPr>
          <w:p w14:paraId="61AAFA86">
            <w:pPr>
              <w:autoSpaceDE w:val="0"/>
              <w:autoSpaceDN w:val="0"/>
              <w:adjustRightInd w:val="0"/>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投标人须具有依法缴纳税收和社会保障资金的良好记录，按照以下要求提供相应材料。</w:t>
            </w:r>
          </w:p>
          <w:p w14:paraId="350676E0">
            <w:pPr>
              <w:widowControl/>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缴纳税收的证明材料，应提供开标前六个月内任意一个月的依法缴税凭据复印件（依法免税的投标人，须提供相应文件证明其依法免税）或按投标文件格式提供资格条件承诺函</w:t>
            </w:r>
            <w:r>
              <w:rPr>
                <w:rFonts w:hint="eastAsia" w:ascii="仿宋" w:hAnsi="仿宋" w:eastAsia="仿宋" w:cs="仿宋"/>
                <w:b/>
                <w:color w:val="auto"/>
                <w:sz w:val="24"/>
                <w:szCs w:val="24"/>
                <w:highlight w:val="none"/>
                <w:lang w:eastAsia="zh-CN"/>
              </w:rPr>
              <w:t>①（不适用信用承诺的情形不得仅提供承诺函①）</w:t>
            </w:r>
            <w:r>
              <w:rPr>
                <w:rFonts w:hint="eastAsia" w:ascii="仿宋" w:hAnsi="仿宋" w:eastAsia="仿宋" w:cs="仿宋"/>
                <w:color w:val="auto"/>
                <w:sz w:val="24"/>
                <w:szCs w:val="24"/>
                <w:highlight w:val="none"/>
                <w:lang w:eastAsia="zh-CN"/>
              </w:rPr>
              <w:t>；</w:t>
            </w:r>
          </w:p>
          <w:p w14:paraId="21B01083">
            <w:pPr>
              <w:kinsoku w:val="0"/>
              <w:overflowPunct w:val="0"/>
              <w:autoSpaceDE w:val="0"/>
              <w:autoSpaceDN w:val="0"/>
              <w:adjustRightInd w:val="0"/>
              <w:snapToGrid w:val="0"/>
              <w:spacing w:line="400" w:lineRule="exac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eastAsia="zh-CN"/>
              </w:rPr>
              <w:t>缴纳社会保障资金的证明材料，应提供开标前六个月内任意一个月的缴纳社会保险的凭据复印件（专用收据或社会保险缴纳清单，依法不需要缴纳社会保障资金的投标人，须提供相应文件证明其依法不需要缴纳社会保障资金）或按投标文件格式提供资格条件承诺函</w:t>
            </w:r>
            <w:r>
              <w:rPr>
                <w:rFonts w:hint="eastAsia" w:ascii="仿宋" w:hAnsi="仿宋" w:eastAsia="仿宋" w:cs="仿宋"/>
                <w:b/>
                <w:color w:val="auto"/>
                <w:sz w:val="24"/>
                <w:szCs w:val="24"/>
                <w:highlight w:val="none"/>
                <w:lang w:eastAsia="zh-CN"/>
              </w:rPr>
              <w:t>①（不适用信用承诺的情形不得仅提供承诺函①）</w:t>
            </w:r>
            <w:r>
              <w:rPr>
                <w:rFonts w:hint="eastAsia" w:ascii="仿宋" w:hAnsi="仿宋" w:eastAsia="仿宋" w:cs="仿宋"/>
                <w:color w:val="auto"/>
                <w:sz w:val="24"/>
                <w:szCs w:val="24"/>
                <w:highlight w:val="none"/>
                <w:lang w:eastAsia="zh-CN"/>
              </w:rPr>
              <w:t>；</w:t>
            </w:r>
          </w:p>
        </w:tc>
      </w:tr>
      <w:tr w14:paraId="35FC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jc w:val="center"/>
        </w:trPr>
        <w:tc>
          <w:tcPr>
            <w:tcW w:w="703" w:type="dxa"/>
            <w:vMerge w:val="continue"/>
            <w:vAlign w:val="center"/>
          </w:tcPr>
          <w:p w14:paraId="3A101DEC">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1609A035">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2005" w:type="dxa"/>
            <w:vAlign w:val="center"/>
          </w:tcPr>
          <w:p w14:paraId="57B243BD">
            <w:pPr>
              <w:autoSpaceDE w:val="0"/>
              <w:autoSpaceDN w:val="0"/>
              <w:adjustRightInd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声明书②</w:t>
            </w:r>
          </w:p>
        </w:tc>
        <w:tc>
          <w:tcPr>
            <w:tcW w:w="6362" w:type="dxa"/>
            <w:vAlign w:val="center"/>
          </w:tcPr>
          <w:p w14:paraId="703AA045">
            <w:pPr>
              <w:autoSpaceDE w:val="0"/>
              <w:autoSpaceDN w:val="0"/>
              <w:adjustRightIn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投标人须具有履行合同所必需的设备和专业技术能力，须附相关证明材料或书面声明。</w:t>
            </w:r>
          </w:p>
        </w:tc>
      </w:tr>
      <w:tr w14:paraId="0D89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703" w:type="dxa"/>
            <w:vMerge w:val="continue"/>
            <w:vAlign w:val="center"/>
          </w:tcPr>
          <w:p w14:paraId="55C56322">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17C53AA3">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2005" w:type="dxa"/>
            <w:vAlign w:val="center"/>
          </w:tcPr>
          <w:p w14:paraId="00E3358C">
            <w:pPr>
              <w:autoSpaceDE w:val="0"/>
              <w:autoSpaceDN w:val="0"/>
              <w:adjustRightInd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声明书③</w:t>
            </w:r>
          </w:p>
        </w:tc>
        <w:tc>
          <w:tcPr>
            <w:tcW w:w="6362" w:type="dxa"/>
            <w:vAlign w:val="center"/>
          </w:tcPr>
          <w:p w14:paraId="68C7C6BD">
            <w:pPr>
              <w:autoSpaceDE w:val="0"/>
              <w:autoSpaceDN w:val="0"/>
              <w:adjustRightInd w:val="0"/>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投标人须提供参与本采购活动前三年内在经营活动中没有重大违法记录的书面声明。 </w:t>
            </w:r>
          </w:p>
          <w:p w14:paraId="4672B4FB">
            <w:pPr>
              <w:pStyle w:val="13"/>
              <w:spacing w:line="312" w:lineRule="auto"/>
              <w:rPr>
                <w:rFonts w:hint="eastAsia" w:ascii="仿宋" w:hAnsi="仿宋" w:eastAsia="仿宋" w:cs="仿宋"/>
                <w:color w:val="auto"/>
                <w:sz w:val="24"/>
                <w:szCs w:val="24"/>
                <w:highlight w:val="none"/>
                <w:lang w:val="zh-CN" w:eastAsia="zh-CN" w:bidi="ar-SA"/>
              </w:rPr>
            </w:pPr>
            <w:r>
              <w:rPr>
                <w:rFonts w:hint="eastAsia" w:ascii="仿宋" w:hAnsi="仿宋" w:eastAsia="仿宋" w:cs="仿宋"/>
                <w:color w:val="auto"/>
                <w:sz w:val="24"/>
                <w:szCs w:val="24"/>
                <w:highlight w:val="none"/>
              </w:rPr>
              <w:t>注：重大违法记录是指投标人因违法经营受到刑事处罚或者责令停产停业、吊销许可证或者执照、较大数额罚款等行政处罚</w:t>
            </w:r>
            <w:r>
              <w:rPr>
                <w:rFonts w:hint="eastAsia" w:ascii="仿宋" w:hAnsi="仿宋" w:eastAsia="仿宋" w:cs="仿宋"/>
                <w:bCs/>
                <w:color w:val="auto"/>
                <w:sz w:val="24"/>
                <w:szCs w:val="24"/>
                <w:highlight w:val="none"/>
                <w:lang w:val="zh-CN"/>
              </w:rPr>
              <w:t>（根据财库〔2022〕3号文，“较大数额罚款”认定为200万元以上的罚款，法律、行政法规以及国务院有关部门明确规定相关领域“较大数额罚款”标准高于200万元的，从其规定）</w:t>
            </w:r>
          </w:p>
        </w:tc>
      </w:tr>
      <w:tr w14:paraId="7F05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703" w:type="dxa"/>
            <w:vMerge w:val="continue"/>
            <w:vAlign w:val="center"/>
          </w:tcPr>
          <w:p w14:paraId="4B8A3BF6">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1F30567A">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2005" w:type="dxa"/>
            <w:vAlign w:val="center"/>
          </w:tcPr>
          <w:p w14:paraId="014C7466">
            <w:pPr>
              <w:autoSpaceDE w:val="0"/>
              <w:autoSpaceDN w:val="0"/>
              <w:adjustRightInd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声明书④</w:t>
            </w:r>
          </w:p>
        </w:tc>
        <w:tc>
          <w:tcPr>
            <w:tcW w:w="6362" w:type="dxa"/>
            <w:vAlign w:val="center"/>
          </w:tcPr>
          <w:p w14:paraId="77E3D019">
            <w:pPr>
              <w:autoSpaceDE w:val="0"/>
              <w:autoSpaceDN w:val="0"/>
              <w:adjustRightInd w:val="0"/>
              <w:spacing w:line="312" w:lineRule="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eastAsia="zh-CN"/>
              </w:rPr>
              <w:t>单位负责人为同一人或者存在直接控股、管理关系的不同投标人，不得参加同一包的投标或者未划分包的同一招标项目的投标，投标人须提供声明。</w:t>
            </w:r>
          </w:p>
        </w:tc>
      </w:tr>
      <w:tr w14:paraId="2A35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703" w:type="dxa"/>
            <w:vMerge w:val="continue"/>
            <w:vAlign w:val="center"/>
          </w:tcPr>
          <w:p w14:paraId="7DC15EA9">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52B19A1F">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2005" w:type="dxa"/>
            <w:vAlign w:val="center"/>
          </w:tcPr>
          <w:p w14:paraId="4351BEE9">
            <w:pPr>
              <w:autoSpaceDE w:val="0"/>
              <w:autoSpaceDN w:val="0"/>
              <w:adjustRightInd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声明书⑤</w:t>
            </w:r>
          </w:p>
        </w:tc>
        <w:tc>
          <w:tcPr>
            <w:tcW w:w="6362" w:type="dxa"/>
            <w:vAlign w:val="center"/>
          </w:tcPr>
          <w:p w14:paraId="01D4F97C">
            <w:pPr>
              <w:autoSpaceDE w:val="0"/>
              <w:autoSpaceDN w:val="0"/>
              <w:adjustRightInd w:val="0"/>
              <w:spacing w:line="312" w:lineRule="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eastAsia="zh-CN"/>
              </w:rPr>
              <w:t>为本采购项目提供过整体设计、规范编制或者项目管理、监理、检测等服务的投标人及其附属机构，不得再参加本采购项目的投标活动，投标人须提供声明。</w:t>
            </w:r>
          </w:p>
        </w:tc>
      </w:tr>
      <w:tr w14:paraId="0725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jc w:val="center"/>
        </w:trPr>
        <w:tc>
          <w:tcPr>
            <w:tcW w:w="703" w:type="dxa"/>
            <w:vMerge w:val="continue"/>
            <w:vAlign w:val="center"/>
          </w:tcPr>
          <w:p w14:paraId="25F9B2DC">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33B6BFCC">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2005" w:type="dxa"/>
            <w:vAlign w:val="center"/>
          </w:tcPr>
          <w:p w14:paraId="6066B28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zh-CN" w:eastAsia="zh-CN"/>
              </w:rPr>
              <w:t>落实政府采购政策需满足的资格要求</w:t>
            </w:r>
          </w:p>
        </w:tc>
        <w:tc>
          <w:tcPr>
            <w:tcW w:w="6362" w:type="dxa"/>
            <w:vAlign w:val="center"/>
          </w:tcPr>
          <w:p w14:paraId="17071FAE">
            <w:pPr>
              <w:keepNext w:val="0"/>
              <w:keepLines w:val="0"/>
              <w:pageBreakBefore w:val="0"/>
              <w:tabs>
                <w:tab w:val="left" w:pos="-360"/>
              </w:tabs>
              <w:kinsoku/>
              <w:wordWrap/>
              <w:overflowPunct/>
              <w:topLinePunct w:val="0"/>
              <w:autoSpaceDE w:val="0"/>
              <w:autoSpaceDN w:val="0"/>
              <w:bidi w:val="0"/>
              <w:adjustRightInd w:val="0"/>
              <w:snapToGrid w:val="0"/>
              <w:spacing w:line="240" w:lineRule="auto"/>
              <w:textAlignment w:val="bottom"/>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u w:val="none"/>
                <w:lang w:val="en-US" w:eastAsia="zh-CN"/>
              </w:rPr>
              <w:t>本项目专门面向中小企业采购</w:t>
            </w:r>
            <w:r>
              <w:rPr>
                <w:rFonts w:hint="eastAsia" w:ascii="仿宋" w:hAnsi="仿宋" w:eastAsia="仿宋" w:cs="仿宋"/>
                <w:bCs/>
                <w:color w:val="auto"/>
                <w:sz w:val="24"/>
                <w:szCs w:val="24"/>
                <w:highlight w:val="none"/>
                <w:lang w:val="en-US" w:eastAsia="zh-CN"/>
              </w:rPr>
              <w:t>，供应商须是中小微企业，残疾人福利性单位、监狱企业视同小型、微型企业。本项目中小企业划分标准所属行业为</w:t>
            </w:r>
            <w:r>
              <w:rPr>
                <w:rFonts w:hint="eastAsia" w:ascii="仿宋" w:hAnsi="仿宋" w:eastAsia="仿宋" w:cs="仿宋"/>
                <w:bCs/>
                <w:color w:val="auto"/>
                <w:sz w:val="24"/>
                <w:szCs w:val="24"/>
                <w:highlight w:val="none"/>
                <w:u w:val="none"/>
                <w:lang w:val="en-US" w:eastAsia="zh-CN"/>
              </w:rPr>
              <w:t>：</w:t>
            </w:r>
            <w:r>
              <w:rPr>
                <w:rFonts w:hint="eastAsia" w:ascii="仿宋" w:hAnsi="仿宋" w:eastAsia="仿宋" w:cs="仿宋"/>
                <w:b/>
                <w:bCs w:val="0"/>
                <w:color w:val="auto"/>
                <w:sz w:val="24"/>
                <w:szCs w:val="24"/>
                <w:highlight w:val="none"/>
                <w:u w:val="single"/>
                <w:lang w:val="en-US" w:eastAsia="zh-CN"/>
              </w:rPr>
              <w:t>建筑业</w:t>
            </w:r>
            <w:r>
              <w:rPr>
                <w:rFonts w:hint="eastAsia" w:ascii="仿宋" w:hAnsi="仿宋" w:eastAsia="仿宋" w:cs="仿宋"/>
                <w:bCs/>
                <w:color w:val="auto"/>
                <w:sz w:val="24"/>
                <w:szCs w:val="24"/>
                <w:highlight w:val="none"/>
                <w:lang w:val="en-US" w:eastAsia="zh-CN"/>
              </w:rPr>
              <w:t>。</w:t>
            </w:r>
          </w:p>
          <w:p w14:paraId="05C8AE9F">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eastAsia="zh-CN"/>
              </w:rPr>
              <w:t>提供中小企业声明函或残疾人福利性单位、监狱企业证明原件于响应文件正本内。</w:t>
            </w:r>
          </w:p>
        </w:tc>
      </w:tr>
      <w:tr w14:paraId="615B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019" w:type="dxa"/>
            <w:gridSpan w:val="4"/>
            <w:vAlign w:val="center"/>
          </w:tcPr>
          <w:p w14:paraId="394E6641">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注：以上各项评审标准，有一项不合格，即为投标被否决，不再进入后续响应性评审。</w:t>
            </w:r>
          </w:p>
        </w:tc>
      </w:tr>
      <w:tr w14:paraId="606F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703" w:type="dxa"/>
            <w:vMerge w:val="restart"/>
            <w:vAlign w:val="center"/>
          </w:tcPr>
          <w:p w14:paraId="22EF2EB3">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2.1.3</w:t>
            </w:r>
          </w:p>
        </w:tc>
        <w:tc>
          <w:tcPr>
            <w:tcW w:w="949" w:type="dxa"/>
            <w:vMerge w:val="restart"/>
            <w:vAlign w:val="center"/>
          </w:tcPr>
          <w:p w14:paraId="611D1957">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响应性评审标准</w:t>
            </w:r>
          </w:p>
        </w:tc>
        <w:tc>
          <w:tcPr>
            <w:tcW w:w="2005" w:type="dxa"/>
            <w:vAlign w:val="center"/>
          </w:tcPr>
          <w:p w14:paraId="5D296C4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响应报价</w:t>
            </w:r>
          </w:p>
        </w:tc>
        <w:tc>
          <w:tcPr>
            <w:tcW w:w="6362" w:type="dxa"/>
            <w:vAlign w:val="center"/>
          </w:tcPr>
          <w:p w14:paraId="5D234320">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的</w:t>
            </w:r>
            <w:r>
              <w:rPr>
                <w:rFonts w:hint="eastAsia" w:ascii="仿宋" w:hAnsi="仿宋" w:eastAsia="仿宋" w:cs="仿宋"/>
                <w:color w:val="auto"/>
                <w:sz w:val="24"/>
                <w:szCs w:val="24"/>
                <w:highlight w:val="none"/>
                <w:lang w:val="zh-CN"/>
              </w:rPr>
              <w:t>响应报价</w:t>
            </w:r>
            <w:r>
              <w:rPr>
                <w:rFonts w:hint="eastAsia" w:ascii="仿宋" w:hAnsi="仿宋" w:eastAsia="仿宋" w:cs="仿宋"/>
                <w:bCs/>
                <w:color w:val="auto"/>
                <w:sz w:val="24"/>
                <w:szCs w:val="24"/>
                <w:highlight w:val="none"/>
              </w:rPr>
              <w:t>不得超过最高投标限价</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不得低于成本价</w:t>
            </w:r>
            <w:r>
              <w:rPr>
                <w:rFonts w:hint="eastAsia" w:ascii="仿宋" w:hAnsi="仿宋" w:eastAsia="仿宋" w:cs="仿宋"/>
                <w:bCs/>
                <w:color w:val="auto"/>
                <w:sz w:val="24"/>
                <w:szCs w:val="24"/>
                <w:highlight w:val="none"/>
                <w:lang w:eastAsia="zh-CN"/>
              </w:rPr>
              <w:t>。</w:t>
            </w:r>
          </w:p>
        </w:tc>
      </w:tr>
      <w:tr w14:paraId="05E1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03" w:type="dxa"/>
            <w:vMerge w:val="continue"/>
            <w:vAlign w:val="center"/>
          </w:tcPr>
          <w:p w14:paraId="024A934E">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5B2E9FD6">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2005" w:type="dxa"/>
            <w:vAlign w:val="center"/>
          </w:tcPr>
          <w:p w14:paraId="55A03E5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rPr>
              <w:t>投标内容</w:t>
            </w:r>
          </w:p>
        </w:tc>
        <w:tc>
          <w:tcPr>
            <w:tcW w:w="6362" w:type="dxa"/>
            <w:vAlign w:val="center"/>
          </w:tcPr>
          <w:p w14:paraId="64570C40">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color w:val="auto"/>
                <w:sz w:val="24"/>
                <w:szCs w:val="24"/>
                <w:highlight w:val="none"/>
              </w:rPr>
              <w:t>符合竞争性磋商文件规定</w:t>
            </w:r>
            <w:r>
              <w:rPr>
                <w:rFonts w:hint="eastAsia" w:ascii="仿宋" w:hAnsi="仿宋" w:eastAsia="仿宋" w:cs="仿宋"/>
                <w:color w:val="auto"/>
                <w:sz w:val="24"/>
                <w:szCs w:val="24"/>
                <w:highlight w:val="none"/>
                <w:lang w:eastAsia="zh-CN"/>
              </w:rPr>
              <w:t>。</w:t>
            </w:r>
          </w:p>
        </w:tc>
      </w:tr>
      <w:tr w14:paraId="0338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703" w:type="dxa"/>
            <w:vMerge w:val="continue"/>
            <w:vAlign w:val="center"/>
          </w:tcPr>
          <w:p w14:paraId="421DA2F0">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3A9333DB">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2005" w:type="dxa"/>
            <w:vAlign w:val="center"/>
          </w:tcPr>
          <w:p w14:paraId="4C458E8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color w:val="auto"/>
                <w:sz w:val="24"/>
                <w:szCs w:val="24"/>
                <w:highlight w:val="none"/>
              </w:rPr>
              <w:t>合同履行期限</w:t>
            </w:r>
            <w:r>
              <w:rPr>
                <w:rFonts w:hint="eastAsia" w:ascii="仿宋" w:hAnsi="仿宋" w:eastAsia="仿宋" w:cs="仿宋"/>
                <w:color w:val="auto"/>
                <w:sz w:val="24"/>
                <w:szCs w:val="24"/>
                <w:highlight w:val="none"/>
                <w:lang w:eastAsia="zh-CN"/>
              </w:rPr>
              <w:t>（计划工期）</w:t>
            </w:r>
          </w:p>
        </w:tc>
        <w:tc>
          <w:tcPr>
            <w:tcW w:w="6362" w:type="dxa"/>
            <w:vAlign w:val="center"/>
          </w:tcPr>
          <w:p w14:paraId="441D76C0">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u w:val="none"/>
                <w:lang w:eastAsia="zh-CN"/>
              </w:rPr>
              <w:t>自合同签订之日起至2025年11月15日内完工（具体以甲乙双方实际签订合同为准）。</w:t>
            </w:r>
          </w:p>
        </w:tc>
      </w:tr>
      <w:tr w14:paraId="7BE1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703" w:type="dxa"/>
            <w:vMerge w:val="continue"/>
            <w:vAlign w:val="center"/>
          </w:tcPr>
          <w:p w14:paraId="66D05126">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50BFFA9F">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2005" w:type="dxa"/>
            <w:vAlign w:val="center"/>
          </w:tcPr>
          <w:p w14:paraId="5F1AE7B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工程质量</w:t>
            </w:r>
          </w:p>
        </w:tc>
        <w:tc>
          <w:tcPr>
            <w:tcW w:w="6362" w:type="dxa"/>
            <w:vAlign w:val="center"/>
          </w:tcPr>
          <w:p w14:paraId="4CB4A726">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rPr>
              <w:t>符合国家现行工程施工质量验收统一标准及相关标准的合格工程。</w:t>
            </w:r>
          </w:p>
        </w:tc>
      </w:tr>
      <w:tr w14:paraId="11A1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03" w:type="dxa"/>
            <w:vMerge w:val="continue"/>
            <w:vAlign w:val="center"/>
          </w:tcPr>
          <w:p w14:paraId="7E21E9B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3546A39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2005" w:type="dxa"/>
            <w:vAlign w:val="center"/>
          </w:tcPr>
          <w:p w14:paraId="79DA4C5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rPr>
              <w:t>投标有效期</w:t>
            </w:r>
          </w:p>
        </w:tc>
        <w:tc>
          <w:tcPr>
            <w:tcW w:w="6362" w:type="dxa"/>
            <w:vAlign w:val="center"/>
          </w:tcPr>
          <w:p w14:paraId="63EF9543">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90天</w:t>
            </w:r>
            <w:r>
              <w:rPr>
                <w:rFonts w:hint="eastAsia" w:ascii="仿宋" w:hAnsi="仿宋" w:eastAsia="仿宋" w:cs="仿宋"/>
                <w:bCs/>
                <w:color w:val="auto"/>
                <w:sz w:val="24"/>
                <w:szCs w:val="24"/>
                <w:highlight w:val="none"/>
                <w:lang w:eastAsia="zh-CN"/>
              </w:rPr>
              <w:t>。</w:t>
            </w:r>
          </w:p>
        </w:tc>
      </w:tr>
      <w:tr w14:paraId="4B51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03" w:type="dxa"/>
            <w:vMerge w:val="continue"/>
            <w:vAlign w:val="center"/>
          </w:tcPr>
          <w:p w14:paraId="3E34B05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3711178F">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2005" w:type="dxa"/>
            <w:vAlign w:val="center"/>
          </w:tcPr>
          <w:p w14:paraId="143242F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rPr>
              <w:t>磋商保证金</w:t>
            </w:r>
          </w:p>
        </w:tc>
        <w:tc>
          <w:tcPr>
            <w:tcW w:w="6362" w:type="dxa"/>
            <w:vAlign w:val="center"/>
          </w:tcPr>
          <w:p w14:paraId="6803BA6C">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color w:val="auto"/>
                <w:sz w:val="24"/>
                <w:szCs w:val="24"/>
                <w:highlight w:val="none"/>
              </w:rPr>
              <w:t>符合竞争性磋商文件规定</w:t>
            </w:r>
            <w:r>
              <w:rPr>
                <w:rFonts w:hint="eastAsia" w:ascii="仿宋" w:hAnsi="仿宋" w:eastAsia="仿宋" w:cs="仿宋"/>
                <w:color w:val="auto"/>
                <w:sz w:val="24"/>
                <w:szCs w:val="24"/>
                <w:highlight w:val="none"/>
                <w:lang w:eastAsia="zh-CN"/>
              </w:rPr>
              <w:t>。</w:t>
            </w:r>
          </w:p>
        </w:tc>
      </w:tr>
      <w:tr w14:paraId="46C8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03" w:type="dxa"/>
            <w:vMerge w:val="continue"/>
            <w:vAlign w:val="center"/>
          </w:tcPr>
          <w:p w14:paraId="617BF93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6B274B66">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2005" w:type="dxa"/>
            <w:vAlign w:val="center"/>
          </w:tcPr>
          <w:p w14:paraId="3AEFEC9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rPr>
              <w:t>权利义务</w:t>
            </w:r>
          </w:p>
        </w:tc>
        <w:tc>
          <w:tcPr>
            <w:tcW w:w="6362" w:type="dxa"/>
            <w:vAlign w:val="center"/>
          </w:tcPr>
          <w:p w14:paraId="2F8BAF32">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color w:val="auto"/>
                <w:sz w:val="24"/>
                <w:szCs w:val="24"/>
                <w:highlight w:val="none"/>
              </w:rPr>
              <w:t>符合竞争性磋商文件规定</w:t>
            </w:r>
            <w:r>
              <w:rPr>
                <w:rFonts w:hint="eastAsia" w:ascii="仿宋" w:hAnsi="仿宋" w:eastAsia="仿宋" w:cs="仿宋"/>
                <w:color w:val="auto"/>
                <w:sz w:val="24"/>
                <w:szCs w:val="24"/>
                <w:highlight w:val="none"/>
                <w:lang w:eastAsia="zh-CN"/>
              </w:rPr>
              <w:t>。</w:t>
            </w:r>
          </w:p>
        </w:tc>
      </w:tr>
      <w:tr w14:paraId="08CF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703" w:type="dxa"/>
            <w:vMerge w:val="continue"/>
            <w:vAlign w:val="center"/>
          </w:tcPr>
          <w:p w14:paraId="17AEC4E9">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6AE315F8">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2005" w:type="dxa"/>
            <w:vAlign w:val="center"/>
          </w:tcPr>
          <w:p w14:paraId="6DF1F43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rPr>
              <w:t>已标价工程量清单</w:t>
            </w:r>
          </w:p>
        </w:tc>
        <w:tc>
          <w:tcPr>
            <w:tcW w:w="6362" w:type="dxa"/>
            <w:vAlign w:val="center"/>
          </w:tcPr>
          <w:p w14:paraId="68A538B7">
            <w:pPr>
              <w:keepNext w:val="0"/>
              <w:keepLines w:val="0"/>
              <w:widowControl/>
              <w:suppressLineNumbers w:val="0"/>
              <w:jc w:val="left"/>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color w:val="auto"/>
                <w:kern w:val="0"/>
                <w:sz w:val="24"/>
                <w:szCs w:val="24"/>
                <w:highlight w:val="none"/>
                <w:lang w:val="en-US" w:eastAsia="zh-CN" w:bidi="ar"/>
              </w:rPr>
              <w:t>符合竞争性磋商文件“工程量清单”给出的范围及数量、编号一致，注册造价师签字并加盖注册造价师执业印章。</w:t>
            </w:r>
            <w:r>
              <w:rPr>
                <w:rFonts w:hint="eastAsia" w:ascii="仿宋" w:hAnsi="仿宋" w:eastAsia="仿宋" w:cs="仿宋"/>
                <w:b w:val="0"/>
                <w:bCs w:val="0"/>
                <w:color w:val="auto"/>
                <w:kern w:val="0"/>
                <w:sz w:val="24"/>
                <w:szCs w:val="24"/>
                <w:highlight w:val="none"/>
                <w:u w:val="none"/>
                <w:lang w:val="en-US" w:eastAsia="zh-CN" w:bidi="ar"/>
              </w:rPr>
              <w:t>造价人员非响应单位的，响应文件中需附业务委托合同复印件并加盖公章</w:t>
            </w:r>
            <w:r>
              <w:rPr>
                <w:rFonts w:hint="eastAsia" w:ascii="仿宋" w:hAnsi="仿宋" w:eastAsia="仿宋" w:cs="仿宋"/>
                <w:b w:val="0"/>
                <w:bCs w:val="0"/>
                <w:color w:val="auto"/>
                <w:kern w:val="0"/>
                <w:sz w:val="24"/>
                <w:szCs w:val="24"/>
                <w:highlight w:val="none"/>
                <w:u w:val="none"/>
                <w:lang w:val="zh-CN" w:eastAsia="zh-CN" w:bidi="ar"/>
              </w:rPr>
              <w:t>。</w:t>
            </w:r>
          </w:p>
        </w:tc>
      </w:tr>
      <w:tr w14:paraId="497C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0019" w:type="dxa"/>
            <w:gridSpan w:val="4"/>
            <w:vAlign w:val="center"/>
          </w:tcPr>
          <w:p w14:paraId="03E51F9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注：以上各项评审标准，有一项不合格，即为投标被否决，不再进入后续详细评审。</w:t>
            </w:r>
          </w:p>
        </w:tc>
      </w:tr>
    </w:tbl>
    <w:p w14:paraId="627A5485">
      <w:pPr>
        <w:pStyle w:val="28"/>
        <w:adjustRightInd w:val="0"/>
        <w:snapToGrid w:val="0"/>
        <w:spacing w:before="0" w:after="0" w:line="360" w:lineRule="auto"/>
        <w:outlineLvl w:val="1"/>
        <w:rPr>
          <w:rFonts w:hint="eastAsia" w:ascii="仿宋" w:hAnsi="仿宋" w:eastAsia="仿宋" w:cs="仿宋"/>
          <w:color w:val="auto"/>
          <w:sz w:val="24"/>
          <w:szCs w:val="24"/>
          <w:highlight w:val="none"/>
          <w:lang w:val="zh-CN"/>
        </w:rPr>
      </w:pPr>
      <w:r>
        <w:rPr>
          <w:rFonts w:hint="eastAsia" w:ascii="仿宋" w:hAnsi="仿宋" w:eastAsia="仿宋" w:cs="仿宋"/>
          <w:color w:val="auto"/>
          <w:szCs w:val="18"/>
          <w:highlight w:val="none"/>
          <w:lang w:val="zh-CN"/>
        </w:rPr>
        <w:br w:type="page"/>
      </w:r>
      <w:bookmarkStart w:id="57" w:name="_Toc238524660"/>
      <w:bookmarkStart w:id="58" w:name="_Toc2308"/>
      <w:bookmarkStart w:id="59" w:name="_Toc28397"/>
      <w:bookmarkStart w:id="60" w:name="_Toc382396562"/>
      <w:bookmarkStart w:id="61" w:name="_Toc2620"/>
      <w:r>
        <w:rPr>
          <w:rFonts w:hint="eastAsia" w:ascii="仿宋" w:hAnsi="仿宋" w:eastAsia="仿宋" w:cs="仿宋"/>
          <w:color w:val="auto"/>
          <w:sz w:val="24"/>
          <w:szCs w:val="24"/>
          <w:highlight w:val="none"/>
          <w:lang w:val="zh-CN"/>
        </w:rPr>
        <w:t>评标办法前附表（二）</w:t>
      </w:r>
      <w:bookmarkEnd w:id="57"/>
      <w:bookmarkEnd w:id="58"/>
      <w:bookmarkEnd w:id="59"/>
      <w:bookmarkEnd w:id="60"/>
      <w:bookmarkEnd w:id="61"/>
    </w:p>
    <w:tbl>
      <w:tblPr>
        <w:tblStyle w:val="31"/>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538"/>
        <w:gridCol w:w="6956"/>
        <w:gridCol w:w="822"/>
      </w:tblGrid>
      <w:tr w14:paraId="2DDF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823" w:type="dxa"/>
            <w:noWrap w:val="0"/>
            <w:vAlign w:val="center"/>
          </w:tcPr>
          <w:p w14:paraId="5E7CEF64">
            <w:pPr>
              <w:autoSpaceDE w:val="0"/>
              <w:autoSpaceDN w:val="0"/>
              <w:adjustRightInd w:val="0"/>
              <w:spacing w:line="240" w:lineRule="auto"/>
              <w:jc w:val="center"/>
              <w:rPr>
                <w:rFonts w:hint="eastAsia" w:ascii="仿宋" w:hAnsi="仿宋" w:eastAsia="仿宋" w:cs="仿宋"/>
                <w:b/>
                <w:bCs w:val="0"/>
                <w:color w:val="auto"/>
                <w:sz w:val="24"/>
                <w:szCs w:val="24"/>
                <w:highlight w:val="none"/>
                <w:lang w:val="zh-CN"/>
              </w:rPr>
            </w:pPr>
            <w:bookmarkStart w:id="62" w:name="_Toc179632618"/>
            <w:bookmarkStart w:id="63" w:name="_Toc144974567"/>
            <w:bookmarkStart w:id="64" w:name="_Toc152042377"/>
            <w:bookmarkStart w:id="65" w:name="_Toc152045600"/>
            <w:bookmarkStart w:id="66" w:name="_Toc504654783"/>
            <w:r>
              <w:rPr>
                <w:rFonts w:hint="eastAsia" w:ascii="仿宋" w:hAnsi="仿宋" w:eastAsia="仿宋" w:cs="仿宋"/>
                <w:b/>
                <w:bCs w:val="0"/>
                <w:color w:val="auto"/>
                <w:sz w:val="24"/>
                <w:szCs w:val="24"/>
                <w:highlight w:val="none"/>
                <w:lang w:val="zh-CN"/>
              </w:rPr>
              <w:t>序号</w:t>
            </w:r>
          </w:p>
        </w:tc>
        <w:tc>
          <w:tcPr>
            <w:tcW w:w="1538" w:type="dxa"/>
            <w:noWrap w:val="0"/>
            <w:vAlign w:val="center"/>
          </w:tcPr>
          <w:p w14:paraId="6613A2DC">
            <w:pPr>
              <w:autoSpaceDE w:val="0"/>
              <w:autoSpaceDN w:val="0"/>
              <w:adjustRightInd w:val="0"/>
              <w:spacing w:line="240" w:lineRule="auto"/>
              <w:jc w:val="center"/>
              <w:rPr>
                <w:rFonts w:hint="eastAsia" w:ascii="仿宋" w:hAnsi="仿宋" w:eastAsia="仿宋" w:cs="仿宋"/>
                <w:b/>
                <w:bCs w:val="0"/>
                <w:color w:val="auto"/>
                <w:sz w:val="24"/>
                <w:szCs w:val="24"/>
                <w:highlight w:val="none"/>
                <w:lang w:val="zh-CN"/>
              </w:rPr>
            </w:pPr>
            <w:r>
              <w:rPr>
                <w:rFonts w:hint="eastAsia" w:ascii="仿宋" w:hAnsi="仿宋" w:eastAsia="仿宋" w:cs="仿宋"/>
                <w:b/>
                <w:bCs w:val="0"/>
                <w:color w:val="auto"/>
                <w:sz w:val="24"/>
                <w:szCs w:val="24"/>
                <w:highlight w:val="none"/>
                <w:lang w:val="zh-CN"/>
              </w:rPr>
              <w:t>评审因素</w:t>
            </w:r>
          </w:p>
        </w:tc>
        <w:tc>
          <w:tcPr>
            <w:tcW w:w="7778" w:type="dxa"/>
            <w:gridSpan w:val="2"/>
            <w:noWrap w:val="0"/>
            <w:vAlign w:val="center"/>
          </w:tcPr>
          <w:p w14:paraId="1D3E2BA3">
            <w:pPr>
              <w:autoSpaceDE w:val="0"/>
              <w:autoSpaceDN w:val="0"/>
              <w:adjustRightInd w:val="0"/>
              <w:spacing w:line="240" w:lineRule="auto"/>
              <w:jc w:val="center"/>
              <w:rPr>
                <w:rFonts w:hint="eastAsia" w:ascii="仿宋" w:hAnsi="仿宋" w:eastAsia="仿宋" w:cs="仿宋"/>
                <w:b/>
                <w:bCs w:val="0"/>
                <w:color w:val="auto"/>
                <w:sz w:val="24"/>
                <w:szCs w:val="24"/>
                <w:highlight w:val="none"/>
                <w:lang w:val="zh-CN"/>
              </w:rPr>
            </w:pPr>
            <w:r>
              <w:rPr>
                <w:rFonts w:hint="eastAsia" w:ascii="仿宋" w:hAnsi="仿宋" w:eastAsia="仿宋" w:cs="仿宋"/>
                <w:b/>
                <w:bCs w:val="0"/>
                <w:color w:val="auto"/>
                <w:sz w:val="24"/>
                <w:szCs w:val="24"/>
                <w:highlight w:val="none"/>
                <w:lang w:val="zh-CN"/>
              </w:rPr>
              <w:t>评审标准</w:t>
            </w:r>
          </w:p>
        </w:tc>
      </w:tr>
      <w:tr w14:paraId="561C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823" w:type="dxa"/>
            <w:noWrap w:val="0"/>
            <w:vAlign w:val="center"/>
          </w:tcPr>
          <w:p w14:paraId="34A6F26E">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1</w:t>
            </w:r>
          </w:p>
          <w:p w14:paraId="40EB28E2">
            <w:pPr>
              <w:autoSpaceDE w:val="0"/>
              <w:autoSpaceDN w:val="0"/>
              <w:adjustRightInd w:val="0"/>
              <w:spacing w:line="240" w:lineRule="auto"/>
              <w:ind w:leftChars="-135" w:hanging="324" w:hangingChars="135"/>
              <w:jc w:val="center"/>
              <w:rPr>
                <w:rFonts w:hint="eastAsia" w:ascii="仿宋" w:hAnsi="仿宋" w:eastAsia="仿宋" w:cs="仿宋"/>
                <w:bCs/>
                <w:color w:val="auto"/>
                <w:sz w:val="24"/>
                <w:szCs w:val="24"/>
                <w:highlight w:val="none"/>
                <w:lang w:val="zh-CN"/>
              </w:rPr>
            </w:pPr>
          </w:p>
        </w:tc>
        <w:tc>
          <w:tcPr>
            <w:tcW w:w="1538" w:type="dxa"/>
            <w:noWrap w:val="0"/>
            <w:vAlign w:val="center"/>
          </w:tcPr>
          <w:p w14:paraId="1BD42423">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分值构成</w:t>
            </w:r>
          </w:p>
          <w:p w14:paraId="7EE2D39A">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(总分100分)</w:t>
            </w:r>
          </w:p>
        </w:tc>
        <w:tc>
          <w:tcPr>
            <w:tcW w:w="7778" w:type="dxa"/>
            <w:gridSpan w:val="2"/>
            <w:noWrap w:val="0"/>
            <w:vAlign w:val="center"/>
          </w:tcPr>
          <w:p w14:paraId="4C030E35">
            <w:pPr>
              <w:autoSpaceDE w:val="0"/>
              <w:autoSpaceDN w:val="0"/>
              <w:adjustRightInd w:val="0"/>
              <w:spacing w:line="240" w:lineRule="auto"/>
              <w:rPr>
                <w:rFonts w:hint="eastAsia" w:ascii="仿宋" w:hAnsi="仿宋" w:eastAsia="仿宋" w:cs="仿宋"/>
                <w:bCs/>
                <w:color w:val="auto"/>
                <w:sz w:val="24"/>
                <w:szCs w:val="24"/>
                <w:highlight w:val="none"/>
                <w:lang w:val="zh-CN"/>
              </w:rPr>
            </w:pPr>
            <w:r>
              <w:rPr>
                <w:rFonts w:hint="eastAsia" w:ascii="仿宋" w:hAnsi="仿宋" w:eastAsia="仿宋" w:cs="仿宋"/>
                <w:bCs/>
                <w:color w:val="auto"/>
                <w:spacing w:val="-6"/>
                <w:sz w:val="24"/>
                <w:szCs w:val="24"/>
                <w:highlight w:val="none"/>
              </w:rPr>
              <w:t>施工组织设计:</w:t>
            </w:r>
            <w:r>
              <w:rPr>
                <w:rFonts w:hint="eastAsia" w:ascii="仿宋" w:hAnsi="仿宋" w:eastAsia="仿宋" w:cs="仿宋"/>
                <w:bCs/>
                <w:color w:val="auto"/>
                <w:spacing w:val="-6"/>
                <w:sz w:val="24"/>
                <w:szCs w:val="24"/>
                <w:highlight w:val="none"/>
                <w:lang w:val="en-US" w:eastAsia="zh-CN"/>
              </w:rPr>
              <w:t>60</w:t>
            </w:r>
            <w:r>
              <w:rPr>
                <w:rFonts w:hint="eastAsia" w:ascii="仿宋" w:hAnsi="仿宋" w:eastAsia="仿宋" w:cs="仿宋"/>
                <w:bCs/>
                <w:color w:val="auto"/>
                <w:spacing w:val="-6"/>
                <w:sz w:val="24"/>
                <w:szCs w:val="24"/>
                <w:highlight w:val="none"/>
              </w:rPr>
              <w:t>分       项目管理机构：</w:t>
            </w:r>
            <w:r>
              <w:rPr>
                <w:rFonts w:hint="eastAsia" w:ascii="仿宋" w:hAnsi="仿宋" w:eastAsia="仿宋" w:cs="仿宋"/>
                <w:bCs/>
                <w:color w:val="auto"/>
                <w:spacing w:val="-6"/>
                <w:sz w:val="24"/>
                <w:szCs w:val="24"/>
                <w:highlight w:val="none"/>
                <w:lang w:val="en-US" w:eastAsia="zh-CN"/>
              </w:rPr>
              <w:t>3</w:t>
            </w:r>
            <w:r>
              <w:rPr>
                <w:rFonts w:hint="eastAsia" w:ascii="仿宋" w:hAnsi="仿宋" w:eastAsia="仿宋" w:cs="仿宋"/>
                <w:bCs/>
                <w:color w:val="auto"/>
                <w:spacing w:val="-6"/>
                <w:sz w:val="24"/>
                <w:szCs w:val="24"/>
                <w:highlight w:val="none"/>
              </w:rPr>
              <w:t>分</w:t>
            </w:r>
            <w:r>
              <w:rPr>
                <w:rFonts w:hint="eastAsia" w:ascii="仿宋" w:hAnsi="仿宋" w:eastAsia="仿宋" w:cs="仿宋"/>
                <w:bCs/>
                <w:color w:val="auto"/>
                <w:spacing w:val="-6"/>
                <w:sz w:val="24"/>
                <w:szCs w:val="24"/>
                <w:highlight w:val="none"/>
              </w:rPr>
              <w:br w:type="textWrapping"/>
            </w:r>
            <w:r>
              <w:rPr>
                <w:rFonts w:hint="eastAsia" w:ascii="仿宋" w:hAnsi="仿宋" w:eastAsia="仿宋" w:cs="仿宋"/>
                <w:bCs/>
                <w:color w:val="auto"/>
                <w:spacing w:val="-6"/>
                <w:sz w:val="24"/>
                <w:szCs w:val="24"/>
                <w:highlight w:val="none"/>
              </w:rPr>
              <w:t>投标报价：</w:t>
            </w:r>
            <w:r>
              <w:rPr>
                <w:rFonts w:hint="eastAsia" w:ascii="仿宋" w:hAnsi="仿宋" w:eastAsia="仿宋" w:cs="仿宋"/>
                <w:bCs/>
                <w:color w:val="auto"/>
                <w:spacing w:val="-6"/>
                <w:sz w:val="24"/>
                <w:szCs w:val="24"/>
                <w:highlight w:val="none"/>
                <w:lang w:val="en-US" w:eastAsia="zh-CN"/>
              </w:rPr>
              <w:t>30</w:t>
            </w:r>
            <w:r>
              <w:rPr>
                <w:rFonts w:hint="eastAsia" w:ascii="仿宋" w:hAnsi="仿宋" w:eastAsia="仿宋" w:cs="仿宋"/>
                <w:bCs/>
                <w:color w:val="auto"/>
                <w:spacing w:val="-6"/>
                <w:sz w:val="24"/>
                <w:szCs w:val="24"/>
                <w:highlight w:val="none"/>
              </w:rPr>
              <w:t>分          其他因素：</w:t>
            </w:r>
            <w:r>
              <w:rPr>
                <w:rFonts w:hint="eastAsia" w:ascii="仿宋" w:hAnsi="仿宋" w:eastAsia="仿宋" w:cs="仿宋"/>
                <w:bCs/>
                <w:color w:val="auto"/>
                <w:spacing w:val="-6"/>
                <w:sz w:val="24"/>
                <w:szCs w:val="24"/>
                <w:highlight w:val="none"/>
                <w:lang w:val="en-US" w:eastAsia="zh-CN"/>
              </w:rPr>
              <w:t>7</w:t>
            </w:r>
            <w:r>
              <w:rPr>
                <w:rFonts w:hint="eastAsia" w:ascii="仿宋" w:hAnsi="仿宋" w:eastAsia="仿宋" w:cs="仿宋"/>
                <w:bCs/>
                <w:color w:val="auto"/>
                <w:spacing w:val="-6"/>
                <w:sz w:val="24"/>
                <w:szCs w:val="24"/>
                <w:highlight w:val="none"/>
              </w:rPr>
              <w:t>分</w:t>
            </w:r>
          </w:p>
        </w:tc>
      </w:tr>
      <w:tr w14:paraId="5EC0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jc w:val="center"/>
        </w:trPr>
        <w:tc>
          <w:tcPr>
            <w:tcW w:w="823" w:type="dxa"/>
            <w:noWrap w:val="0"/>
            <w:vAlign w:val="center"/>
          </w:tcPr>
          <w:p w14:paraId="4AD42734">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2</w:t>
            </w:r>
          </w:p>
        </w:tc>
        <w:tc>
          <w:tcPr>
            <w:tcW w:w="1538" w:type="dxa"/>
            <w:noWrap w:val="0"/>
            <w:vAlign w:val="center"/>
          </w:tcPr>
          <w:p w14:paraId="60B7C6F7">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报价得分计算方法</w:t>
            </w:r>
          </w:p>
        </w:tc>
        <w:tc>
          <w:tcPr>
            <w:tcW w:w="7778" w:type="dxa"/>
            <w:gridSpan w:val="2"/>
            <w:noWrap w:val="0"/>
            <w:vAlign w:val="center"/>
          </w:tcPr>
          <w:p w14:paraId="59BC3D96">
            <w:pPr>
              <w:spacing w:line="240" w:lineRule="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价格分统一采用低价优先法计算，即满足磋商文件要求且最后报价最低的供应商的价格为磋商基准价，其价格分为满分。其他供应商的价格分统一按照下列公式计算：</w:t>
            </w:r>
          </w:p>
          <w:p w14:paraId="55C08701">
            <w:pPr>
              <w:spacing w:line="240" w:lineRule="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磋商报价得分=（磋商基准价/最后磋商报价）×价格权值</w:t>
            </w:r>
            <w:r>
              <w:rPr>
                <w:rFonts w:hint="eastAsia" w:ascii="仿宋" w:hAnsi="仿宋" w:eastAsia="仿宋" w:cs="仿宋"/>
                <w:bCs/>
                <w:color w:val="auto"/>
                <w:spacing w:val="-6"/>
                <w:sz w:val="24"/>
                <w:szCs w:val="24"/>
                <w:highlight w:val="none"/>
                <w:lang w:val="en-US" w:eastAsia="zh-CN"/>
              </w:rPr>
              <w:t>30</w:t>
            </w:r>
            <w:r>
              <w:rPr>
                <w:rFonts w:hint="eastAsia" w:ascii="仿宋" w:hAnsi="仿宋" w:eastAsia="仿宋" w:cs="仿宋"/>
                <w:bCs/>
                <w:color w:val="auto"/>
                <w:spacing w:val="-6"/>
                <w:sz w:val="24"/>
                <w:szCs w:val="24"/>
                <w:highlight w:val="none"/>
              </w:rPr>
              <w:t>%×100</w:t>
            </w:r>
          </w:p>
        </w:tc>
      </w:tr>
      <w:tr w14:paraId="7757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361" w:type="dxa"/>
            <w:gridSpan w:val="2"/>
            <w:noWrap w:val="0"/>
            <w:vAlign w:val="center"/>
          </w:tcPr>
          <w:p w14:paraId="0FAF3B58">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评分因素</w:t>
            </w:r>
          </w:p>
        </w:tc>
        <w:tc>
          <w:tcPr>
            <w:tcW w:w="6956" w:type="dxa"/>
            <w:noWrap w:val="0"/>
            <w:vAlign w:val="center"/>
          </w:tcPr>
          <w:p w14:paraId="60EA6D4D">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评分标准</w:t>
            </w:r>
          </w:p>
        </w:tc>
        <w:tc>
          <w:tcPr>
            <w:tcW w:w="822" w:type="dxa"/>
            <w:noWrap w:val="0"/>
            <w:vAlign w:val="top"/>
          </w:tcPr>
          <w:p w14:paraId="348EF9A8">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得分</w:t>
            </w:r>
          </w:p>
        </w:tc>
      </w:tr>
      <w:tr w14:paraId="0E47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823" w:type="dxa"/>
            <w:vMerge w:val="restart"/>
            <w:noWrap w:val="0"/>
            <w:vAlign w:val="center"/>
          </w:tcPr>
          <w:p w14:paraId="4501C479">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（1）施工组织设计</w:t>
            </w:r>
          </w:p>
          <w:p w14:paraId="78D5222A">
            <w:pPr>
              <w:autoSpaceDE w:val="0"/>
              <w:autoSpaceDN w:val="0"/>
              <w:adjustRightIn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60</w:t>
            </w:r>
            <w:r>
              <w:rPr>
                <w:rFonts w:hint="eastAsia" w:ascii="仿宋" w:hAnsi="仿宋" w:eastAsia="仿宋" w:cs="仿宋"/>
                <w:bCs/>
                <w:color w:val="auto"/>
                <w:sz w:val="24"/>
                <w:szCs w:val="24"/>
                <w:highlight w:val="none"/>
              </w:rPr>
              <w:t>分</w:t>
            </w:r>
          </w:p>
        </w:tc>
        <w:tc>
          <w:tcPr>
            <w:tcW w:w="1538" w:type="dxa"/>
            <w:noWrap w:val="0"/>
            <w:vAlign w:val="center"/>
          </w:tcPr>
          <w:p w14:paraId="32DBD60D">
            <w:pPr>
              <w:pStyle w:val="61"/>
              <w:keepNext w:val="0"/>
              <w:keepLines/>
              <w:pageBreakBefore w:val="0"/>
              <w:kinsoku/>
              <w:wordWrap w:val="0"/>
              <w:overflowPunct/>
              <w:topLinePunct w:val="0"/>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内容完整性和编制水平</w:t>
            </w:r>
          </w:p>
        </w:tc>
        <w:tc>
          <w:tcPr>
            <w:tcW w:w="6956" w:type="dxa"/>
            <w:noWrap w:val="0"/>
            <w:vAlign w:val="center"/>
          </w:tcPr>
          <w:p w14:paraId="67F3C586">
            <w:pP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①项目概况；②总体项目实施计划；③工程项目编制原则规范标准；</w:t>
            </w:r>
          </w:p>
          <w:p w14:paraId="4FFDEDD9">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1、以上三项每提供一小项内容适用于本项目得1分，满分3分。未提供方案不得分。</w:t>
            </w:r>
          </w:p>
          <w:p w14:paraId="2080ABF6">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2、每有一项方案存在一定缺陷的，扣0.5分；</w:t>
            </w:r>
          </w:p>
          <w:p w14:paraId="3CF79B22">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注:内容存在缺陷是指：①方案生搬硬套，与实际情况明显不符；②或存在与项目明显无关的文字内容；③或内容不适用项目的实际情况；④或描述的内容混乱，重点不突出；⑤或内容缺失不完善，可操作性较差；⑥或凭空编造，内容矛盾，前后逻辑错误；）</w:t>
            </w:r>
          </w:p>
          <w:p w14:paraId="02B8CF06">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根据供应商的具体响应内容，进一步评审：</w:t>
            </w:r>
          </w:p>
          <w:p w14:paraId="5B6BBC52">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方案思路基本清晰、合理，基本满足施工要求的加4分；</w:t>
            </w:r>
          </w:p>
          <w:p w14:paraId="60E3C628">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方案思路一般清晰、合理，施工要求一般的加3分；</w:t>
            </w:r>
          </w:p>
          <w:p w14:paraId="7C1C4A99">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相对较明确、合理、可行的加2分；</w:t>
            </w:r>
          </w:p>
          <w:p w14:paraId="0602E400">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整体方案基本满足施工要求的加1分；</w:t>
            </w:r>
          </w:p>
          <w:p w14:paraId="69B53F1A">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kern w:val="2"/>
                <w:sz w:val="24"/>
                <w:szCs w:val="24"/>
                <w:highlight w:val="none"/>
                <w:lang w:val="en-US" w:eastAsia="zh-CN" w:bidi="ar-SA"/>
              </w:rPr>
              <w:t>备注：未提供响应内容的本项不得分，评价为不得分的需要评委提供说明。</w:t>
            </w:r>
          </w:p>
        </w:tc>
        <w:tc>
          <w:tcPr>
            <w:tcW w:w="822" w:type="dxa"/>
            <w:noWrap w:val="0"/>
            <w:vAlign w:val="center"/>
          </w:tcPr>
          <w:p w14:paraId="20EE5E6B">
            <w:pPr>
              <w:keepNext w:val="0"/>
              <w:keepLines/>
              <w:pageBreakBefore w:val="0"/>
              <w:kinsoku/>
              <w:wordWrap w:val="0"/>
              <w:overflowPunct/>
              <w:topLinePunct w:val="0"/>
              <w:bidi w:val="0"/>
              <w:adjustRightInd/>
              <w:snapToGrid/>
              <w:spacing w:line="240" w:lineRule="auto"/>
              <w:ind w:left="0" w:leftChars="0" w:right="0" w:right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7</w:t>
            </w:r>
          </w:p>
        </w:tc>
      </w:tr>
      <w:tr w14:paraId="6E18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823" w:type="dxa"/>
            <w:vMerge w:val="continue"/>
            <w:noWrap w:val="0"/>
            <w:vAlign w:val="center"/>
          </w:tcPr>
          <w:p w14:paraId="39D889A0">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p>
        </w:tc>
        <w:tc>
          <w:tcPr>
            <w:tcW w:w="1538" w:type="dxa"/>
            <w:noWrap w:val="0"/>
            <w:vAlign w:val="center"/>
          </w:tcPr>
          <w:p w14:paraId="498F3F1B">
            <w:pPr>
              <w:pStyle w:val="61"/>
              <w:keepNext w:val="0"/>
              <w:keepLines/>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color w:val="auto"/>
                <w:sz w:val="24"/>
                <w:szCs w:val="24"/>
                <w:highlight w:val="none"/>
              </w:rPr>
              <w:t>施工方案与技术措施</w:t>
            </w:r>
          </w:p>
        </w:tc>
        <w:tc>
          <w:tcPr>
            <w:tcW w:w="6956" w:type="dxa"/>
            <w:noWrap w:val="0"/>
            <w:vAlign w:val="center"/>
          </w:tcPr>
          <w:p w14:paraId="2902B8B2">
            <w:pPr>
              <w:pStyle w:val="61"/>
              <w:keepNext w:val="0"/>
              <w:keepLines/>
              <w:pageBreakBefore w:val="0"/>
              <w:widowControl w:val="0"/>
              <w:numPr>
                <w:ilvl w:val="0"/>
                <w:numId w:val="0"/>
              </w:numPr>
              <w:kinsoku/>
              <w:wordWrap w:val="0"/>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①针对工程的重点和难点，进行施工安排并简述主要管理和技术措施。</w:t>
            </w:r>
          </w:p>
          <w:p w14:paraId="4704708F">
            <w:pPr>
              <w:pStyle w:val="61"/>
              <w:keepNext w:val="0"/>
              <w:keepLines/>
              <w:pageBreakBefore w:val="0"/>
              <w:widowControl w:val="0"/>
              <w:numPr>
                <w:ilvl w:val="0"/>
                <w:numId w:val="0"/>
              </w:numPr>
              <w:kinsoku/>
              <w:wordWrap w:val="0"/>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②根据分部(分项)工程的规模、特点、复杂程度、目标控制要求设置项目管理机构，配备各种专业人员，完善项目管理网络，建立健全岗位责任制。</w:t>
            </w:r>
          </w:p>
          <w:p w14:paraId="16FF0CE4">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1、以上二项每提供一小项内容适用于本项目得1分，满分2分。未提供方案不得分。</w:t>
            </w:r>
          </w:p>
          <w:p w14:paraId="178B39E0">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2、每有一项方案存在一定缺陷的，扣0.5分；</w:t>
            </w:r>
          </w:p>
          <w:p w14:paraId="2C0F35BE">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注:内容存在缺陷是指：①方案生搬硬套，与实际情况明显不符；②或存在与项目明显无关的文字内容；③或内容不适用项目的实际情况；④或描述的内容混乱，重点不突出；⑤或内容缺失不完善，可操作性较差；⑥或凭空编造，内容矛盾，前后逻辑错误；）</w:t>
            </w:r>
          </w:p>
          <w:p w14:paraId="581D26B9">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根据供应商的具体响应内容，进一步评审：</w:t>
            </w:r>
          </w:p>
          <w:p w14:paraId="25255449">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方案思路基本清晰、合理，基本满足施工要求的加5分；</w:t>
            </w:r>
          </w:p>
          <w:p w14:paraId="1F23E0B2">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方案思路一般清晰、合理，施工要求一般的加3分；</w:t>
            </w:r>
          </w:p>
          <w:p w14:paraId="46E7C836">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相对较明确、合理、可行的加2分；</w:t>
            </w:r>
          </w:p>
          <w:p w14:paraId="79EB6B4B">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整体方案基本满足施工要求的加1分；</w:t>
            </w:r>
          </w:p>
          <w:p w14:paraId="0684AA48">
            <w:pPr>
              <w:pStyle w:val="61"/>
              <w:keepNext w:val="0"/>
              <w:keepLines/>
              <w:pageBreakBefore w:val="0"/>
              <w:widowControl w:val="0"/>
              <w:numPr>
                <w:ilvl w:val="0"/>
                <w:numId w:val="0"/>
              </w:numPr>
              <w:kinsoku/>
              <w:wordWrap w:val="0"/>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kern w:val="2"/>
                <w:sz w:val="24"/>
                <w:szCs w:val="24"/>
                <w:highlight w:val="none"/>
                <w:lang w:val="en-US" w:eastAsia="zh-CN" w:bidi="ar-SA"/>
              </w:rPr>
              <w:t>备注：未提供响应内容的本项不得分，评价为不得分的需要评委提供说明。</w:t>
            </w:r>
          </w:p>
        </w:tc>
        <w:tc>
          <w:tcPr>
            <w:tcW w:w="822" w:type="dxa"/>
            <w:noWrap w:val="0"/>
            <w:vAlign w:val="center"/>
          </w:tcPr>
          <w:p w14:paraId="0255A753">
            <w:pPr>
              <w:keepNext w:val="0"/>
              <w:keepLines/>
              <w:pageBreakBefore w:val="0"/>
              <w:kinsoku/>
              <w:wordWrap w:val="0"/>
              <w:overflowPunct/>
              <w:topLinePunct w:val="0"/>
              <w:bidi w:val="0"/>
              <w:adjustRightInd/>
              <w:snapToGrid/>
              <w:spacing w:line="24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7</w:t>
            </w:r>
          </w:p>
        </w:tc>
      </w:tr>
      <w:tr w14:paraId="71BB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823" w:type="dxa"/>
            <w:vMerge w:val="continue"/>
            <w:noWrap w:val="0"/>
            <w:vAlign w:val="center"/>
          </w:tcPr>
          <w:p w14:paraId="7B0B0EF6">
            <w:pPr>
              <w:autoSpaceDE w:val="0"/>
              <w:autoSpaceDN w:val="0"/>
              <w:adjustRightInd w:val="0"/>
              <w:spacing w:line="240" w:lineRule="auto"/>
              <w:jc w:val="center"/>
              <w:rPr>
                <w:rFonts w:hint="eastAsia" w:ascii="仿宋" w:hAnsi="仿宋" w:eastAsia="仿宋" w:cs="仿宋"/>
                <w:bCs/>
                <w:color w:val="auto"/>
                <w:sz w:val="24"/>
                <w:szCs w:val="24"/>
                <w:highlight w:val="none"/>
              </w:rPr>
            </w:pPr>
          </w:p>
        </w:tc>
        <w:tc>
          <w:tcPr>
            <w:tcW w:w="1538" w:type="dxa"/>
            <w:noWrap w:val="0"/>
            <w:vAlign w:val="center"/>
          </w:tcPr>
          <w:p w14:paraId="5D3621A2">
            <w:pPr>
              <w:pStyle w:val="61"/>
              <w:keepNext w:val="0"/>
              <w:keepLines/>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质量管理体系与措施</w:t>
            </w:r>
          </w:p>
        </w:tc>
        <w:tc>
          <w:tcPr>
            <w:tcW w:w="6956" w:type="dxa"/>
            <w:noWrap w:val="0"/>
            <w:vAlign w:val="center"/>
          </w:tcPr>
          <w:p w14:paraId="216D9981">
            <w:pPr>
              <w:pStyle w:val="61"/>
              <w:keepNext w:val="0"/>
              <w:keepLines/>
              <w:pageBreakBefore w:val="0"/>
              <w:widowControl w:val="0"/>
              <w:numPr>
                <w:ilvl w:val="0"/>
                <w:numId w:val="0"/>
              </w:numPr>
              <w:kinsoku/>
              <w:wordWrap w:val="0"/>
              <w:overflowPunct/>
              <w:topLinePunct w:val="0"/>
              <w:autoSpaceDE/>
              <w:autoSpaceDN/>
              <w:bidi w:val="0"/>
              <w:adjustRightInd/>
              <w:snapToGrid/>
              <w:spacing w:line="240" w:lineRule="auto"/>
              <w:ind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①制定具体的项目质量目标，确保工程质量达到合格以上。</w:t>
            </w:r>
          </w:p>
          <w:p w14:paraId="70CBD732">
            <w:pPr>
              <w:pStyle w:val="61"/>
              <w:keepNext w:val="0"/>
              <w:keepLines/>
              <w:pageBreakBefore w:val="0"/>
              <w:widowControl w:val="0"/>
              <w:numPr>
                <w:ilvl w:val="0"/>
                <w:numId w:val="0"/>
              </w:numPr>
              <w:kinsoku/>
              <w:wordWrap w:val="0"/>
              <w:overflowPunct/>
              <w:topLinePunct w:val="0"/>
              <w:autoSpaceDE/>
              <w:autoSpaceDN/>
              <w:bidi w:val="0"/>
              <w:adjustRightInd/>
              <w:snapToGrid/>
              <w:spacing w:line="240" w:lineRule="auto"/>
              <w:ind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②建立质量管理组织机构，明确机构中各重要岗位的职责得。</w:t>
            </w:r>
          </w:p>
          <w:p w14:paraId="42F34C8B">
            <w:pPr>
              <w:pStyle w:val="61"/>
              <w:keepNext w:val="0"/>
              <w:keepLines/>
              <w:pageBreakBefore w:val="0"/>
              <w:widowControl w:val="0"/>
              <w:numPr>
                <w:ilvl w:val="0"/>
                <w:numId w:val="0"/>
              </w:numPr>
              <w:kinsoku/>
              <w:wordWrap w:val="0"/>
              <w:overflowPunct/>
              <w:topLinePunct w:val="0"/>
              <w:autoSpaceDE/>
              <w:autoSpaceDN/>
              <w:bidi w:val="0"/>
              <w:adjustRightInd/>
              <w:snapToGrid/>
              <w:spacing w:line="240" w:lineRule="auto"/>
              <w:ind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③制定有效措施，确保项目质量目标实现；</w:t>
            </w:r>
          </w:p>
          <w:p w14:paraId="5B8FD3F2">
            <w:pPr>
              <w:pStyle w:val="61"/>
              <w:keepNext w:val="0"/>
              <w:keepLines/>
              <w:pageBreakBefore w:val="0"/>
              <w:widowControl w:val="0"/>
              <w:numPr>
                <w:ilvl w:val="0"/>
                <w:numId w:val="0"/>
              </w:numPr>
              <w:kinsoku/>
              <w:wordWrap w:val="0"/>
              <w:overflowPunct/>
              <w:topLinePunct w:val="0"/>
              <w:autoSpaceDE/>
              <w:autoSpaceDN/>
              <w:bidi w:val="0"/>
              <w:adjustRightInd/>
              <w:snapToGrid/>
              <w:spacing w:line="240" w:lineRule="auto"/>
              <w:ind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④建立质量或过程检查、验收以及质量责任制等相关制度，对质量检查和验收标准做出规定。</w:t>
            </w:r>
          </w:p>
          <w:p w14:paraId="74BBDD8D">
            <w:pPr>
              <w:pStyle w:val="61"/>
              <w:keepNext w:val="0"/>
              <w:keepLines/>
              <w:pageBreakBefore w:val="0"/>
              <w:widowControl w:val="0"/>
              <w:kinsoku/>
              <w:wordWrap w:val="0"/>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1、以上四项每提供一小项内容适用于本项目得1分，满分4分。未提供方案不得分。</w:t>
            </w:r>
          </w:p>
          <w:p w14:paraId="1C1CEC5E">
            <w:pPr>
              <w:pStyle w:val="61"/>
              <w:keepNext w:val="0"/>
              <w:keepLines/>
              <w:pageBreakBefore w:val="0"/>
              <w:widowControl w:val="0"/>
              <w:numPr>
                <w:ilvl w:val="0"/>
                <w:numId w:val="0"/>
              </w:numPr>
              <w:kinsoku/>
              <w:wordWrap w:val="0"/>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kern w:val="2"/>
                <w:sz w:val="24"/>
                <w:szCs w:val="24"/>
                <w:highlight w:val="none"/>
                <w:lang w:val="en-US" w:eastAsia="zh-CN" w:bidi="ar-SA"/>
              </w:rPr>
              <w:t>2、</w:t>
            </w:r>
            <w:r>
              <w:rPr>
                <w:rFonts w:hint="eastAsia" w:ascii="仿宋" w:hAnsi="仿宋" w:eastAsia="仿宋" w:cs="仿宋"/>
                <w:color w:val="auto"/>
                <w:sz w:val="24"/>
                <w:szCs w:val="24"/>
                <w:highlight w:val="none"/>
              </w:rPr>
              <w:t>每有一项方案存在一定缺陷的，扣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03410A9D">
            <w:pPr>
              <w:pStyle w:val="61"/>
              <w:keepNext w:val="0"/>
              <w:keepLines/>
              <w:pageBreakBefore w:val="0"/>
              <w:widowControl w:val="0"/>
              <w:numPr>
                <w:ilvl w:val="0"/>
                <w:numId w:val="0"/>
              </w:numPr>
              <w:kinsoku/>
              <w:wordWrap w:val="0"/>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内容存在缺陷是指：①方案生搬硬套，与实际情况明显不符；②或存在与项目明显无关的文字内容；③或内容不适用项目的实际情况；④或描述的内容混乱，重点不突出；⑤或内容缺失不完善，可操作性较差；⑥或凭空编造，内容矛盾，前后逻辑错误；）</w:t>
            </w:r>
          </w:p>
          <w:p w14:paraId="515ABEF2">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根据供应商的具体响应内容，进一步评审：</w:t>
            </w:r>
          </w:p>
          <w:p w14:paraId="3CFE4A5F">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方案思路基本清晰、合理，基本满足施工要求的加5分；</w:t>
            </w:r>
          </w:p>
          <w:p w14:paraId="0878E7E1">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方案思路一般清晰、合理，施工要求一般的加3分；</w:t>
            </w:r>
          </w:p>
          <w:p w14:paraId="69ECAA6D">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相对较明确、合理、可行的加2分；</w:t>
            </w:r>
          </w:p>
          <w:p w14:paraId="7C15CE62">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整体方案基本满足施工要求的加1分；</w:t>
            </w:r>
          </w:p>
          <w:p w14:paraId="5FC1C74E">
            <w:pPr>
              <w:pStyle w:val="61"/>
              <w:keepNext w:val="0"/>
              <w:keepLines/>
              <w:pageBreakBefore w:val="0"/>
              <w:widowControl w:val="0"/>
              <w:numPr>
                <w:ilvl w:val="0"/>
                <w:numId w:val="0"/>
              </w:numPr>
              <w:kinsoku/>
              <w:wordWrap w:val="0"/>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kern w:val="2"/>
                <w:sz w:val="24"/>
                <w:szCs w:val="24"/>
                <w:highlight w:val="none"/>
                <w:lang w:val="en-US" w:eastAsia="zh-CN" w:bidi="ar-SA"/>
              </w:rPr>
              <w:t>备注：未提供响应内容的本项不得分，评价为不得分的需要评委提供说明。</w:t>
            </w:r>
          </w:p>
        </w:tc>
        <w:tc>
          <w:tcPr>
            <w:tcW w:w="822" w:type="dxa"/>
            <w:noWrap w:val="0"/>
            <w:vAlign w:val="center"/>
          </w:tcPr>
          <w:p w14:paraId="23EFF9AB">
            <w:pPr>
              <w:keepNext w:val="0"/>
              <w:keepLines/>
              <w:pageBreakBefore w:val="0"/>
              <w:kinsoku/>
              <w:wordWrap w:val="0"/>
              <w:overflowPunct/>
              <w:topLinePunct w:val="0"/>
              <w:bidi w:val="0"/>
              <w:adjustRightInd/>
              <w:snapToGrid/>
              <w:spacing w:line="24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9</w:t>
            </w:r>
          </w:p>
        </w:tc>
      </w:tr>
      <w:tr w14:paraId="68D0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823" w:type="dxa"/>
            <w:vMerge w:val="continue"/>
            <w:noWrap w:val="0"/>
            <w:vAlign w:val="center"/>
          </w:tcPr>
          <w:p w14:paraId="15410B60">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p>
        </w:tc>
        <w:tc>
          <w:tcPr>
            <w:tcW w:w="1538" w:type="dxa"/>
            <w:noWrap w:val="0"/>
            <w:vAlign w:val="center"/>
          </w:tcPr>
          <w:p w14:paraId="44D84946">
            <w:pPr>
              <w:pStyle w:val="61"/>
              <w:keepNext w:val="0"/>
              <w:keepLines/>
              <w:pageBreakBefore w:val="0"/>
              <w:kinsoku/>
              <w:wordWrap w:val="0"/>
              <w:overflowPunct/>
              <w:topLinePunct w:val="0"/>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安全管理体系与措施</w:t>
            </w:r>
          </w:p>
        </w:tc>
        <w:tc>
          <w:tcPr>
            <w:tcW w:w="6956" w:type="dxa"/>
            <w:noWrap w:val="0"/>
            <w:vAlign w:val="center"/>
          </w:tcPr>
          <w:p w14:paraId="7E7175F9">
            <w:pPr>
              <w:pStyle w:val="61"/>
              <w:keepNext w:val="0"/>
              <w:keepLines/>
              <w:pageBreakBefore w:val="0"/>
              <w:kinsoku/>
              <w:wordWrap w:val="0"/>
              <w:overflowPunct/>
              <w:topLinePunct w:val="0"/>
              <w:bidi w:val="0"/>
              <w:adjustRightInd/>
              <w:snapToGrid/>
              <w:spacing w:line="240" w:lineRule="auto"/>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①制定项目职业健康安全管理目标。</w:t>
            </w:r>
          </w:p>
          <w:p w14:paraId="14630D3E">
            <w:pPr>
              <w:pStyle w:val="61"/>
              <w:keepNext w:val="0"/>
              <w:keepLines/>
              <w:pageBreakBefore w:val="0"/>
              <w:kinsoku/>
              <w:wordWrap w:val="0"/>
              <w:overflowPunct/>
              <w:topLinePunct w:val="0"/>
              <w:bidi w:val="0"/>
              <w:adjustRightInd/>
              <w:snapToGrid/>
              <w:spacing w:line="240" w:lineRule="auto"/>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②有管理层次的项目安全管理组织机构并明确职责。</w:t>
            </w:r>
          </w:p>
          <w:p w14:paraId="2F5B2151">
            <w:pPr>
              <w:pStyle w:val="61"/>
              <w:keepNext w:val="0"/>
              <w:keepLines/>
              <w:pageBreakBefore w:val="0"/>
              <w:kinsoku/>
              <w:wordWrap w:val="0"/>
              <w:overflowPunct/>
              <w:topLinePunct w:val="0"/>
              <w:bidi w:val="0"/>
              <w:adjustRightInd/>
              <w:snapToGrid/>
              <w:spacing w:line="240" w:lineRule="auto"/>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③具有针对性的安全生产管理体制和职工安全教育培训计划。</w:t>
            </w:r>
          </w:p>
          <w:p w14:paraId="3C8734C6">
            <w:pPr>
              <w:pStyle w:val="61"/>
              <w:keepNext w:val="0"/>
              <w:keepLines/>
              <w:pageBreakBefore w:val="0"/>
              <w:kinsoku/>
              <w:wordWrap w:val="0"/>
              <w:overflowPunct/>
              <w:topLinePunct w:val="0"/>
              <w:bidi w:val="0"/>
              <w:adjustRightInd/>
              <w:snapToGrid/>
              <w:spacing w:line="240" w:lineRule="auto"/>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④建立现场安全检查制度。</w:t>
            </w:r>
          </w:p>
          <w:p w14:paraId="3C8C5308">
            <w:pPr>
              <w:pStyle w:val="61"/>
              <w:keepNext w:val="0"/>
              <w:keepLines/>
              <w:pageBreakBefore w:val="0"/>
              <w:kinsoku/>
              <w:wordWrap w:val="0"/>
              <w:overflowPunct/>
              <w:topLinePunct w:val="0"/>
              <w:bidi w:val="0"/>
              <w:adjustRightInd/>
              <w:snapToGrid/>
              <w:spacing w:line="240" w:lineRule="auto"/>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⑤并对安全事故的应急处理做出预案。</w:t>
            </w:r>
          </w:p>
          <w:p w14:paraId="1FCB9BD0">
            <w:pPr>
              <w:pStyle w:val="61"/>
              <w:keepNext w:val="0"/>
              <w:keepLines/>
              <w:pageBreakBefore w:val="0"/>
              <w:kinsoku/>
              <w:wordWrap w:val="0"/>
              <w:overflowPunct/>
              <w:topLinePunct w:val="0"/>
              <w:bidi w:val="0"/>
              <w:adjustRightInd/>
              <w:snapToGrid/>
              <w:spacing w:line="240" w:lineRule="auto"/>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1、以上五项每提供一小项内容适用于本项目得1分，满分5分。未提供方案不得分。</w:t>
            </w:r>
          </w:p>
          <w:p w14:paraId="615E9940">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kern w:val="2"/>
                <w:sz w:val="24"/>
                <w:szCs w:val="24"/>
                <w:highlight w:val="none"/>
                <w:lang w:val="en-US" w:eastAsia="zh-CN" w:bidi="ar-SA"/>
              </w:rPr>
              <w:t>2、</w:t>
            </w:r>
            <w:r>
              <w:rPr>
                <w:rFonts w:hint="eastAsia" w:ascii="仿宋" w:hAnsi="仿宋" w:eastAsia="仿宋" w:cs="仿宋"/>
                <w:color w:val="auto"/>
                <w:sz w:val="24"/>
                <w:szCs w:val="24"/>
                <w:highlight w:val="none"/>
              </w:rPr>
              <w:t>每有一项方案存在一定缺陷的，扣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70AB4752">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内容存在缺陷是指：①方案生搬硬套，与实际情况明显不符；②或存在与项目明显无关的文字内容；③或内容不适用项目的实际情况；④或描述的内容混乱，重点不突出；⑤或内容缺失不完善，可操作性较差；⑥或凭空编造，内容矛盾，前后逻辑错误；）</w:t>
            </w:r>
          </w:p>
          <w:p w14:paraId="13CE79F2">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根据供应商的具体响应内容，进一步评审：</w:t>
            </w:r>
          </w:p>
          <w:p w14:paraId="7BBA26DA">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能提出具有实际意义并满足现场施工要求的安全管理体系及具有可靠性的安全措施方案的加5分；</w:t>
            </w:r>
          </w:p>
          <w:p w14:paraId="6F14ED89">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提出的安全管理体系与措施较可靠的加3分；</w:t>
            </w:r>
          </w:p>
          <w:p w14:paraId="3343CDE6">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现场施工要求一般的加2分；</w:t>
            </w:r>
          </w:p>
          <w:p w14:paraId="00037465">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整体方案基本满足施工要求的加1分；</w:t>
            </w:r>
          </w:p>
          <w:p w14:paraId="50948AA3">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kern w:val="2"/>
                <w:sz w:val="24"/>
                <w:szCs w:val="24"/>
                <w:highlight w:val="none"/>
                <w:lang w:val="en-US" w:eastAsia="zh-CN" w:bidi="ar-SA"/>
              </w:rPr>
              <w:t>备注：未提供响应内容的本项不得分，评价为不得分的需要评委提供说明。</w:t>
            </w:r>
          </w:p>
        </w:tc>
        <w:tc>
          <w:tcPr>
            <w:tcW w:w="822" w:type="dxa"/>
            <w:noWrap w:val="0"/>
            <w:vAlign w:val="center"/>
          </w:tcPr>
          <w:p w14:paraId="0DCA28E0">
            <w:pPr>
              <w:keepNext w:val="0"/>
              <w:keepLines/>
              <w:pageBreakBefore w:val="0"/>
              <w:kinsoku/>
              <w:wordWrap w:val="0"/>
              <w:overflowPunct/>
              <w:topLinePunct w:val="0"/>
              <w:bidi w:val="0"/>
              <w:adjustRightInd/>
              <w:snapToGrid/>
              <w:spacing w:line="240" w:lineRule="auto"/>
              <w:ind w:left="0" w:leftChars="0" w:right="0" w:right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10</w:t>
            </w:r>
          </w:p>
        </w:tc>
      </w:tr>
      <w:tr w14:paraId="34A6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823" w:type="dxa"/>
            <w:vMerge w:val="continue"/>
            <w:noWrap w:val="0"/>
            <w:vAlign w:val="center"/>
          </w:tcPr>
          <w:p w14:paraId="1DF4C7AD">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p>
        </w:tc>
        <w:tc>
          <w:tcPr>
            <w:tcW w:w="1538" w:type="dxa"/>
            <w:noWrap w:val="0"/>
            <w:vAlign w:val="center"/>
          </w:tcPr>
          <w:p w14:paraId="3514D844">
            <w:pPr>
              <w:pStyle w:val="61"/>
              <w:keepNext w:val="0"/>
              <w:keepLines/>
              <w:pageBreakBefore w:val="0"/>
              <w:kinsoku/>
              <w:wordWrap w:val="0"/>
              <w:overflowPunct/>
              <w:topLinePunct w:val="0"/>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环境保护管理体系与措施</w:t>
            </w:r>
          </w:p>
        </w:tc>
        <w:tc>
          <w:tcPr>
            <w:tcW w:w="6956" w:type="dxa"/>
            <w:noWrap w:val="0"/>
            <w:vAlign w:val="center"/>
          </w:tcPr>
          <w:p w14:paraId="194A6644">
            <w:pPr>
              <w:pStyle w:val="61"/>
              <w:keepNext w:val="0"/>
              <w:keepLines/>
              <w:pageBreakBefore w:val="0"/>
              <w:kinsoku/>
              <w:wordWrap w:val="0"/>
              <w:overflowPunct/>
              <w:topLinePunct w:val="0"/>
              <w:bidi w:val="0"/>
              <w:adjustRightInd/>
              <w:snapToGrid/>
              <w:spacing w:line="240" w:lineRule="auto"/>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①制定项目环境管理目标。</w:t>
            </w:r>
          </w:p>
          <w:p w14:paraId="189BC77E">
            <w:pPr>
              <w:pStyle w:val="61"/>
              <w:keepNext w:val="0"/>
              <w:keepLines/>
              <w:pageBreakBefore w:val="0"/>
              <w:kinsoku/>
              <w:wordWrap w:val="0"/>
              <w:overflowPunct/>
              <w:topLinePunct w:val="0"/>
              <w:bidi w:val="0"/>
              <w:adjustRightInd/>
              <w:snapToGrid/>
              <w:spacing w:line="240" w:lineRule="auto"/>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②建立项目环境管理的组织机构，明确职责。</w:t>
            </w:r>
          </w:p>
          <w:p w14:paraId="75A59EC3">
            <w:pPr>
              <w:pStyle w:val="61"/>
              <w:keepNext w:val="0"/>
              <w:keepLines/>
              <w:pageBreakBefore w:val="0"/>
              <w:numPr>
                <w:ilvl w:val="0"/>
                <w:numId w:val="0"/>
              </w:numPr>
              <w:kinsoku/>
              <w:wordWrap w:val="0"/>
              <w:overflowPunct/>
              <w:topLinePunct w:val="0"/>
              <w:bidi w:val="0"/>
              <w:adjustRightInd/>
              <w:snapToGrid/>
              <w:spacing w:line="240" w:lineRule="auto"/>
              <w:ind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③根据项目特点,进行环境保护方面的资源配置。</w:t>
            </w:r>
          </w:p>
          <w:p w14:paraId="4E202D99">
            <w:pPr>
              <w:pStyle w:val="61"/>
              <w:keepNext w:val="0"/>
              <w:keepLines/>
              <w:pageBreakBefore w:val="0"/>
              <w:kinsoku/>
              <w:wordWrap w:val="0"/>
              <w:overflowPunct/>
              <w:topLinePunct w:val="0"/>
              <w:bidi w:val="0"/>
              <w:adjustRightInd/>
              <w:snapToGrid/>
              <w:spacing w:line="240" w:lineRule="auto"/>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④根据施工现场实际建立现场环境检查制度，并对环境事故的处理做出相应规定。</w:t>
            </w:r>
          </w:p>
          <w:p w14:paraId="7C25AE82">
            <w:pPr>
              <w:pStyle w:val="61"/>
              <w:keepNext w:val="0"/>
              <w:keepLines/>
              <w:pageBreakBefore w:val="0"/>
              <w:kinsoku/>
              <w:wordWrap w:val="0"/>
              <w:overflowPunct/>
              <w:topLinePunct w:val="0"/>
              <w:bidi w:val="0"/>
              <w:adjustRightInd/>
              <w:snapToGrid/>
              <w:spacing w:line="240" w:lineRule="auto"/>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1、以上四项每提供一小项内容适用于本项目得1分，满分4分。未提供方案不得分。</w:t>
            </w:r>
          </w:p>
          <w:p w14:paraId="77BDC4AC">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kern w:val="2"/>
                <w:sz w:val="24"/>
                <w:szCs w:val="24"/>
                <w:highlight w:val="none"/>
                <w:lang w:val="en-US" w:eastAsia="zh-CN" w:bidi="ar-SA"/>
              </w:rPr>
              <w:t>2、</w:t>
            </w:r>
            <w:r>
              <w:rPr>
                <w:rFonts w:hint="eastAsia" w:ascii="仿宋" w:hAnsi="仿宋" w:eastAsia="仿宋" w:cs="仿宋"/>
                <w:color w:val="auto"/>
                <w:sz w:val="24"/>
                <w:szCs w:val="24"/>
                <w:highlight w:val="none"/>
              </w:rPr>
              <w:t>每有一项方案存在一定缺陷的，扣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547B90EF">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内容存在缺陷是指：①方案生搬硬套，与实际情况明显不符；②或存在与项目明显无关的文字内容；③或内容不适用项目的实际情况；④或描述的内容混乱，重点不突出；⑤或内容缺失不完善，可操作性较差；⑥或凭空编造，内容矛盾，前后逻辑错误；）</w:t>
            </w:r>
          </w:p>
          <w:p w14:paraId="58954DD0">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根据供应商的具体响应内容，进一步评审：</w:t>
            </w:r>
          </w:p>
          <w:p w14:paraId="5E492274">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根据现场的施工情况能够提出具有实际性意义的环境管理体系与措施的得4分；</w:t>
            </w:r>
          </w:p>
          <w:p w14:paraId="415EC323">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基本满足现场施工要求的得3分；</w:t>
            </w:r>
          </w:p>
          <w:p w14:paraId="4B68871C">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较满足的现场施工要求的得2分；</w:t>
            </w:r>
          </w:p>
          <w:p w14:paraId="48099A01">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环境管理体系与措施内容一般的得1分；</w:t>
            </w:r>
          </w:p>
          <w:p w14:paraId="02C62F46">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kern w:val="2"/>
                <w:sz w:val="24"/>
                <w:szCs w:val="24"/>
                <w:highlight w:val="none"/>
                <w:lang w:val="en-US" w:eastAsia="zh-CN" w:bidi="ar-SA"/>
              </w:rPr>
              <w:t>备注：未提供响应内容的本项不得分，评价为不得分的需要评委提供说明。</w:t>
            </w:r>
          </w:p>
        </w:tc>
        <w:tc>
          <w:tcPr>
            <w:tcW w:w="822" w:type="dxa"/>
            <w:noWrap w:val="0"/>
            <w:vAlign w:val="center"/>
          </w:tcPr>
          <w:p w14:paraId="57F318FD">
            <w:pPr>
              <w:keepNext w:val="0"/>
              <w:keepLines/>
              <w:pageBreakBefore w:val="0"/>
              <w:kinsoku/>
              <w:wordWrap w:val="0"/>
              <w:overflowPunct/>
              <w:topLinePunct w:val="0"/>
              <w:bidi w:val="0"/>
              <w:adjustRightInd/>
              <w:snapToGrid/>
              <w:spacing w:line="24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-8</w:t>
            </w:r>
          </w:p>
        </w:tc>
      </w:tr>
      <w:tr w14:paraId="6983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 w:hRule="atLeast"/>
          <w:jc w:val="center"/>
        </w:trPr>
        <w:tc>
          <w:tcPr>
            <w:tcW w:w="823" w:type="dxa"/>
            <w:vMerge w:val="continue"/>
            <w:noWrap w:val="0"/>
            <w:vAlign w:val="center"/>
          </w:tcPr>
          <w:p w14:paraId="2E874307">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p>
        </w:tc>
        <w:tc>
          <w:tcPr>
            <w:tcW w:w="1538" w:type="dxa"/>
            <w:noWrap w:val="0"/>
            <w:vAlign w:val="center"/>
          </w:tcPr>
          <w:p w14:paraId="3574E7E0">
            <w:pPr>
              <w:pStyle w:val="61"/>
              <w:keepNext w:val="0"/>
              <w:keepLines/>
              <w:pageBreakBefore w:val="0"/>
              <w:kinsoku/>
              <w:wordWrap w:val="0"/>
              <w:overflowPunct/>
              <w:topLinePunct w:val="0"/>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工程进度计划与措施</w:t>
            </w:r>
          </w:p>
        </w:tc>
        <w:tc>
          <w:tcPr>
            <w:tcW w:w="6956" w:type="dxa"/>
            <w:noWrap w:val="0"/>
            <w:vAlign w:val="center"/>
          </w:tcPr>
          <w:p w14:paraId="3C2294F8">
            <w:pPr>
              <w:pStyle w:val="61"/>
              <w:keepNext w:val="0"/>
              <w:keepLines/>
              <w:pageBreakBefore w:val="0"/>
              <w:numPr>
                <w:ilvl w:val="0"/>
                <w:numId w:val="0"/>
              </w:numPr>
              <w:kinsoku/>
              <w:wordWrap w:val="0"/>
              <w:overflowPunct/>
              <w:topLinePunct w:val="0"/>
              <w:bidi w:val="0"/>
              <w:adjustRightInd/>
              <w:snapToGrid/>
              <w:spacing w:line="240" w:lineRule="auto"/>
              <w:ind w:leftChars="0" w:right="0" w:right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①</w:t>
            </w:r>
            <w:r>
              <w:rPr>
                <w:rFonts w:hint="eastAsia" w:ascii="仿宋" w:hAnsi="仿宋" w:eastAsia="仿宋" w:cs="仿宋"/>
                <w:bCs/>
                <w:color w:val="auto"/>
                <w:kern w:val="2"/>
                <w:sz w:val="24"/>
                <w:szCs w:val="24"/>
                <w:highlight w:val="none"/>
                <w:lang w:val="en-US" w:eastAsia="zh-CN" w:bidi="ar-SA"/>
              </w:rPr>
              <w:t>供应商应按照磋商文件中施工进度计划列出横道图，标明各施工区段及各工序之间时间和空间上的搭接关系、施工期限、开始和结束时间，提供如遇连续阴雨天如何保证工期的方案及措施，并对安排做出详细说明。</w:t>
            </w:r>
          </w:p>
          <w:p w14:paraId="5EC019AE">
            <w:pPr>
              <w:pStyle w:val="61"/>
              <w:keepNext w:val="0"/>
              <w:keepLines/>
              <w:pageBreakBefore w:val="0"/>
              <w:numPr>
                <w:ilvl w:val="0"/>
                <w:numId w:val="0"/>
              </w:numPr>
              <w:kinsoku/>
              <w:wordWrap w:val="0"/>
              <w:overflowPunct/>
              <w:topLinePunct w:val="0"/>
              <w:bidi w:val="0"/>
              <w:adjustRightInd/>
              <w:snapToGrid/>
              <w:spacing w:line="240" w:lineRule="auto"/>
              <w:ind w:leftChars="0" w:right="0" w:right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2、供应商在磋商文件工期要求的基础上，可通过采取有效措施确保工程提前完工。详细列出每天工作量；开完工时间、材料进场时间；各工序人员、工种、数量；设备安排；以及完工的施工进度计划横道图；</w:t>
            </w:r>
          </w:p>
          <w:p w14:paraId="08540B39">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kern w:val="2"/>
                <w:sz w:val="24"/>
                <w:szCs w:val="24"/>
                <w:highlight w:val="none"/>
                <w:lang w:val="en-US" w:eastAsia="zh-CN" w:bidi="ar-SA"/>
              </w:rPr>
              <w:t>1、</w:t>
            </w:r>
            <w:r>
              <w:rPr>
                <w:rFonts w:hint="eastAsia" w:ascii="仿宋" w:hAnsi="仿宋" w:eastAsia="仿宋" w:cs="仿宋"/>
                <w:bCs/>
                <w:color w:val="auto"/>
                <w:sz w:val="24"/>
                <w:szCs w:val="24"/>
                <w:highlight w:val="none"/>
                <w:lang w:val="en-US" w:eastAsia="zh-CN"/>
              </w:rPr>
              <w:t>以上两项每提供一小项内容适用于本项目得1分，满分2分。未提供方案不得分。</w:t>
            </w:r>
          </w:p>
          <w:p w14:paraId="6FF63896">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kern w:val="2"/>
                <w:sz w:val="24"/>
                <w:szCs w:val="24"/>
                <w:highlight w:val="none"/>
                <w:lang w:val="en-US" w:eastAsia="zh-CN" w:bidi="ar-SA"/>
              </w:rPr>
              <w:t>2、</w:t>
            </w:r>
            <w:r>
              <w:rPr>
                <w:rFonts w:hint="eastAsia" w:ascii="仿宋" w:hAnsi="仿宋" w:eastAsia="仿宋" w:cs="仿宋"/>
                <w:color w:val="auto"/>
                <w:sz w:val="24"/>
                <w:szCs w:val="24"/>
                <w:highlight w:val="none"/>
              </w:rPr>
              <w:t>每有一项方案存在一定缺陷的，扣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12348EC2">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内容存在缺陷是指：①方案生搬硬套，与实际情况明显不符；②或存在与项目明显无关的文字内容；③或内容不适用项目的实际情况；④或描述的内容混乱，重点不突出；⑤或内容缺失不完善，可操作性较差；⑥或凭空编造，内容矛盾，前后逻辑错误；）</w:t>
            </w:r>
          </w:p>
          <w:p w14:paraId="75D68D1C">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根据供应商的具体响应内容，进一步评审：</w:t>
            </w:r>
          </w:p>
          <w:p w14:paraId="2A02F455">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根据施工网络计划图及施工现场的各类因素提供完整的工程进度措施方案的得4分；</w:t>
            </w:r>
          </w:p>
          <w:p w14:paraId="155EC34F">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基本描述工程进度措施的可靠性的得3分；</w:t>
            </w:r>
          </w:p>
          <w:p w14:paraId="0AB51E1B">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进度措施的可靠性较满足项目的得2分；</w:t>
            </w:r>
          </w:p>
          <w:p w14:paraId="2EDEE135">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进度措施一般的得1分，</w:t>
            </w:r>
          </w:p>
          <w:p w14:paraId="3ECF2F87">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kern w:val="2"/>
                <w:sz w:val="24"/>
                <w:szCs w:val="24"/>
                <w:highlight w:val="none"/>
                <w:lang w:val="en-US" w:eastAsia="zh-CN" w:bidi="ar-SA"/>
              </w:rPr>
              <w:t>备注：未提供响应内容的本项不得分，评价为不得分的需要评委提供说明。</w:t>
            </w:r>
          </w:p>
        </w:tc>
        <w:tc>
          <w:tcPr>
            <w:tcW w:w="822" w:type="dxa"/>
            <w:noWrap w:val="0"/>
            <w:vAlign w:val="center"/>
          </w:tcPr>
          <w:p w14:paraId="6968E8E3">
            <w:pPr>
              <w:spacing w:line="240" w:lineRule="auto"/>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0-6</w:t>
            </w:r>
          </w:p>
        </w:tc>
      </w:tr>
      <w:tr w14:paraId="703C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823" w:type="dxa"/>
            <w:vMerge w:val="continue"/>
            <w:noWrap w:val="0"/>
            <w:vAlign w:val="center"/>
          </w:tcPr>
          <w:p w14:paraId="75A70E37">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p>
        </w:tc>
        <w:tc>
          <w:tcPr>
            <w:tcW w:w="1538" w:type="dxa"/>
            <w:noWrap w:val="0"/>
            <w:vAlign w:val="center"/>
          </w:tcPr>
          <w:p w14:paraId="7427ACE1">
            <w:pPr>
              <w:pStyle w:val="61"/>
              <w:keepNext w:val="0"/>
              <w:keepLines/>
              <w:pageBreakBefore w:val="0"/>
              <w:kinsoku/>
              <w:wordWrap w:val="0"/>
              <w:overflowPunct/>
              <w:topLinePunct w:val="0"/>
              <w:bidi w:val="0"/>
              <w:adjustRightInd/>
              <w:snapToGrid/>
              <w:spacing w:line="240" w:lineRule="auto"/>
              <w:ind w:left="0" w:leftChars="0"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资源配备计划</w:t>
            </w:r>
          </w:p>
          <w:p w14:paraId="3708F5FF">
            <w:pPr>
              <w:pStyle w:val="61"/>
              <w:keepNext w:val="0"/>
              <w:keepLines/>
              <w:pageBreakBefore w:val="0"/>
              <w:kinsoku/>
              <w:wordWrap w:val="0"/>
              <w:overflowPunct/>
              <w:topLinePunct w:val="0"/>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6956" w:type="dxa"/>
            <w:noWrap w:val="0"/>
            <w:vAlign w:val="center"/>
          </w:tcPr>
          <w:p w14:paraId="06D78A0F">
            <w:pPr>
              <w:pStyle w:val="61"/>
              <w:keepNext w:val="0"/>
              <w:keepLines/>
              <w:pageBreakBefore w:val="0"/>
              <w:numPr>
                <w:ilvl w:val="0"/>
                <w:numId w:val="0"/>
              </w:numPr>
              <w:kinsoku/>
              <w:wordWrap w:val="0"/>
              <w:overflowPunct/>
              <w:topLinePunct w:val="0"/>
              <w:bidi w:val="0"/>
              <w:adjustRightInd/>
              <w:snapToGrid/>
              <w:spacing w:line="240" w:lineRule="auto"/>
              <w:ind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①劳动力配置计划：确定工程用工量并编制专业工种劳动力计划表。②物资配置计划：包括工程材料和设备配置计划、施工机具配置计划以及计量、测量和检验仪器配置计划等。</w:t>
            </w:r>
          </w:p>
          <w:p w14:paraId="3236E7AF">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kern w:val="2"/>
                <w:sz w:val="24"/>
                <w:szCs w:val="24"/>
                <w:highlight w:val="none"/>
                <w:lang w:val="en-US" w:eastAsia="zh-CN" w:bidi="ar-SA"/>
              </w:rPr>
              <w:t>1、</w:t>
            </w:r>
            <w:r>
              <w:rPr>
                <w:rFonts w:hint="eastAsia" w:ascii="仿宋" w:hAnsi="仿宋" w:eastAsia="仿宋" w:cs="仿宋"/>
                <w:bCs/>
                <w:color w:val="auto"/>
                <w:sz w:val="24"/>
                <w:szCs w:val="24"/>
                <w:highlight w:val="none"/>
                <w:lang w:val="en-US" w:eastAsia="zh-CN"/>
              </w:rPr>
              <w:t>以上二项每提供一小项内容适用于本项目得1分，满分2分。未提供方案不得分。</w:t>
            </w:r>
          </w:p>
          <w:p w14:paraId="07B2DCF6">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2、每有一项方案存在一定缺陷的，扣0.5分；</w:t>
            </w:r>
          </w:p>
          <w:p w14:paraId="7A540EAA">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内容存在缺陷是指：①方案生搬硬套，与实际情况明显不符；②或存在与项目明显无关的文字内容；③或内容不适用项目的实际情况；④或描述的内容混乱，重点不突出；⑤或内容缺失不完善，可操作性较差；⑥或凭空编造，内容矛盾，前后逻辑错误；）</w:t>
            </w:r>
          </w:p>
          <w:p w14:paraId="03D61DAD">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根据供应商的具体响应内容，进一步评审：</w:t>
            </w:r>
          </w:p>
          <w:p w14:paraId="4C39747E">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配备相对基本完善的得4分；</w:t>
            </w:r>
          </w:p>
          <w:p w14:paraId="0AB36C4A">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配备较完善的得3分；</w:t>
            </w:r>
          </w:p>
          <w:p w14:paraId="05A9CA3F">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一般满足要求的得2分；</w:t>
            </w:r>
          </w:p>
          <w:p w14:paraId="0A99C3FE">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内容不符且较差的得1分；</w:t>
            </w:r>
          </w:p>
          <w:p w14:paraId="7BE333F7">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备注：未提供响应内容的本项不得分，评价为不得分的需要评委提供说明。</w:t>
            </w:r>
          </w:p>
        </w:tc>
        <w:tc>
          <w:tcPr>
            <w:tcW w:w="822" w:type="dxa"/>
            <w:noWrap w:val="0"/>
            <w:vAlign w:val="center"/>
          </w:tcPr>
          <w:p w14:paraId="334BB83E">
            <w:pPr>
              <w:keepNext w:val="0"/>
              <w:keepLines/>
              <w:pageBreakBefore w:val="0"/>
              <w:kinsoku/>
              <w:wordWrap w:val="0"/>
              <w:overflowPunct/>
              <w:topLinePunct w:val="0"/>
              <w:bidi w:val="0"/>
              <w:adjustRightInd/>
              <w:snapToGrid/>
              <w:spacing w:line="24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6</w:t>
            </w:r>
          </w:p>
        </w:tc>
      </w:tr>
      <w:tr w14:paraId="6730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823" w:type="dxa"/>
            <w:vMerge w:val="continue"/>
            <w:noWrap w:val="0"/>
            <w:vAlign w:val="center"/>
          </w:tcPr>
          <w:p w14:paraId="395AC00D">
            <w:pPr>
              <w:pStyle w:val="16"/>
              <w:rPr>
                <w:rFonts w:hint="eastAsia" w:ascii="仿宋" w:hAnsi="仿宋" w:eastAsia="仿宋" w:cs="仿宋"/>
                <w:color w:val="auto"/>
                <w:lang w:val="zh-CN"/>
              </w:rPr>
            </w:pPr>
          </w:p>
        </w:tc>
        <w:tc>
          <w:tcPr>
            <w:tcW w:w="1538" w:type="dxa"/>
            <w:shd w:val="clear" w:color="auto" w:fill="auto"/>
            <w:noWrap w:val="0"/>
            <w:vAlign w:val="center"/>
          </w:tcPr>
          <w:p w14:paraId="6AA0A4B2">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成品保护措施</w:t>
            </w:r>
          </w:p>
        </w:tc>
        <w:tc>
          <w:tcPr>
            <w:tcW w:w="6956" w:type="dxa"/>
            <w:shd w:val="clear" w:color="auto" w:fill="auto"/>
            <w:noWrap w:val="0"/>
            <w:vAlign w:val="center"/>
          </w:tcPr>
          <w:p w14:paraId="3EABA782">
            <w:pPr>
              <w:autoSpaceDE w:val="0"/>
              <w:autoSpaceDN w:val="0"/>
              <w:adjustRightIn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①</w:t>
            </w:r>
            <w:r>
              <w:rPr>
                <w:rFonts w:hint="eastAsia" w:ascii="仿宋" w:hAnsi="仿宋" w:eastAsia="仿宋" w:cs="仿宋"/>
                <w:bCs/>
                <w:color w:val="auto"/>
                <w:sz w:val="24"/>
                <w:szCs w:val="24"/>
                <w:highlight w:val="none"/>
                <w:lang w:val="en-US" w:eastAsia="zh-CN"/>
              </w:rPr>
              <w:t>建立成品、半成品保护工作的组织机构，明确机构人员职责。</w:t>
            </w:r>
            <w:r>
              <w:rPr>
                <w:rFonts w:hint="eastAsia" w:ascii="仿宋" w:hAnsi="仿宋" w:eastAsia="仿宋" w:cs="仿宋"/>
                <w:bCs/>
                <w:color w:val="auto"/>
                <w:sz w:val="24"/>
                <w:szCs w:val="24"/>
                <w:highlight w:val="none"/>
              </w:rPr>
              <w:t>②</w:t>
            </w:r>
            <w:r>
              <w:rPr>
                <w:rFonts w:hint="eastAsia" w:ascii="仿宋" w:hAnsi="仿宋" w:eastAsia="仿宋" w:cs="仿宋"/>
                <w:bCs/>
                <w:color w:val="auto"/>
                <w:sz w:val="24"/>
                <w:szCs w:val="24"/>
                <w:highlight w:val="none"/>
                <w:lang w:val="en-US" w:eastAsia="zh-CN"/>
              </w:rPr>
              <w:t>建立成品、半成品保护相关的制度， 完善工作管理措施及承诺。</w:t>
            </w:r>
            <w:r>
              <w:rPr>
                <w:rFonts w:hint="eastAsia" w:ascii="仿宋" w:hAnsi="仿宋" w:eastAsia="仿宋" w:cs="仿宋"/>
                <w:bCs/>
                <w:color w:val="auto"/>
                <w:sz w:val="24"/>
                <w:szCs w:val="24"/>
                <w:highlight w:val="none"/>
              </w:rPr>
              <w:t>③</w:t>
            </w:r>
            <w:r>
              <w:rPr>
                <w:rFonts w:hint="eastAsia" w:ascii="仿宋" w:hAnsi="仿宋" w:eastAsia="仿宋" w:cs="仿宋"/>
                <w:bCs/>
                <w:color w:val="auto"/>
                <w:sz w:val="24"/>
                <w:szCs w:val="24"/>
                <w:highlight w:val="none"/>
                <w:lang w:val="en-US" w:eastAsia="zh-CN"/>
              </w:rPr>
              <w:t>针对本项目有较完整且符合本工程的成品、半成品保护主要技术措施。</w:t>
            </w:r>
          </w:p>
          <w:p w14:paraId="02CDCF0E">
            <w:pPr>
              <w:pStyle w:val="61"/>
              <w:keepNext w:val="0"/>
              <w:keepLines/>
              <w:pageBreakBefore w:val="0"/>
              <w:kinsoku/>
              <w:wordWrap w:val="0"/>
              <w:overflowPunct/>
              <w:topLinePunct w:val="0"/>
              <w:bidi w:val="0"/>
              <w:adjustRightInd/>
              <w:snapToGrid/>
              <w:spacing w:line="240" w:lineRule="auto"/>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1、以上三项每提供一小项内容适用于本项目得1分，满分3分。未提供方案不得分。</w:t>
            </w:r>
          </w:p>
          <w:p w14:paraId="3DCC56E7">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kern w:val="2"/>
                <w:sz w:val="24"/>
                <w:szCs w:val="24"/>
                <w:highlight w:val="none"/>
                <w:lang w:val="en-US" w:eastAsia="zh-CN" w:bidi="ar-SA"/>
              </w:rPr>
              <w:t>2、</w:t>
            </w:r>
            <w:r>
              <w:rPr>
                <w:rFonts w:hint="eastAsia" w:ascii="仿宋" w:hAnsi="仿宋" w:eastAsia="仿宋" w:cs="仿宋"/>
                <w:color w:val="auto"/>
                <w:sz w:val="24"/>
                <w:szCs w:val="24"/>
                <w:highlight w:val="none"/>
              </w:rPr>
              <w:t>每有一项方案存在一定缺陷的，扣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3EA6F7D1">
            <w:pPr>
              <w:autoSpaceDE w:val="0"/>
              <w:autoSpaceDN w:val="0"/>
              <w:adjustRightInd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内容存在缺陷是指：①方案生搬硬套，与实际情况明显不符；②或存在与项目明显无关的文字内容；③或内容不适用项目的实际情况；④或描述的内容混乱，重点不突出；⑤或内容缺失不完善，可操作性较差；⑥或凭空编造，内容矛盾，前后逻辑错误；）</w:t>
            </w:r>
          </w:p>
          <w:p w14:paraId="7218AE27">
            <w:pPr>
              <w:pStyle w:val="61"/>
              <w:keepNext w:val="0"/>
              <w:keepLines/>
              <w:pageBreakBefore w:val="0"/>
              <w:numPr>
                <w:ilvl w:val="0"/>
                <w:numId w:val="0"/>
              </w:numPr>
              <w:kinsoku/>
              <w:wordWrap w:val="0"/>
              <w:overflowPunct/>
              <w:topLinePunct w:val="0"/>
              <w:bidi w:val="0"/>
              <w:adjustRightInd/>
              <w:snapToGrid/>
              <w:spacing w:line="240" w:lineRule="auto"/>
              <w:ind w:left="0" w:leftChars="0" w:right="0" w:rightChars="0" w:firstLine="0" w:firstLineChars="0"/>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根据供应商的具体响应内容，进一步评审：</w:t>
            </w:r>
          </w:p>
          <w:p w14:paraId="072B5F48">
            <w:pPr>
              <w:autoSpaceDE w:val="0"/>
              <w:autoSpaceDN w:val="0"/>
              <w:adjustRightInd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措施</w:t>
            </w:r>
            <w:r>
              <w:rPr>
                <w:rFonts w:hint="eastAsia" w:ascii="仿宋" w:hAnsi="仿宋" w:eastAsia="仿宋" w:cs="仿宋"/>
                <w:bCs/>
                <w:color w:val="auto"/>
                <w:sz w:val="24"/>
                <w:szCs w:val="24"/>
                <w:highlight w:val="none"/>
                <w:lang w:val="zh-CN" w:eastAsia="zh-CN"/>
              </w:rPr>
              <w:t>相对基本完善的得</w:t>
            </w:r>
            <w:r>
              <w:rPr>
                <w:rFonts w:hint="eastAsia" w:ascii="仿宋" w:hAnsi="仿宋" w:eastAsia="仿宋" w:cs="仿宋"/>
                <w:bCs/>
                <w:color w:val="auto"/>
                <w:sz w:val="24"/>
                <w:szCs w:val="24"/>
                <w:highlight w:val="none"/>
                <w:lang w:val="en-US" w:eastAsia="zh-CN"/>
              </w:rPr>
              <w:t>4分；</w:t>
            </w:r>
          </w:p>
          <w:p w14:paraId="3A182E07">
            <w:pPr>
              <w:autoSpaceDE w:val="0"/>
              <w:autoSpaceDN w:val="0"/>
              <w:adjustRightInd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措施</w:t>
            </w:r>
            <w:r>
              <w:rPr>
                <w:rFonts w:hint="eastAsia" w:ascii="仿宋" w:hAnsi="仿宋" w:eastAsia="仿宋" w:cs="仿宋"/>
                <w:bCs/>
                <w:color w:val="auto"/>
                <w:sz w:val="24"/>
                <w:szCs w:val="24"/>
                <w:highlight w:val="none"/>
                <w:lang w:val="zh-CN" w:eastAsia="zh-CN"/>
              </w:rPr>
              <w:t>较完善的得</w:t>
            </w:r>
            <w:r>
              <w:rPr>
                <w:rFonts w:hint="eastAsia" w:ascii="仿宋" w:hAnsi="仿宋" w:eastAsia="仿宋" w:cs="仿宋"/>
                <w:bCs/>
                <w:color w:val="auto"/>
                <w:sz w:val="24"/>
                <w:szCs w:val="24"/>
                <w:highlight w:val="none"/>
                <w:lang w:val="en-US" w:eastAsia="zh-CN"/>
              </w:rPr>
              <w:t>3分；</w:t>
            </w:r>
          </w:p>
          <w:p w14:paraId="64EA92F3">
            <w:pPr>
              <w:autoSpaceDE w:val="0"/>
              <w:autoSpaceDN w:val="0"/>
              <w:adjustRightInd w:val="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一般满足要求的得2分；</w:t>
            </w:r>
          </w:p>
          <w:p w14:paraId="287DBC09">
            <w:pPr>
              <w:autoSpaceDE w:val="0"/>
              <w:autoSpaceDN w:val="0"/>
              <w:adjustRightInd w:val="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en-US" w:eastAsia="zh-CN"/>
              </w:rPr>
              <w:t>内容不符且较差</w:t>
            </w:r>
            <w:r>
              <w:rPr>
                <w:rFonts w:hint="eastAsia" w:ascii="仿宋" w:hAnsi="仿宋" w:eastAsia="仿宋" w:cs="仿宋"/>
                <w:bCs/>
                <w:color w:val="auto"/>
                <w:sz w:val="24"/>
                <w:szCs w:val="24"/>
                <w:highlight w:val="none"/>
                <w:lang w:val="zh-CN" w:eastAsia="zh-CN"/>
              </w:rPr>
              <w:t>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val="zh-CN" w:eastAsia="zh-CN"/>
              </w:rPr>
              <w:t>分；</w:t>
            </w:r>
          </w:p>
          <w:p w14:paraId="48E21745">
            <w:pPr>
              <w:autoSpaceDE w:val="0"/>
              <w:autoSpaceDN w:val="0"/>
              <w:adjustRightInd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备注：未提供响应内容的本项不得分，评价为不得分的需要评委提供说明。</w:t>
            </w:r>
          </w:p>
        </w:tc>
        <w:tc>
          <w:tcPr>
            <w:tcW w:w="822" w:type="dxa"/>
            <w:noWrap w:val="0"/>
            <w:vAlign w:val="center"/>
          </w:tcPr>
          <w:p w14:paraId="66829D58">
            <w:pPr>
              <w:keepNext w:val="0"/>
              <w:keepLines/>
              <w:pageBreakBefore w:val="0"/>
              <w:kinsoku/>
              <w:wordWrap w:val="0"/>
              <w:overflowPunct/>
              <w:topLinePunct w:val="0"/>
              <w:bidi w:val="0"/>
              <w:adjustRightInd/>
              <w:snapToGrid/>
              <w:spacing w:line="24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0-7</w:t>
            </w:r>
          </w:p>
        </w:tc>
      </w:tr>
      <w:tr w14:paraId="1A90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1" w:hRule="atLeast"/>
          <w:jc w:val="center"/>
        </w:trPr>
        <w:tc>
          <w:tcPr>
            <w:tcW w:w="823" w:type="dxa"/>
            <w:noWrap w:val="0"/>
            <w:vAlign w:val="center"/>
          </w:tcPr>
          <w:p w14:paraId="52DF0395">
            <w:pPr>
              <w:keepNext w:val="0"/>
              <w:keepLines/>
              <w:pageBreakBefore w:val="0"/>
              <w:numPr>
                <w:ilvl w:val="0"/>
                <w:numId w:val="0"/>
              </w:numPr>
              <w:kinsoku/>
              <w:wordWrap w:val="0"/>
              <w:overflowPunct/>
              <w:topLinePunct w:val="0"/>
              <w:bidi w:val="0"/>
              <w:adjustRightInd/>
              <w:snapToGrid/>
              <w:spacing w:line="24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项目管理机构</w:t>
            </w:r>
          </w:p>
          <w:p w14:paraId="785F9FBF">
            <w:pPr>
              <w:keepNext w:val="0"/>
              <w:keepLines/>
              <w:pageBreakBefore w:val="0"/>
              <w:numPr>
                <w:ilvl w:val="0"/>
                <w:numId w:val="0"/>
              </w:numPr>
              <w:kinsoku/>
              <w:wordWrap w:val="0"/>
              <w:overflowPunct/>
              <w:topLinePunct w:val="0"/>
              <w:bidi w:val="0"/>
              <w:adjustRightInd/>
              <w:snapToGrid/>
              <w:spacing w:line="24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3分</w:t>
            </w:r>
          </w:p>
        </w:tc>
        <w:tc>
          <w:tcPr>
            <w:tcW w:w="1538" w:type="dxa"/>
            <w:shd w:val="clear" w:color="auto" w:fill="auto"/>
            <w:noWrap w:val="0"/>
            <w:vAlign w:val="center"/>
          </w:tcPr>
          <w:p w14:paraId="6ACC27DC">
            <w:pPr>
              <w:keepNext w:val="0"/>
              <w:keepLines/>
              <w:pageBreakBefore w:val="0"/>
              <w:kinsoku/>
              <w:wordWrap w:val="0"/>
              <w:overflowPunct/>
              <w:topLinePunct w:val="0"/>
              <w:bidi w:val="0"/>
              <w:adjustRightInd/>
              <w:snapToGrid/>
              <w:spacing w:line="240" w:lineRule="auto"/>
              <w:ind w:left="0" w:leftChars="0" w:right="0" w:rightChars="0" w:firstLine="115" w:firstLineChars="48"/>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其他主要人员</w:t>
            </w:r>
          </w:p>
          <w:p w14:paraId="057DEA92">
            <w:pPr>
              <w:keepNext w:val="0"/>
              <w:keepLines/>
              <w:pageBreakBefore w:val="0"/>
              <w:kinsoku/>
              <w:wordWrap w:val="0"/>
              <w:overflowPunct/>
              <w:topLinePunct w:val="0"/>
              <w:bidi w:val="0"/>
              <w:adjustRightInd/>
              <w:snapToGrid/>
              <w:spacing w:line="240" w:lineRule="auto"/>
              <w:ind w:left="0" w:leftChars="0" w:right="0" w:rightChars="0" w:firstLine="109" w:firstLineChars="48"/>
              <w:jc w:val="center"/>
              <w:textAlignment w:val="auto"/>
              <w:rPr>
                <w:rFonts w:hint="eastAsia" w:ascii="仿宋" w:hAnsi="仿宋" w:eastAsia="仿宋" w:cs="仿宋"/>
                <w:color w:val="auto"/>
                <w:spacing w:val="-6"/>
                <w:kern w:val="2"/>
                <w:sz w:val="24"/>
                <w:szCs w:val="24"/>
                <w:highlight w:val="none"/>
                <w:lang w:val="zh-CN" w:eastAsia="zh-CN" w:bidi="ar-SA"/>
              </w:rPr>
            </w:pPr>
          </w:p>
        </w:tc>
        <w:tc>
          <w:tcPr>
            <w:tcW w:w="6956" w:type="dxa"/>
            <w:shd w:val="clear" w:color="auto" w:fill="auto"/>
            <w:noWrap w:val="0"/>
            <w:vAlign w:val="center"/>
          </w:tcPr>
          <w:p w14:paraId="398EE7EA">
            <w:pPr>
              <w:pStyle w:val="61"/>
              <w:keepNext w:val="0"/>
              <w:keepLines/>
              <w:pageBreakBefore w:val="0"/>
              <w:kinsoku/>
              <w:wordWrap w:val="0"/>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管理机构成员应具备相关专业技术负责人1人（具备中级及以上职称）、施工员1人、安全员1人、质量员1人、材料员1人，在满足上述人员要求的基础上，提供各专业技术负责人职称证或施工员上岗证书或质量员上岗证书，每提供1个证书加1分，满分3分。</w:t>
            </w:r>
          </w:p>
          <w:p w14:paraId="17F4B435">
            <w:pPr>
              <w:keepNext w:val="0"/>
              <w:keepLines/>
              <w:pageBreakBefore w:val="0"/>
              <w:widowControl/>
              <w:kinsoku/>
              <w:wordWrap w:val="0"/>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响应文件</w:t>
            </w:r>
            <w:r>
              <w:rPr>
                <w:rFonts w:hint="eastAsia" w:ascii="仿宋" w:hAnsi="仿宋" w:eastAsia="仿宋" w:cs="仿宋"/>
                <w:color w:val="auto"/>
                <w:sz w:val="24"/>
                <w:szCs w:val="24"/>
                <w:highlight w:val="none"/>
              </w:rPr>
              <w:t>内附相应人员</w:t>
            </w:r>
            <w:r>
              <w:rPr>
                <w:rFonts w:hint="eastAsia" w:ascii="仿宋" w:hAnsi="仿宋" w:eastAsia="仿宋" w:cs="仿宋"/>
                <w:color w:val="auto"/>
                <w:sz w:val="24"/>
                <w:szCs w:val="24"/>
                <w:highlight w:val="none"/>
                <w:lang w:val="en-US" w:eastAsia="zh-CN"/>
              </w:rPr>
              <w:t>近三个月任意月份的社保证明、</w:t>
            </w:r>
            <w:r>
              <w:rPr>
                <w:rFonts w:hint="eastAsia" w:ascii="仿宋" w:hAnsi="仿宋" w:eastAsia="仿宋" w:cs="仿宋"/>
                <w:color w:val="auto"/>
                <w:sz w:val="24"/>
                <w:szCs w:val="24"/>
                <w:highlight w:val="none"/>
              </w:rPr>
              <w:t>职称证书或岗位证书复印件加盖</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公章，启用电子证书的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文件内附电子证书的有效查询网址，信息真伪由评标专家登录其提供的有效网址或扫描二维码标识进行查询确认</w:t>
            </w:r>
            <w:r>
              <w:rPr>
                <w:rFonts w:hint="eastAsia" w:ascii="仿宋" w:hAnsi="仿宋" w:eastAsia="仿宋" w:cs="仿宋"/>
                <w:color w:val="auto"/>
                <w:sz w:val="24"/>
                <w:szCs w:val="24"/>
                <w:highlight w:val="none"/>
                <w:lang w:eastAsia="zh-CN"/>
              </w:rPr>
              <w:t>。</w:t>
            </w:r>
          </w:p>
        </w:tc>
        <w:tc>
          <w:tcPr>
            <w:tcW w:w="822" w:type="dxa"/>
            <w:shd w:val="clear" w:color="auto" w:fill="auto"/>
            <w:noWrap w:val="0"/>
            <w:vAlign w:val="center"/>
          </w:tcPr>
          <w:p w14:paraId="17B17187">
            <w:pPr>
              <w:keepNext w:val="0"/>
              <w:keepLines/>
              <w:pageBreakBefore w:val="0"/>
              <w:kinsoku/>
              <w:wordWrap w:val="0"/>
              <w:overflowPunct/>
              <w:topLinePunct w:val="0"/>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w:t>
            </w:r>
          </w:p>
        </w:tc>
      </w:tr>
      <w:tr w14:paraId="1BA9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3" w:type="dxa"/>
            <w:noWrap w:val="0"/>
            <w:vAlign w:val="center"/>
          </w:tcPr>
          <w:p w14:paraId="7FC14612">
            <w:pPr>
              <w:autoSpaceDE w:val="0"/>
              <w:autoSpaceDN w:val="0"/>
              <w:adjustRightIn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zh-CN"/>
              </w:rPr>
              <w:t>(3)响应报价</w:t>
            </w: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rPr>
              <w:t>分</w:t>
            </w:r>
          </w:p>
        </w:tc>
        <w:tc>
          <w:tcPr>
            <w:tcW w:w="1538" w:type="dxa"/>
            <w:noWrap w:val="0"/>
            <w:vAlign w:val="center"/>
          </w:tcPr>
          <w:p w14:paraId="0A27A65D">
            <w:pPr>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报价得分</w:t>
            </w:r>
          </w:p>
        </w:tc>
        <w:tc>
          <w:tcPr>
            <w:tcW w:w="6956" w:type="dxa"/>
            <w:noWrap w:val="0"/>
            <w:vAlign w:val="center"/>
          </w:tcPr>
          <w:p w14:paraId="0C6B4D27">
            <w:pPr>
              <w:autoSpaceDE w:val="0"/>
              <w:autoSpaceDN w:val="0"/>
              <w:adjustRightIn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满足磋商文件要求且最后报价最低的供应商的价格为磋商基准价。供应商的价格分按下列公式计算：</w:t>
            </w:r>
          </w:p>
          <w:p w14:paraId="658FFC39">
            <w:pPr>
              <w:autoSpaceDE w:val="0"/>
              <w:autoSpaceDN w:val="0"/>
              <w:adjustRightInd w:val="0"/>
              <w:spacing w:line="240" w:lineRule="auto"/>
              <w:rPr>
                <w:rFonts w:hint="eastAsia" w:ascii="仿宋" w:hAnsi="仿宋" w:eastAsia="仿宋" w:cs="仿宋"/>
                <w:bCs/>
                <w:color w:val="auto"/>
                <w:spacing w:val="-6"/>
                <w:sz w:val="24"/>
                <w:szCs w:val="24"/>
                <w:highlight w:val="none"/>
              </w:rPr>
            </w:pPr>
            <w:r>
              <w:rPr>
                <w:rFonts w:hint="eastAsia" w:ascii="仿宋" w:hAnsi="仿宋" w:eastAsia="仿宋" w:cs="仿宋"/>
                <w:color w:val="auto"/>
                <w:sz w:val="24"/>
                <w:szCs w:val="24"/>
                <w:highlight w:val="none"/>
              </w:rPr>
              <w:t>价格分=(磋商基准价/最后磋商报价)* 磋商基准价分值。</w:t>
            </w:r>
          </w:p>
        </w:tc>
        <w:tc>
          <w:tcPr>
            <w:tcW w:w="822" w:type="dxa"/>
            <w:noWrap w:val="0"/>
            <w:vAlign w:val="center"/>
          </w:tcPr>
          <w:p w14:paraId="18423804">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lang w:val="zh-CN"/>
              </w:rPr>
              <w:t>-0</w:t>
            </w:r>
          </w:p>
        </w:tc>
      </w:tr>
      <w:tr w14:paraId="7120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3" w:type="dxa"/>
            <w:vMerge w:val="restart"/>
            <w:noWrap w:val="0"/>
            <w:vAlign w:val="center"/>
          </w:tcPr>
          <w:p w14:paraId="386D082A">
            <w:pPr>
              <w:autoSpaceDE w:val="0"/>
              <w:autoSpaceDN w:val="0"/>
              <w:adjustRightIn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其他因素评分标准</w:t>
            </w:r>
          </w:p>
          <w:p w14:paraId="7C112F41">
            <w:pPr>
              <w:autoSpaceDE w:val="0"/>
              <w:autoSpaceDN w:val="0"/>
              <w:adjustRightIn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tc>
        <w:tc>
          <w:tcPr>
            <w:tcW w:w="1538" w:type="dxa"/>
            <w:noWrap w:val="0"/>
            <w:vAlign w:val="center"/>
          </w:tcPr>
          <w:p w14:paraId="3CB690AD">
            <w:pPr>
              <w:keepNext w:val="0"/>
              <w:keepLines/>
              <w:pageBreakBefore w:val="0"/>
              <w:kinsoku/>
              <w:wordWrap w:val="0"/>
              <w:overflowPunct/>
              <w:topLinePunct w:val="0"/>
              <w:bidi w:val="0"/>
              <w:adjustRightInd/>
              <w:snapToGrid/>
              <w:spacing w:line="240" w:lineRule="auto"/>
              <w:ind w:left="0" w:leftChars="0" w:right="0" w:rightChars="0" w:firstLine="115" w:firstLineChars="48"/>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企业业绩</w:t>
            </w:r>
          </w:p>
          <w:p w14:paraId="7F13A1AB">
            <w:pPr>
              <w:keepNext w:val="0"/>
              <w:keepLines/>
              <w:pageBreakBefore w:val="0"/>
              <w:kinsoku/>
              <w:wordWrap w:val="0"/>
              <w:overflowPunct/>
              <w:topLinePunct w:val="0"/>
              <w:bidi w:val="0"/>
              <w:adjustRightInd/>
              <w:snapToGrid/>
              <w:spacing w:line="240" w:lineRule="auto"/>
              <w:ind w:left="0" w:leftChars="0" w:right="0" w:rightChars="0" w:firstLine="115" w:firstLineChars="48"/>
              <w:jc w:val="center"/>
              <w:textAlignment w:val="auto"/>
              <w:rPr>
                <w:rFonts w:hint="eastAsia" w:ascii="仿宋" w:hAnsi="仿宋" w:eastAsia="仿宋" w:cs="仿宋"/>
                <w:bCs/>
                <w:color w:val="auto"/>
                <w:sz w:val="24"/>
                <w:szCs w:val="24"/>
                <w:highlight w:val="none"/>
                <w:lang w:val="zh-CN"/>
              </w:rPr>
            </w:pPr>
          </w:p>
        </w:tc>
        <w:tc>
          <w:tcPr>
            <w:tcW w:w="6956" w:type="dxa"/>
            <w:noWrap w:val="0"/>
            <w:vAlign w:val="center"/>
          </w:tcPr>
          <w:p w14:paraId="4A08EA5E">
            <w:pPr>
              <w:keepNext w:val="0"/>
              <w:keepLines/>
              <w:pageBreakBefore w:val="0"/>
              <w:kinsoku/>
              <w:wordWrap w:val="0"/>
              <w:overflowPunct/>
              <w:topLinePunct w:val="0"/>
              <w:autoSpaceDE w:val="0"/>
              <w:autoSpaceDN w:val="0"/>
              <w:bidi w:val="0"/>
              <w:adjustRightInd/>
              <w:snapToGrid/>
              <w:spacing w:line="240" w:lineRule="auto"/>
              <w:ind w:left="0" w:leftChars="0" w:right="0" w:rightChars="0"/>
              <w:textAlignment w:val="auto"/>
              <w:rPr>
                <w:rFonts w:hint="eastAsia" w:ascii="仿宋" w:hAnsi="仿宋" w:eastAsia="仿宋" w:cs="仿宋"/>
                <w:bCs/>
                <w:color w:val="auto"/>
                <w:spacing w:val="-6"/>
                <w:sz w:val="24"/>
                <w:szCs w:val="24"/>
                <w:highlight w:val="none"/>
              </w:rPr>
            </w:pPr>
            <w:r>
              <w:rPr>
                <w:rFonts w:hint="eastAsia" w:ascii="仿宋" w:hAnsi="仿宋" w:eastAsia="仿宋" w:cs="仿宋"/>
                <w:bCs/>
                <w:color w:val="auto"/>
                <w:sz w:val="24"/>
                <w:szCs w:val="24"/>
                <w:highlight w:val="none"/>
                <w:lang w:val="zh-CN"/>
              </w:rPr>
              <w:t>供应商（20</w:t>
            </w: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val="zh-CN"/>
              </w:rPr>
              <w:t>年</w:t>
            </w:r>
            <w:r>
              <w:rPr>
                <w:rFonts w:hint="eastAsia" w:ascii="仿宋" w:hAnsi="仿宋" w:eastAsia="仿宋" w:cs="仿宋"/>
                <w:bCs/>
                <w:color w:val="auto"/>
                <w:sz w:val="24"/>
                <w:szCs w:val="24"/>
                <w:highlight w:val="none"/>
                <w:lang w:val="en-US" w:eastAsia="zh-CN"/>
              </w:rPr>
              <w:t>1月1日</w:t>
            </w:r>
            <w:r>
              <w:rPr>
                <w:rFonts w:hint="eastAsia" w:ascii="仿宋" w:hAnsi="仿宋" w:eastAsia="仿宋" w:cs="仿宋"/>
                <w:bCs/>
                <w:color w:val="auto"/>
                <w:sz w:val="24"/>
                <w:szCs w:val="24"/>
                <w:highlight w:val="none"/>
              </w:rPr>
              <w:t>至今）完成过类似工程业绩</w:t>
            </w:r>
            <w:r>
              <w:rPr>
                <w:rFonts w:hint="eastAsia" w:ascii="仿宋" w:hAnsi="仿宋" w:eastAsia="仿宋" w:cs="仿宋"/>
                <w:bCs/>
                <w:color w:val="auto"/>
                <w:sz w:val="24"/>
                <w:szCs w:val="24"/>
                <w:highlight w:val="none"/>
                <w:lang w:val="zh-CN"/>
              </w:rPr>
              <w:t>，一项得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val="zh-CN"/>
              </w:rPr>
              <w:t>分，最多得</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val="zh-CN"/>
              </w:rPr>
              <w:t>分（应提供中标通知书或合同协议书或竣工验收报告，以竣工时间为准，响应文件内附复印件</w:t>
            </w:r>
            <w:r>
              <w:rPr>
                <w:rFonts w:hint="eastAsia" w:ascii="仿宋" w:hAnsi="仿宋" w:eastAsia="仿宋" w:cs="仿宋"/>
                <w:bCs/>
                <w:color w:val="auto"/>
                <w:sz w:val="24"/>
                <w:szCs w:val="24"/>
                <w:highlight w:val="none"/>
              </w:rPr>
              <w:t>加盖公章</w:t>
            </w:r>
            <w:r>
              <w:rPr>
                <w:rFonts w:hint="eastAsia" w:ascii="仿宋" w:hAnsi="仿宋" w:eastAsia="仿宋" w:cs="仿宋"/>
                <w:bCs/>
                <w:color w:val="auto"/>
                <w:sz w:val="24"/>
                <w:szCs w:val="24"/>
                <w:highlight w:val="none"/>
                <w:lang w:val="zh-CN"/>
              </w:rPr>
              <w:t>）。</w:t>
            </w:r>
          </w:p>
        </w:tc>
        <w:tc>
          <w:tcPr>
            <w:tcW w:w="822" w:type="dxa"/>
            <w:noWrap w:val="0"/>
            <w:vAlign w:val="center"/>
          </w:tcPr>
          <w:p w14:paraId="0246A759">
            <w:pPr>
              <w:autoSpaceDE w:val="0"/>
              <w:autoSpaceDN w:val="0"/>
              <w:adjustRightInd w:val="0"/>
              <w:spacing w:line="24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0-4</w:t>
            </w:r>
          </w:p>
        </w:tc>
      </w:tr>
      <w:tr w14:paraId="1C6B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823" w:type="dxa"/>
            <w:vMerge w:val="continue"/>
            <w:noWrap w:val="0"/>
            <w:vAlign w:val="center"/>
          </w:tcPr>
          <w:p w14:paraId="26A07C7B">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p>
        </w:tc>
        <w:tc>
          <w:tcPr>
            <w:tcW w:w="1538" w:type="dxa"/>
            <w:shd w:val="clear" w:color="auto" w:fill="auto"/>
            <w:noWrap w:val="0"/>
            <w:vAlign w:val="center"/>
          </w:tcPr>
          <w:p w14:paraId="7EC817E5">
            <w:pPr>
              <w:keepNext w:val="0"/>
              <w:keepLines/>
              <w:pageBreakBefore w:val="0"/>
              <w:kinsoku/>
              <w:wordWrap w:val="0"/>
              <w:overflowPunct/>
              <w:topLinePunct w:val="0"/>
              <w:bidi w:val="0"/>
              <w:adjustRightInd/>
              <w:snapToGrid/>
              <w:spacing w:line="240" w:lineRule="auto"/>
              <w:ind w:left="0" w:leftChars="0" w:right="0" w:rightChars="0" w:firstLine="115" w:firstLineChars="48"/>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优惠条件</w:t>
            </w:r>
            <w:r>
              <w:rPr>
                <w:rFonts w:hint="eastAsia" w:ascii="仿宋" w:hAnsi="仿宋" w:eastAsia="仿宋" w:cs="仿宋"/>
                <w:color w:val="auto"/>
                <w:sz w:val="24"/>
                <w:szCs w:val="24"/>
                <w:highlight w:val="none"/>
                <w:lang w:val="en-US" w:eastAsia="zh-CN"/>
              </w:rPr>
              <w:t>及服务承诺</w:t>
            </w:r>
          </w:p>
        </w:tc>
        <w:tc>
          <w:tcPr>
            <w:tcW w:w="6956" w:type="dxa"/>
            <w:shd w:val="clear" w:color="auto" w:fill="auto"/>
            <w:noWrap w:val="0"/>
            <w:vAlign w:val="top"/>
          </w:tcPr>
          <w:p w14:paraId="4AB424A4">
            <w:pPr>
              <w:keepNext w:val="0"/>
              <w:keepLines/>
              <w:pageBreakBefore w:val="0"/>
              <w:kinsoku/>
              <w:wordWrap w:val="0"/>
              <w:overflowPunct/>
              <w:topLinePunct w:val="0"/>
              <w:bidi w:val="0"/>
              <w:adjustRightInd/>
              <w:snapToGrid/>
              <w:spacing w:line="240" w:lineRule="auto"/>
              <w:ind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磋商小组对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提供的优惠条件及服务承诺合理且有实质性内容，每有一项得0.5分，最多得3分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未提供</w:t>
            </w:r>
            <w:r>
              <w:rPr>
                <w:rFonts w:hint="eastAsia" w:ascii="仿宋" w:hAnsi="仿宋" w:eastAsia="仿宋" w:cs="仿宋"/>
                <w:color w:val="auto"/>
                <w:sz w:val="24"/>
                <w:szCs w:val="24"/>
                <w:highlight w:val="none"/>
              </w:rPr>
              <w:t>不得分。</w:t>
            </w:r>
          </w:p>
        </w:tc>
        <w:tc>
          <w:tcPr>
            <w:tcW w:w="822" w:type="dxa"/>
            <w:shd w:val="clear" w:color="auto" w:fill="auto"/>
            <w:noWrap w:val="0"/>
            <w:vAlign w:val="center"/>
          </w:tcPr>
          <w:p w14:paraId="5633B617">
            <w:pPr>
              <w:keepNext w:val="0"/>
              <w:keepLines/>
              <w:pageBreakBefore w:val="0"/>
              <w:kinsoku/>
              <w:wordWrap w:val="0"/>
              <w:overflowPunct/>
              <w:topLinePunct w:val="0"/>
              <w:bidi w:val="0"/>
              <w:adjustRightInd/>
              <w:snapToGrid/>
              <w:spacing w:line="240" w:lineRule="auto"/>
              <w:ind w:left="0" w:leftChars="0" w:right="0" w:rightChars="0" w:firstLine="115" w:firstLineChars="48"/>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p>
        </w:tc>
      </w:tr>
    </w:tbl>
    <w:p w14:paraId="15BBB829">
      <w:pPr>
        <w:keepNext/>
        <w:keepLines/>
        <w:pageBreakBefore w:val="0"/>
        <w:widowControl/>
        <w:tabs>
          <w:tab w:val="left" w:pos="2520"/>
        </w:tabs>
        <w:kinsoku/>
        <w:wordWrap/>
        <w:overflowPunct/>
        <w:topLinePunct w:val="0"/>
        <w:autoSpaceDE/>
        <w:autoSpaceDN/>
        <w:bidi w:val="0"/>
        <w:adjustRightInd/>
        <w:snapToGrid/>
        <w:spacing w:before="0" w:after="0" w:line="460" w:lineRule="exact"/>
        <w:ind w:left="1298" w:hanging="1298"/>
        <w:textAlignment w:val="auto"/>
        <w:outlineLvl w:val="9"/>
        <w:rPr>
          <w:rFonts w:hint="eastAsia" w:ascii="仿宋" w:hAnsi="仿宋" w:eastAsia="仿宋" w:cs="仿宋"/>
          <w:color w:val="auto"/>
          <w:sz w:val="24"/>
          <w:szCs w:val="24"/>
          <w:highlight w:val="none"/>
          <w:lang w:val="zh-CN"/>
        </w:rPr>
        <w:sectPr>
          <w:pgSz w:w="11906" w:h="16838"/>
          <w:pgMar w:top="1440" w:right="1080" w:bottom="1440" w:left="1080" w:header="851" w:footer="992" w:gutter="0"/>
          <w:pgNumType w:fmt="decimal"/>
          <w:cols w:space="0" w:num="1"/>
          <w:docGrid w:type="lines" w:linePitch="312" w:charSpace="0"/>
        </w:sectPr>
      </w:pPr>
    </w:p>
    <w:p w14:paraId="4FC6AE7E">
      <w:pPr>
        <w:keepNext/>
        <w:keepLines/>
        <w:pageBreakBefore w:val="0"/>
        <w:widowControl/>
        <w:tabs>
          <w:tab w:val="left" w:pos="2520"/>
        </w:tabs>
        <w:kinsoku/>
        <w:wordWrap/>
        <w:overflowPunct/>
        <w:topLinePunct w:val="0"/>
        <w:autoSpaceDE/>
        <w:autoSpaceDN/>
        <w:bidi w:val="0"/>
        <w:adjustRightInd/>
        <w:snapToGrid/>
        <w:spacing w:before="0" w:after="0" w:line="460" w:lineRule="exact"/>
        <w:ind w:left="1298" w:hanging="1298"/>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 评标方法</w:t>
      </w:r>
      <w:bookmarkEnd w:id="62"/>
      <w:bookmarkEnd w:id="63"/>
      <w:bookmarkEnd w:id="64"/>
      <w:bookmarkEnd w:id="65"/>
      <w:bookmarkEnd w:id="66"/>
    </w:p>
    <w:p w14:paraId="07299F7D">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bookmarkStart w:id="67" w:name="_Toc144974568"/>
      <w:bookmarkStart w:id="68" w:name="_Toc152042378"/>
      <w:bookmarkStart w:id="69" w:name="_Toc152045601"/>
      <w:bookmarkStart w:id="70" w:name="_Toc504654784"/>
      <w:bookmarkStart w:id="71" w:name="_Toc179632619"/>
      <w:r>
        <w:rPr>
          <w:rFonts w:hint="eastAsia" w:ascii="仿宋" w:hAnsi="仿宋" w:eastAsia="仿宋" w:cs="仿宋"/>
          <w:color w:val="auto"/>
          <w:sz w:val="24"/>
          <w:szCs w:val="24"/>
          <w:highlight w:val="none"/>
          <w:lang w:val="zh-CN"/>
        </w:rPr>
        <w:t>本次评标采用综合评估法。评标委员会对满足</w:t>
      </w:r>
      <w:r>
        <w:rPr>
          <w:rFonts w:hint="eastAsia" w:ascii="仿宋" w:hAnsi="仿宋" w:eastAsia="仿宋" w:cs="仿宋"/>
          <w:color w:val="auto"/>
          <w:sz w:val="24"/>
          <w:szCs w:val="24"/>
          <w:highlight w:val="none"/>
          <w:lang w:val="zh-CN" w:eastAsia="zh-CN"/>
        </w:rPr>
        <w:t>磋商文件</w:t>
      </w:r>
      <w:r>
        <w:rPr>
          <w:rFonts w:hint="eastAsia" w:ascii="仿宋" w:hAnsi="仿宋" w:eastAsia="仿宋" w:cs="仿宋"/>
          <w:color w:val="auto"/>
          <w:sz w:val="24"/>
          <w:szCs w:val="24"/>
          <w:highlight w:val="none"/>
          <w:lang w:val="zh-CN"/>
        </w:rPr>
        <w:t>实质性要求的</w:t>
      </w:r>
      <w:r>
        <w:rPr>
          <w:rFonts w:hint="eastAsia" w:ascii="仿宋" w:hAnsi="仿宋" w:eastAsia="仿宋" w:cs="仿宋"/>
          <w:color w:val="auto"/>
          <w:sz w:val="24"/>
          <w:szCs w:val="24"/>
          <w:highlight w:val="none"/>
          <w:lang w:val="zh-CN" w:eastAsia="zh-CN"/>
        </w:rPr>
        <w:t>磋商响应文件</w:t>
      </w:r>
      <w:r>
        <w:rPr>
          <w:rFonts w:hint="eastAsia" w:ascii="仿宋" w:hAnsi="仿宋" w:eastAsia="仿宋" w:cs="仿宋"/>
          <w:color w:val="auto"/>
          <w:sz w:val="24"/>
          <w:szCs w:val="24"/>
          <w:highlight w:val="none"/>
          <w:lang w:val="zh-CN"/>
        </w:rPr>
        <w:t>，按照本章2.2 款规定的评分标准进行打分，并按得分由高到低顺序推荐中标候选人，或根据</w:t>
      </w:r>
      <w:r>
        <w:rPr>
          <w:rFonts w:hint="eastAsia" w:ascii="仿宋" w:hAnsi="仿宋" w:eastAsia="仿宋" w:cs="仿宋"/>
          <w:color w:val="auto"/>
          <w:sz w:val="24"/>
          <w:szCs w:val="24"/>
          <w:highlight w:val="none"/>
          <w:lang w:val="zh-CN" w:eastAsia="zh-CN"/>
        </w:rPr>
        <w:t>采购人</w:t>
      </w:r>
      <w:r>
        <w:rPr>
          <w:rFonts w:hint="eastAsia" w:ascii="仿宋" w:hAnsi="仿宋" w:eastAsia="仿宋" w:cs="仿宋"/>
          <w:color w:val="auto"/>
          <w:sz w:val="24"/>
          <w:szCs w:val="24"/>
          <w:highlight w:val="none"/>
          <w:lang w:val="zh-CN"/>
        </w:rPr>
        <w:t>授权直接确定中标人，但投标报价低于其成本的除外。综合评分相等时，以投标报价低的优先；投标报价也相等的，以技术得分高的优先；如果技术得分也相等，按照评标办法前附表的规定确定中标候选人顺序。</w:t>
      </w:r>
    </w:p>
    <w:p w14:paraId="5586ED94">
      <w:pPr>
        <w:keepNext/>
        <w:keepLines/>
        <w:pageBreakBefore w:val="0"/>
        <w:widowControl/>
        <w:tabs>
          <w:tab w:val="left" w:pos="2520"/>
        </w:tabs>
        <w:kinsoku/>
        <w:wordWrap/>
        <w:overflowPunct/>
        <w:topLinePunct w:val="0"/>
        <w:autoSpaceDE/>
        <w:autoSpaceDN/>
        <w:bidi w:val="0"/>
        <w:adjustRightInd/>
        <w:snapToGrid/>
        <w:spacing w:before="0" w:after="0" w:line="460" w:lineRule="exact"/>
        <w:ind w:left="1298" w:hanging="1298"/>
        <w:textAlignment w:val="auto"/>
        <w:outlineLvl w:val="9"/>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2. 评审标准</w:t>
      </w:r>
      <w:bookmarkEnd w:id="67"/>
      <w:bookmarkEnd w:id="68"/>
      <w:bookmarkEnd w:id="69"/>
      <w:bookmarkEnd w:id="70"/>
      <w:bookmarkEnd w:id="71"/>
    </w:p>
    <w:p w14:paraId="51012B7D">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2.1 初步评审标准</w:t>
      </w:r>
    </w:p>
    <w:p w14:paraId="2939F7D4">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2.1.1 形式评审标准：见评标办法前附表。</w:t>
      </w:r>
    </w:p>
    <w:p w14:paraId="1A6A7BE9">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2.1.2 资格评审标准：见评标办法前附表</w:t>
      </w:r>
    </w:p>
    <w:p w14:paraId="360C0A80">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2.1.3 响应性评审标准：见评标办法前附表。</w:t>
      </w:r>
    </w:p>
    <w:p w14:paraId="33C2C60A">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bookmarkStart w:id="72" w:name="_Toc152045603"/>
      <w:bookmarkStart w:id="73" w:name="_Toc179632621"/>
      <w:bookmarkStart w:id="74" w:name="_Toc144974570"/>
      <w:bookmarkStart w:id="75" w:name="_Toc504654786"/>
      <w:bookmarkStart w:id="76" w:name="_Toc504479753"/>
      <w:bookmarkStart w:id="77" w:name="_Toc504479301"/>
      <w:bookmarkStart w:id="78" w:name="_Toc152042380"/>
      <w:r>
        <w:rPr>
          <w:rFonts w:hint="eastAsia" w:ascii="仿宋" w:hAnsi="仿宋" w:eastAsia="仿宋" w:cs="仿宋"/>
          <w:color w:val="auto"/>
          <w:sz w:val="24"/>
          <w:szCs w:val="24"/>
          <w:highlight w:val="none"/>
          <w:lang w:val="zh-CN"/>
        </w:rPr>
        <w:t>2.2 分值构成与评分标准</w:t>
      </w:r>
      <w:bookmarkEnd w:id="72"/>
      <w:bookmarkEnd w:id="73"/>
      <w:bookmarkEnd w:id="74"/>
      <w:bookmarkEnd w:id="75"/>
      <w:bookmarkEnd w:id="76"/>
      <w:bookmarkEnd w:id="77"/>
      <w:bookmarkEnd w:id="78"/>
    </w:p>
    <w:p w14:paraId="106424C0">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2.2.1 分值构成</w:t>
      </w:r>
    </w:p>
    <w:p w14:paraId="11559DCF">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(l）施工组织设计：见评标办法前附表；</w:t>
      </w:r>
    </w:p>
    <w:p w14:paraId="5C893202">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(2）项目管理机构：见评标办法前附表；</w:t>
      </w:r>
    </w:p>
    <w:p w14:paraId="158171FB">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(3）投标报价：见评标办法前附表；</w:t>
      </w:r>
    </w:p>
    <w:p w14:paraId="70B626E4">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(4）其他评分因素：见评标办法前附表。</w:t>
      </w:r>
    </w:p>
    <w:p w14:paraId="566AE9DD">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2.2.2 评标基准价计算</w:t>
      </w:r>
    </w:p>
    <w:p w14:paraId="649844A7">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评标基准价计算方法：见评标办法前附表。</w:t>
      </w:r>
    </w:p>
    <w:p w14:paraId="45D55A62">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2.2.3 投标报价的偏差率计算</w:t>
      </w:r>
    </w:p>
    <w:p w14:paraId="5B9FD84A">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投标报价的偏差率计算公式：见评标办法前附表。</w:t>
      </w:r>
    </w:p>
    <w:p w14:paraId="5200390C">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2.2.4 评分标准</w:t>
      </w:r>
    </w:p>
    <w:p w14:paraId="7CF61FD9">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bookmarkStart w:id="79" w:name="_Toc179632622"/>
      <w:bookmarkStart w:id="80" w:name="_Toc144974571"/>
      <w:bookmarkStart w:id="81" w:name="_Toc152045604"/>
      <w:bookmarkStart w:id="82" w:name="_Toc152042381"/>
      <w:r>
        <w:rPr>
          <w:rFonts w:hint="eastAsia" w:ascii="仿宋" w:hAnsi="仿宋" w:eastAsia="仿宋" w:cs="仿宋"/>
          <w:color w:val="auto"/>
          <w:sz w:val="24"/>
          <w:szCs w:val="24"/>
          <w:highlight w:val="none"/>
          <w:lang w:val="zh-CN"/>
        </w:rPr>
        <w:t>(1）施工组织设计评分标准：见评标办法前附表；</w:t>
      </w:r>
    </w:p>
    <w:p w14:paraId="44208503">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(2）项目管理机构评分标准：见评标办法前附表；</w:t>
      </w:r>
    </w:p>
    <w:p w14:paraId="690F1A7A">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(3）投标报价评分标准：见评标办法前附表；</w:t>
      </w:r>
    </w:p>
    <w:p w14:paraId="5B9C5911">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(4）其他因素评分标准：见评标办法前附表。</w:t>
      </w:r>
    </w:p>
    <w:p w14:paraId="32178FE3">
      <w:pPr>
        <w:keepNext/>
        <w:keepLines/>
        <w:pageBreakBefore w:val="0"/>
        <w:widowControl/>
        <w:tabs>
          <w:tab w:val="left" w:pos="2520"/>
        </w:tabs>
        <w:kinsoku/>
        <w:wordWrap/>
        <w:overflowPunct/>
        <w:topLinePunct w:val="0"/>
        <w:autoSpaceDE/>
        <w:autoSpaceDN/>
        <w:bidi w:val="0"/>
        <w:adjustRightInd/>
        <w:snapToGrid/>
        <w:spacing w:before="0" w:after="0" w:line="460" w:lineRule="exact"/>
        <w:ind w:left="1298" w:hanging="1298"/>
        <w:textAlignment w:val="auto"/>
        <w:outlineLvl w:val="9"/>
        <w:rPr>
          <w:rFonts w:hint="eastAsia" w:ascii="仿宋" w:hAnsi="仿宋" w:eastAsia="仿宋" w:cs="仿宋"/>
          <w:b/>
          <w:bCs/>
          <w:color w:val="auto"/>
          <w:sz w:val="24"/>
          <w:szCs w:val="24"/>
          <w:highlight w:val="none"/>
          <w:lang w:val="zh-CN"/>
        </w:rPr>
      </w:pPr>
      <w:bookmarkStart w:id="83" w:name="_Toc504654787"/>
      <w:r>
        <w:rPr>
          <w:rFonts w:hint="eastAsia" w:ascii="仿宋" w:hAnsi="仿宋" w:eastAsia="仿宋" w:cs="仿宋"/>
          <w:b/>
          <w:bCs/>
          <w:color w:val="auto"/>
          <w:sz w:val="24"/>
          <w:szCs w:val="24"/>
          <w:highlight w:val="none"/>
          <w:lang w:val="zh-CN"/>
        </w:rPr>
        <w:t>3. 评标程序</w:t>
      </w:r>
      <w:bookmarkEnd w:id="79"/>
      <w:bookmarkEnd w:id="80"/>
      <w:bookmarkEnd w:id="81"/>
      <w:bookmarkEnd w:id="82"/>
      <w:bookmarkEnd w:id="83"/>
    </w:p>
    <w:p w14:paraId="3DE08D88">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组建磋商小组</w:t>
      </w:r>
    </w:p>
    <w:p w14:paraId="79AEC1EE">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磋商小组根据采购内容的特点进行组建，并负责评审磋商工作。磋商小组的构成及抽取方式详见</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须知前附表。</w:t>
      </w:r>
    </w:p>
    <w:p w14:paraId="4793D6D8">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磋商响应文件的初审与澄清</w:t>
      </w:r>
    </w:p>
    <w:p w14:paraId="0D36E2BE">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磋商响应文件的初审分为形式评审、资格评审和响应性评审。形式、资格、响应性评审依据法律、法规和磋商文件的规定，对磋商响应文件中的资格证明、磋商保证金等进行审查，以确定</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是否具备报价资格。评审标准详见《磋商评审细则》。</w:t>
      </w:r>
    </w:p>
    <w:p w14:paraId="22C75EC7">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3.磋商响应文件的澄清</w:t>
      </w:r>
    </w:p>
    <w:p w14:paraId="255920E3">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3.1在评审期间，磋商小组有权以书面方式要求</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对其磋商响应文件中含义不明确、对同类问题表述不一致或者有明显文字和计算错误的内容做必要的澄清。</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澄清应在磋商小组规定的时间内以书面方式进行，并不得超出磋商响应文件范围或者改变磋商响应文件的实质性内容。</w:t>
      </w:r>
    </w:p>
    <w:p w14:paraId="7A7C5936">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3.2澄清文件将作为磋商响应文件内容的一部分。</w:t>
      </w:r>
    </w:p>
    <w:p w14:paraId="1BF536C0">
      <w:pPr>
        <w:keepNext/>
        <w:keepLines/>
        <w:pageBreakBefore w:val="0"/>
        <w:widowControl/>
        <w:tabs>
          <w:tab w:val="left" w:pos="2520"/>
        </w:tabs>
        <w:kinsoku/>
        <w:wordWrap/>
        <w:overflowPunct/>
        <w:topLinePunct w:val="0"/>
        <w:autoSpaceDE/>
        <w:autoSpaceDN/>
        <w:bidi w:val="0"/>
        <w:adjustRightInd/>
        <w:snapToGrid/>
        <w:spacing w:before="0" w:after="0" w:line="460" w:lineRule="exact"/>
        <w:ind w:left="1298" w:hanging="1298"/>
        <w:textAlignment w:val="auto"/>
        <w:outlineLvl w:val="9"/>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4.比较与评价</w:t>
      </w:r>
    </w:p>
    <w:p w14:paraId="33B26870">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4.1经审查合格的磋商响应文件。</w:t>
      </w:r>
    </w:p>
    <w:p w14:paraId="330F13EA">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4.1.1磋商小组所有成员应当集中与单一</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分别进行磋商，并给予所有参加磋商的</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平等的磋商机会。在磋商过程中，磋商小组可以根据磋商文件和磋商情况实质性变动采购需求中的技术、服务要求以及合同草案条款，但不变动磋商文件中的其他内容。实质性变动的内容，须经采购人代表确认。</w:t>
      </w:r>
    </w:p>
    <w:p w14:paraId="5281E0B8">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4.1.2对磋商文件作出的实质性变动是磋商文件的有效组成部分，磋商小组将及时以书面形式同时通知所有参加磋商的</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w:t>
      </w:r>
    </w:p>
    <w:p w14:paraId="79054A3C">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4.1.3</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应当按照磋商文件的变动情况和磋商小组的要求重新提交响应文件，并由其法定代表人或授权代表签字或者加盖公章。由授权代表签字的，应当附法定代表人授权书。</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为自然人的，应当由本人签字并附身份证明。</w:t>
      </w:r>
    </w:p>
    <w:p w14:paraId="0A255718">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4.1.4磋商结束后，磋商小组将要求所有实质性响应的</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在规定时间内提交最后报价，提交最后报价的</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不得少于3家。最后报价是</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响应文件的有效组成部分。</w:t>
      </w:r>
    </w:p>
    <w:p w14:paraId="50418FDA">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4.1.5已提交响应文件的</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，在提交最后报价之前，可以根据磋商情况退出磋商。采购人、采购代理机构将退还退出磋商的</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的磋商保证金。</w:t>
      </w:r>
    </w:p>
    <w:p w14:paraId="66E6028C">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4.1.6经磋商确定最终采购需求和提交最后报价的</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后，由磋商小组采用综合评分法对提交最后报价的</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的响应文件和最后报价进行综合评分。</w:t>
      </w:r>
    </w:p>
    <w:p w14:paraId="25FCF675">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4.2评审严格按照磋商文件的要求和条件进行。评审时将考虑以下因素：</w:t>
      </w:r>
    </w:p>
    <w:p w14:paraId="68C3DFB4">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能力；</w:t>
      </w:r>
    </w:p>
    <w:p w14:paraId="7115DDB7">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报价的合理性；</w:t>
      </w:r>
    </w:p>
    <w:p w14:paraId="5D2CA73F">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方案实施能力； </w:t>
      </w:r>
    </w:p>
    <w:p w14:paraId="5A40DDF6">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商务响应；</w:t>
      </w:r>
    </w:p>
    <w:p w14:paraId="47ED056A">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技术响应。</w:t>
      </w:r>
    </w:p>
    <w:p w14:paraId="1F902D3F">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4.3本次评审将采用下列方法：</w:t>
      </w:r>
    </w:p>
    <w:p w14:paraId="1669C54D">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详见评分标准。</w:t>
      </w:r>
    </w:p>
    <w:p w14:paraId="634DF080">
      <w:pPr>
        <w:keepNext/>
        <w:keepLines/>
        <w:pageBreakBefore w:val="0"/>
        <w:widowControl/>
        <w:tabs>
          <w:tab w:val="left" w:pos="2520"/>
        </w:tabs>
        <w:kinsoku/>
        <w:wordWrap/>
        <w:overflowPunct/>
        <w:topLinePunct w:val="0"/>
        <w:autoSpaceDE/>
        <w:autoSpaceDN/>
        <w:bidi w:val="0"/>
        <w:adjustRightInd/>
        <w:snapToGrid/>
        <w:spacing w:before="0" w:after="0" w:line="460" w:lineRule="exact"/>
        <w:ind w:left="1298" w:hanging="1298"/>
        <w:textAlignment w:val="auto"/>
        <w:outlineLvl w:val="9"/>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val="zh-CN"/>
        </w:rPr>
        <w:t>评审过程及保密原则</w:t>
      </w:r>
    </w:p>
    <w:p w14:paraId="1B2BD922">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5.1磋商响应文件递交后，直接授予成交</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合同止，凡与本次采购有关人员对属于审查、澄清、评价和比较报价的有关资料以及授标意向等，均不得向</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或其他无关的人员透露。</w:t>
      </w:r>
    </w:p>
    <w:p w14:paraId="3346C5AF">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5.2在磋商评审期间，</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试图影响采购单位和磋商小组的任何活动，将导致其报价被拒绝，并承担相应的法律责任。</w:t>
      </w:r>
    </w:p>
    <w:p w14:paraId="0AB1387C">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6.本项目采用综合评分法，评审标准详见附表《磋商评审细则》，评审时磋商小组将严格按照评审细则中的分值设置与评审因素进行量化打分。磋商文件中没有规定的评审标准不得作为评审依据。</w:t>
      </w:r>
    </w:p>
    <w:p w14:paraId="129C6293">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评审时，磋商小组各成员独立对每个有效响应的文件进行评价、打分，然后汇总每个</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每项评分因素的得分。</w:t>
      </w:r>
    </w:p>
    <w:p w14:paraId="5E935901">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7.磋商小组根据综合评分情况，按照评审得分由高到低顺序推荐3名以上成交候选</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，并编写评审报告。</w:t>
      </w:r>
    </w:p>
    <w:p w14:paraId="10EEA6A4">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8.原则上推荐排名位于第一名的成交候选</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为中标</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。若排名第一的成交候选</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放弃中标、因不可抗力提出不能履行合同或竞争性磋规定应当提交履约保证金而在规定的期限内未能提交的，采购人有权选择重新招标，或者采购人确定排名第二的成交候选</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为中标</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，以此类推。</w:t>
      </w:r>
    </w:p>
    <w:p w14:paraId="534B8778">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9.磋商小组完成评标后，应当向采购人提交书面评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lang w:val="zh-CN"/>
        </w:rPr>
        <w:t>报告。</w:t>
      </w:r>
    </w:p>
    <w:p w14:paraId="36E7233C">
      <w:pPr>
        <w:pStyle w:val="3"/>
        <w:rPr>
          <w:rFonts w:hint="eastAsia" w:ascii="仿宋" w:hAnsi="仿宋" w:eastAsia="仿宋" w:cs="仿宋"/>
          <w:color w:val="auto"/>
          <w:sz w:val="24"/>
          <w:szCs w:val="24"/>
          <w:highlight w:val="none"/>
        </w:rPr>
        <w:sectPr>
          <w:pgSz w:w="11906" w:h="16838"/>
          <w:pgMar w:top="1440" w:right="1080" w:bottom="1440" w:left="1080" w:header="851" w:footer="992" w:gutter="0"/>
          <w:pgNumType w:fmt="decimal"/>
          <w:cols w:space="0" w:num="1"/>
          <w:docGrid w:type="lines" w:linePitch="312" w:charSpace="0"/>
        </w:sectPr>
      </w:pPr>
    </w:p>
    <w:p w14:paraId="603DD4E5">
      <w:pPr>
        <w:autoSpaceDE w:val="0"/>
        <w:autoSpaceDN w:val="0"/>
        <w:adjustRightInd w:val="0"/>
        <w:spacing w:line="360" w:lineRule="auto"/>
        <w:jc w:val="center"/>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本项目需要落实的政府采购政策包括：</w:t>
      </w:r>
    </w:p>
    <w:p w14:paraId="2C8DDB6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一、促进中小企业发展政策</w:t>
      </w:r>
    </w:p>
    <w:p w14:paraId="6ACD5B9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（一）政策依据</w:t>
      </w:r>
    </w:p>
    <w:p w14:paraId="555666FF">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财政部 工业和信息化部《政府采购促进中小企业发展管理办法》（财库﹝2020﹞46号）。</w:t>
      </w:r>
    </w:p>
    <w:p w14:paraId="4534034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（二）中小企业的认定</w:t>
      </w:r>
    </w:p>
    <w:p w14:paraId="3B02CB04">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1、在中华人民共和国境内依法设立，依据国务院批准的中小企业划分标准确定的中型企业、小型企业和微型企业，但与大企业的负责人为同一人，或者与大企业存在直接控股、管理关系的除外。</w:t>
      </w:r>
    </w:p>
    <w:p w14:paraId="65840C0C">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2、符合中小企业划分标准的个体工商户，在政府采购活动中视同中小企业。</w:t>
      </w:r>
    </w:p>
    <w:p w14:paraId="2FE7A79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3、以联合体形式参加政府采购活动，联合体各方均为中小企业的，联合体视同中小企业。其中，联合体各方均为小微企业的，联合体视同小微企业。</w:t>
      </w:r>
    </w:p>
    <w:p w14:paraId="26D34E42">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（三）中小企业需提供的证明材料</w:t>
      </w:r>
    </w:p>
    <w:p w14:paraId="488ED77D">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中小企业参加政府采购活动，应当出具本采购文件规定的《中小企业声明函》，否则不得享受相关中小企业扶持政策。任何单位和个人不得要求供应商提供《中小企业声明函》之外的中小企业身份证明文件。</w:t>
      </w:r>
    </w:p>
    <w:p w14:paraId="376D3B91">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（四）中小企业扶持政策享受情形</w:t>
      </w:r>
    </w:p>
    <w:p w14:paraId="2862146C">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在政府采购活动中，供应商提供的货物、工程或者服务符合下列情形的，享受相关中小企业扶持政策：</w:t>
      </w:r>
    </w:p>
    <w:p w14:paraId="17BB5FA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在货物采购项目中，货物由中小企业制造，即货物由中小企业生产且使用该中小企业商号或者注册商标；</w:t>
      </w:r>
    </w:p>
    <w:p w14:paraId="4B7CBA2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2、在工程采购项目中，工程由中小企业承建，即工程施工单位为中小企业；</w:t>
      </w:r>
    </w:p>
    <w:p w14:paraId="022AA14E">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3、在服务采购项目中，服务由中小企业承接，即提供服务的人员为中小企业依照《中华人民共和国劳动合同法》订立劳动合同的从业人员。</w:t>
      </w:r>
    </w:p>
    <w:p w14:paraId="215E4CF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在货物采购项目中，供应商提供的货物既有中小企业制造货物，也有大型企业制造货物的，不享受中小企业扶持政策。</w:t>
      </w:r>
    </w:p>
    <w:p w14:paraId="12580F90">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（五）中小企业扶持政策</w:t>
      </w:r>
    </w:p>
    <w:p w14:paraId="3D117B64">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对于非专门面向中小企业采购的采购包，应当对符合本章规定的小微企业报价给予6%（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53740484">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2%（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2CCBE45F">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3、价格扣除比例或者价格分加分比例对小型企业和微型企业同等对待，不作区分。</w:t>
      </w:r>
    </w:p>
    <w:p w14:paraId="016CA4C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（六）合同分包要求</w:t>
      </w:r>
    </w:p>
    <w:p w14:paraId="1731D5C5">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1、享受扶持政策获得政府采购合同的，小微企业不得将合同分包给大中型企业，中型企业不得将合同分包给大型企业。</w:t>
      </w:r>
    </w:p>
    <w:p w14:paraId="57C7AD34">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0054DB6">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（七）法律责任</w:t>
      </w:r>
    </w:p>
    <w:p w14:paraId="72BFE511">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供应商按照本采购文件规定提供声明函内容不实的，属于提供虚假材料谋取中标、成交，依照《中华人民共和国政府采购法》等国家有关规定追究相应责任。</w:t>
      </w:r>
    </w:p>
    <w:p w14:paraId="7176E5A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二、支持监狱企业发展政策</w:t>
      </w:r>
    </w:p>
    <w:p w14:paraId="4ECFA5C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（一）政策依据</w:t>
      </w:r>
    </w:p>
    <w:p w14:paraId="1D01BC0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财政部 司法部《关于政府采购支持监狱企业发展有关问题的通知》（财库〔2014〕68号）。</w:t>
      </w:r>
    </w:p>
    <w:p w14:paraId="7AD940A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（二）监狱企业的认定</w:t>
      </w:r>
    </w:p>
    <w:p w14:paraId="277BF98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A09AA34">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（三）监狱企业需提供的证明材料</w:t>
      </w:r>
    </w:p>
    <w:p w14:paraId="4CC118AD">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监狱企业参加政府采购活动时，应当提供由省级以上监狱管理局、戒毒管理局（含新疆生产建设兵团）出具的属于监狱企业的证明文件。</w:t>
      </w:r>
    </w:p>
    <w:p w14:paraId="62B4CA7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（四）监狱企业支持政策</w:t>
      </w:r>
    </w:p>
    <w:p w14:paraId="44489C37">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777C156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三、支持残疾人福利性单位发展政策</w:t>
      </w:r>
    </w:p>
    <w:p w14:paraId="3097CE52">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（一）政策依据</w:t>
      </w:r>
    </w:p>
    <w:p w14:paraId="4E3C91C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财政部 民政部 中国残疾人联合会《关于促进残疾人就业政府采购政策的通知》（财库[2017]141号）。</w:t>
      </w:r>
    </w:p>
    <w:p w14:paraId="61EDBF9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（二）残疾人福利性单位的认定</w:t>
      </w:r>
    </w:p>
    <w:p w14:paraId="4997315E">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享受政府采购支持政策的残疾人福利性单位应当同时满足以下条件：</w:t>
      </w:r>
    </w:p>
    <w:p w14:paraId="367F964F">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1、安置的残疾人占本单位在职职工人数的比例不低于25%(含25%)，并且安置的残疾人人数不少于10人(含10人)；</w:t>
      </w:r>
    </w:p>
    <w:p w14:paraId="0A3E941F">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2、依法与安置的每位残疾人签订了一年以上(含一年)的劳动合同或服务协议；</w:t>
      </w:r>
    </w:p>
    <w:p w14:paraId="37270A75">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3、为安置的每位残疾人按月足额缴纳了基本养老保险、基本医疗保险、失业保险、工伤保险和生育保险等社会保险费；</w:t>
      </w:r>
    </w:p>
    <w:p w14:paraId="6DEE11F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4、通过银行等金融机构向安置的每位残疾人，按月支付了不低于单位所在区县适用的经省级人民政府批准的月最低工资标准的工资；</w:t>
      </w:r>
    </w:p>
    <w:p w14:paraId="782651E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5、提供本单位制造的货物、承担的工程或者服务(以下简称产品)，或者提供其他残疾人福利性单位制造的货物(不包括使用非残疾人福利性单位注册商标的货物)。</w:t>
      </w:r>
    </w:p>
    <w:p w14:paraId="529DBCA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384B03D">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（三）残疾人福利性单位需提供的证明材料</w:t>
      </w:r>
    </w:p>
    <w:p w14:paraId="7279808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符合条件的残疾人福利性单位在参加政府采购活动时，应当出具本采购文件规定的《残疾人福利性单位声明函》，并对声明的真实性负责。</w:t>
      </w:r>
    </w:p>
    <w:p w14:paraId="3BE5160F">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（四）残疾人福利性单位支持政策</w:t>
      </w:r>
    </w:p>
    <w:p w14:paraId="64AA141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521BADDC">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（五）法律责任</w:t>
      </w:r>
    </w:p>
    <w:p w14:paraId="131E29A6">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供应商按照本采购文件规定提供声明函内容不实的，属于提供虚假材料谋取中标、成交，依照《中华人民共和国政府采购法》等国家有关规定追究相应责任。</w:t>
      </w:r>
    </w:p>
    <w:p w14:paraId="78A04528">
      <w:pPr>
        <w:rPr>
          <w:rFonts w:hint="eastAsia" w:ascii="仿宋" w:hAnsi="仿宋" w:eastAsia="仿宋" w:cs="仿宋"/>
          <w:color w:val="auto"/>
          <w:highlight w:val="none"/>
        </w:rPr>
        <w:sectPr>
          <w:pgSz w:w="11906" w:h="16838"/>
          <w:pgMar w:top="1440" w:right="1080" w:bottom="1440" w:left="1080" w:header="851" w:footer="992" w:gutter="0"/>
          <w:pgNumType w:fmt="decimal"/>
          <w:cols w:space="0" w:num="1"/>
          <w:docGrid w:type="lines" w:linePitch="312" w:charSpace="0"/>
        </w:sectPr>
      </w:pPr>
    </w:p>
    <w:p w14:paraId="5C99A221">
      <w:pPr>
        <w:keepLines w:val="0"/>
        <w:pageBreakBefore/>
        <w:spacing w:line="415" w:lineRule="auto"/>
        <w:jc w:val="left"/>
        <w:textAlignment w:val="baseline"/>
        <w:outlineLvl w:val="9"/>
        <w:rPr>
          <w:rStyle w:val="33"/>
          <w:rFonts w:hint="eastAsia" w:ascii="仿宋" w:hAnsi="仿宋" w:eastAsia="仿宋" w:cs="仿宋"/>
          <w:b/>
          <w:bCs w:val="0"/>
          <w:color w:val="auto"/>
          <w:spacing w:val="12"/>
          <w:sz w:val="24"/>
          <w:szCs w:val="24"/>
          <w:highlight w:val="none"/>
        </w:rPr>
      </w:pPr>
      <w:bookmarkStart w:id="84" w:name="_Toc11517"/>
      <w:r>
        <w:rPr>
          <w:rStyle w:val="33"/>
          <w:rFonts w:hint="eastAsia" w:ascii="仿宋" w:hAnsi="仿宋" w:eastAsia="仿宋" w:cs="仿宋"/>
          <w:b/>
          <w:bCs w:val="0"/>
          <w:color w:val="auto"/>
          <w:spacing w:val="12"/>
          <w:sz w:val="24"/>
          <w:szCs w:val="24"/>
          <w:highlight w:val="none"/>
        </w:rPr>
        <w:t>附件</w:t>
      </w:r>
      <w:r>
        <w:rPr>
          <w:rStyle w:val="33"/>
          <w:rFonts w:hint="eastAsia" w:ascii="仿宋" w:hAnsi="仿宋" w:eastAsia="仿宋" w:cs="仿宋"/>
          <w:b/>
          <w:bCs w:val="0"/>
          <w:color w:val="auto"/>
          <w:spacing w:val="12"/>
          <w:sz w:val="24"/>
          <w:szCs w:val="24"/>
          <w:highlight w:val="none"/>
          <w:lang w:val="en-US" w:eastAsia="zh-CN"/>
        </w:rPr>
        <w:t>1</w:t>
      </w:r>
      <w:r>
        <w:rPr>
          <w:rStyle w:val="33"/>
          <w:rFonts w:hint="eastAsia" w:ascii="仿宋" w:hAnsi="仿宋" w:eastAsia="仿宋" w:cs="仿宋"/>
          <w:b/>
          <w:bCs w:val="0"/>
          <w:color w:val="auto"/>
          <w:spacing w:val="12"/>
          <w:sz w:val="24"/>
          <w:szCs w:val="24"/>
          <w:highlight w:val="none"/>
        </w:rPr>
        <w:t xml:space="preserve"> 中小企业划型标准规定</w:t>
      </w:r>
      <w:bookmarkEnd w:id="84"/>
    </w:p>
    <w:p w14:paraId="0C6202F2">
      <w:pPr>
        <w:pStyle w:val="27"/>
        <w:shd w:val="clear" w:color="auto" w:fill="FFFFFF"/>
        <w:jc w:val="center"/>
        <w:rPr>
          <w:rStyle w:val="33"/>
          <w:rFonts w:hint="eastAsia" w:ascii="仿宋" w:hAnsi="仿宋" w:eastAsia="仿宋" w:cs="仿宋"/>
          <w:color w:val="auto"/>
          <w:sz w:val="24"/>
          <w:szCs w:val="24"/>
          <w:highlight w:val="none"/>
          <w:shd w:val="clear" w:color="auto" w:fill="FFFFFF"/>
          <w:lang w:eastAsia="zh-CN"/>
        </w:rPr>
      </w:pPr>
      <w:r>
        <w:rPr>
          <w:rStyle w:val="33"/>
          <w:rFonts w:hint="eastAsia" w:ascii="仿宋" w:hAnsi="仿宋" w:eastAsia="仿宋" w:cs="仿宋"/>
          <w:color w:val="auto"/>
          <w:sz w:val="24"/>
          <w:szCs w:val="24"/>
          <w:highlight w:val="none"/>
          <w:shd w:val="clear" w:color="auto" w:fill="FFFFFF"/>
        </w:rPr>
        <w:t>关于印发中小企业划型标准规定的通知</w:t>
      </w:r>
    </w:p>
    <w:p w14:paraId="7F959713">
      <w:pPr>
        <w:pStyle w:val="27"/>
        <w:shd w:val="clear" w:color="auto" w:fill="FFFFFF"/>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工信部联企业〔2011〕300号</w:t>
      </w:r>
    </w:p>
    <w:p w14:paraId="2DE30351">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各省、自治区、直辖市人民政府，国务院各部委、各直属机构及有关单位：</w:t>
      </w:r>
    </w:p>
    <w:p w14:paraId="179A8FB1">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EE2AC23">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工业和信息化部　国家统计局</w:t>
      </w:r>
    </w:p>
    <w:p w14:paraId="18744B04">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国家发展和改革委员会　财政部</w:t>
      </w:r>
    </w:p>
    <w:p w14:paraId="547F0DF1">
      <w:pPr>
        <w:pStyle w:val="27"/>
        <w:shd w:val="clear" w:color="auto" w:fill="FFFFFF"/>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二○一一年六月十八日</w:t>
      </w:r>
    </w:p>
    <w:p w14:paraId="5E1EF84F">
      <w:pPr>
        <w:pStyle w:val="27"/>
        <w:shd w:val="clear" w:color="auto" w:fill="FFFFFF"/>
        <w:jc w:val="center"/>
        <w:rPr>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shd w:val="clear" w:color="auto" w:fill="FFFFFF"/>
        </w:rPr>
        <w:t>中小企业划型标准规定</w:t>
      </w:r>
    </w:p>
    <w:p w14:paraId="6AC771D9">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一、根据《中华人民共和国中小企业促进法》和《国务院关于进一步促进中小企业发展的若干意见》(国发〔2009〕36号)，制定本规定。</w:t>
      </w:r>
    </w:p>
    <w:p w14:paraId="3F91E8B5">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二、中小企业划分为中型、小型、微型三种类型，具体标准根据企业从业人员、营业收入、资产总额等指标，结合行业特点制定。</w:t>
      </w:r>
    </w:p>
    <w:p w14:paraId="1456DDBF">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53CD3EB">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四、各行业划型标准为：</w:t>
      </w:r>
    </w:p>
    <w:p w14:paraId="0E30B57E">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p>
    <w:p w14:paraId="2F9C7361">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AE9406D">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87CB90B">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8BAF4D0">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688206D">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E713F7B">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99FBDC2">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C09DCB8">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C5CD75C">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9D91868">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4492111">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B2B2059">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12FEB4C">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F138F69">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51880A9">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p>
    <w:p w14:paraId="732F7382">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五、企业类型的划分以统计部门的统计数据为依据。</w:t>
      </w:r>
    </w:p>
    <w:p w14:paraId="7393C66C">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六、本规定适用于在中华人民共和国境内依法设立的各类所有制和各种组织形式的企业。个体工商户和本规定以外的行业，参照本规定进行划型。</w:t>
      </w:r>
    </w:p>
    <w:p w14:paraId="7DA681CA">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7EF4AABC">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八、本规定由工业和信息化部、国家统计局会同有关部门根据《国民经济行业分类》修订情况和企业发展变化情况适时修订。</w:t>
      </w:r>
    </w:p>
    <w:p w14:paraId="4FE6B03F">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九、本规定由工业和信息化部、国家统计局会同有关部门负责解释。</w:t>
      </w:r>
    </w:p>
    <w:p w14:paraId="45C0A11F">
      <w:pPr>
        <w:pStyle w:val="27"/>
        <w:shd w:val="clear" w:color="auto" w:fill="FFFFFF"/>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十、本规定自发布之日起执行，原国家经贸委、原国家计委、财政部和国家统计局2003年颁布的《中小企业标准暂行规定》同时废止。</w:t>
      </w:r>
    </w:p>
    <w:p w14:paraId="356A77D9">
      <w:pPr>
        <w:rPr>
          <w:rFonts w:hint="eastAsia" w:ascii="仿宋" w:hAnsi="仿宋" w:eastAsia="仿宋" w:cs="仿宋"/>
          <w:color w:val="auto"/>
          <w:sz w:val="24"/>
          <w:szCs w:val="24"/>
          <w:highlight w:val="none"/>
        </w:rPr>
        <w:sectPr>
          <w:pgSz w:w="11906" w:h="16838"/>
          <w:pgMar w:top="1440" w:right="1080" w:bottom="1440" w:left="1080" w:header="851" w:footer="992" w:gutter="0"/>
          <w:pgNumType w:fmt="decimal"/>
          <w:cols w:space="0" w:num="1"/>
          <w:docGrid w:type="lines" w:linePitch="312" w:charSpace="0"/>
        </w:sectPr>
      </w:pPr>
    </w:p>
    <w:p w14:paraId="732A78EA">
      <w:pPr>
        <w:pStyle w:val="27"/>
        <w:spacing w:line="340" w:lineRule="exact"/>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8"/>
          <w:szCs w:val="28"/>
          <w:highlight w:val="none"/>
        </w:rPr>
        <w:t>《统计上大中小微型企业划分办法（2017）》修订说明</w:t>
      </w:r>
    </w:p>
    <w:p w14:paraId="1687AB9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一、修订背景</w:t>
      </w:r>
    </w:p>
    <w:p w14:paraId="20CE1E8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55457A8E">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2DC82D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二、修订主要内容</w:t>
      </w:r>
    </w:p>
    <w:p w14:paraId="2A1BC4C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C41E54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将交通运输业中包括的“装卸搬运和运输代理业”修改为“多式联运和运输代理业、装卸搬运”。</w:t>
      </w:r>
    </w:p>
    <w:p w14:paraId="1BE6D2F0">
      <w:pPr>
        <w:spacing w:line="400" w:lineRule="exact"/>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仓储业所包括的行业中类，根据《国民经济行业分类》</w:t>
      </w:r>
      <w:r>
        <w:rPr>
          <w:rFonts w:hint="eastAsia" w:ascii="仿宋" w:hAnsi="仿宋" w:eastAsia="仿宋" w:cs="仿宋"/>
          <w:color w:val="auto"/>
          <w:sz w:val="24"/>
          <w:szCs w:val="24"/>
          <w:highlight w:val="none"/>
        </w:rPr>
        <w:t>（GB/T 4754—2017）</w:t>
      </w:r>
      <w:r>
        <w:rPr>
          <w:rFonts w:hint="eastAsia" w:ascii="仿宋" w:hAnsi="仿宋" w:eastAsia="仿宋" w:cs="仿宋"/>
          <w:color w:val="auto"/>
          <w:spacing w:val="8"/>
          <w:sz w:val="24"/>
          <w:szCs w:val="24"/>
          <w:highlight w:val="none"/>
        </w:rPr>
        <w:t>调整为“通用仓储，低温仓储，危险品仓储，谷物、棉花等农产品仓储，中药材仓储和其他仓储业”。</w:t>
      </w:r>
    </w:p>
    <w:p w14:paraId="580B3CD3">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附表</w:t>
      </w:r>
    </w:p>
    <w:p w14:paraId="105CE40A">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统计上大中小微型企业划分标准</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2230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6EA49899">
            <w:pPr>
              <w:spacing w:line="2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行业名称</w:t>
            </w:r>
          </w:p>
        </w:tc>
        <w:tc>
          <w:tcPr>
            <w:tcW w:w="1369" w:type="dxa"/>
            <w:vAlign w:val="center"/>
          </w:tcPr>
          <w:p w14:paraId="6AD43836">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指标名称</w:t>
            </w:r>
          </w:p>
        </w:tc>
        <w:tc>
          <w:tcPr>
            <w:tcW w:w="709" w:type="dxa"/>
            <w:vAlign w:val="center"/>
          </w:tcPr>
          <w:p w14:paraId="3F9BF2F7">
            <w:pPr>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计量</w:t>
            </w:r>
          </w:p>
          <w:p w14:paraId="1A7C72E6">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单位</w:t>
            </w:r>
          </w:p>
        </w:tc>
        <w:tc>
          <w:tcPr>
            <w:tcW w:w="1125" w:type="dxa"/>
            <w:vAlign w:val="center"/>
          </w:tcPr>
          <w:p w14:paraId="420C3EE5">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大型</w:t>
            </w:r>
          </w:p>
        </w:tc>
        <w:tc>
          <w:tcPr>
            <w:tcW w:w="1701" w:type="dxa"/>
            <w:vAlign w:val="center"/>
          </w:tcPr>
          <w:p w14:paraId="2E39B800">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中型</w:t>
            </w:r>
          </w:p>
        </w:tc>
        <w:tc>
          <w:tcPr>
            <w:tcW w:w="1426" w:type="dxa"/>
            <w:vAlign w:val="center"/>
          </w:tcPr>
          <w:p w14:paraId="425FD6E1">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小型</w:t>
            </w:r>
          </w:p>
        </w:tc>
        <w:tc>
          <w:tcPr>
            <w:tcW w:w="992" w:type="dxa"/>
            <w:vAlign w:val="center"/>
          </w:tcPr>
          <w:p w14:paraId="4C0711B7">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微型</w:t>
            </w:r>
          </w:p>
        </w:tc>
      </w:tr>
      <w:tr w14:paraId="27AD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jc w:val="center"/>
        </w:trPr>
        <w:tc>
          <w:tcPr>
            <w:tcW w:w="2113" w:type="dxa"/>
            <w:vAlign w:val="center"/>
          </w:tcPr>
          <w:p w14:paraId="011FA790">
            <w:pPr>
              <w:spacing w:line="2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农、林、牧、渔业</w:t>
            </w:r>
          </w:p>
        </w:tc>
        <w:tc>
          <w:tcPr>
            <w:tcW w:w="1369" w:type="dxa"/>
            <w:vAlign w:val="center"/>
          </w:tcPr>
          <w:p w14:paraId="60FBDA39">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营业收入(Y)</w:t>
            </w:r>
          </w:p>
        </w:tc>
        <w:tc>
          <w:tcPr>
            <w:tcW w:w="709" w:type="dxa"/>
            <w:vAlign w:val="center"/>
          </w:tcPr>
          <w:p w14:paraId="6C691CF6">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万元</w:t>
            </w:r>
          </w:p>
        </w:tc>
        <w:tc>
          <w:tcPr>
            <w:tcW w:w="1125" w:type="dxa"/>
            <w:vAlign w:val="center"/>
          </w:tcPr>
          <w:p w14:paraId="1F7307C9">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Y≥20000</w:t>
            </w:r>
          </w:p>
        </w:tc>
        <w:tc>
          <w:tcPr>
            <w:tcW w:w="1701" w:type="dxa"/>
            <w:vAlign w:val="center"/>
          </w:tcPr>
          <w:p w14:paraId="4C4ECC33">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500≤Y＜20000</w:t>
            </w:r>
          </w:p>
        </w:tc>
        <w:tc>
          <w:tcPr>
            <w:tcW w:w="1426" w:type="dxa"/>
            <w:vAlign w:val="center"/>
          </w:tcPr>
          <w:p w14:paraId="22887925">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50≤Y＜500</w:t>
            </w:r>
          </w:p>
        </w:tc>
        <w:tc>
          <w:tcPr>
            <w:tcW w:w="992" w:type="dxa"/>
            <w:vAlign w:val="center"/>
          </w:tcPr>
          <w:p w14:paraId="140B4AC2">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Y＜50</w:t>
            </w:r>
          </w:p>
        </w:tc>
      </w:tr>
      <w:tr w14:paraId="38EF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2113" w:type="dxa"/>
            <w:vMerge w:val="restart"/>
            <w:vAlign w:val="center"/>
          </w:tcPr>
          <w:p w14:paraId="0D7C6A5A">
            <w:pPr>
              <w:spacing w:line="2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工业 *</w:t>
            </w:r>
          </w:p>
        </w:tc>
        <w:tc>
          <w:tcPr>
            <w:tcW w:w="1369" w:type="dxa"/>
            <w:vAlign w:val="center"/>
          </w:tcPr>
          <w:p w14:paraId="0C0D7069">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从业人员(X)</w:t>
            </w:r>
          </w:p>
        </w:tc>
        <w:tc>
          <w:tcPr>
            <w:tcW w:w="709" w:type="dxa"/>
            <w:vAlign w:val="center"/>
          </w:tcPr>
          <w:p w14:paraId="4ADFCDEE">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人</w:t>
            </w:r>
          </w:p>
        </w:tc>
        <w:tc>
          <w:tcPr>
            <w:tcW w:w="1125" w:type="dxa"/>
            <w:vAlign w:val="center"/>
          </w:tcPr>
          <w:p w14:paraId="72A284A4">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X≥1000</w:t>
            </w:r>
          </w:p>
        </w:tc>
        <w:tc>
          <w:tcPr>
            <w:tcW w:w="1701" w:type="dxa"/>
            <w:vAlign w:val="center"/>
          </w:tcPr>
          <w:p w14:paraId="7E731D8D">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300≤X＜1000</w:t>
            </w:r>
          </w:p>
        </w:tc>
        <w:tc>
          <w:tcPr>
            <w:tcW w:w="1426" w:type="dxa"/>
            <w:vAlign w:val="center"/>
          </w:tcPr>
          <w:p w14:paraId="14050BA7">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20≤X＜300</w:t>
            </w:r>
          </w:p>
        </w:tc>
        <w:tc>
          <w:tcPr>
            <w:tcW w:w="992" w:type="dxa"/>
            <w:vAlign w:val="center"/>
          </w:tcPr>
          <w:p w14:paraId="63180C59">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X＜20</w:t>
            </w:r>
          </w:p>
        </w:tc>
      </w:tr>
      <w:tr w14:paraId="1A58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jc w:val="center"/>
        </w:trPr>
        <w:tc>
          <w:tcPr>
            <w:tcW w:w="2113" w:type="dxa"/>
            <w:vMerge w:val="continue"/>
            <w:vAlign w:val="center"/>
          </w:tcPr>
          <w:p w14:paraId="4F2AF58D">
            <w:pPr>
              <w:jc w:val="center"/>
              <w:rPr>
                <w:rFonts w:hint="eastAsia" w:ascii="仿宋" w:hAnsi="仿宋" w:eastAsia="仿宋" w:cs="仿宋"/>
                <w:b w:val="0"/>
                <w:bCs w:val="0"/>
                <w:color w:val="auto"/>
                <w:sz w:val="24"/>
                <w:szCs w:val="24"/>
                <w:highlight w:val="none"/>
              </w:rPr>
            </w:pPr>
          </w:p>
        </w:tc>
        <w:tc>
          <w:tcPr>
            <w:tcW w:w="1369" w:type="dxa"/>
            <w:vAlign w:val="center"/>
          </w:tcPr>
          <w:p w14:paraId="72B2ACE5">
            <w:pPr>
              <w:spacing w:line="2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营业收入(Y)</w:t>
            </w:r>
          </w:p>
        </w:tc>
        <w:tc>
          <w:tcPr>
            <w:tcW w:w="709" w:type="dxa"/>
            <w:vAlign w:val="center"/>
          </w:tcPr>
          <w:p w14:paraId="329E63FD">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万元</w:t>
            </w:r>
          </w:p>
        </w:tc>
        <w:tc>
          <w:tcPr>
            <w:tcW w:w="1125" w:type="dxa"/>
            <w:vAlign w:val="center"/>
          </w:tcPr>
          <w:p w14:paraId="799B66EB">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Y≥40000</w:t>
            </w:r>
          </w:p>
        </w:tc>
        <w:tc>
          <w:tcPr>
            <w:tcW w:w="1701" w:type="dxa"/>
            <w:vAlign w:val="center"/>
          </w:tcPr>
          <w:p w14:paraId="26F0AB8D">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2000≤Y＜40000</w:t>
            </w:r>
          </w:p>
        </w:tc>
        <w:tc>
          <w:tcPr>
            <w:tcW w:w="1426" w:type="dxa"/>
            <w:vAlign w:val="center"/>
          </w:tcPr>
          <w:p w14:paraId="1CCF9F12">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300≤Y＜2000</w:t>
            </w:r>
          </w:p>
        </w:tc>
        <w:tc>
          <w:tcPr>
            <w:tcW w:w="992" w:type="dxa"/>
            <w:vAlign w:val="center"/>
          </w:tcPr>
          <w:p w14:paraId="3CA3F2A6">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Y＜300</w:t>
            </w:r>
          </w:p>
        </w:tc>
      </w:tr>
      <w:tr w14:paraId="6BAE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2113" w:type="dxa"/>
            <w:vMerge w:val="restart"/>
            <w:vAlign w:val="center"/>
          </w:tcPr>
          <w:p w14:paraId="40A9EC7D">
            <w:pPr>
              <w:spacing w:line="2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建筑业</w:t>
            </w:r>
          </w:p>
        </w:tc>
        <w:tc>
          <w:tcPr>
            <w:tcW w:w="1369" w:type="dxa"/>
            <w:vAlign w:val="center"/>
          </w:tcPr>
          <w:p w14:paraId="0909E61B">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营业收入(Y)</w:t>
            </w:r>
          </w:p>
        </w:tc>
        <w:tc>
          <w:tcPr>
            <w:tcW w:w="709" w:type="dxa"/>
            <w:vAlign w:val="center"/>
          </w:tcPr>
          <w:p w14:paraId="38D303ED">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万元</w:t>
            </w:r>
          </w:p>
        </w:tc>
        <w:tc>
          <w:tcPr>
            <w:tcW w:w="1125" w:type="dxa"/>
            <w:vAlign w:val="center"/>
          </w:tcPr>
          <w:p w14:paraId="437627EC">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Y≥80000</w:t>
            </w:r>
          </w:p>
        </w:tc>
        <w:tc>
          <w:tcPr>
            <w:tcW w:w="1701" w:type="dxa"/>
            <w:vAlign w:val="center"/>
          </w:tcPr>
          <w:p w14:paraId="6BE94588">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6000≤Y＜80000</w:t>
            </w:r>
          </w:p>
        </w:tc>
        <w:tc>
          <w:tcPr>
            <w:tcW w:w="1426" w:type="dxa"/>
            <w:vAlign w:val="center"/>
          </w:tcPr>
          <w:p w14:paraId="0BCACB1A">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300≤Y＜6000</w:t>
            </w:r>
          </w:p>
        </w:tc>
        <w:tc>
          <w:tcPr>
            <w:tcW w:w="992" w:type="dxa"/>
            <w:vAlign w:val="center"/>
          </w:tcPr>
          <w:p w14:paraId="44147D58">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Y＜300</w:t>
            </w:r>
          </w:p>
        </w:tc>
      </w:tr>
      <w:tr w14:paraId="7DF6B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2113" w:type="dxa"/>
            <w:vMerge w:val="continue"/>
            <w:vAlign w:val="center"/>
          </w:tcPr>
          <w:p w14:paraId="59A9BFAA">
            <w:pPr>
              <w:jc w:val="center"/>
              <w:rPr>
                <w:rFonts w:hint="eastAsia" w:ascii="仿宋" w:hAnsi="仿宋" w:eastAsia="仿宋" w:cs="仿宋"/>
                <w:b/>
                <w:bCs/>
                <w:color w:val="auto"/>
                <w:sz w:val="24"/>
                <w:szCs w:val="24"/>
                <w:highlight w:val="none"/>
              </w:rPr>
            </w:pPr>
          </w:p>
        </w:tc>
        <w:tc>
          <w:tcPr>
            <w:tcW w:w="1369" w:type="dxa"/>
            <w:vAlign w:val="center"/>
          </w:tcPr>
          <w:p w14:paraId="4070D3EC">
            <w:pPr>
              <w:spacing w:line="2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资产总额(Z)</w:t>
            </w:r>
          </w:p>
        </w:tc>
        <w:tc>
          <w:tcPr>
            <w:tcW w:w="709" w:type="dxa"/>
            <w:vAlign w:val="center"/>
          </w:tcPr>
          <w:p w14:paraId="2E0D5788">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万元</w:t>
            </w:r>
          </w:p>
        </w:tc>
        <w:tc>
          <w:tcPr>
            <w:tcW w:w="1125" w:type="dxa"/>
            <w:vAlign w:val="center"/>
          </w:tcPr>
          <w:p w14:paraId="1CB0BDA3">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Z≥80000</w:t>
            </w:r>
          </w:p>
        </w:tc>
        <w:tc>
          <w:tcPr>
            <w:tcW w:w="1701" w:type="dxa"/>
            <w:vAlign w:val="center"/>
          </w:tcPr>
          <w:p w14:paraId="04AC7A5E">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5000≤Z＜80000</w:t>
            </w:r>
          </w:p>
        </w:tc>
        <w:tc>
          <w:tcPr>
            <w:tcW w:w="1426" w:type="dxa"/>
            <w:vAlign w:val="center"/>
          </w:tcPr>
          <w:p w14:paraId="45CF2BFF">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300≤Z＜5000</w:t>
            </w:r>
          </w:p>
        </w:tc>
        <w:tc>
          <w:tcPr>
            <w:tcW w:w="992" w:type="dxa"/>
            <w:vAlign w:val="center"/>
          </w:tcPr>
          <w:p w14:paraId="148E97D3">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Z＜300</w:t>
            </w:r>
          </w:p>
        </w:tc>
      </w:tr>
      <w:tr w14:paraId="0621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jc w:val="center"/>
        </w:trPr>
        <w:tc>
          <w:tcPr>
            <w:tcW w:w="2113" w:type="dxa"/>
            <w:vMerge w:val="restart"/>
            <w:vAlign w:val="center"/>
          </w:tcPr>
          <w:p w14:paraId="4C5A0ECE">
            <w:pPr>
              <w:spacing w:line="2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批发业</w:t>
            </w:r>
          </w:p>
        </w:tc>
        <w:tc>
          <w:tcPr>
            <w:tcW w:w="1369" w:type="dxa"/>
            <w:vAlign w:val="center"/>
          </w:tcPr>
          <w:p w14:paraId="354B6AA8">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从业人员(X)</w:t>
            </w:r>
          </w:p>
        </w:tc>
        <w:tc>
          <w:tcPr>
            <w:tcW w:w="709" w:type="dxa"/>
            <w:vAlign w:val="center"/>
          </w:tcPr>
          <w:p w14:paraId="036C4137">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人</w:t>
            </w:r>
          </w:p>
        </w:tc>
        <w:tc>
          <w:tcPr>
            <w:tcW w:w="1125" w:type="dxa"/>
            <w:vAlign w:val="center"/>
          </w:tcPr>
          <w:p w14:paraId="3C9B5F33">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X≥200</w:t>
            </w:r>
          </w:p>
        </w:tc>
        <w:tc>
          <w:tcPr>
            <w:tcW w:w="1701" w:type="dxa"/>
            <w:vAlign w:val="center"/>
          </w:tcPr>
          <w:p w14:paraId="74F9E957">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20≤X＜200</w:t>
            </w:r>
          </w:p>
        </w:tc>
        <w:tc>
          <w:tcPr>
            <w:tcW w:w="1426" w:type="dxa"/>
            <w:vAlign w:val="center"/>
          </w:tcPr>
          <w:p w14:paraId="38854E53">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5≤X＜20</w:t>
            </w:r>
          </w:p>
        </w:tc>
        <w:tc>
          <w:tcPr>
            <w:tcW w:w="992" w:type="dxa"/>
            <w:vAlign w:val="center"/>
          </w:tcPr>
          <w:p w14:paraId="3C08C66D">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X＜5</w:t>
            </w:r>
          </w:p>
        </w:tc>
      </w:tr>
      <w:tr w14:paraId="4CA6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2113" w:type="dxa"/>
            <w:vMerge w:val="continue"/>
            <w:vAlign w:val="center"/>
          </w:tcPr>
          <w:p w14:paraId="2C84C86B">
            <w:pPr>
              <w:jc w:val="center"/>
              <w:rPr>
                <w:rFonts w:hint="eastAsia" w:ascii="仿宋" w:hAnsi="仿宋" w:eastAsia="仿宋" w:cs="仿宋"/>
                <w:b w:val="0"/>
                <w:bCs w:val="0"/>
                <w:color w:val="auto"/>
                <w:sz w:val="24"/>
                <w:szCs w:val="24"/>
                <w:highlight w:val="none"/>
              </w:rPr>
            </w:pPr>
          </w:p>
        </w:tc>
        <w:tc>
          <w:tcPr>
            <w:tcW w:w="1369" w:type="dxa"/>
            <w:vAlign w:val="center"/>
          </w:tcPr>
          <w:p w14:paraId="435C392E">
            <w:pPr>
              <w:spacing w:line="2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营业收入(Y)</w:t>
            </w:r>
          </w:p>
        </w:tc>
        <w:tc>
          <w:tcPr>
            <w:tcW w:w="709" w:type="dxa"/>
            <w:vAlign w:val="center"/>
          </w:tcPr>
          <w:p w14:paraId="44BE2417">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万元</w:t>
            </w:r>
          </w:p>
        </w:tc>
        <w:tc>
          <w:tcPr>
            <w:tcW w:w="1125" w:type="dxa"/>
            <w:vAlign w:val="center"/>
          </w:tcPr>
          <w:p w14:paraId="2A7B958A">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Y≥40000</w:t>
            </w:r>
          </w:p>
        </w:tc>
        <w:tc>
          <w:tcPr>
            <w:tcW w:w="1701" w:type="dxa"/>
            <w:vAlign w:val="center"/>
          </w:tcPr>
          <w:p w14:paraId="23C3790C">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5000≤Y＜40000</w:t>
            </w:r>
          </w:p>
        </w:tc>
        <w:tc>
          <w:tcPr>
            <w:tcW w:w="1426" w:type="dxa"/>
            <w:vAlign w:val="center"/>
          </w:tcPr>
          <w:p w14:paraId="7287CFB8">
            <w:pPr>
              <w:ind w:left="-1" w:leftChars="-1" w:hanging="1"/>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1000≤Y＜5000</w:t>
            </w:r>
          </w:p>
        </w:tc>
        <w:tc>
          <w:tcPr>
            <w:tcW w:w="992" w:type="dxa"/>
            <w:vAlign w:val="center"/>
          </w:tcPr>
          <w:p w14:paraId="182F5038">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Y＜1000</w:t>
            </w:r>
          </w:p>
        </w:tc>
      </w:tr>
      <w:tr w14:paraId="175B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2113" w:type="dxa"/>
            <w:vMerge w:val="restart"/>
            <w:vAlign w:val="center"/>
          </w:tcPr>
          <w:p w14:paraId="23D5BA0C">
            <w:pPr>
              <w:spacing w:line="2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零售业</w:t>
            </w:r>
          </w:p>
        </w:tc>
        <w:tc>
          <w:tcPr>
            <w:tcW w:w="1369" w:type="dxa"/>
            <w:vAlign w:val="center"/>
          </w:tcPr>
          <w:p w14:paraId="7BEE7D57">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从业人员(X)</w:t>
            </w:r>
          </w:p>
        </w:tc>
        <w:tc>
          <w:tcPr>
            <w:tcW w:w="709" w:type="dxa"/>
            <w:vAlign w:val="center"/>
          </w:tcPr>
          <w:p w14:paraId="5AC62094">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人</w:t>
            </w:r>
          </w:p>
        </w:tc>
        <w:tc>
          <w:tcPr>
            <w:tcW w:w="1125" w:type="dxa"/>
            <w:vAlign w:val="center"/>
          </w:tcPr>
          <w:p w14:paraId="2D72EEC4">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X≥300</w:t>
            </w:r>
          </w:p>
        </w:tc>
        <w:tc>
          <w:tcPr>
            <w:tcW w:w="1701" w:type="dxa"/>
            <w:vAlign w:val="center"/>
          </w:tcPr>
          <w:p w14:paraId="1B9852DE">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50≤X＜300</w:t>
            </w:r>
          </w:p>
        </w:tc>
        <w:tc>
          <w:tcPr>
            <w:tcW w:w="1426" w:type="dxa"/>
            <w:vAlign w:val="center"/>
          </w:tcPr>
          <w:p w14:paraId="5CB29EE1">
            <w:pPr>
              <w:ind w:left="-1" w:leftChars="-1" w:hanging="1"/>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10≤X＜50</w:t>
            </w:r>
          </w:p>
        </w:tc>
        <w:tc>
          <w:tcPr>
            <w:tcW w:w="992" w:type="dxa"/>
            <w:vAlign w:val="center"/>
          </w:tcPr>
          <w:p w14:paraId="3D12C7CC">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X＜10</w:t>
            </w:r>
          </w:p>
        </w:tc>
      </w:tr>
      <w:tr w14:paraId="3B90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2113" w:type="dxa"/>
            <w:vMerge w:val="continue"/>
            <w:vAlign w:val="center"/>
          </w:tcPr>
          <w:p w14:paraId="4C2CD2DC">
            <w:pPr>
              <w:jc w:val="center"/>
              <w:rPr>
                <w:rFonts w:hint="eastAsia" w:ascii="仿宋" w:hAnsi="仿宋" w:eastAsia="仿宋" w:cs="仿宋"/>
                <w:b w:val="0"/>
                <w:bCs w:val="0"/>
                <w:color w:val="auto"/>
                <w:sz w:val="24"/>
                <w:szCs w:val="24"/>
                <w:highlight w:val="none"/>
              </w:rPr>
            </w:pPr>
          </w:p>
        </w:tc>
        <w:tc>
          <w:tcPr>
            <w:tcW w:w="1369" w:type="dxa"/>
            <w:vAlign w:val="center"/>
          </w:tcPr>
          <w:p w14:paraId="526BEAD9">
            <w:pPr>
              <w:spacing w:line="2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营业收入(Y)</w:t>
            </w:r>
          </w:p>
        </w:tc>
        <w:tc>
          <w:tcPr>
            <w:tcW w:w="709" w:type="dxa"/>
            <w:vAlign w:val="center"/>
          </w:tcPr>
          <w:p w14:paraId="099D8E06">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万元</w:t>
            </w:r>
          </w:p>
        </w:tc>
        <w:tc>
          <w:tcPr>
            <w:tcW w:w="1125" w:type="dxa"/>
            <w:vAlign w:val="center"/>
          </w:tcPr>
          <w:p w14:paraId="69AF37C2">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Y≥20000</w:t>
            </w:r>
          </w:p>
        </w:tc>
        <w:tc>
          <w:tcPr>
            <w:tcW w:w="1701" w:type="dxa"/>
            <w:vAlign w:val="center"/>
          </w:tcPr>
          <w:p w14:paraId="4BD44961">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500≤Y＜20000</w:t>
            </w:r>
          </w:p>
        </w:tc>
        <w:tc>
          <w:tcPr>
            <w:tcW w:w="1426" w:type="dxa"/>
            <w:vAlign w:val="center"/>
          </w:tcPr>
          <w:p w14:paraId="0535D77D">
            <w:pPr>
              <w:ind w:left="-1" w:leftChars="-1" w:hanging="1"/>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100≤Y＜500</w:t>
            </w:r>
          </w:p>
        </w:tc>
        <w:tc>
          <w:tcPr>
            <w:tcW w:w="992" w:type="dxa"/>
            <w:vAlign w:val="center"/>
          </w:tcPr>
          <w:p w14:paraId="4FCC333F">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Y＜100</w:t>
            </w:r>
          </w:p>
        </w:tc>
      </w:tr>
      <w:tr w14:paraId="0FF9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jc w:val="center"/>
        </w:trPr>
        <w:tc>
          <w:tcPr>
            <w:tcW w:w="2113" w:type="dxa"/>
            <w:vMerge w:val="restart"/>
            <w:vAlign w:val="center"/>
          </w:tcPr>
          <w:p w14:paraId="4F60E682">
            <w:pPr>
              <w:spacing w:line="2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交通运输业 *</w:t>
            </w:r>
          </w:p>
        </w:tc>
        <w:tc>
          <w:tcPr>
            <w:tcW w:w="1369" w:type="dxa"/>
            <w:vAlign w:val="center"/>
          </w:tcPr>
          <w:p w14:paraId="5B4AEE90">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从业人员(X)</w:t>
            </w:r>
          </w:p>
        </w:tc>
        <w:tc>
          <w:tcPr>
            <w:tcW w:w="709" w:type="dxa"/>
            <w:vAlign w:val="center"/>
          </w:tcPr>
          <w:p w14:paraId="3DE30CAB">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人</w:t>
            </w:r>
          </w:p>
        </w:tc>
        <w:tc>
          <w:tcPr>
            <w:tcW w:w="1125" w:type="dxa"/>
            <w:vAlign w:val="center"/>
          </w:tcPr>
          <w:p w14:paraId="587A71C0">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X≥1000</w:t>
            </w:r>
          </w:p>
        </w:tc>
        <w:tc>
          <w:tcPr>
            <w:tcW w:w="1701" w:type="dxa"/>
            <w:vAlign w:val="center"/>
          </w:tcPr>
          <w:p w14:paraId="211C3A4C">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300≤X＜1000</w:t>
            </w:r>
          </w:p>
        </w:tc>
        <w:tc>
          <w:tcPr>
            <w:tcW w:w="1426" w:type="dxa"/>
            <w:vAlign w:val="center"/>
          </w:tcPr>
          <w:p w14:paraId="07E35DCE">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20≤X＜300</w:t>
            </w:r>
          </w:p>
        </w:tc>
        <w:tc>
          <w:tcPr>
            <w:tcW w:w="992" w:type="dxa"/>
            <w:vAlign w:val="center"/>
          </w:tcPr>
          <w:p w14:paraId="437F5072">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X＜20</w:t>
            </w:r>
          </w:p>
        </w:tc>
      </w:tr>
      <w:tr w14:paraId="24B4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2113" w:type="dxa"/>
            <w:vMerge w:val="continue"/>
            <w:vAlign w:val="center"/>
          </w:tcPr>
          <w:p w14:paraId="0B39C83D">
            <w:pPr>
              <w:jc w:val="center"/>
              <w:rPr>
                <w:rFonts w:hint="eastAsia" w:ascii="仿宋" w:hAnsi="仿宋" w:eastAsia="仿宋" w:cs="仿宋"/>
                <w:b w:val="0"/>
                <w:bCs w:val="0"/>
                <w:color w:val="auto"/>
                <w:sz w:val="24"/>
                <w:szCs w:val="24"/>
                <w:highlight w:val="none"/>
              </w:rPr>
            </w:pPr>
          </w:p>
        </w:tc>
        <w:tc>
          <w:tcPr>
            <w:tcW w:w="1369" w:type="dxa"/>
            <w:vAlign w:val="center"/>
          </w:tcPr>
          <w:p w14:paraId="0D140D39">
            <w:pPr>
              <w:spacing w:line="2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营业收入(Y)</w:t>
            </w:r>
          </w:p>
        </w:tc>
        <w:tc>
          <w:tcPr>
            <w:tcW w:w="709" w:type="dxa"/>
            <w:vAlign w:val="center"/>
          </w:tcPr>
          <w:p w14:paraId="33B87AB5">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万元</w:t>
            </w:r>
          </w:p>
        </w:tc>
        <w:tc>
          <w:tcPr>
            <w:tcW w:w="1125" w:type="dxa"/>
            <w:vAlign w:val="center"/>
          </w:tcPr>
          <w:p w14:paraId="1F9ADC1F">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Y≥30000</w:t>
            </w:r>
          </w:p>
        </w:tc>
        <w:tc>
          <w:tcPr>
            <w:tcW w:w="1701" w:type="dxa"/>
            <w:vAlign w:val="center"/>
          </w:tcPr>
          <w:p w14:paraId="6909A2D4">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3000≤Y＜30000</w:t>
            </w:r>
          </w:p>
        </w:tc>
        <w:tc>
          <w:tcPr>
            <w:tcW w:w="1426" w:type="dxa"/>
            <w:vAlign w:val="center"/>
          </w:tcPr>
          <w:p w14:paraId="1E2736E8">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200≤Y＜3000</w:t>
            </w:r>
          </w:p>
        </w:tc>
        <w:tc>
          <w:tcPr>
            <w:tcW w:w="992" w:type="dxa"/>
            <w:vAlign w:val="center"/>
          </w:tcPr>
          <w:p w14:paraId="5789EA20">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Y＜200</w:t>
            </w:r>
          </w:p>
        </w:tc>
      </w:tr>
      <w:tr w14:paraId="758A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2113" w:type="dxa"/>
            <w:vMerge w:val="restart"/>
            <w:vAlign w:val="center"/>
          </w:tcPr>
          <w:p w14:paraId="7886C080">
            <w:pPr>
              <w:spacing w:line="2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仓储业*</w:t>
            </w:r>
          </w:p>
        </w:tc>
        <w:tc>
          <w:tcPr>
            <w:tcW w:w="1369" w:type="dxa"/>
            <w:vAlign w:val="center"/>
          </w:tcPr>
          <w:p w14:paraId="6A8E447F">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从业人员(X)</w:t>
            </w:r>
          </w:p>
        </w:tc>
        <w:tc>
          <w:tcPr>
            <w:tcW w:w="709" w:type="dxa"/>
            <w:vAlign w:val="center"/>
          </w:tcPr>
          <w:p w14:paraId="062BE2AE">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人</w:t>
            </w:r>
          </w:p>
        </w:tc>
        <w:tc>
          <w:tcPr>
            <w:tcW w:w="1125" w:type="dxa"/>
            <w:vAlign w:val="center"/>
          </w:tcPr>
          <w:p w14:paraId="38883826">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X≥200</w:t>
            </w:r>
          </w:p>
        </w:tc>
        <w:tc>
          <w:tcPr>
            <w:tcW w:w="1701" w:type="dxa"/>
            <w:vAlign w:val="center"/>
          </w:tcPr>
          <w:p w14:paraId="01EFCD72">
            <w:pPr>
              <w:ind w:left="37" w:leftChars="-51" w:hanging="144" w:hangingChars="6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100≤X＜200</w:t>
            </w:r>
          </w:p>
        </w:tc>
        <w:tc>
          <w:tcPr>
            <w:tcW w:w="1426" w:type="dxa"/>
            <w:vAlign w:val="center"/>
          </w:tcPr>
          <w:p w14:paraId="70A0C287">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20≤X＜100</w:t>
            </w:r>
          </w:p>
        </w:tc>
        <w:tc>
          <w:tcPr>
            <w:tcW w:w="992" w:type="dxa"/>
            <w:vAlign w:val="center"/>
          </w:tcPr>
          <w:p w14:paraId="76472751">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X＜20</w:t>
            </w:r>
          </w:p>
        </w:tc>
      </w:tr>
      <w:tr w14:paraId="7F79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2113" w:type="dxa"/>
            <w:vMerge w:val="continue"/>
            <w:vAlign w:val="center"/>
          </w:tcPr>
          <w:p w14:paraId="041F5506">
            <w:pPr>
              <w:jc w:val="center"/>
              <w:rPr>
                <w:rFonts w:hint="eastAsia" w:ascii="仿宋" w:hAnsi="仿宋" w:eastAsia="仿宋" w:cs="仿宋"/>
                <w:b w:val="0"/>
                <w:bCs w:val="0"/>
                <w:color w:val="auto"/>
                <w:sz w:val="24"/>
                <w:szCs w:val="24"/>
                <w:highlight w:val="none"/>
              </w:rPr>
            </w:pPr>
          </w:p>
        </w:tc>
        <w:tc>
          <w:tcPr>
            <w:tcW w:w="1369" w:type="dxa"/>
            <w:vAlign w:val="center"/>
          </w:tcPr>
          <w:p w14:paraId="46E43709">
            <w:pPr>
              <w:spacing w:line="2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营业收入(Y)</w:t>
            </w:r>
          </w:p>
        </w:tc>
        <w:tc>
          <w:tcPr>
            <w:tcW w:w="709" w:type="dxa"/>
            <w:vAlign w:val="center"/>
          </w:tcPr>
          <w:p w14:paraId="03373567">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万元</w:t>
            </w:r>
          </w:p>
        </w:tc>
        <w:tc>
          <w:tcPr>
            <w:tcW w:w="1125" w:type="dxa"/>
            <w:vAlign w:val="center"/>
          </w:tcPr>
          <w:p w14:paraId="4AE9B25E">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Y≥30000</w:t>
            </w:r>
          </w:p>
        </w:tc>
        <w:tc>
          <w:tcPr>
            <w:tcW w:w="1701" w:type="dxa"/>
            <w:vAlign w:val="center"/>
          </w:tcPr>
          <w:p w14:paraId="2D146B6F">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1000≤Y＜30000</w:t>
            </w:r>
          </w:p>
        </w:tc>
        <w:tc>
          <w:tcPr>
            <w:tcW w:w="1426" w:type="dxa"/>
            <w:vAlign w:val="center"/>
          </w:tcPr>
          <w:p w14:paraId="72D7B787">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100≤Y＜1000</w:t>
            </w:r>
          </w:p>
        </w:tc>
        <w:tc>
          <w:tcPr>
            <w:tcW w:w="992" w:type="dxa"/>
            <w:vAlign w:val="center"/>
          </w:tcPr>
          <w:p w14:paraId="2CF0D13E">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Y＜100</w:t>
            </w:r>
          </w:p>
        </w:tc>
      </w:tr>
      <w:tr w14:paraId="6616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2113" w:type="dxa"/>
            <w:vMerge w:val="restart"/>
            <w:vAlign w:val="center"/>
          </w:tcPr>
          <w:p w14:paraId="49EB177F">
            <w:pPr>
              <w:spacing w:line="2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邮政业</w:t>
            </w:r>
          </w:p>
        </w:tc>
        <w:tc>
          <w:tcPr>
            <w:tcW w:w="1369" w:type="dxa"/>
            <w:vAlign w:val="center"/>
          </w:tcPr>
          <w:p w14:paraId="17AC9FF4">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从业人员(X)</w:t>
            </w:r>
          </w:p>
        </w:tc>
        <w:tc>
          <w:tcPr>
            <w:tcW w:w="709" w:type="dxa"/>
            <w:vAlign w:val="center"/>
          </w:tcPr>
          <w:p w14:paraId="34748873">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人</w:t>
            </w:r>
          </w:p>
        </w:tc>
        <w:tc>
          <w:tcPr>
            <w:tcW w:w="1125" w:type="dxa"/>
            <w:vAlign w:val="center"/>
          </w:tcPr>
          <w:p w14:paraId="1534C1D0">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X≥1000</w:t>
            </w:r>
          </w:p>
        </w:tc>
        <w:tc>
          <w:tcPr>
            <w:tcW w:w="1701" w:type="dxa"/>
            <w:vAlign w:val="center"/>
          </w:tcPr>
          <w:p w14:paraId="4C483182">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300≤X＜1000</w:t>
            </w:r>
          </w:p>
        </w:tc>
        <w:tc>
          <w:tcPr>
            <w:tcW w:w="1426" w:type="dxa"/>
            <w:vAlign w:val="center"/>
          </w:tcPr>
          <w:p w14:paraId="276226BF">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20≤X＜300</w:t>
            </w:r>
          </w:p>
        </w:tc>
        <w:tc>
          <w:tcPr>
            <w:tcW w:w="992" w:type="dxa"/>
            <w:vAlign w:val="center"/>
          </w:tcPr>
          <w:p w14:paraId="5012C640">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X＜20</w:t>
            </w:r>
          </w:p>
        </w:tc>
      </w:tr>
      <w:tr w14:paraId="1A84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2113" w:type="dxa"/>
            <w:vMerge w:val="continue"/>
            <w:vAlign w:val="center"/>
          </w:tcPr>
          <w:p w14:paraId="46AD1BA9">
            <w:pPr>
              <w:jc w:val="center"/>
              <w:rPr>
                <w:rFonts w:hint="eastAsia" w:ascii="仿宋" w:hAnsi="仿宋" w:eastAsia="仿宋" w:cs="仿宋"/>
                <w:b w:val="0"/>
                <w:bCs w:val="0"/>
                <w:color w:val="auto"/>
                <w:sz w:val="24"/>
                <w:szCs w:val="24"/>
                <w:highlight w:val="none"/>
              </w:rPr>
            </w:pPr>
          </w:p>
        </w:tc>
        <w:tc>
          <w:tcPr>
            <w:tcW w:w="1369" w:type="dxa"/>
            <w:vAlign w:val="center"/>
          </w:tcPr>
          <w:p w14:paraId="2F857A2D">
            <w:pPr>
              <w:spacing w:line="2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营业收入(Y)</w:t>
            </w:r>
          </w:p>
        </w:tc>
        <w:tc>
          <w:tcPr>
            <w:tcW w:w="709" w:type="dxa"/>
            <w:vAlign w:val="center"/>
          </w:tcPr>
          <w:p w14:paraId="09389FEB">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万元</w:t>
            </w:r>
          </w:p>
        </w:tc>
        <w:tc>
          <w:tcPr>
            <w:tcW w:w="1125" w:type="dxa"/>
            <w:vAlign w:val="center"/>
          </w:tcPr>
          <w:p w14:paraId="0C783632">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Y≥30000</w:t>
            </w:r>
          </w:p>
        </w:tc>
        <w:tc>
          <w:tcPr>
            <w:tcW w:w="1701" w:type="dxa"/>
            <w:vAlign w:val="center"/>
          </w:tcPr>
          <w:p w14:paraId="35367EAD">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2000≤Y＜30000</w:t>
            </w:r>
          </w:p>
        </w:tc>
        <w:tc>
          <w:tcPr>
            <w:tcW w:w="1426" w:type="dxa"/>
            <w:vAlign w:val="center"/>
          </w:tcPr>
          <w:p w14:paraId="0A61D8A2">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100≤Y＜2000</w:t>
            </w:r>
          </w:p>
        </w:tc>
        <w:tc>
          <w:tcPr>
            <w:tcW w:w="992" w:type="dxa"/>
            <w:vAlign w:val="center"/>
          </w:tcPr>
          <w:p w14:paraId="4BC7F942">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Y＜100</w:t>
            </w:r>
          </w:p>
        </w:tc>
      </w:tr>
      <w:tr w14:paraId="45FD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2113" w:type="dxa"/>
            <w:vMerge w:val="restart"/>
            <w:vAlign w:val="center"/>
          </w:tcPr>
          <w:p w14:paraId="1ECE400B">
            <w:pPr>
              <w:spacing w:line="2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住宿业</w:t>
            </w:r>
          </w:p>
        </w:tc>
        <w:tc>
          <w:tcPr>
            <w:tcW w:w="1369" w:type="dxa"/>
            <w:vAlign w:val="center"/>
          </w:tcPr>
          <w:p w14:paraId="4E5C5F04">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从业人员(X)</w:t>
            </w:r>
          </w:p>
        </w:tc>
        <w:tc>
          <w:tcPr>
            <w:tcW w:w="709" w:type="dxa"/>
            <w:vAlign w:val="center"/>
          </w:tcPr>
          <w:p w14:paraId="33A9F5BD">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人</w:t>
            </w:r>
          </w:p>
        </w:tc>
        <w:tc>
          <w:tcPr>
            <w:tcW w:w="1125" w:type="dxa"/>
            <w:vAlign w:val="center"/>
          </w:tcPr>
          <w:p w14:paraId="1C22939E">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X≥300</w:t>
            </w:r>
          </w:p>
        </w:tc>
        <w:tc>
          <w:tcPr>
            <w:tcW w:w="1701" w:type="dxa"/>
            <w:vAlign w:val="center"/>
          </w:tcPr>
          <w:p w14:paraId="644CA6AF">
            <w:pPr>
              <w:ind w:left="37" w:leftChars="-51" w:hanging="144" w:hangingChars="6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100≤X＜300</w:t>
            </w:r>
          </w:p>
        </w:tc>
        <w:tc>
          <w:tcPr>
            <w:tcW w:w="1426" w:type="dxa"/>
            <w:vAlign w:val="center"/>
          </w:tcPr>
          <w:p w14:paraId="221B906F">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10≤X＜100</w:t>
            </w:r>
          </w:p>
        </w:tc>
        <w:tc>
          <w:tcPr>
            <w:tcW w:w="992" w:type="dxa"/>
            <w:vAlign w:val="center"/>
          </w:tcPr>
          <w:p w14:paraId="0A10401F">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X＜10</w:t>
            </w:r>
          </w:p>
        </w:tc>
      </w:tr>
      <w:tr w14:paraId="69CD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2113" w:type="dxa"/>
            <w:vMerge w:val="continue"/>
            <w:vAlign w:val="center"/>
          </w:tcPr>
          <w:p w14:paraId="1C3C7CA8">
            <w:pPr>
              <w:jc w:val="center"/>
              <w:rPr>
                <w:rFonts w:hint="eastAsia" w:ascii="仿宋" w:hAnsi="仿宋" w:eastAsia="仿宋" w:cs="仿宋"/>
                <w:b w:val="0"/>
                <w:bCs w:val="0"/>
                <w:color w:val="auto"/>
                <w:sz w:val="24"/>
                <w:szCs w:val="24"/>
                <w:highlight w:val="none"/>
              </w:rPr>
            </w:pPr>
          </w:p>
        </w:tc>
        <w:tc>
          <w:tcPr>
            <w:tcW w:w="1369" w:type="dxa"/>
            <w:vAlign w:val="center"/>
          </w:tcPr>
          <w:p w14:paraId="4350F514">
            <w:pPr>
              <w:spacing w:line="2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营业收入(Y)</w:t>
            </w:r>
          </w:p>
        </w:tc>
        <w:tc>
          <w:tcPr>
            <w:tcW w:w="709" w:type="dxa"/>
            <w:vAlign w:val="center"/>
          </w:tcPr>
          <w:p w14:paraId="36C08A4A">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万元</w:t>
            </w:r>
          </w:p>
        </w:tc>
        <w:tc>
          <w:tcPr>
            <w:tcW w:w="1125" w:type="dxa"/>
            <w:vAlign w:val="center"/>
          </w:tcPr>
          <w:p w14:paraId="3BEAB796">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Y≥10000</w:t>
            </w:r>
          </w:p>
        </w:tc>
        <w:tc>
          <w:tcPr>
            <w:tcW w:w="1701" w:type="dxa"/>
            <w:vAlign w:val="center"/>
          </w:tcPr>
          <w:p w14:paraId="132F0765">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2000≤Y＜10000</w:t>
            </w:r>
          </w:p>
        </w:tc>
        <w:tc>
          <w:tcPr>
            <w:tcW w:w="1426" w:type="dxa"/>
            <w:vAlign w:val="center"/>
          </w:tcPr>
          <w:p w14:paraId="6E73C89C">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100≤Y＜2000</w:t>
            </w:r>
          </w:p>
        </w:tc>
        <w:tc>
          <w:tcPr>
            <w:tcW w:w="992" w:type="dxa"/>
            <w:vAlign w:val="center"/>
          </w:tcPr>
          <w:p w14:paraId="4D5D9B2D">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Y＜100</w:t>
            </w:r>
          </w:p>
        </w:tc>
      </w:tr>
      <w:tr w14:paraId="3286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113" w:type="dxa"/>
            <w:vMerge w:val="restart"/>
            <w:vAlign w:val="center"/>
          </w:tcPr>
          <w:p w14:paraId="1CF266D3">
            <w:pPr>
              <w:spacing w:line="2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餐饮业</w:t>
            </w:r>
          </w:p>
        </w:tc>
        <w:tc>
          <w:tcPr>
            <w:tcW w:w="1369" w:type="dxa"/>
            <w:vAlign w:val="center"/>
          </w:tcPr>
          <w:p w14:paraId="46ABCF43">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从业人员(X)</w:t>
            </w:r>
          </w:p>
        </w:tc>
        <w:tc>
          <w:tcPr>
            <w:tcW w:w="709" w:type="dxa"/>
            <w:vAlign w:val="center"/>
          </w:tcPr>
          <w:p w14:paraId="65445756">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人</w:t>
            </w:r>
          </w:p>
        </w:tc>
        <w:tc>
          <w:tcPr>
            <w:tcW w:w="1125" w:type="dxa"/>
            <w:vAlign w:val="center"/>
          </w:tcPr>
          <w:p w14:paraId="37DAD018">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X≥300</w:t>
            </w:r>
          </w:p>
        </w:tc>
        <w:tc>
          <w:tcPr>
            <w:tcW w:w="1701" w:type="dxa"/>
            <w:vAlign w:val="center"/>
          </w:tcPr>
          <w:p w14:paraId="744A318D">
            <w:pPr>
              <w:ind w:left="37" w:leftChars="-51" w:hanging="144" w:hangingChars="6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100≤X＜300</w:t>
            </w:r>
          </w:p>
        </w:tc>
        <w:tc>
          <w:tcPr>
            <w:tcW w:w="1426" w:type="dxa"/>
            <w:vAlign w:val="center"/>
          </w:tcPr>
          <w:p w14:paraId="15864C9F">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10≤X＜100</w:t>
            </w:r>
          </w:p>
        </w:tc>
        <w:tc>
          <w:tcPr>
            <w:tcW w:w="992" w:type="dxa"/>
            <w:vAlign w:val="center"/>
          </w:tcPr>
          <w:p w14:paraId="790FD2C6">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X＜10</w:t>
            </w:r>
          </w:p>
        </w:tc>
      </w:tr>
      <w:tr w14:paraId="4893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2113" w:type="dxa"/>
            <w:vMerge w:val="continue"/>
            <w:vAlign w:val="center"/>
          </w:tcPr>
          <w:p w14:paraId="2D46FE25">
            <w:pPr>
              <w:jc w:val="center"/>
              <w:rPr>
                <w:rFonts w:hint="eastAsia" w:ascii="仿宋" w:hAnsi="仿宋" w:eastAsia="仿宋" w:cs="仿宋"/>
                <w:b w:val="0"/>
                <w:bCs w:val="0"/>
                <w:color w:val="auto"/>
                <w:sz w:val="24"/>
                <w:szCs w:val="24"/>
                <w:highlight w:val="none"/>
              </w:rPr>
            </w:pPr>
          </w:p>
        </w:tc>
        <w:tc>
          <w:tcPr>
            <w:tcW w:w="1369" w:type="dxa"/>
            <w:vAlign w:val="center"/>
          </w:tcPr>
          <w:p w14:paraId="5138E17B">
            <w:pPr>
              <w:spacing w:line="2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营业收入(Y)</w:t>
            </w:r>
          </w:p>
        </w:tc>
        <w:tc>
          <w:tcPr>
            <w:tcW w:w="709" w:type="dxa"/>
            <w:vAlign w:val="center"/>
          </w:tcPr>
          <w:p w14:paraId="5E4D6F25">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万元</w:t>
            </w:r>
          </w:p>
        </w:tc>
        <w:tc>
          <w:tcPr>
            <w:tcW w:w="1125" w:type="dxa"/>
            <w:vAlign w:val="center"/>
          </w:tcPr>
          <w:p w14:paraId="152E3512">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Y≥10000</w:t>
            </w:r>
          </w:p>
        </w:tc>
        <w:tc>
          <w:tcPr>
            <w:tcW w:w="1701" w:type="dxa"/>
            <w:vAlign w:val="center"/>
          </w:tcPr>
          <w:p w14:paraId="49793762">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2000≤Y＜10000</w:t>
            </w:r>
          </w:p>
        </w:tc>
        <w:tc>
          <w:tcPr>
            <w:tcW w:w="1426" w:type="dxa"/>
            <w:vAlign w:val="center"/>
          </w:tcPr>
          <w:p w14:paraId="580CA786">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100≤Y＜2000</w:t>
            </w:r>
          </w:p>
        </w:tc>
        <w:tc>
          <w:tcPr>
            <w:tcW w:w="992" w:type="dxa"/>
            <w:vAlign w:val="center"/>
          </w:tcPr>
          <w:p w14:paraId="3E72EA99">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Y＜100</w:t>
            </w:r>
          </w:p>
        </w:tc>
      </w:tr>
      <w:tr w14:paraId="5863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2113" w:type="dxa"/>
            <w:vMerge w:val="restart"/>
            <w:vAlign w:val="center"/>
          </w:tcPr>
          <w:p w14:paraId="4BFAC23D">
            <w:pPr>
              <w:spacing w:line="2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信息传输业*</w:t>
            </w:r>
          </w:p>
        </w:tc>
        <w:tc>
          <w:tcPr>
            <w:tcW w:w="1369" w:type="dxa"/>
            <w:vAlign w:val="center"/>
          </w:tcPr>
          <w:p w14:paraId="521698C4">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从业人员(X)</w:t>
            </w:r>
          </w:p>
        </w:tc>
        <w:tc>
          <w:tcPr>
            <w:tcW w:w="709" w:type="dxa"/>
            <w:vAlign w:val="center"/>
          </w:tcPr>
          <w:p w14:paraId="149D633B">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人</w:t>
            </w:r>
          </w:p>
        </w:tc>
        <w:tc>
          <w:tcPr>
            <w:tcW w:w="1125" w:type="dxa"/>
            <w:vAlign w:val="center"/>
          </w:tcPr>
          <w:p w14:paraId="5106D992">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X≥2000</w:t>
            </w:r>
          </w:p>
        </w:tc>
        <w:tc>
          <w:tcPr>
            <w:tcW w:w="1701" w:type="dxa"/>
            <w:vAlign w:val="center"/>
          </w:tcPr>
          <w:p w14:paraId="446775F2">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100≤X＜2000</w:t>
            </w:r>
          </w:p>
        </w:tc>
        <w:tc>
          <w:tcPr>
            <w:tcW w:w="1426" w:type="dxa"/>
            <w:vAlign w:val="center"/>
          </w:tcPr>
          <w:p w14:paraId="51FC08B3">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10≤X＜100</w:t>
            </w:r>
          </w:p>
        </w:tc>
        <w:tc>
          <w:tcPr>
            <w:tcW w:w="992" w:type="dxa"/>
            <w:vAlign w:val="center"/>
          </w:tcPr>
          <w:p w14:paraId="03805796">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X＜10</w:t>
            </w:r>
          </w:p>
        </w:tc>
      </w:tr>
      <w:tr w14:paraId="6147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2113" w:type="dxa"/>
            <w:vMerge w:val="continue"/>
            <w:vAlign w:val="center"/>
          </w:tcPr>
          <w:p w14:paraId="53AF1C6C">
            <w:pPr>
              <w:jc w:val="center"/>
              <w:rPr>
                <w:rFonts w:hint="eastAsia" w:ascii="仿宋" w:hAnsi="仿宋" w:eastAsia="仿宋" w:cs="仿宋"/>
                <w:b w:val="0"/>
                <w:bCs w:val="0"/>
                <w:color w:val="auto"/>
                <w:sz w:val="24"/>
                <w:szCs w:val="24"/>
                <w:highlight w:val="none"/>
              </w:rPr>
            </w:pPr>
          </w:p>
        </w:tc>
        <w:tc>
          <w:tcPr>
            <w:tcW w:w="1369" w:type="dxa"/>
            <w:vAlign w:val="center"/>
          </w:tcPr>
          <w:p w14:paraId="53260B9B">
            <w:pPr>
              <w:spacing w:line="2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营业收入(Y)</w:t>
            </w:r>
          </w:p>
        </w:tc>
        <w:tc>
          <w:tcPr>
            <w:tcW w:w="709" w:type="dxa"/>
            <w:vAlign w:val="center"/>
          </w:tcPr>
          <w:p w14:paraId="50924F5D">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万元</w:t>
            </w:r>
          </w:p>
        </w:tc>
        <w:tc>
          <w:tcPr>
            <w:tcW w:w="1125" w:type="dxa"/>
            <w:vAlign w:val="center"/>
          </w:tcPr>
          <w:p w14:paraId="53DA2CCE">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Y≥100000</w:t>
            </w:r>
          </w:p>
        </w:tc>
        <w:tc>
          <w:tcPr>
            <w:tcW w:w="1701" w:type="dxa"/>
            <w:vAlign w:val="center"/>
          </w:tcPr>
          <w:p w14:paraId="6FBD82D4">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1000≤Y＜100000</w:t>
            </w:r>
          </w:p>
        </w:tc>
        <w:tc>
          <w:tcPr>
            <w:tcW w:w="1426" w:type="dxa"/>
            <w:vAlign w:val="center"/>
          </w:tcPr>
          <w:p w14:paraId="03C41DA2">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100≤Y＜1000</w:t>
            </w:r>
          </w:p>
        </w:tc>
        <w:tc>
          <w:tcPr>
            <w:tcW w:w="992" w:type="dxa"/>
            <w:vAlign w:val="center"/>
          </w:tcPr>
          <w:p w14:paraId="4305F6DE">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Y＜100</w:t>
            </w:r>
          </w:p>
        </w:tc>
      </w:tr>
      <w:tr w14:paraId="0CE1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2113" w:type="dxa"/>
            <w:vMerge w:val="restart"/>
            <w:vAlign w:val="center"/>
          </w:tcPr>
          <w:p w14:paraId="6178D8B3">
            <w:pPr>
              <w:spacing w:line="240" w:lineRule="exact"/>
              <w:jc w:val="center"/>
              <w:rPr>
                <w:rFonts w:hint="eastAsia" w:ascii="仿宋" w:hAnsi="仿宋" w:eastAsia="仿宋" w:cs="仿宋"/>
                <w:b w:val="0"/>
                <w:bCs w:val="0"/>
                <w:color w:val="auto"/>
                <w:spacing w:val="-12"/>
                <w:sz w:val="24"/>
                <w:szCs w:val="24"/>
                <w:highlight w:val="none"/>
              </w:rPr>
            </w:pPr>
            <w:r>
              <w:rPr>
                <w:rFonts w:hint="eastAsia" w:ascii="仿宋" w:hAnsi="仿宋" w:eastAsia="仿宋" w:cs="仿宋"/>
                <w:b w:val="0"/>
                <w:bCs w:val="0"/>
                <w:color w:val="auto"/>
                <w:spacing w:val="-12"/>
                <w:sz w:val="24"/>
                <w:szCs w:val="24"/>
                <w:highlight w:val="none"/>
              </w:rPr>
              <w:t>软件和信息技术服</w:t>
            </w:r>
            <w:r>
              <w:rPr>
                <w:rFonts w:hint="eastAsia" w:ascii="仿宋" w:hAnsi="仿宋" w:eastAsia="仿宋" w:cs="仿宋"/>
                <w:b w:val="0"/>
                <w:bCs w:val="0"/>
                <w:color w:val="auto"/>
                <w:sz w:val="24"/>
                <w:szCs w:val="24"/>
                <w:highlight w:val="none"/>
              </w:rPr>
              <w:t>务业</w:t>
            </w:r>
          </w:p>
        </w:tc>
        <w:tc>
          <w:tcPr>
            <w:tcW w:w="1369" w:type="dxa"/>
            <w:vAlign w:val="center"/>
          </w:tcPr>
          <w:p w14:paraId="50A1AA14">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从业人员(X)</w:t>
            </w:r>
          </w:p>
        </w:tc>
        <w:tc>
          <w:tcPr>
            <w:tcW w:w="709" w:type="dxa"/>
            <w:vAlign w:val="center"/>
          </w:tcPr>
          <w:p w14:paraId="14F1B7D6">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人</w:t>
            </w:r>
          </w:p>
        </w:tc>
        <w:tc>
          <w:tcPr>
            <w:tcW w:w="1125" w:type="dxa"/>
            <w:vAlign w:val="center"/>
          </w:tcPr>
          <w:p w14:paraId="68F78869">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X≥300</w:t>
            </w:r>
          </w:p>
        </w:tc>
        <w:tc>
          <w:tcPr>
            <w:tcW w:w="1701" w:type="dxa"/>
            <w:vAlign w:val="center"/>
          </w:tcPr>
          <w:p w14:paraId="4F8A38B0">
            <w:pPr>
              <w:ind w:left="37" w:leftChars="-51" w:hanging="144" w:hangingChars="6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100≤X＜300</w:t>
            </w:r>
          </w:p>
        </w:tc>
        <w:tc>
          <w:tcPr>
            <w:tcW w:w="1426" w:type="dxa"/>
            <w:vAlign w:val="center"/>
          </w:tcPr>
          <w:p w14:paraId="5EE1C577">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10≤X＜100</w:t>
            </w:r>
          </w:p>
        </w:tc>
        <w:tc>
          <w:tcPr>
            <w:tcW w:w="992" w:type="dxa"/>
            <w:vAlign w:val="center"/>
          </w:tcPr>
          <w:p w14:paraId="4D48DF61">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X＜10</w:t>
            </w:r>
          </w:p>
        </w:tc>
      </w:tr>
      <w:tr w14:paraId="3C5B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2113" w:type="dxa"/>
            <w:vMerge w:val="continue"/>
            <w:vAlign w:val="center"/>
          </w:tcPr>
          <w:p w14:paraId="5569E789">
            <w:pPr>
              <w:jc w:val="center"/>
              <w:rPr>
                <w:rFonts w:hint="eastAsia" w:ascii="仿宋" w:hAnsi="仿宋" w:eastAsia="仿宋" w:cs="仿宋"/>
                <w:b w:val="0"/>
                <w:bCs w:val="0"/>
                <w:color w:val="auto"/>
                <w:spacing w:val="-12"/>
                <w:sz w:val="24"/>
                <w:szCs w:val="24"/>
                <w:highlight w:val="none"/>
              </w:rPr>
            </w:pPr>
          </w:p>
        </w:tc>
        <w:tc>
          <w:tcPr>
            <w:tcW w:w="1369" w:type="dxa"/>
            <w:vAlign w:val="center"/>
          </w:tcPr>
          <w:p w14:paraId="2FFCD8B4">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营业收入(Y)</w:t>
            </w:r>
          </w:p>
        </w:tc>
        <w:tc>
          <w:tcPr>
            <w:tcW w:w="709" w:type="dxa"/>
            <w:vAlign w:val="center"/>
          </w:tcPr>
          <w:p w14:paraId="03C704C5">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万元</w:t>
            </w:r>
          </w:p>
        </w:tc>
        <w:tc>
          <w:tcPr>
            <w:tcW w:w="1125" w:type="dxa"/>
            <w:vAlign w:val="center"/>
          </w:tcPr>
          <w:p w14:paraId="38E4A54E">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Y≥10000</w:t>
            </w:r>
          </w:p>
        </w:tc>
        <w:tc>
          <w:tcPr>
            <w:tcW w:w="1701" w:type="dxa"/>
            <w:vAlign w:val="center"/>
          </w:tcPr>
          <w:p w14:paraId="37DAD441">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1000≤Y＜10000</w:t>
            </w:r>
          </w:p>
        </w:tc>
        <w:tc>
          <w:tcPr>
            <w:tcW w:w="1426" w:type="dxa"/>
            <w:vAlign w:val="center"/>
          </w:tcPr>
          <w:p w14:paraId="09B73562">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50≤Y＜1000</w:t>
            </w:r>
          </w:p>
        </w:tc>
        <w:tc>
          <w:tcPr>
            <w:tcW w:w="992" w:type="dxa"/>
            <w:vAlign w:val="center"/>
          </w:tcPr>
          <w:p w14:paraId="310860AD">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Y＜50</w:t>
            </w:r>
          </w:p>
        </w:tc>
      </w:tr>
      <w:tr w14:paraId="3A22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2113" w:type="dxa"/>
            <w:vMerge w:val="restart"/>
            <w:vAlign w:val="center"/>
          </w:tcPr>
          <w:p w14:paraId="3D4194B1">
            <w:pPr>
              <w:spacing w:line="2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房地产开发经营</w:t>
            </w:r>
          </w:p>
        </w:tc>
        <w:tc>
          <w:tcPr>
            <w:tcW w:w="1369" w:type="dxa"/>
            <w:vAlign w:val="center"/>
          </w:tcPr>
          <w:p w14:paraId="421E4891">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营业收入(Y)</w:t>
            </w:r>
          </w:p>
        </w:tc>
        <w:tc>
          <w:tcPr>
            <w:tcW w:w="709" w:type="dxa"/>
            <w:vAlign w:val="center"/>
          </w:tcPr>
          <w:p w14:paraId="74B1C297">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万元</w:t>
            </w:r>
          </w:p>
        </w:tc>
        <w:tc>
          <w:tcPr>
            <w:tcW w:w="1125" w:type="dxa"/>
            <w:vAlign w:val="center"/>
          </w:tcPr>
          <w:p w14:paraId="60EEF5A6">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Y≥200000</w:t>
            </w:r>
          </w:p>
        </w:tc>
        <w:tc>
          <w:tcPr>
            <w:tcW w:w="1701" w:type="dxa"/>
            <w:vAlign w:val="center"/>
          </w:tcPr>
          <w:p w14:paraId="73C09E6D">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1000≤Y＜200000</w:t>
            </w:r>
          </w:p>
        </w:tc>
        <w:tc>
          <w:tcPr>
            <w:tcW w:w="1426" w:type="dxa"/>
            <w:vAlign w:val="center"/>
          </w:tcPr>
          <w:p w14:paraId="2EEDB105">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100≤Y＜1000</w:t>
            </w:r>
          </w:p>
        </w:tc>
        <w:tc>
          <w:tcPr>
            <w:tcW w:w="992" w:type="dxa"/>
            <w:vAlign w:val="center"/>
          </w:tcPr>
          <w:p w14:paraId="378F6751">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Y＜100</w:t>
            </w:r>
          </w:p>
        </w:tc>
      </w:tr>
      <w:tr w14:paraId="16B5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2113" w:type="dxa"/>
            <w:vMerge w:val="continue"/>
            <w:vAlign w:val="center"/>
          </w:tcPr>
          <w:p w14:paraId="64AB4C25">
            <w:pPr>
              <w:jc w:val="center"/>
              <w:rPr>
                <w:rFonts w:hint="eastAsia" w:ascii="仿宋" w:hAnsi="仿宋" w:eastAsia="仿宋" w:cs="仿宋"/>
                <w:b w:val="0"/>
                <w:bCs w:val="0"/>
                <w:color w:val="auto"/>
                <w:sz w:val="24"/>
                <w:szCs w:val="24"/>
                <w:highlight w:val="none"/>
              </w:rPr>
            </w:pPr>
          </w:p>
        </w:tc>
        <w:tc>
          <w:tcPr>
            <w:tcW w:w="1369" w:type="dxa"/>
            <w:vAlign w:val="center"/>
          </w:tcPr>
          <w:p w14:paraId="6CC3398B">
            <w:pPr>
              <w:spacing w:line="2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资产总额(Z)</w:t>
            </w:r>
          </w:p>
        </w:tc>
        <w:tc>
          <w:tcPr>
            <w:tcW w:w="709" w:type="dxa"/>
            <w:vAlign w:val="center"/>
          </w:tcPr>
          <w:p w14:paraId="460144E5">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万元</w:t>
            </w:r>
          </w:p>
        </w:tc>
        <w:tc>
          <w:tcPr>
            <w:tcW w:w="1125" w:type="dxa"/>
            <w:vAlign w:val="center"/>
          </w:tcPr>
          <w:p w14:paraId="1E0419F7">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Z≥10000</w:t>
            </w:r>
          </w:p>
        </w:tc>
        <w:tc>
          <w:tcPr>
            <w:tcW w:w="1701" w:type="dxa"/>
            <w:vAlign w:val="center"/>
          </w:tcPr>
          <w:p w14:paraId="32976128">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5000≤Z＜10000</w:t>
            </w:r>
          </w:p>
        </w:tc>
        <w:tc>
          <w:tcPr>
            <w:tcW w:w="1426" w:type="dxa"/>
            <w:vAlign w:val="center"/>
          </w:tcPr>
          <w:p w14:paraId="0F1A7360">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2000≤Z＜5000</w:t>
            </w:r>
          </w:p>
        </w:tc>
        <w:tc>
          <w:tcPr>
            <w:tcW w:w="992" w:type="dxa"/>
            <w:vAlign w:val="center"/>
          </w:tcPr>
          <w:p w14:paraId="6DED65A4">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Z＜2000</w:t>
            </w:r>
          </w:p>
        </w:tc>
      </w:tr>
      <w:tr w14:paraId="454D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jc w:val="center"/>
        </w:trPr>
        <w:tc>
          <w:tcPr>
            <w:tcW w:w="2113" w:type="dxa"/>
            <w:vMerge w:val="restart"/>
            <w:vAlign w:val="center"/>
          </w:tcPr>
          <w:p w14:paraId="1D237D44">
            <w:pPr>
              <w:spacing w:line="2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物业管理</w:t>
            </w:r>
          </w:p>
        </w:tc>
        <w:tc>
          <w:tcPr>
            <w:tcW w:w="1369" w:type="dxa"/>
            <w:vAlign w:val="center"/>
          </w:tcPr>
          <w:p w14:paraId="028F85E0">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从业人员(X)</w:t>
            </w:r>
          </w:p>
        </w:tc>
        <w:tc>
          <w:tcPr>
            <w:tcW w:w="709" w:type="dxa"/>
            <w:vAlign w:val="center"/>
          </w:tcPr>
          <w:p w14:paraId="075A81DB">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人</w:t>
            </w:r>
          </w:p>
        </w:tc>
        <w:tc>
          <w:tcPr>
            <w:tcW w:w="1125" w:type="dxa"/>
            <w:vAlign w:val="center"/>
          </w:tcPr>
          <w:p w14:paraId="10904E0B">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X≥1000</w:t>
            </w:r>
          </w:p>
        </w:tc>
        <w:tc>
          <w:tcPr>
            <w:tcW w:w="1701" w:type="dxa"/>
            <w:vAlign w:val="center"/>
          </w:tcPr>
          <w:p w14:paraId="7EC24E2D">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300≤X＜1000</w:t>
            </w:r>
          </w:p>
        </w:tc>
        <w:tc>
          <w:tcPr>
            <w:tcW w:w="1426" w:type="dxa"/>
            <w:vAlign w:val="center"/>
          </w:tcPr>
          <w:p w14:paraId="1EC1B03A">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100≤X＜300</w:t>
            </w:r>
          </w:p>
        </w:tc>
        <w:tc>
          <w:tcPr>
            <w:tcW w:w="992" w:type="dxa"/>
            <w:vAlign w:val="center"/>
          </w:tcPr>
          <w:p w14:paraId="66834F08">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X＜100</w:t>
            </w:r>
          </w:p>
        </w:tc>
      </w:tr>
      <w:tr w14:paraId="181F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2113" w:type="dxa"/>
            <w:vMerge w:val="continue"/>
            <w:vAlign w:val="center"/>
          </w:tcPr>
          <w:p w14:paraId="25B1A2E2">
            <w:pPr>
              <w:jc w:val="center"/>
              <w:rPr>
                <w:rFonts w:hint="eastAsia" w:ascii="仿宋" w:hAnsi="仿宋" w:eastAsia="仿宋" w:cs="仿宋"/>
                <w:b w:val="0"/>
                <w:bCs w:val="0"/>
                <w:color w:val="auto"/>
                <w:sz w:val="24"/>
                <w:szCs w:val="24"/>
                <w:highlight w:val="none"/>
              </w:rPr>
            </w:pPr>
          </w:p>
        </w:tc>
        <w:tc>
          <w:tcPr>
            <w:tcW w:w="1369" w:type="dxa"/>
            <w:vAlign w:val="center"/>
          </w:tcPr>
          <w:p w14:paraId="44C5B973">
            <w:pPr>
              <w:spacing w:line="2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营业收入(Y)</w:t>
            </w:r>
          </w:p>
        </w:tc>
        <w:tc>
          <w:tcPr>
            <w:tcW w:w="709" w:type="dxa"/>
            <w:vAlign w:val="center"/>
          </w:tcPr>
          <w:p w14:paraId="34929196">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万元</w:t>
            </w:r>
          </w:p>
        </w:tc>
        <w:tc>
          <w:tcPr>
            <w:tcW w:w="1125" w:type="dxa"/>
            <w:vAlign w:val="center"/>
          </w:tcPr>
          <w:p w14:paraId="5217304B">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Y≥5000</w:t>
            </w:r>
          </w:p>
        </w:tc>
        <w:tc>
          <w:tcPr>
            <w:tcW w:w="1701" w:type="dxa"/>
            <w:vAlign w:val="center"/>
          </w:tcPr>
          <w:p w14:paraId="6B245A91">
            <w:pPr>
              <w:ind w:left="37" w:leftChars="-51" w:hanging="144" w:hangingChars="6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1000≤Y＜5000</w:t>
            </w:r>
          </w:p>
        </w:tc>
        <w:tc>
          <w:tcPr>
            <w:tcW w:w="1426" w:type="dxa"/>
            <w:vAlign w:val="center"/>
          </w:tcPr>
          <w:p w14:paraId="4CA5B311">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500≤Y＜1000</w:t>
            </w:r>
          </w:p>
        </w:tc>
        <w:tc>
          <w:tcPr>
            <w:tcW w:w="992" w:type="dxa"/>
            <w:vAlign w:val="center"/>
          </w:tcPr>
          <w:p w14:paraId="5DD80401">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Y＜500</w:t>
            </w:r>
          </w:p>
        </w:tc>
      </w:tr>
      <w:tr w14:paraId="7135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2113" w:type="dxa"/>
            <w:vMerge w:val="restart"/>
            <w:vAlign w:val="center"/>
          </w:tcPr>
          <w:p w14:paraId="7230A108">
            <w:pPr>
              <w:spacing w:line="2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租赁和商务服务业</w:t>
            </w:r>
          </w:p>
        </w:tc>
        <w:tc>
          <w:tcPr>
            <w:tcW w:w="1369" w:type="dxa"/>
            <w:vAlign w:val="center"/>
          </w:tcPr>
          <w:p w14:paraId="47CDAFDF">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从业人员(X)</w:t>
            </w:r>
          </w:p>
        </w:tc>
        <w:tc>
          <w:tcPr>
            <w:tcW w:w="709" w:type="dxa"/>
            <w:vAlign w:val="center"/>
          </w:tcPr>
          <w:p w14:paraId="64B64325">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人</w:t>
            </w:r>
          </w:p>
        </w:tc>
        <w:tc>
          <w:tcPr>
            <w:tcW w:w="1125" w:type="dxa"/>
            <w:vAlign w:val="center"/>
          </w:tcPr>
          <w:p w14:paraId="0BC3D424">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X≥300</w:t>
            </w:r>
          </w:p>
        </w:tc>
        <w:tc>
          <w:tcPr>
            <w:tcW w:w="1701" w:type="dxa"/>
            <w:vAlign w:val="center"/>
          </w:tcPr>
          <w:p w14:paraId="3F924786">
            <w:pPr>
              <w:ind w:left="37" w:leftChars="-51" w:hanging="144" w:hangingChars="6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100≤X＜300</w:t>
            </w:r>
          </w:p>
        </w:tc>
        <w:tc>
          <w:tcPr>
            <w:tcW w:w="1426" w:type="dxa"/>
            <w:vAlign w:val="center"/>
          </w:tcPr>
          <w:p w14:paraId="6865ED39">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10≤X＜100</w:t>
            </w:r>
          </w:p>
        </w:tc>
        <w:tc>
          <w:tcPr>
            <w:tcW w:w="992" w:type="dxa"/>
            <w:vAlign w:val="center"/>
          </w:tcPr>
          <w:p w14:paraId="6F74463B">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X＜10</w:t>
            </w:r>
          </w:p>
        </w:tc>
      </w:tr>
      <w:tr w14:paraId="2C67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2113" w:type="dxa"/>
            <w:vMerge w:val="continue"/>
            <w:vAlign w:val="center"/>
          </w:tcPr>
          <w:p w14:paraId="49F4B1DB">
            <w:pPr>
              <w:jc w:val="center"/>
              <w:rPr>
                <w:rFonts w:hint="eastAsia" w:ascii="仿宋" w:hAnsi="仿宋" w:eastAsia="仿宋" w:cs="仿宋"/>
                <w:b w:val="0"/>
                <w:bCs w:val="0"/>
                <w:color w:val="auto"/>
                <w:sz w:val="24"/>
                <w:szCs w:val="24"/>
                <w:highlight w:val="none"/>
              </w:rPr>
            </w:pPr>
          </w:p>
        </w:tc>
        <w:tc>
          <w:tcPr>
            <w:tcW w:w="1369" w:type="dxa"/>
            <w:vAlign w:val="center"/>
          </w:tcPr>
          <w:p w14:paraId="0F0D7BA3">
            <w:pPr>
              <w:spacing w:line="2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资产总额(Z)</w:t>
            </w:r>
          </w:p>
        </w:tc>
        <w:tc>
          <w:tcPr>
            <w:tcW w:w="709" w:type="dxa"/>
            <w:vAlign w:val="center"/>
          </w:tcPr>
          <w:p w14:paraId="3AEC4599">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万元</w:t>
            </w:r>
          </w:p>
        </w:tc>
        <w:tc>
          <w:tcPr>
            <w:tcW w:w="1125" w:type="dxa"/>
            <w:vAlign w:val="center"/>
          </w:tcPr>
          <w:p w14:paraId="71E72FA3">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Z≥120000</w:t>
            </w:r>
          </w:p>
        </w:tc>
        <w:tc>
          <w:tcPr>
            <w:tcW w:w="1701" w:type="dxa"/>
            <w:vAlign w:val="center"/>
          </w:tcPr>
          <w:p w14:paraId="0EE690E3">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8000≤Z＜120000</w:t>
            </w:r>
          </w:p>
        </w:tc>
        <w:tc>
          <w:tcPr>
            <w:tcW w:w="1426" w:type="dxa"/>
            <w:vAlign w:val="center"/>
          </w:tcPr>
          <w:p w14:paraId="070AF461">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100≤Z＜8000</w:t>
            </w:r>
          </w:p>
        </w:tc>
        <w:tc>
          <w:tcPr>
            <w:tcW w:w="992" w:type="dxa"/>
            <w:vAlign w:val="center"/>
          </w:tcPr>
          <w:p w14:paraId="22E92725">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Z＜100</w:t>
            </w:r>
          </w:p>
        </w:tc>
      </w:tr>
      <w:tr w14:paraId="3C41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113" w:type="dxa"/>
            <w:vAlign w:val="center"/>
          </w:tcPr>
          <w:p w14:paraId="7F7F493D">
            <w:pPr>
              <w:spacing w:line="2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其他未列明行业*</w:t>
            </w:r>
          </w:p>
        </w:tc>
        <w:tc>
          <w:tcPr>
            <w:tcW w:w="1369" w:type="dxa"/>
            <w:vAlign w:val="center"/>
          </w:tcPr>
          <w:p w14:paraId="41ECC620">
            <w:pPr>
              <w:spacing w:line="2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从业人员(X)</w:t>
            </w:r>
          </w:p>
        </w:tc>
        <w:tc>
          <w:tcPr>
            <w:tcW w:w="709" w:type="dxa"/>
            <w:vAlign w:val="center"/>
          </w:tcPr>
          <w:p w14:paraId="6DE2D6D7">
            <w:pPr>
              <w:spacing w:line="2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人</w:t>
            </w:r>
          </w:p>
        </w:tc>
        <w:tc>
          <w:tcPr>
            <w:tcW w:w="1125" w:type="dxa"/>
            <w:vAlign w:val="center"/>
          </w:tcPr>
          <w:p w14:paraId="1E83FAFB">
            <w:pPr>
              <w:spacing w:line="2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X≥300</w:t>
            </w:r>
          </w:p>
        </w:tc>
        <w:tc>
          <w:tcPr>
            <w:tcW w:w="1701" w:type="dxa"/>
            <w:vAlign w:val="center"/>
          </w:tcPr>
          <w:p w14:paraId="144602EE">
            <w:pPr>
              <w:spacing w:line="240" w:lineRule="exact"/>
              <w:ind w:left="37" w:leftChars="-51" w:hanging="144" w:hangingChars="6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100≤X＜300</w:t>
            </w:r>
          </w:p>
        </w:tc>
        <w:tc>
          <w:tcPr>
            <w:tcW w:w="1426" w:type="dxa"/>
            <w:vAlign w:val="center"/>
          </w:tcPr>
          <w:p w14:paraId="31A25284">
            <w:pPr>
              <w:spacing w:line="2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10≤X＜100</w:t>
            </w:r>
          </w:p>
        </w:tc>
        <w:tc>
          <w:tcPr>
            <w:tcW w:w="992" w:type="dxa"/>
            <w:vAlign w:val="center"/>
          </w:tcPr>
          <w:p w14:paraId="041B9FF7">
            <w:pPr>
              <w:spacing w:line="24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X＜10</w:t>
            </w:r>
          </w:p>
        </w:tc>
      </w:tr>
    </w:tbl>
    <w:p w14:paraId="321DA385">
      <w:pPr>
        <w:spacing w:line="400" w:lineRule="exact"/>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说明：</w:t>
      </w:r>
    </w:p>
    <w:p w14:paraId="61882B47">
      <w:pPr>
        <w:spacing w:line="400" w:lineRule="exact"/>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　　1.大型、中型和小型企业须同时满足所列指标的下限，否则下划一档；微型企业只须满足所列指标中的一项即可。</w:t>
      </w:r>
    </w:p>
    <w:p w14:paraId="50253B0D">
      <w:pPr>
        <w:spacing w:line="400" w:lineRule="exact"/>
        <w:ind w:firstLine="452"/>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D6C16BD">
      <w:pPr>
        <w:spacing w:line="400" w:lineRule="exact"/>
        <w:ind w:firstLine="452"/>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6AE90E3">
      <w:pPr>
        <w:pStyle w:val="3"/>
        <w:rPr>
          <w:rFonts w:hint="eastAsia" w:ascii="仿宋" w:hAnsi="仿宋" w:eastAsia="仿宋" w:cs="仿宋"/>
          <w:color w:val="auto"/>
          <w:sz w:val="24"/>
          <w:szCs w:val="24"/>
          <w:highlight w:val="none"/>
        </w:rPr>
        <w:sectPr>
          <w:pgSz w:w="11906" w:h="16838"/>
          <w:pgMar w:top="1440" w:right="1080" w:bottom="1440" w:left="1080" w:header="851" w:footer="992" w:gutter="0"/>
          <w:pgNumType w:fmt="decimal"/>
          <w:cols w:space="0" w:num="1"/>
          <w:docGrid w:type="lines" w:linePitch="312" w:charSpace="0"/>
        </w:sectPr>
      </w:pPr>
    </w:p>
    <w:p w14:paraId="421A9775">
      <w:pPr>
        <w:spacing w:before="120" w:beforeLines="50" w:after="120" w:afterLines="50"/>
        <w:jc w:val="center"/>
        <w:textAlignment w:val="baseline"/>
        <w:rPr>
          <w:rFonts w:hint="eastAsia" w:ascii="仿宋" w:hAnsi="仿宋" w:eastAsia="仿宋" w:cs="仿宋"/>
          <w:bCs/>
          <w:color w:val="auto"/>
          <w:sz w:val="24"/>
          <w:szCs w:val="24"/>
          <w:highlight w:val="none"/>
          <w:shd w:val="clear" w:color="auto" w:fill="FFFFFF"/>
        </w:rPr>
      </w:pPr>
      <w:r>
        <w:rPr>
          <w:rFonts w:hint="eastAsia" w:ascii="仿宋" w:hAnsi="仿宋" w:eastAsia="仿宋" w:cs="仿宋"/>
          <w:bCs/>
          <w:color w:val="auto"/>
          <w:sz w:val="24"/>
          <w:szCs w:val="24"/>
          <w:highlight w:val="none"/>
          <w:shd w:val="clear" w:color="auto" w:fill="FFFFFF"/>
        </w:rPr>
        <w:t>政府采购促进中小企业发展管理办法</w:t>
      </w:r>
    </w:p>
    <w:p w14:paraId="0947DE85">
      <w:pPr>
        <w:spacing w:before="0" w:after="0"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财库〔2020〕46号</w:t>
      </w:r>
    </w:p>
    <w:p w14:paraId="436EC000">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第一条 为了发挥政府采购的政策功能，促进中小企业健康发展，根据《中华人民共和国政府采购法》、《中华人民共和国中小企业促进法》等有关法律法规，制定本办法。</w:t>
      </w:r>
    </w:p>
    <w:p w14:paraId="13EC8F9E">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3098D67">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第三条 采购人在政府采购活动中应当通过加强采购需求管理，落实预留采购份额、价格评审优惠、优先采购等措施，提高中小企业在政府采购中的份额，支持中小企业发展。</w:t>
      </w:r>
    </w:p>
    <w:p w14:paraId="18CEB17C">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第四条 在政府采购活动中，供应商提供的货物、工程或者服务符合下列情形的，享受本办法规定的中小企业扶持政策：</w:t>
      </w:r>
    </w:p>
    <w:p w14:paraId="4E92ED99">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（一）在货物采购项目中，货物由中小企业制造，即货物由中小企业生产且使用该中小企业商号或者注册商标；</w:t>
      </w:r>
    </w:p>
    <w:p w14:paraId="6D904B9D">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（二）在工程采购项目中，工程由中小企业承建，即工程施工单位为中小企业；</w:t>
      </w:r>
    </w:p>
    <w:p w14:paraId="48FCF65B">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（三）在服务采购项目中，服务由中小企业承接，即提供服务的人员为中小企业依照《中华人民共和国劳动合同法》订立劳动合同的从业人员。</w:t>
      </w:r>
    </w:p>
    <w:p w14:paraId="4C961A1B">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在货物采购项目中，供应商提供的货物既有中小企业制造货物，也有大型企业制造货物的，不享受本办法规定的中小企业扶持政策。</w:t>
      </w:r>
    </w:p>
    <w:p w14:paraId="51CC5EB4">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以联合体形式参加政府采购活动，联合体各方均为中小企业的，联合体视同中小企业。其中，联合体各方均为小微企业的，联合体视同小微企业。</w:t>
      </w:r>
    </w:p>
    <w:p w14:paraId="6A40703F">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5E64E221">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C136D05">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符合下列情形之一的，可不专门面向中小企业预留采购份额：</w:t>
      </w:r>
    </w:p>
    <w:p w14:paraId="5CCDB9BE">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（一）法律法规和国家有关政策明确规定优先或者应当面向事业单位、社会组织等非企业主体采购的；</w:t>
      </w:r>
    </w:p>
    <w:p w14:paraId="6A8D1B76">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（二）因确需使用不可替代的专利、专有技术，基础设施限制，或者提供特定公共服务等原因，只能从中小企业之外的供应商处采购的；</w:t>
      </w:r>
    </w:p>
    <w:p w14:paraId="30A93A3B">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（三）按照本办法规定预留采购份额无法确保充分供应、充分竞争，或者存在可能影响政府采购目标实现的情形；</w:t>
      </w:r>
    </w:p>
    <w:p w14:paraId="27FC0153">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（四）框架协议采购项目；</w:t>
      </w:r>
    </w:p>
    <w:p w14:paraId="2CE749EE">
      <w:pPr>
        <w:pStyle w:val="12"/>
        <w:tabs>
          <w:tab w:val="left" w:pos="2207"/>
        </w:tabs>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（五）省级以上人民政府财政部门规定的其他情形。 除上述情形外，其他均为适宜由中小企业提供的情形。</w:t>
      </w:r>
    </w:p>
    <w:p w14:paraId="7C2E47FC">
      <w:pPr>
        <w:pStyle w:val="12"/>
        <w:tabs>
          <w:tab w:val="left" w:pos="2207"/>
        </w:tabs>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第七条 采购限额标准以上，200 万元以下的货物和服务采购项目、400 万元以下的工程采购项目，适宜由中小企业提供的，采购人应当专门面向中小企业采购。</w:t>
      </w:r>
    </w:p>
    <w:p w14:paraId="5247BB80">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14:paraId="516C8C24">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（一）将采购项目整体或者设置采购包专门面向中小企业采购；</w:t>
      </w:r>
    </w:p>
    <w:p w14:paraId="2E256B88">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（二）要求供应商以联合体形式参加采购活动，且联合体中中小企业承担的部分达到一定比例；</w:t>
      </w:r>
    </w:p>
    <w:p w14:paraId="20A81E24">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（三）要求获得采购合同的供应商将采购项目中的一定比例分包给一家或者多家中小企业。</w:t>
      </w:r>
    </w:p>
    <w:p w14:paraId="6139A44C">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组成联合体或者接受分包合同的中小企业与联合体内 其他企业、分包企业之间不得存在直接控股、管理关系。</w:t>
      </w:r>
    </w:p>
    <w:p w14:paraId="27D6AF84">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工程建设项目，采用综合评估法但未采用低价优先法计算价格分的，评标时应当在采用原报价进行评分的基础上增加其价格得分的 3%—5%作为其价格分。</w:t>
      </w:r>
    </w:p>
    <w:p w14:paraId="5D9F845B">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267743DA">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5CF272C">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5AB2C912">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第十一条 中小企业参加政府采购活动，应当出具本办法规定的《中小企业声明函》（附1），否则不得享受相关中小企业扶持政策。任何单位和个人不得要求供应商提供《中 小企业声明函》之外的中小企业身份证明文件。</w:t>
      </w:r>
    </w:p>
    <w:p w14:paraId="00F1B830">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第十二条 采购项目涉及中小企业采购的，采购文件应当明确以下内容：</w:t>
      </w:r>
    </w:p>
    <w:p w14:paraId="56C445F5">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（一）预留份额的采购项目或者采购包，明确该项目或相关采购包专门面向中小企业采购，以及相关标的及预算金额；</w:t>
      </w:r>
    </w:p>
    <w:p w14:paraId="2A86B5CD">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（二）要求以联合体形式参加或者合同分包的，明确联</w:t>
      </w:r>
    </w:p>
    <w:p w14:paraId="72D3894C">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合协议或者分包意向协议中中小企业合同金额应当达到的比例，并作为供应商资格条件；</w:t>
      </w:r>
    </w:p>
    <w:p w14:paraId="19567BB1">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（三）非预留份额的采购项目或者采购包，明确有关价格扣除比例或者价格分加分比例；</w:t>
      </w:r>
    </w:p>
    <w:p w14:paraId="7967F5F3">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（四）规定依据本办法规定享受扶持政策获得政府采购合同的，小微企业不得将合同分包给大中型企业，中型企业不得将合同分包给大型企业；</w:t>
      </w:r>
    </w:p>
    <w:p w14:paraId="515AB615">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（五）采购人认为具备相关条件的，明确对中小企业在资金支付期限、预付款比例等方面的优惠措施；</w:t>
      </w:r>
    </w:p>
    <w:p w14:paraId="79A7D1F9">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（六）明确采购标的对应的中小企业划分标准所属行业；</w:t>
      </w:r>
    </w:p>
    <w:p w14:paraId="4D0BC49C">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（七）法律法规和省级以上人民政府财政部门规定的其他事项。</w:t>
      </w:r>
    </w:p>
    <w:p w14:paraId="4EB7F637">
      <w:pPr>
        <w:pStyle w:val="12"/>
        <w:tabs>
          <w:tab w:val="left" w:pos="2526"/>
        </w:tabs>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第十三条  中标、成交供应商享受本办法规定的中小企业扶持政策的，采购人、采购代理机构应当随中标、成交结果公开中标、成交供应商的《中小企业声明函》。</w:t>
      </w:r>
    </w:p>
    <w:p w14:paraId="67D1DEF0">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适用招标投标法的政府采购工程建设项目，应当在公示中标候选人时公开中标候选人的《中小企业声明函》。</w:t>
      </w:r>
    </w:p>
    <w:p w14:paraId="1F58C877">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EBDBB11">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565CC33B">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第十六条 政府采购监督检查、投诉处理及政府采购行政处罚中对中小企业的认定，由货物制造商或者工程、服务供应商注册登记所在地的县级以上人民政府中小企业主管 部门负责。</w:t>
      </w:r>
    </w:p>
    <w:p w14:paraId="56B8B06B">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中小企业主管部门应当在收到财政部门或者有关招标 投标行政监督部门关于协助开展中小企业认定函后 10 个工作日内做出书面答复。</w:t>
      </w:r>
    </w:p>
    <w:p w14:paraId="14AB2CBF">
      <w:pPr>
        <w:pStyle w:val="12"/>
        <w:tabs>
          <w:tab w:val="left" w:pos="2459"/>
        </w:tabs>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第十七条 各地区、各部门应当对涉及中小企业采购的 预算项目实施全过程绩效管理，合理设置绩效目标和指标，落实扶持中小企业有关政策要求，定期开展绩效监控和评价，强化绩效评价结果应用。</w:t>
      </w:r>
    </w:p>
    <w:p w14:paraId="56FC07DB">
      <w:pPr>
        <w:pStyle w:val="12"/>
        <w:tabs>
          <w:tab w:val="left" w:pos="1880"/>
          <w:tab w:val="left" w:pos="2547"/>
        </w:tabs>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第十八条 主管预算单位应当自 2022 年起向同级财政部门报告本部门上一年度面向中小企业预留份额和采购的具体情况，并在中国政府采购网公开预留项目执行情况(附 2)。未达到本办法规定的预留份额比例的，应当作出说明。 </w:t>
      </w:r>
    </w:p>
    <w:p w14:paraId="207E7DBB">
      <w:pPr>
        <w:pStyle w:val="12"/>
        <w:tabs>
          <w:tab w:val="left" w:pos="1880"/>
          <w:tab w:val="left" w:pos="2547"/>
        </w:tabs>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2D45932">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第二十条 供应商按照本办法规定提供声明函内容不实的，属于提供虚假材料谋取中标、成交，依照《中华人民 共和国政府采购法》等国家有关规定追究相应责任。</w:t>
      </w:r>
    </w:p>
    <w:p w14:paraId="02391470">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适用招标投标法的政府采购工程建设项目，投标人按照本办法规定提供声明函内容不实的，属于弄虚作假骗取中标，依照《中华人民共和国招标投标法》等国家有关规定追究相应责任。</w:t>
      </w:r>
    </w:p>
    <w:p w14:paraId="01F99C93">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有关规定追究相应责任；涉嫌犯罪的，依法移送有关国家机关处理。</w:t>
      </w:r>
    </w:p>
    <w:p w14:paraId="71DE69A6">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第二十二条 对外援助项目、国家相关资格或者资质管理制度另有规定的项目，不适用本办法。</w:t>
      </w:r>
    </w:p>
    <w:p w14:paraId="44B446BB">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第二十三条 关于视同中小企业的其他主体的政府采购扶持政策，由财政部会同有关部门另行规定。</w:t>
      </w:r>
    </w:p>
    <w:p w14:paraId="45D921E0">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第二十四条 省级财政部门可以会同中小企业主管部门根据本办法的规定制定具体实施办法。</w:t>
      </w:r>
    </w:p>
    <w:p w14:paraId="3E72A5E8">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第二十五条 本办法自 2021 年 1 月 1 日起施行。《财政部 工业和信息化部关于印发〈政府采购促进中小企业发展暂行办法〉的通知》（财库﹝2011﹞181 号）同时废止。</w:t>
      </w:r>
    </w:p>
    <w:p w14:paraId="7D09CB25">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0"/>
        <w:jc w:val="center"/>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b/>
          <w:bCs/>
          <w:color w:val="auto"/>
          <w:sz w:val="24"/>
          <w:szCs w:val="24"/>
          <w:highlight w:val="none"/>
        </w:rPr>
        <w:br w:type="page"/>
      </w: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财政部关于进一步加大政府采购支持中小企业力度的通知</w:t>
      </w:r>
    </w:p>
    <w:p w14:paraId="5554B8AE">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0"/>
        <w:jc w:val="center"/>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（财库〔2022〕19号）</w:t>
      </w:r>
    </w:p>
    <w:p w14:paraId="3B5604D1">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ab/>
      </w: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各中央预算单位，各省、自治区、直辖市、计划单列市财政厅（局），新疆生产建设兵团财政局：</w:t>
      </w:r>
    </w:p>
    <w:p w14:paraId="28234BBB">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78B87B06">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1272FB30">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55609B28">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643A532">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四、认真做好组织实施。各地区、各部门应当加强组织领导，明确工作责任，细化执行要求，强化监督检查，确保国务院部署落实到位，对通知执行中出现的问题要及时向财政部报告。</w:t>
      </w:r>
    </w:p>
    <w:p w14:paraId="5DF77360">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本通知自2022年7月1日起执行。</w:t>
      </w:r>
    </w:p>
    <w:p w14:paraId="5D8C7945">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 </w:t>
      </w:r>
    </w:p>
    <w:p w14:paraId="54ED4BEA">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4584"/>
        <w:jc w:val="righ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财政部</w:t>
      </w:r>
    </w:p>
    <w:p w14:paraId="439CCE88">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4200"/>
        <w:jc w:val="righ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2022年5月30日</w:t>
      </w:r>
    </w:p>
    <w:p w14:paraId="110CF2BF">
      <w:pPr>
        <w:spacing w:before="120" w:beforeLines="50" w:after="120" w:afterLines="50"/>
        <w:jc w:val="right"/>
        <w:textAlignment w:val="baseline"/>
        <w:rPr>
          <w:rFonts w:hint="eastAsia" w:ascii="仿宋" w:hAnsi="仿宋" w:eastAsia="仿宋" w:cs="仿宋"/>
          <w:bCs/>
          <w:color w:val="auto"/>
          <w:sz w:val="24"/>
          <w:szCs w:val="24"/>
          <w:highlight w:val="none"/>
          <w:shd w:val="clear" w:color="auto" w:fill="FFFFFF"/>
        </w:rPr>
        <w:sectPr>
          <w:pgSz w:w="11906" w:h="16838"/>
          <w:pgMar w:top="1440" w:right="1080" w:bottom="1440" w:left="1080" w:header="851" w:footer="992" w:gutter="0"/>
          <w:pgNumType w:fmt="decimal"/>
          <w:cols w:space="0" w:num="1"/>
          <w:docGrid w:type="lines" w:linePitch="312" w:charSpace="0"/>
        </w:sectPr>
      </w:pPr>
    </w:p>
    <w:p w14:paraId="6AA4C2AE">
      <w:pPr>
        <w:spacing w:before="120" w:beforeLines="50" w:after="120" w:afterLines="50"/>
        <w:jc w:val="center"/>
        <w:textAlignment w:val="baseline"/>
        <w:rPr>
          <w:rFonts w:hint="eastAsia" w:ascii="仿宋" w:hAnsi="仿宋" w:eastAsia="仿宋" w:cs="仿宋"/>
          <w:color w:val="auto"/>
          <w:sz w:val="24"/>
          <w:szCs w:val="24"/>
          <w:highlight w:val="none"/>
          <w:shd w:val="clear" w:color="auto" w:fill="FFFFFF"/>
        </w:rPr>
      </w:pPr>
      <w:r>
        <w:rPr>
          <w:rFonts w:hint="eastAsia" w:ascii="仿宋" w:hAnsi="仿宋" w:eastAsia="仿宋" w:cs="仿宋"/>
          <w:bCs/>
          <w:color w:val="auto"/>
          <w:sz w:val="24"/>
          <w:szCs w:val="24"/>
          <w:highlight w:val="none"/>
          <w:shd w:val="clear" w:color="auto" w:fill="FFFFFF"/>
        </w:rPr>
        <w:t>财政部 司法部关于政府采购支持监狱企业发展有关问题的通知</w:t>
      </w:r>
    </w:p>
    <w:p w14:paraId="01F80FF4">
      <w:pPr>
        <w:keepNext w:val="0"/>
        <w:keepLines w:val="0"/>
        <w:spacing w:before="120" w:beforeLines="50" w:after="120" w:afterLines="50" w:line="240" w:lineRule="auto"/>
        <w:jc w:val="center"/>
        <w:textAlignment w:val="baseline"/>
        <w:outlineLvl w:val="9"/>
        <w:rPr>
          <w:rFonts w:hint="eastAsia" w:ascii="仿宋" w:hAnsi="仿宋" w:eastAsia="仿宋" w:cs="仿宋"/>
          <w:b w:val="0"/>
          <w:bCs/>
          <w:color w:val="auto"/>
          <w:sz w:val="24"/>
          <w:szCs w:val="24"/>
          <w:highlight w:val="none"/>
        </w:rPr>
      </w:pPr>
      <w:bookmarkStart w:id="85" w:name="_Toc21391"/>
      <w:r>
        <w:rPr>
          <w:rFonts w:hint="eastAsia" w:ascii="仿宋" w:hAnsi="仿宋" w:eastAsia="仿宋" w:cs="仿宋"/>
          <w:b w:val="0"/>
          <w:bCs/>
          <w:color w:val="auto"/>
          <w:sz w:val="24"/>
          <w:szCs w:val="24"/>
          <w:highlight w:val="none"/>
          <w:shd w:val="clear" w:color="auto" w:fill="FFFFFF"/>
        </w:rPr>
        <w:t>财库〔2014〕68号</w:t>
      </w:r>
      <w:bookmarkEnd w:id="85"/>
    </w:p>
    <w:p w14:paraId="714154B8">
      <w:pPr>
        <w:pStyle w:val="27"/>
        <w:spacing w:line="400" w:lineRule="exact"/>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CE56877">
      <w:pPr>
        <w:pStyle w:val="27"/>
        <w:spacing w:line="400" w:lineRule="exact"/>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57BB31F9">
      <w:pPr>
        <w:pStyle w:val="27"/>
        <w:spacing w:line="400" w:lineRule="exact"/>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571939B">
      <w:pPr>
        <w:pStyle w:val="27"/>
        <w:spacing w:line="400" w:lineRule="exact"/>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二、在政府采购活动中，监狱企业视同小型、微型企业，享受预留份额、评审中价格扣除等政府采购促进中小企业发展的政府采购政策。向监狱企业采购的金额，计入面向中小企业采购的统计数据。</w:t>
      </w:r>
    </w:p>
    <w:p w14:paraId="0E77461C">
      <w:pPr>
        <w:pStyle w:val="27"/>
        <w:spacing w:line="400" w:lineRule="exact"/>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3CDE53F">
      <w:pPr>
        <w:pStyle w:val="27"/>
        <w:spacing w:line="400" w:lineRule="exact"/>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四、各地区可以结合本地区实际，对监狱企业生产的办公用品、家具用具、车辆维修和提供的保养服务、消防设备等，提出预留份额等政府采购支持措施，加大对监狱企业产品的采购力度。</w:t>
      </w:r>
    </w:p>
    <w:p w14:paraId="7C6D1B64">
      <w:pPr>
        <w:pStyle w:val="27"/>
        <w:spacing w:line="40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B060D5E">
      <w:pPr>
        <w:pStyle w:val="27"/>
        <w:spacing w:line="400" w:lineRule="exact"/>
        <w:jc w:val="right"/>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中华人民共和国财政部</w:t>
      </w:r>
    </w:p>
    <w:p w14:paraId="2660C2D7">
      <w:pPr>
        <w:pStyle w:val="27"/>
        <w:spacing w:line="400" w:lineRule="exact"/>
        <w:jc w:val="right"/>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中华人民共和国司法部</w:t>
      </w:r>
    </w:p>
    <w:p w14:paraId="5A50A362">
      <w:pPr>
        <w:pStyle w:val="27"/>
        <w:spacing w:line="400" w:lineRule="exact"/>
        <w:jc w:val="right"/>
        <w:textAlignment w:val="baseline"/>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2014年6月10日</w:t>
      </w:r>
    </w:p>
    <w:p w14:paraId="3A5383B5">
      <w:pPr>
        <w:spacing w:before="120" w:beforeLines="50" w:after="120" w:afterLines="50"/>
        <w:jc w:val="center"/>
        <w:textAlignment w:val="baseline"/>
        <w:rPr>
          <w:rFonts w:hint="eastAsia" w:ascii="仿宋" w:hAnsi="仿宋" w:eastAsia="仿宋" w:cs="仿宋"/>
          <w:bCs/>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br w:type="page"/>
      </w:r>
      <w:r>
        <w:rPr>
          <w:rFonts w:hint="eastAsia" w:ascii="仿宋" w:hAnsi="仿宋" w:eastAsia="仿宋" w:cs="仿宋"/>
          <w:bCs/>
          <w:color w:val="auto"/>
          <w:sz w:val="24"/>
          <w:szCs w:val="24"/>
          <w:highlight w:val="none"/>
          <w:shd w:val="clear" w:color="auto" w:fill="FFFFFF"/>
        </w:rPr>
        <w:t>关于促进残疾人就业政府采购政策的通知</w:t>
      </w:r>
    </w:p>
    <w:p w14:paraId="1A90A2A2">
      <w:pPr>
        <w:pStyle w:val="27"/>
        <w:spacing w:before="48" w:beforeLines="20" w:after="48" w:afterLines="20"/>
        <w:jc w:val="center"/>
        <w:textAlignment w:val="baseline"/>
        <w:rPr>
          <w:rFonts w:hint="eastAsia" w:ascii="仿宋" w:hAnsi="仿宋" w:eastAsia="仿宋" w:cs="仿宋"/>
          <w:bCs/>
          <w:color w:val="auto"/>
          <w:sz w:val="24"/>
          <w:szCs w:val="24"/>
          <w:highlight w:val="none"/>
        </w:rPr>
      </w:pPr>
      <w:r>
        <w:rPr>
          <w:rStyle w:val="33"/>
          <w:rFonts w:hint="eastAsia" w:ascii="仿宋" w:hAnsi="仿宋" w:eastAsia="仿宋" w:cs="仿宋"/>
          <w:bCs w:val="0"/>
          <w:color w:val="auto"/>
          <w:sz w:val="24"/>
          <w:szCs w:val="24"/>
          <w:highlight w:val="none"/>
          <w:shd w:val="clear" w:color="auto" w:fill="FFFFFF"/>
        </w:rPr>
        <w:t>财库〔2017〕141号</w:t>
      </w:r>
    </w:p>
    <w:p w14:paraId="0BEFB673">
      <w:pPr>
        <w:pStyle w:val="27"/>
        <w:spacing w:line="330" w:lineRule="exact"/>
        <w:jc w:val="both"/>
        <w:textAlignment w:val="baseline"/>
        <w:rPr>
          <w:rFonts w:hint="eastAsia" w:ascii="仿宋" w:hAnsi="仿宋" w:eastAsia="仿宋" w:cs="仿宋"/>
          <w:color w:val="auto"/>
          <w:sz w:val="24"/>
          <w:szCs w:val="24"/>
          <w:highlight w:val="none"/>
        </w:rPr>
      </w:pPr>
      <w:bookmarkStart w:id="86" w:name="toDeptId"/>
      <w:r>
        <w:rPr>
          <w:rFonts w:hint="eastAsia" w:ascii="仿宋" w:hAnsi="仿宋" w:eastAsia="仿宋" w:cs="仿宋"/>
          <w:color w:val="auto"/>
          <w:sz w:val="24"/>
          <w:szCs w:val="24"/>
          <w:highlight w:val="none"/>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86"/>
      <w:r>
        <w:rPr>
          <w:rFonts w:hint="eastAsia" w:ascii="仿宋" w:hAnsi="仿宋" w:eastAsia="仿宋" w:cs="仿宋"/>
          <w:color w:val="auto"/>
          <w:sz w:val="24"/>
          <w:szCs w:val="24"/>
          <w:highlight w:val="none"/>
          <w:shd w:val="clear" w:color="auto" w:fill="FFFFFF"/>
        </w:rPr>
        <w:t>：</w:t>
      </w:r>
    </w:p>
    <w:p w14:paraId="263386C6">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为了发挥政府采购促进残疾人就业的作用，进一步保障残疾人权益，依照《政府采购法》、《残疾人保障法》等法律法规及相关规定，现就促进残疾人就业政府采购政策通知如下：</w:t>
      </w:r>
    </w:p>
    <w:p w14:paraId="1E2B4918">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一、享受政府采购支持政策的残疾人福利性单位应当同时满足以下条件：</w:t>
      </w:r>
    </w:p>
    <w:p w14:paraId="29338ECD">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（一）安置的残疾人占本单位在职职工人数的比例不低于25%（含25%），并且安置的残疾人人数不少于10人（含10人）；</w:t>
      </w:r>
    </w:p>
    <w:p w14:paraId="589A8CC9">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（二）依法与安置的每位残疾人签订了一年以上（含一年）的劳动合同或服务协议；</w:t>
      </w:r>
    </w:p>
    <w:p w14:paraId="071D5293">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（三）为安置的每位残疾人按月足额缴纳了基本养老保险、基本医疗保险、失业保险、工伤保险和生育保险等社会保险费；</w:t>
      </w:r>
    </w:p>
    <w:p w14:paraId="5CB801FC">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（四）通过银行等金融机构向安置的每位残疾人，按月支付了不低于单位所在区县适用的经省级人民政府批准的月最低工资标准的工资；</w:t>
      </w:r>
    </w:p>
    <w:p w14:paraId="63A12352">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（五）提供本单位制造的货物、承担的工程或者服务（以下简称产品），或者提供其他残疾人福利性单位制造的货物（不包括使用非残疾人福利性单位注册商标的货物）。</w:t>
      </w:r>
    </w:p>
    <w:p w14:paraId="46F2EB54">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CF22891">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E08E44A">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中标、成交供应商为残疾人福利性单位的，采购人或者其委托的采购代理机构应当随中标、成交结果同时公告其《残疾人福利性单位声明函》，接受社会监督。</w:t>
      </w:r>
    </w:p>
    <w:p w14:paraId="1A8743A0">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供应商提供的《残疾人福利性单位声明函》与事实不符的，依照《政府采购法》第七十七条第一款的规定追究法律责任。</w:t>
      </w:r>
    </w:p>
    <w:p w14:paraId="29641135">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F10E8D9">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四、采购人采购公开招标数额标准以上的货物或者服务，因落实促进残疾人就业政策的需要，依法履行有关报批程序后，可采用公开招标以外的采购方式。</w:t>
      </w:r>
    </w:p>
    <w:p w14:paraId="5C244E9F">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2BF0655">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6BE1E406">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七、本通知自2017年10月1日起执行。</w:t>
      </w:r>
    </w:p>
    <w:p w14:paraId="4A7FE5F4">
      <w:pPr>
        <w:pStyle w:val="27"/>
        <w:spacing w:line="330" w:lineRule="exact"/>
        <w:jc w:val="righ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财政部 民政部 中国残疾人联合会</w:t>
      </w:r>
    </w:p>
    <w:p w14:paraId="681083C2">
      <w:pPr>
        <w:pStyle w:val="27"/>
        <w:spacing w:line="330" w:lineRule="exact"/>
        <w:jc w:val="right"/>
        <w:textAlignment w:val="baseline"/>
        <w:rPr>
          <w:rFonts w:hint="eastAsia" w:ascii="仿宋" w:hAnsi="仿宋" w:eastAsia="仿宋" w:cs="仿宋"/>
          <w:color w:val="auto"/>
          <w:sz w:val="21"/>
          <w:szCs w:val="21"/>
          <w:highlight w:val="none"/>
          <w:shd w:val="clear" w:color="auto" w:fill="FFFFFF"/>
        </w:rPr>
      </w:pPr>
      <w:r>
        <w:rPr>
          <w:rFonts w:hint="eastAsia" w:ascii="仿宋" w:hAnsi="仿宋" w:eastAsia="仿宋" w:cs="仿宋"/>
          <w:color w:val="auto"/>
          <w:sz w:val="24"/>
          <w:szCs w:val="24"/>
          <w:highlight w:val="none"/>
          <w:shd w:val="clear" w:color="auto" w:fill="FFFFFF"/>
        </w:rPr>
        <w:t>　　2017年8月22日</w:t>
      </w:r>
    </w:p>
    <w:p w14:paraId="33E5EBE4">
      <w:pPr>
        <w:spacing w:line="400" w:lineRule="exact"/>
        <w:ind w:firstLine="452"/>
        <w:rPr>
          <w:rFonts w:hint="eastAsia" w:ascii="仿宋" w:hAnsi="仿宋" w:eastAsia="仿宋" w:cs="仿宋"/>
          <w:color w:val="auto"/>
          <w:spacing w:val="8"/>
          <w:sz w:val="21"/>
          <w:szCs w:val="21"/>
          <w:highlight w:val="none"/>
        </w:rPr>
      </w:pPr>
      <w:r>
        <w:rPr>
          <w:rFonts w:hint="eastAsia" w:ascii="仿宋" w:hAnsi="仿宋" w:eastAsia="仿宋" w:cs="仿宋"/>
          <w:color w:val="auto"/>
          <w:sz w:val="21"/>
          <w:szCs w:val="21"/>
          <w:highlight w:val="none"/>
          <w:shd w:val="clear" w:color="auto" w:fill="FFFFFF"/>
        </w:rPr>
        <w:br w:type="page"/>
      </w:r>
    </w:p>
    <w:p w14:paraId="03A02CF6">
      <w:pPr>
        <w:pStyle w:val="29"/>
        <w:rPr>
          <w:rFonts w:hint="eastAsia" w:ascii="仿宋" w:hAnsi="仿宋" w:eastAsia="仿宋" w:cs="仿宋"/>
          <w:color w:val="auto"/>
          <w:highlight w:val="none"/>
        </w:rPr>
        <w:sectPr>
          <w:pgSz w:w="11906" w:h="16838"/>
          <w:pgMar w:top="1440" w:right="1080" w:bottom="1440" w:left="1080" w:header="851" w:footer="992" w:gutter="0"/>
          <w:pgNumType w:fmt="decimal"/>
          <w:cols w:space="0" w:num="1"/>
          <w:docGrid w:type="lines" w:linePitch="312" w:charSpace="0"/>
        </w:sectPr>
      </w:pPr>
    </w:p>
    <w:p w14:paraId="56D63A4B">
      <w:pPr>
        <w:pStyle w:val="2"/>
        <w:spacing w:after="120" w:line="240" w:lineRule="auto"/>
        <w:rPr>
          <w:rFonts w:hint="eastAsia" w:ascii="仿宋" w:hAnsi="仿宋" w:eastAsia="仿宋" w:cs="仿宋"/>
          <w:color w:val="auto"/>
          <w:highlight w:val="none"/>
          <w:lang w:val="zh-CN"/>
        </w:rPr>
      </w:pPr>
      <w:bookmarkStart w:id="87" w:name="_Toc31535"/>
      <w:r>
        <w:rPr>
          <w:rFonts w:hint="eastAsia" w:ascii="仿宋" w:hAnsi="仿宋" w:eastAsia="仿宋" w:cs="仿宋"/>
          <w:color w:val="auto"/>
          <w:highlight w:val="none"/>
          <w:lang w:val="zh-CN"/>
        </w:rPr>
        <w:t>第四章 合同条款及格式</w:t>
      </w:r>
      <w:bookmarkEnd w:id="87"/>
    </w:p>
    <w:p w14:paraId="1750BEDE">
      <w:pPr>
        <w:outlineLvl w:val="9"/>
        <w:rPr>
          <w:rFonts w:hint="eastAsia" w:ascii="仿宋" w:hAnsi="仿宋" w:eastAsia="仿宋" w:cs="仿宋"/>
          <w:color w:val="auto"/>
          <w:sz w:val="21"/>
          <w:szCs w:val="21"/>
          <w:highlight w:val="none"/>
          <w:lang w:val="zh-CN"/>
        </w:rPr>
      </w:pPr>
    </w:p>
    <w:p w14:paraId="02B67251">
      <w:pPr>
        <w:spacing w:line="360" w:lineRule="auto"/>
        <w:rPr>
          <w:rFonts w:hint="eastAsia" w:ascii="仿宋" w:hAnsi="仿宋" w:eastAsia="仿宋" w:cs="仿宋"/>
          <w:b w:val="0"/>
          <w:bCs/>
          <w:color w:val="auto"/>
          <w:sz w:val="24"/>
          <w:szCs w:val="24"/>
          <w:highlight w:val="none"/>
          <w:lang w:val="zh-CN"/>
        </w:rPr>
      </w:pPr>
      <w:bookmarkStart w:id="88" w:name="_Toc15003"/>
      <w:r>
        <w:rPr>
          <w:rFonts w:hint="eastAsia" w:ascii="仿宋" w:hAnsi="仿宋" w:eastAsia="仿宋" w:cs="仿宋"/>
          <w:b/>
          <w:bCs/>
          <w:color w:val="auto"/>
          <w:sz w:val="24"/>
          <w:szCs w:val="24"/>
          <w:highlight w:val="none"/>
          <w:lang w:val="zh-CN"/>
        </w:rPr>
        <w:t>合同条款采用</w:t>
      </w:r>
      <w:r>
        <w:rPr>
          <w:rFonts w:hint="eastAsia" w:ascii="仿宋" w:hAnsi="仿宋" w:eastAsia="仿宋" w:cs="仿宋"/>
          <w:color w:val="auto"/>
          <w:sz w:val="24"/>
          <w:szCs w:val="24"/>
          <w:highlight w:val="none"/>
          <w:lang w:val="zh-CN"/>
        </w:rPr>
        <w:t>国家工商行政管理总局和住房和城乡建设部</w:t>
      </w:r>
      <w:r>
        <w:rPr>
          <w:rFonts w:hint="eastAsia" w:ascii="仿宋" w:hAnsi="仿宋" w:eastAsia="仿宋" w:cs="仿宋"/>
          <w:b/>
          <w:bCs/>
          <w:color w:val="auto"/>
          <w:sz w:val="24"/>
          <w:szCs w:val="24"/>
          <w:highlight w:val="none"/>
          <w:lang w:val="zh-CN"/>
        </w:rPr>
        <w:t>颁布的《建设工程施工合同》</w:t>
      </w:r>
      <w:r>
        <w:rPr>
          <w:rFonts w:hint="eastAsia" w:ascii="仿宋" w:hAnsi="仿宋" w:eastAsia="仿宋" w:cs="仿宋"/>
          <w:bCs/>
          <w:color w:val="auto"/>
          <w:sz w:val="24"/>
          <w:szCs w:val="24"/>
          <w:highlight w:val="none"/>
        </w:rPr>
        <w:t>示范文本</w:t>
      </w:r>
      <w:bookmarkEnd w:id="88"/>
      <w:bookmarkStart w:id="89" w:name="_Toc25532"/>
      <w:bookmarkStart w:id="90" w:name="_Toc15259"/>
      <w:r>
        <w:rPr>
          <w:rFonts w:hint="eastAsia" w:ascii="仿宋" w:hAnsi="仿宋" w:eastAsia="仿宋" w:cs="仿宋"/>
          <w:b w:val="0"/>
          <w:bCs/>
          <w:color w:val="auto"/>
          <w:sz w:val="24"/>
          <w:szCs w:val="24"/>
          <w:highlight w:val="none"/>
          <w:lang w:val="zh-CN"/>
        </w:rPr>
        <w:t>（GF-2017-0201）</w:t>
      </w:r>
      <w:bookmarkEnd w:id="89"/>
      <w:bookmarkEnd w:id="90"/>
    </w:p>
    <w:p w14:paraId="202BE3CD">
      <w:pPr>
        <w:spacing w:line="360" w:lineRule="auto"/>
        <w:jc w:val="left"/>
        <w:outlineLvl w:val="9"/>
        <w:rPr>
          <w:rFonts w:hint="eastAsia" w:ascii="仿宋" w:hAnsi="仿宋" w:eastAsia="仿宋" w:cs="仿宋"/>
          <w:b w:val="0"/>
          <w:bCs/>
          <w:color w:val="auto"/>
          <w:sz w:val="24"/>
          <w:szCs w:val="24"/>
          <w:highlight w:val="none"/>
          <w:lang w:val="zh-CN"/>
        </w:rPr>
      </w:pPr>
      <w:bookmarkStart w:id="91" w:name="_Toc6427"/>
      <w:bookmarkStart w:id="92" w:name="_Toc14255"/>
      <w:r>
        <w:rPr>
          <w:rFonts w:hint="eastAsia" w:ascii="仿宋" w:hAnsi="仿宋" w:eastAsia="仿宋" w:cs="仿宋"/>
          <w:b w:val="0"/>
          <w:bCs/>
          <w:color w:val="auto"/>
          <w:sz w:val="24"/>
          <w:szCs w:val="24"/>
          <w:highlight w:val="none"/>
          <w:lang w:val="zh-CN"/>
        </w:rPr>
        <w:t>第一部分：合同协议书</w:t>
      </w:r>
      <w:bookmarkEnd w:id="91"/>
      <w:bookmarkEnd w:id="92"/>
      <w:r>
        <w:rPr>
          <w:rFonts w:hint="eastAsia" w:ascii="仿宋" w:hAnsi="仿宋" w:eastAsia="仿宋" w:cs="仿宋"/>
          <w:b w:val="0"/>
          <w:bCs/>
          <w:color w:val="auto"/>
          <w:sz w:val="24"/>
          <w:szCs w:val="24"/>
          <w:highlight w:val="none"/>
          <w:lang w:val="zh-CN"/>
        </w:rPr>
        <w:t xml:space="preserve"> </w:t>
      </w:r>
    </w:p>
    <w:p w14:paraId="266E944A">
      <w:pPr>
        <w:spacing w:line="360" w:lineRule="auto"/>
        <w:jc w:val="left"/>
        <w:outlineLvl w:val="9"/>
        <w:rPr>
          <w:rFonts w:hint="eastAsia" w:ascii="仿宋" w:hAnsi="仿宋" w:eastAsia="仿宋" w:cs="仿宋"/>
          <w:b w:val="0"/>
          <w:bCs/>
          <w:color w:val="auto"/>
          <w:sz w:val="24"/>
          <w:szCs w:val="24"/>
          <w:highlight w:val="none"/>
          <w:lang w:val="zh-CN"/>
        </w:rPr>
      </w:pPr>
      <w:bookmarkStart w:id="93" w:name="_Toc31082"/>
      <w:bookmarkStart w:id="94" w:name="_Toc17994"/>
      <w:r>
        <w:rPr>
          <w:rFonts w:hint="eastAsia" w:ascii="仿宋" w:hAnsi="仿宋" w:eastAsia="仿宋" w:cs="仿宋"/>
          <w:b w:val="0"/>
          <w:bCs/>
          <w:color w:val="auto"/>
          <w:sz w:val="24"/>
          <w:szCs w:val="24"/>
          <w:highlight w:val="none"/>
          <w:lang w:val="zh-CN"/>
        </w:rPr>
        <w:t>第二部分：通用合同条款</w:t>
      </w:r>
      <w:bookmarkEnd w:id="93"/>
      <w:bookmarkEnd w:id="94"/>
    </w:p>
    <w:p w14:paraId="36BA573F">
      <w:pPr>
        <w:spacing w:line="360" w:lineRule="auto"/>
        <w:jc w:val="left"/>
        <w:outlineLvl w:val="9"/>
        <w:rPr>
          <w:rFonts w:hint="eastAsia" w:ascii="仿宋" w:hAnsi="仿宋" w:eastAsia="仿宋" w:cs="仿宋"/>
          <w:color w:val="auto"/>
          <w:sz w:val="24"/>
          <w:szCs w:val="24"/>
          <w:highlight w:val="none"/>
          <w:lang w:val="zh-CN"/>
        </w:rPr>
      </w:pPr>
      <w:bookmarkStart w:id="95" w:name="_Toc14533"/>
      <w:bookmarkStart w:id="96" w:name="_Toc17158"/>
      <w:r>
        <w:rPr>
          <w:rFonts w:hint="eastAsia" w:ascii="仿宋" w:hAnsi="仿宋" w:eastAsia="仿宋" w:cs="仿宋"/>
          <w:b w:val="0"/>
          <w:bCs/>
          <w:color w:val="auto"/>
          <w:sz w:val="24"/>
          <w:szCs w:val="24"/>
          <w:highlight w:val="none"/>
          <w:lang w:val="zh-CN"/>
        </w:rPr>
        <w:t>第三部分：专用合同条款</w:t>
      </w:r>
      <w:bookmarkEnd w:id="95"/>
      <w:bookmarkEnd w:id="96"/>
    </w:p>
    <w:p w14:paraId="5C1B0AE9">
      <w:pPr>
        <w:spacing w:line="360" w:lineRule="auto"/>
        <w:outlineLvl w:val="9"/>
        <w:rPr>
          <w:rFonts w:hint="eastAsia" w:ascii="仿宋" w:hAnsi="仿宋" w:eastAsia="仿宋" w:cs="仿宋"/>
          <w:color w:val="auto"/>
          <w:sz w:val="24"/>
          <w:szCs w:val="24"/>
          <w:highlight w:val="none"/>
          <w:lang w:val="zh-CN"/>
        </w:rPr>
      </w:pPr>
      <w:bookmarkStart w:id="97" w:name="_Toc15211"/>
      <w:bookmarkStart w:id="98" w:name="_Toc14787"/>
      <w:r>
        <w:rPr>
          <w:rFonts w:hint="eastAsia" w:ascii="仿宋" w:hAnsi="仿宋" w:eastAsia="仿宋" w:cs="仿宋"/>
          <w:color w:val="auto"/>
          <w:sz w:val="24"/>
          <w:szCs w:val="24"/>
          <w:highlight w:val="none"/>
          <w:lang w:val="zh-CN"/>
        </w:rPr>
        <w:t>（具体内容见合同范本）</w:t>
      </w:r>
      <w:bookmarkEnd w:id="97"/>
      <w:bookmarkEnd w:id="98"/>
    </w:p>
    <w:p w14:paraId="3AEF039D">
      <w:pPr>
        <w:pStyle w:val="16"/>
        <w:jc w:val="center"/>
        <w:rPr>
          <w:rFonts w:hint="eastAsia" w:ascii="仿宋" w:hAnsi="仿宋" w:eastAsia="仿宋" w:cs="仿宋"/>
          <w:b/>
          <w:bCs/>
          <w:color w:val="auto"/>
          <w:sz w:val="24"/>
          <w:szCs w:val="24"/>
          <w:highlight w:val="none"/>
          <w:lang w:val="zh-CN"/>
        </w:rPr>
      </w:pPr>
    </w:p>
    <w:p w14:paraId="12E01B0A">
      <w:pPr>
        <w:pStyle w:val="16"/>
        <w:jc w:val="center"/>
        <w:rPr>
          <w:rFonts w:hint="eastAsia" w:ascii="仿宋" w:hAnsi="仿宋" w:eastAsia="仿宋" w:cs="仿宋"/>
          <w:b/>
          <w:bCs/>
          <w:color w:val="auto"/>
          <w:sz w:val="24"/>
          <w:szCs w:val="24"/>
          <w:highlight w:val="none"/>
          <w:lang w:val="zh-CN"/>
        </w:rPr>
        <w:sectPr>
          <w:pgSz w:w="11906" w:h="16838"/>
          <w:pgMar w:top="1440" w:right="1080" w:bottom="1440" w:left="1080" w:header="1134" w:footer="992" w:gutter="0"/>
          <w:pgNumType w:fmt="decimal"/>
          <w:cols w:space="425" w:num="1"/>
          <w:docGrid w:type="lines" w:linePitch="312" w:charSpace="0"/>
        </w:sectPr>
      </w:pPr>
      <w:r>
        <w:rPr>
          <w:rFonts w:hint="eastAsia" w:ascii="仿宋" w:hAnsi="仿宋" w:eastAsia="仿宋" w:cs="仿宋"/>
          <w:b/>
          <w:bCs/>
          <w:color w:val="auto"/>
          <w:sz w:val="24"/>
          <w:szCs w:val="24"/>
          <w:highlight w:val="none"/>
          <w:lang w:val="zh-CN"/>
        </w:rPr>
        <w:t>注：采购人或成交供应商签订合同后需将建设工程施工合同返回给采购代理机构一份，需备案归档。</w:t>
      </w:r>
    </w:p>
    <w:p w14:paraId="2C3991BD">
      <w:pPr>
        <w:pStyle w:val="2"/>
        <w:rPr>
          <w:rFonts w:hint="eastAsia" w:ascii="仿宋" w:hAnsi="仿宋" w:eastAsia="仿宋" w:cs="仿宋"/>
          <w:color w:val="auto"/>
          <w:highlight w:val="none"/>
        </w:rPr>
      </w:pPr>
      <w:bookmarkStart w:id="99" w:name="_Toc27639"/>
      <w:r>
        <w:rPr>
          <w:rFonts w:hint="eastAsia" w:ascii="仿宋" w:hAnsi="仿宋" w:eastAsia="仿宋" w:cs="仿宋"/>
          <w:color w:val="auto"/>
          <w:highlight w:val="none"/>
        </w:rPr>
        <w:t>第五章 工程量清单</w:t>
      </w:r>
      <w:r>
        <w:rPr>
          <w:rFonts w:hint="eastAsia" w:ascii="仿宋" w:hAnsi="仿宋" w:eastAsia="仿宋" w:cs="仿宋"/>
          <w:color w:val="auto"/>
          <w:highlight w:val="none"/>
          <w:lang w:val="en-US" w:eastAsia="zh-CN"/>
        </w:rPr>
        <w:t>及图纸</w:t>
      </w:r>
      <w:r>
        <w:rPr>
          <w:rFonts w:hint="eastAsia" w:ascii="仿宋" w:hAnsi="仿宋" w:eastAsia="仿宋" w:cs="仿宋"/>
          <w:color w:val="auto"/>
          <w:highlight w:val="none"/>
        </w:rPr>
        <w:t>（另册）</w:t>
      </w:r>
      <w:bookmarkEnd w:id="99"/>
    </w:p>
    <w:p w14:paraId="592FFE6F">
      <w:pPr>
        <w:pStyle w:val="30"/>
        <w:ind w:left="0" w:leftChars="0" w:firstLine="0" w:firstLineChars="0"/>
        <w:rPr>
          <w:rFonts w:hint="eastAsia" w:ascii="仿宋" w:hAnsi="仿宋" w:eastAsia="仿宋" w:cs="仿宋"/>
          <w:color w:val="auto"/>
          <w:highlight w:val="none"/>
        </w:rPr>
        <w:sectPr>
          <w:pgSz w:w="11906" w:h="16838"/>
          <w:pgMar w:top="1440" w:right="1080" w:bottom="1440" w:left="1080" w:header="851" w:footer="992" w:gutter="0"/>
          <w:pgNumType w:fmt="decimal"/>
          <w:cols w:space="425" w:num="1"/>
          <w:docGrid w:type="lines" w:linePitch="312" w:charSpace="0"/>
        </w:sectPr>
      </w:pPr>
    </w:p>
    <w:p w14:paraId="6CC89817">
      <w:pPr>
        <w:pStyle w:val="2"/>
        <w:rPr>
          <w:rFonts w:hint="eastAsia" w:ascii="仿宋" w:hAnsi="仿宋" w:eastAsia="仿宋" w:cs="仿宋"/>
          <w:color w:val="auto"/>
          <w:highlight w:val="none"/>
        </w:rPr>
      </w:pPr>
      <w:bookmarkStart w:id="100" w:name="_Toc18112"/>
      <w:bookmarkStart w:id="101" w:name="_Toc27048"/>
      <w:r>
        <w:rPr>
          <w:rFonts w:hint="eastAsia" w:ascii="仿宋" w:hAnsi="仿宋" w:eastAsia="仿宋" w:cs="仿宋"/>
          <w:color w:val="auto"/>
          <w:highlight w:val="none"/>
        </w:rPr>
        <w:t xml:space="preserve">第六章 </w:t>
      </w:r>
      <w:bookmarkEnd w:id="100"/>
      <w:r>
        <w:rPr>
          <w:rFonts w:hint="eastAsia" w:ascii="仿宋" w:hAnsi="仿宋" w:eastAsia="仿宋" w:cs="仿宋"/>
          <w:color w:val="auto"/>
          <w:highlight w:val="none"/>
        </w:rPr>
        <w:t>技术标准和要求</w:t>
      </w:r>
      <w:bookmarkEnd w:id="101"/>
    </w:p>
    <w:p w14:paraId="3C346935">
      <w:pPr>
        <w:adjustRightInd w:val="0"/>
        <w:snapToGrid w:val="0"/>
        <w:spacing w:line="360" w:lineRule="auto"/>
        <w:ind w:firstLine="420" w:firstLineChars="0"/>
        <w:rPr>
          <w:rFonts w:hint="eastAsia" w:ascii="仿宋" w:hAnsi="仿宋" w:eastAsia="仿宋" w:cs="仿宋"/>
          <w:color w:val="auto"/>
          <w:sz w:val="24"/>
          <w:szCs w:val="24"/>
          <w:highlight w:val="none"/>
          <w:lang w:eastAsia="zh-CN"/>
        </w:rPr>
        <w:sectPr>
          <w:pgSz w:w="11910" w:h="16840"/>
          <w:pgMar w:top="1440" w:right="1080" w:bottom="1440" w:left="1080" w:header="567" w:footer="1032" w:gutter="0"/>
          <w:pgNumType w:fmt="decimal"/>
          <w:cols w:space="720" w:num="1"/>
        </w:sectPr>
      </w:pPr>
      <w:r>
        <w:rPr>
          <w:rFonts w:hint="eastAsia" w:ascii="仿宋" w:hAnsi="仿宋" w:eastAsia="仿宋" w:cs="仿宋"/>
          <w:color w:val="auto"/>
          <w:sz w:val="24"/>
          <w:szCs w:val="24"/>
          <w:highlight w:val="none"/>
          <w:lang w:val="en-US" w:eastAsia="zh-CN"/>
        </w:rPr>
        <w:t>执行的国家规范及验收规范投标方应完成工程量清单中描述的工程的施工。施工应依照招标方的要求，还应遵循中国国家及地方（行业）的施工规范、标准、法律、法规和条例。施工中应严格按照施工图纸及国家现行有关技术、质量标准和设计、施工验收规范执行。当中国标准未规定时，采用招标人提供的行业标准</w:t>
      </w:r>
      <w:r>
        <w:rPr>
          <w:rFonts w:hint="eastAsia" w:ascii="仿宋" w:hAnsi="仿宋" w:eastAsia="仿宋" w:cs="仿宋"/>
          <w:color w:val="auto"/>
          <w:sz w:val="24"/>
          <w:szCs w:val="24"/>
          <w:highlight w:val="none"/>
          <w:lang w:eastAsia="zh-CN"/>
        </w:rPr>
        <w:t>。</w:t>
      </w:r>
    </w:p>
    <w:p w14:paraId="39EC6F00">
      <w:pPr>
        <w:pStyle w:val="2"/>
        <w:rPr>
          <w:rFonts w:hint="eastAsia" w:ascii="仿宋" w:hAnsi="仿宋" w:eastAsia="仿宋" w:cs="仿宋"/>
          <w:color w:val="auto"/>
          <w:highlight w:val="none"/>
          <w:lang w:val="zh-CN"/>
        </w:rPr>
      </w:pPr>
      <w:bookmarkStart w:id="102" w:name="_Toc3686"/>
      <w:r>
        <w:rPr>
          <w:rFonts w:hint="eastAsia" w:ascii="仿宋" w:hAnsi="仿宋" w:eastAsia="仿宋" w:cs="仿宋"/>
          <w:color w:val="auto"/>
          <w:highlight w:val="none"/>
        </w:rPr>
        <w:t>第七章 响应文件格式</w:t>
      </w:r>
      <w:bookmarkEnd w:id="102"/>
    </w:p>
    <w:p w14:paraId="704967EA">
      <w:pPr>
        <w:pStyle w:val="12"/>
        <w:rPr>
          <w:rFonts w:hint="eastAsia" w:ascii="仿宋" w:hAnsi="仿宋" w:eastAsia="仿宋" w:cs="仿宋"/>
          <w:b/>
          <w:color w:val="auto"/>
          <w:sz w:val="20"/>
          <w:highlight w:val="none"/>
        </w:rPr>
      </w:pPr>
    </w:p>
    <w:p w14:paraId="42808179">
      <w:pPr>
        <w:autoSpaceDE w:val="0"/>
        <w:autoSpaceDN w:val="0"/>
        <w:adjustRightInd w:val="0"/>
        <w:spacing w:line="600" w:lineRule="exact"/>
        <w:jc w:val="left"/>
        <w:rPr>
          <w:rFonts w:hint="eastAsia" w:ascii="仿宋" w:hAnsi="仿宋" w:eastAsia="仿宋" w:cs="仿宋"/>
          <w:color w:val="auto"/>
          <w:szCs w:val="18"/>
          <w:highlight w:val="none"/>
        </w:rPr>
      </w:pPr>
    </w:p>
    <w:p w14:paraId="26CB954F">
      <w:pPr>
        <w:spacing w:line="360" w:lineRule="auto"/>
        <w:jc w:val="center"/>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u w:val="single"/>
        </w:rPr>
        <w:t xml:space="preserve">（项目名称）    </w:t>
      </w:r>
    </w:p>
    <w:p w14:paraId="0C2B7026">
      <w:pPr>
        <w:spacing w:line="360" w:lineRule="auto"/>
        <w:jc w:val="center"/>
        <w:rPr>
          <w:rFonts w:hint="eastAsia" w:ascii="仿宋" w:hAnsi="仿宋" w:eastAsia="仿宋" w:cs="仿宋"/>
          <w:color w:val="auto"/>
          <w:szCs w:val="21"/>
          <w:highlight w:val="none"/>
        </w:rPr>
      </w:pPr>
    </w:p>
    <w:p w14:paraId="2D6905FA">
      <w:pPr>
        <w:spacing w:line="360" w:lineRule="auto"/>
        <w:jc w:val="center"/>
        <w:rPr>
          <w:rFonts w:hint="eastAsia" w:ascii="仿宋" w:hAnsi="仿宋" w:eastAsia="仿宋" w:cs="仿宋"/>
          <w:color w:val="auto"/>
          <w:sz w:val="72"/>
          <w:szCs w:val="72"/>
          <w:highlight w:val="none"/>
        </w:rPr>
      </w:pPr>
    </w:p>
    <w:p w14:paraId="3479233C">
      <w:pPr>
        <w:spacing w:line="360" w:lineRule="auto"/>
        <w:jc w:val="center"/>
        <w:rPr>
          <w:rFonts w:hint="eastAsia" w:ascii="仿宋" w:hAnsi="仿宋" w:eastAsia="仿宋" w:cs="仿宋"/>
          <w:color w:val="auto"/>
          <w:sz w:val="72"/>
          <w:szCs w:val="72"/>
          <w:highlight w:val="none"/>
        </w:rPr>
      </w:pPr>
    </w:p>
    <w:p w14:paraId="098678F0">
      <w:pPr>
        <w:spacing w:line="360" w:lineRule="auto"/>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lang w:val="en-US" w:eastAsia="zh-CN"/>
        </w:rPr>
        <w:t>响 应</w:t>
      </w:r>
      <w:r>
        <w:rPr>
          <w:rFonts w:hint="eastAsia" w:ascii="仿宋" w:hAnsi="仿宋" w:eastAsia="仿宋" w:cs="仿宋"/>
          <w:color w:val="auto"/>
          <w:sz w:val="72"/>
          <w:szCs w:val="72"/>
          <w:highlight w:val="none"/>
        </w:rPr>
        <w:t xml:space="preserve"> 文 件</w:t>
      </w:r>
    </w:p>
    <w:p w14:paraId="41F007EA">
      <w:pPr>
        <w:spacing w:line="360" w:lineRule="auto"/>
        <w:jc w:val="cente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项目编号：</w:t>
      </w:r>
    </w:p>
    <w:p w14:paraId="25EE34B5">
      <w:pPr>
        <w:spacing w:line="360" w:lineRule="auto"/>
        <w:jc w:val="center"/>
        <w:rPr>
          <w:rFonts w:hint="eastAsia" w:ascii="仿宋" w:hAnsi="仿宋" w:eastAsia="仿宋" w:cs="仿宋"/>
          <w:color w:val="auto"/>
          <w:szCs w:val="21"/>
          <w:highlight w:val="none"/>
        </w:rPr>
      </w:pPr>
    </w:p>
    <w:p w14:paraId="39EF02FA">
      <w:pPr>
        <w:spacing w:line="360" w:lineRule="auto"/>
        <w:jc w:val="center"/>
        <w:rPr>
          <w:rFonts w:hint="eastAsia" w:ascii="仿宋" w:hAnsi="仿宋" w:eastAsia="仿宋" w:cs="仿宋"/>
          <w:color w:val="auto"/>
          <w:szCs w:val="21"/>
          <w:highlight w:val="none"/>
        </w:rPr>
      </w:pPr>
    </w:p>
    <w:p w14:paraId="76494EAE">
      <w:pPr>
        <w:spacing w:line="360" w:lineRule="auto"/>
        <w:jc w:val="center"/>
        <w:rPr>
          <w:rFonts w:hint="eastAsia" w:ascii="仿宋" w:hAnsi="仿宋" w:eastAsia="仿宋" w:cs="仿宋"/>
          <w:color w:val="auto"/>
          <w:szCs w:val="21"/>
          <w:highlight w:val="none"/>
        </w:rPr>
      </w:pPr>
    </w:p>
    <w:p w14:paraId="75D777EC">
      <w:pPr>
        <w:spacing w:line="360" w:lineRule="auto"/>
        <w:jc w:val="center"/>
        <w:rPr>
          <w:rFonts w:hint="eastAsia" w:ascii="仿宋" w:hAnsi="仿宋" w:eastAsia="仿宋" w:cs="仿宋"/>
          <w:color w:val="auto"/>
          <w:szCs w:val="21"/>
          <w:highlight w:val="none"/>
        </w:rPr>
      </w:pPr>
    </w:p>
    <w:p w14:paraId="7BC090D8">
      <w:pPr>
        <w:spacing w:line="360" w:lineRule="auto"/>
        <w:jc w:val="center"/>
        <w:rPr>
          <w:rFonts w:hint="eastAsia" w:ascii="仿宋" w:hAnsi="仿宋" w:eastAsia="仿宋" w:cs="仿宋"/>
          <w:color w:val="auto"/>
          <w:szCs w:val="21"/>
          <w:highlight w:val="none"/>
        </w:rPr>
      </w:pPr>
    </w:p>
    <w:p w14:paraId="49367B11">
      <w:pPr>
        <w:spacing w:line="360" w:lineRule="auto"/>
        <w:jc w:val="center"/>
        <w:rPr>
          <w:rFonts w:hint="eastAsia" w:ascii="仿宋" w:hAnsi="仿宋" w:eastAsia="仿宋" w:cs="仿宋"/>
          <w:color w:val="auto"/>
          <w:szCs w:val="21"/>
          <w:highlight w:val="none"/>
        </w:rPr>
      </w:pPr>
    </w:p>
    <w:p w14:paraId="4FA9D58B">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（盖单位章）</w:t>
      </w:r>
    </w:p>
    <w:p w14:paraId="1C17CC62">
      <w:pPr>
        <w:spacing w:line="360" w:lineRule="auto"/>
        <w:jc w:val="center"/>
        <w:rPr>
          <w:rFonts w:hint="eastAsia" w:ascii="仿宋" w:hAnsi="仿宋" w:eastAsia="仿宋" w:cs="仿宋"/>
          <w:color w:val="auto"/>
          <w:sz w:val="28"/>
          <w:szCs w:val="28"/>
          <w:highlight w:val="none"/>
        </w:rPr>
      </w:pPr>
    </w:p>
    <w:p w14:paraId="5675C63A">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color w:val="auto"/>
          <w:sz w:val="28"/>
          <w:szCs w:val="28"/>
          <w:highlight w:val="none"/>
        </w:rPr>
        <w:t>）</w:t>
      </w:r>
    </w:p>
    <w:p w14:paraId="46A15A88">
      <w:pPr>
        <w:spacing w:line="360" w:lineRule="auto"/>
        <w:jc w:val="center"/>
        <w:rPr>
          <w:rFonts w:hint="eastAsia" w:ascii="仿宋" w:hAnsi="仿宋" w:eastAsia="仿宋" w:cs="仿宋"/>
          <w:color w:val="auto"/>
          <w:szCs w:val="21"/>
          <w:highlight w:val="none"/>
          <w:u w:val="single"/>
        </w:rPr>
      </w:pPr>
    </w:p>
    <w:p w14:paraId="600838CB">
      <w:pPr>
        <w:spacing w:line="360" w:lineRule="auto"/>
        <w:jc w:val="center"/>
        <w:rPr>
          <w:rFonts w:hint="eastAsia" w:ascii="仿宋" w:hAnsi="仿宋" w:eastAsia="仿宋" w:cs="仿宋"/>
          <w:color w:val="auto"/>
          <w:sz w:val="28"/>
          <w:szCs w:val="28"/>
          <w:highlight w:val="none"/>
        </w:rPr>
        <w:sectPr>
          <w:headerReference r:id="rId15" w:type="first"/>
          <w:footerReference r:id="rId18" w:type="first"/>
          <w:headerReference r:id="rId13" w:type="default"/>
          <w:footerReference r:id="rId16" w:type="default"/>
          <w:headerReference r:id="rId14" w:type="even"/>
          <w:footerReference r:id="rId17" w:type="even"/>
          <w:pgSz w:w="11906" w:h="16838"/>
          <w:pgMar w:top="1440" w:right="1080" w:bottom="1440" w:left="1080" w:header="851" w:footer="992" w:gutter="0"/>
          <w:pgNumType w:fmt="decimal"/>
          <w:cols w:space="720" w:num="1"/>
          <w:docGrid w:type="lines" w:linePitch="312" w:charSpace="0"/>
        </w:sect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669E3AB4">
      <w:pPr>
        <w:jc w:val="center"/>
        <w:outlineLvl w:val="9"/>
        <w:rPr>
          <w:rFonts w:hint="eastAsia" w:ascii="仿宋" w:hAnsi="仿宋" w:eastAsia="仿宋" w:cs="仿宋"/>
          <w:color w:val="auto"/>
          <w:sz w:val="44"/>
          <w:szCs w:val="44"/>
          <w:highlight w:val="none"/>
          <w:lang w:eastAsia="zh-CN"/>
        </w:rPr>
      </w:pPr>
      <w:bookmarkStart w:id="103" w:name="_Toc382396569"/>
      <w:bookmarkStart w:id="104" w:name="_Toc11765"/>
      <w:bookmarkStart w:id="105" w:name="_Toc184635137"/>
      <w:bookmarkStart w:id="106" w:name="_Toc3877"/>
      <w:bookmarkStart w:id="107" w:name="_Toc12666"/>
      <w:r>
        <w:rPr>
          <w:rFonts w:hint="eastAsia" w:ascii="仿宋" w:hAnsi="仿宋" w:eastAsia="仿宋" w:cs="仿宋"/>
          <w:color w:val="auto"/>
          <w:sz w:val="44"/>
          <w:szCs w:val="44"/>
          <w:highlight w:val="none"/>
          <w:lang w:eastAsia="zh-CN"/>
        </w:rPr>
        <w:t>目    录</w:t>
      </w:r>
      <w:bookmarkEnd w:id="103"/>
      <w:bookmarkEnd w:id="104"/>
      <w:bookmarkEnd w:id="105"/>
      <w:bookmarkEnd w:id="106"/>
      <w:bookmarkEnd w:id="107"/>
    </w:p>
    <w:p w14:paraId="28DB4A85">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一、投标函及投标函附录</w:t>
      </w:r>
    </w:p>
    <w:p w14:paraId="7AE73273">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w:t>
      </w:r>
    </w:p>
    <w:p w14:paraId="709E7BE5">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三、授权委托书</w:t>
      </w:r>
    </w:p>
    <w:p w14:paraId="783CA059">
      <w:pPr>
        <w:spacing w:line="360" w:lineRule="auto"/>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eastAsia="zh-CN"/>
        </w:rPr>
        <w:t>磋商保证金</w:t>
      </w:r>
    </w:p>
    <w:p w14:paraId="1EFF5047">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五、已标价工程量清单</w:t>
      </w:r>
    </w:p>
    <w:p w14:paraId="69FFC026">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六、施工组织设计</w:t>
      </w:r>
    </w:p>
    <w:p w14:paraId="188DEBA7">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七、项目管理机构</w:t>
      </w:r>
    </w:p>
    <w:p w14:paraId="5640566D">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八、资格审查资料</w:t>
      </w:r>
    </w:p>
    <w:p w14:paraId="4A55C20B">
      <w:pPr>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九、其他材料</w:t>
      </w:r>
    </w:p>
    <w:p w14:paraId="6015C278">
      <w:pPr>
        <w:pStyle w:val="30"/>
        <w:rPr>
          <w:rFonts w:hint="eastAsia" w:ascii="仿宋" w:hAnsi="仿宋" w:eastAsia="仿宋" w:cs="仿宋"/>
          <w:color w:val="auto"/>
          <w:szCs w:val="24"/>
          <w:highlight w:val="none"/>
        </w:rPr>
      </w:pPr>
    </w:p>
    <w:p w14:paraId="7130E761">
      <w:pPr>
        <w:pStyle w:val="30"/>
        <w:rPr>
          <w:rFonts w:hint="eastAsia" w:ascii="仿宋" w:hAnsi="仿宋" w:eastAsia="仿宋" w:cs="仿宋"/>
          <w:color w:val="auto"/>
          <w:szCs w:val="24"/>
          <w:highlight w:val="none"/>
        </w:rPr>
      </w:pPr>
    </w:p>
    <w:p w14:paraId="28B6BC0D">
      <w:pPr>
        <w:pStyle w:val="30"/>
        <w:rPr>
          <w:rFonts w:hint="eastAsia" w:ascii="仿宋" w:hAnsi="仿宋" w:eastAsia="仿宋" w:cs="仿宋"/>
          <w:b/>
          <w:bCs/>
          <w:color w:val="auto"/>
          <w:sz w:val="24"/>
          <w:szCs w:val="24"/>
          <w:highlight w:val="none"/>
          <w:lang w:val="en-US" w:eastAsia="zh-CN"/>
        </w:rPr>
        <w:sectPr>
          <w:pgSz w:w="11906" w:h="16838"/>
          <w:pgMar w:top="1440" w:right="1080" w:bottom="1440" w:left="1080" w:header="851" w:footer="992" w:gutter="0"/>
          <w:pgNumType w:fmt="decimal"/>
          <w:cols w:space="720" w:num="1"/>
          <w:docGrid w:type="lines" w:linePitch="312" w:charSpace="0"/>
        </w:sect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可自行充实目录，并对应页码</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为方便评审，建议供应商编制评标索引。</w:t>
      </w:r>
    </w:p>
    <w:p w14:paraId="6EDCA845">
      <w:pPr>
        <w:pStyle w:val="3"/>
        <w:outlineLvl w:val="1"/>
        <w:rPr>
          <w:rFonts w:hint="eastAsia" w:ascii="仿宋" w:hAnsi="仿宋" w:eastAsia="仿宋" w:cs="仿宋"/>
          <w:color w:val="auto"/>
          <w:highlight w:val="none"/>
          <w:lang w:eastAsia="zh-CN"/>
        </w:rPr>
      </w:pPr>
      <w:bookmarkStart w:id="108" w:name="_Toc13793"/>
      <w:bookmarkStart w:id="109" w:name="_Toc14976"/>
      <w:bookmarkStart w:id="110" w:name="_Toc23789"/>
      <w:bookmarkStart w:id="111" w:name="_Toc184635138"/>
      <w:bookmarkStart w:id="112" w:name="_Toc382396570"/>
      <w:bookmarkStart w:id="113" w:name="_Toc20156"/>
      <w:r>
        <w:rPr>
          <w:rFonts w:hint="eastAsia" w:ascii="仿宋" w:hAnsi="仿宋" w:eastAsia="仿宋" w:cs="仿宋"/>
          <w:color w:val="auto"/>
          <w:highlight w:val="none"/>
          <w:lang w:eastAsia="zh-CN"/>
        </w:rPr>
        <w:t>一、投标函及投标函附录</w:t>
      </w:r>
      <w:bookmarkEnd w:id="108"/>
      <w:bookmarkEnd w:id="109"/>
      <w:bookmarkEnd w:id="110"/>
      <w:bookmarkEnd w:id="111"/>
      <w:bookmarkEnd w:id="112"/>
      <w:bookmarkEnd w:id="113"/>
    </w:p>
    <w:p w14:paraId="7EEC839F">
      <w:pPr>
        <w:pStyle w:val="4"/>
        <w:jc w:val="left"/>
        <w:outlineLvl w:val="2"/>
        <w:rPr>
          <w:rFonts w:hint="eastAsia" w:ascii="仿宋" w:hAnsi="仿宋" w:eastAsia="仿宋" w:cs="仿宋"/>
          <w:b w:val="0"/>
          <w:color w:val="auto"/>
          <w:kern w:val="2"/>
          <w:sz w:val="21"/>
          <w:szCs w:val="28"/>
          <w:highlight w:val="none"/>
          <w:lang w:val="zh-CN" w:eastAsia="zh-CN" w:bidi="ar-SA"/>
        </w:rPr>
      </w:pPr>
      <w:bookmarkStart w:id="114" w:name="_Toc14468"/>
      <w:r>
        <w:rPr>
          <w:rFonts w:hint="eastAsia" w:ascii="仿宋" w:hAnsi="仿宋" w:eastAsia="仿宋" w:cs="仿宋"/>
          <w:b w:val="0"/>
          <w:color w:val="auto"/>
          <w:kern w:val="2"/>
          <w:sz w:val="21"/>
          <w:szCs w:val="28"/>
          <w:highlight w:val="none"/>
          <w:lang w:val="zh-CN" w:eastAsia="zh-CN" w:bidi="ar-SA"/>
        </w:rPr>
        <w:t>（一）投标函</w:t>
      </w:r>
      <w:bookmarkEnd w:id="114"/>
    </w:p>
    <w:p w14:paraId="522798E1">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（采购人名称）: </w:t>
      </w:r>
    </w:p>
    <w:p w14:paraId="29B3855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1．我方已仔细研究了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（项目名称）磋商文件的全部内容，愿意以人民币（大写）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）的投标总报价，合同履行期限</w:t>
      </w:r>
      <w:r>
        <w:rPr>
          <w:rFonts w:hint="eastAsia" w:ascii="仿宋" w:hAnsi="仿宋" w:eastAsia="仿宋" w:cs="仿宋"/>
          <w:color w:val="auto"/>
          <w:szCs w:val="21"/>
          <w:highlight w:val="none"/>
          <w:lang w:eastAsia="zh-CN"/>
        </w:rPr>
        <w:t>（计划工期）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，按合同约定实施和完成承包工程，修补工程中的任何缺陷，工程</w:t>
      </w:r>
      <w:r>
        <w:rPr>
          <w:rFonts w:hint="eastAsia" w:ascii="仿宋" w:hAnsi="仿宋" w:eastAsia="仿宋" w:cs="仿宋"/>
          <w:color w:val="auto"/>
          <w:szCs w:val="21"/>
          <w:highlight w:val="none"/>
          <w:lang w:eastAsia="zh-CN"/>
        </w:rPr>
        <w:t>质量标准</w:t>
      </w:r>
      <w:r>
        <w:rPr>
          <w:rFonts w:hint="eastAsia" w:ascii="仿宋" w:hAnsi="仿宋" w:eastAsia="仿宋" w:cs="仿宋"/>
          <w:color w:val="auto"/>
          <w:szCs w:val="21"/>
          <w:highlight w:val="none"/>
        </w:rPr>
        <w:t>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04B3867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2．我方承诺在投标有效期</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90天</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内不修改、撤销响应文件。</w:t>
      </w:r>
    </w:p>
    <w:p w14:paraId="1227142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．如我方中标：</w:t>
      </w:r>
    </w:p>
    <w:p w14:paraId="32D4E4C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(l）我方承诺在收到中标通知书后，在中标通知书规定的期限内与你方签订合同。</w:t>
      </w:r>
    </w:p>
    <w:p w14:paraId="586AB7E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(2）随同本投标函递交的投标函附录属于合同文件的组成部分。</w:t>
      </w:r>
    </w:p>
    <w:p w14:paraId="413268C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(3）我方承诺按照磋商文件规定向你方递交履约担保。</w:t>
      </w:r>
    </w:p>
    <w:p w14:paraId="6A19131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(4）我方承诺在合同约定的期限内完成并移交全部合同工程。</w:t>
      </w:r>
    </w:p>
    <w:p w14:paraId="6B6C696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．我方在此声明，所递交的响应文件及有关资料内容完整、真实和准确，且不存在第二章“</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须知”第1.4.3 项规定的任何一种情形。</w:t>
      </w:r>
    </w:p>
    <w:p w14:paraId="1FF51CF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（其他补充说明）。</w:t>
      </w:r>
    </w:p>
    <w:p w14:paraId="1712C8F8">
      <w:pPr>
        <w:spacing w:line="360" w:lineRule="auto"/>
        <w:rPr>
          <w:rFonts w:hint="eastAsia" w:ascii="仿宋" w:hAnsi="仿宋" w:eastAsia="仿宋" w:cs="仿宋"/>
          <w:color w:val="auto"/>
          <w:szCs w:val="21"/>
          <w:highlight w:val="none"/>
        </w:rPr>
      </w:pPr>
    </w:p>
    <w:p w14:paraId="145827B3">
      <w:pPr>
        <w:spacing w:line="360" w:lineRule="auto"/>
        <w:rPr>
          <w:rFonts w:hint="eastAsia" w:ascii="仿宋" w:hAnsi="仿宋" w:eastAsia="仿宋" w:cs="仿宋"/>
          <w:color w:val="auto"/>
          <w:szCs w:val="21"/>
          <w:highlight w:val="none"/>
        </w:rPr>
      </w:pPr>
    </w:p>
    <w:p w14:paraId="695D11FF">
      <w:pPr>
        <w:spacing w:line="360" w:lineRule="auto"/>
        <w:rPr>
          <w:rFonts w:hint="eastAsia" w:ascii="仿宋" w:hAnsi="仿宋" w:eastAsia="仿宋" w:cs="仿宋"/>
          <w:color w:val="auto"/>
          <w:szCs w:val="21"/>
          <w:highlight w:val="none"/>
        </w:rPr>
      </w:pPr>
    </w:p>
    <w:p w14:paraId="65AD1799">
      <w:pPr>
        <w:spacing w:line="360" w:lineRule="auto"/>
        <w:rPr>
          <w:rFonts w:hint="eastAsia" w:ascii="仿宋" w:hAnsi="仿宋" w:eastAsia="仿宋" w:cs="仿宋"/>
          <w:color w:val="auto"/>
          <w:szCs w:val="21"/>
          <w:highlight w:val="none"/>
        </w:rPr>
      </w:pPr>
    </w:p>
    <w:p w14:paraId="6D2A9EAC">
      <w:pPr>
        <w:spacing w:line="360" w:lineRule="auto"/>
        <w:ind w:left="1260" w:leftChars="600" w:firstLine="0" w:firstLineChars="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（盖单位章）</w:t>
      </w:r>
    </w:p>
    <w:p w14:paraId="2DA8F138">
      <w:pPr>
        <w:spacing w:line="360" w:lineRule="auto"/>
        <w:ind w:left="1260" w:leftChars="600" w:firstLine="0" w:firstLineChars="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法定代表人或其委托代理人：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w:t>
      </w:r>
      <w:r>
        <w:rPr>
          <w:rFonts w:hint="eastAsia" w:ascii="仿宋" w:hAnsi="仿宋" w:eastAsia="仿宋" w:cs="仿宋"/>
          <w:color w:val="auto"/>
          <w:szCs w:val="21"/>
          <w:highlight w:val="none"/>
          <w:lang w:val="en-US" w:eastAsia="zh-CN"/>
        </w:rPr>
        <w:t>或盖章</w:t>
      </w:r>
      <w:r>
        <w:rPr>
          <w:rFonts w:hint="eastAsia" w:ascii="仿宋" w:hAnsi="仿宋" w:eastAsia="仿宋" w:cs="仿宋"/>
          <w:color w:val="auto"/>
          <w:szCs w:val="21"/>
          <w:highlight w:val="none"/>
        </w:rPr>
        <w:t>）</w:t>
      </w:r>
    </w:p>
    <w:p w14:paraId="090BBA8E">
      <w:pPr>
        <w:spacing w:line="360" w:lineRule="auto"/>
        <w:ind w:left="1260" w:leftChars="600" w:firstLine="0" w:firstLineChars="0"/>
        <w:jc w:val="both"/>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u w:val="single"/>
        </w:rPr>
        <w:t xml:space="preserve">                                        .</w:t>
      </w:r>
    </w:p>
    <w:p w14:paraId="3691C02E">
      <w:pPr>
        <w:spacing w:line="360" w:lineRule="auto"/>
        <w:ind w:left="1260" w:leftChars="600" w:firstLine="0" w:firstLineChars="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r>
        <w:rPr>
          <w:rFonts w:hint="eastAsia" w:ascii="仿宋" w:hAnsi="仿宋" w:eastAsia="仿宋" w:cs="仿宋"/>
          <w:color w:val="auto"/>
          <w:szCs w:val="21"/>
          <w:highlight w:val="none"/>
          <w:u w:val="single"/>
        </w:rPr>
        <w:t xml:space="preserve">                                        .</w:t>
      </w:r>
    </w:p>
    <w:p w14:paraId="1FB4E614">
      <w:pPr>
        <w:spacing w:line="360" w:lineRule="auto"/>
        <w:ind w:left="1260" w:leftChars="600" w:firstLine="0" w:firstLineChars="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邮政编码：</w:t>
      </w:r>
      <w:r>
        <w:rPr>
          <w:rFonts w:hint="eastAsia" w:ascii="仿宋" w:hAnsi="仿宋" w:eastAsia="仿宋" w:cs="仿宋"/>
          <w:color w:val="auto"/>
          <w:szCs w:val="21"/>
          <w:highlight w:val="none"/>
          <w:u w:val="single"/>
        </w:rPr>
        <w:t xml:space="preserve">                                    .</w:t>
      </w:r>
    </w:p>
    <w:p w14:paraId="26DECC47">
      <w:pPr>
        <w:wordWrap/>
        <w:spacing w:line="360" w:lineRule="auto"/>
        <w:ind w:left="1260" w:leftChars="600" w:right="420" w:firstLine="0" w:firstLineChars="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1F4714F4">
      <w:pPr>
        <w:wordWrap w:val="0"/>
        <w:spacing w:line="360" w:lineRule="auto"/>
        <w:ind w:right="420" w:firstLine="3498" w:firstLineChars="1666"/>
        <w:jc w:val="right"/>
        <w:rPr>
          <w:rFonts w:hint="eastAsia" w:ascii="仿宋" w:hAnsi="仿宋" w:eastAsia="仿宋" w:cs="仿宋"/>
          <w:color w:val="auto"/>
          <w:szCs w:val="21"/>
          <w:highlight w:val="none"/>
        </w:rPr>
      </w:pPr>
    </w:p>
    <w:p w14:paraId="4A8A0D8E">
      <w:pPr>
        <w:spacing w:line="360" w:lineRule="auto"/>
        <w:ind w:firstLine="420" w:firstLineChars="200"/>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p>
    <w:p w14:paraId="6AAA059B">
      <w:pPr>
        <w:autoSpaceDE w:val="0"/>
        <w:autoSpaceDN w:val="0"/>
        <w:adjustRightInd w:val="0"/>
        <w:spacing w:line="400" w:lineRule="exact"/>
        <w:outlineLvl w:val="2"/>
        <w:rPr>
          <w:rFonts w:hint="eastAsia" w:ascii="仿宋" w:hAnsi="仿宋" w:eastAsia="仿宋" w:cs="仿宋"/>
          <w:color w:val="auto"/>
          <w:sz w:val="32"/>
          <w:szCs w:val="18"/>
          <w:highlight w:val="none"/>
          <w:lang w:val="zh-CN"/>
        </w:rPr>
      </w:pPr>
      <w:bookmarkStart w:id="115" w:name="_Toc6117"/>
      <w:r>
        <w:rPr>
          <w:rFonts w:hint="eastAsia" w:ascii="仿宋" w:hAnsi="仿宋" w:eastAsia="仿宋" w:cs="仿宋"/>
          <w:color w:val="auto"/>
          <w:szCs w:val="28"/>
          <w:highlight w:val="none"/>
        </w:rPr>
        <w:t>（二）</w:t>
      </w:r>
      <w:r>
        <w:rPr>
          <w:rFonts w:hint="eastAsia" w:ascii="仿宋" w:hAnsi="仿宋" w:eastAsia="仿宋" w:cs="仿宋"/>
          <w:color w:val="auto"/>
          <w:szCs w:val="28"/>
          <w:highlight w:val="none"/>
          <w:lang w:val="zh-CN"/>
        </w:rPr>
        <w:t>投标函附录</w:t>
      </w:r>
      <w:bookmarkEnd w:id="115"/>
    </w:p>
    <w:p w14:paraId="498A7E84">
      <w:pPr>
        <w:autoSpaceDE w:val="0"/>
        <w:autoSpaceDN w:val="0"/>
        <w:adjustRightInd w:val="0"/>
        <w:spacing w:line="400" w:lineRule="exact"/>
        <w:rPr>
          <w:rFonts w:hint="eastAsia" w:ascii="仿宋" w:hAnsi="仿宋" w:eastAsia="仿宋" w:cs="仿宋"/>
          <w:color w:val="auto"/>
          <w:sz w:val="28"/>
          <w:szCs w:val="18"/>
          <w:highlight w:val="none"/>
          <w:lang w:val="zh-CN"/>
        </w:rPr>
      </w:pPr>
    </w:p>
    <w:tbl>
      <w:tblPr>
        <w:tblStyle w:val="3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3"/>
        <w:gridCol w:w="1824"/>
        <w:gridCol w:w="5631"/>
        <w:gridCol w:w="1800"/>
      </w:tblGrid>
      <w:tr w14:paraId="17E8A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653" w:type="dxa"/>
            <w:tcBorders>
              <w:top w:val="single" w:color="auto" w:sz="4" w:space="0"/>
              <w:left w:val="single" w:color="auto" w:sz="4" w:space="0"/>
              <w:bottom w:val="single" w:color="auto" w:sz="4" w:space="0"/>
              <w:right w:val="single" w:color="auto" w:sz="4" w:space="0"/>
            </w:tcBorders>
            <w:vAlign w:val="center"/>
          </w:tcPr>
          <w:p w14:paraId="6FBC20FD">
            <w:pPr>
              <w:autoSpaceDE w:val="0"/>
              <w:autoSpaceDN w:val="0"/>
              <w:adjustRightInd w:val="0"/>
              <w:spacing w:line="300" w:lineRule="exact"/>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序号</w:t>
            </w:r>
          </w:p>
        </w:tc>
        <w:tc>
          <w:tcPr>
            <w:tcW w:w="1824" w:type="dxa"/>
            <w:tcBorders>
              <w:top w:val="single" w:color="auto" w:sz="4" w:space="0"/>
              <w:left w:val="single" w:color="auto" w:sz="4" w:space="0"/>
              <w:bottom w:val="single" w:color="auto" w:sz="4" w:space="0"/>
              <w:right w:val="single" w:color="auto" w:sz="4" w:space="0"/>
            </w:tcBorders>
            <w:vAlign w:val="center"/>
          </w:tcPr>
          <w:p w14:paraId="6912977D">
            <w:pPr>
              <w:autoSpaceDE w:val="0"/>
              <w:autoSpaceDN w:val="0"/>
              <w:adjustRightInd w:val="0"/>
              <w:spacing w:line="300" w:lineRule="exact"/>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条款名称</w:t>
            </w:r>
          </w:p>
        </w:tc>
        <w:tc>
          <w:tcPr>
            <w:tcW w:w="5631" w:type="dxa"/>
            <w:tcBorders>
              <w:top w:val="single" w:color="auto" w:sz="4" w:space="0"/>
              <w:left w:val="single" w:color="auto" w:sz="4" w:space="0"/>
              <w:bottom w:val="single" w:color="auto" w:sz="4" w:space="0"/>
              <w:right w:val="single" w:color="auto" w:sz="4" w:space="0"/>
            </w:tcBorders>
            <w:vAlign w:val="center"/>
          </w:tcPr>
          <w:p w14:paraId="3C212142">
            <w:pPr>
              <w:autoSpaceDE w:val="0"/>
              <w:autoSpaceDN w:val="0"/>
              <w:adjustRightInd w:val="0"/>
              <w:spacing w:line="300" w:lineRule="exact"/>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约定内容</w:t>
            </w:r>
          </w:p>
        </w:tc>
        <w:tc>
          <w:tcPr>
            <w:tcW w:w="1800" w:type="dxa"/>
            <w:tcBorders>
              <w:top w:val="single" w:color="auto" w:sz="4" w:space="0"/>
              <w:left w:val="single" w:color="auto" w:sz="4" w:space="0"/>
              <w:bottom w:val="single" w:color="auto" w:sz="4" w:space="0"/>
              <w:right w:val="single" w:color="auto" w:sz="4" w:space="0"/>
            </w:tcBorders>
            <w:vAlign w:val="center"/>
          </w:tcPr>
          <w:p w14:paraId="0377094A">
            <w:pPr>
              <w:autoSpaceDE w:val="0"/>
              <w:autoSpaceDN w:val="0"/>
              <w:adjustRightInd w:val="0"/>
              <w:spacing w:line="300" w:lineRule="exact"/>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是否</w:t>
            </w:r>
          </w:p>
          <w:p w14:paraId="54FC5871">
            <w:pPr>
              <w:autoSpaceDE w:val="0"/>
              <w:autoSpaceDN w:val="0"/>
              <w:adjustRightInd w:val="0"/>
              <w:spacing w:line="300" w:lineRule="exact"/>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响应</w:t>
            </w:r>
          </w:p>
        </w:tc>
      </w:tr>
      <w:tr w14:paraId="00E33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682E4F40">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w:t>
            </w:r>
          </w:p>
        </w:tc>
        <w:tc>
          <w:tcPr>
            <w:tcW w:w="1824" w:type="dxa"/>
            <w:tcBorders>
              <w:top w:val="single" w:color="auto" w:sz="4" w:space="0"/>
              <w:left w:val="single" w:color="auto" w:sz="4" w:space="0"/>
              <w:bottom w:val="single" w:color="auto" w:sz="4" w:space="0"/>
              <w:right w:val="single" w:color="auto" w:sz="4" w:space="0"/>
            </w:tcBorders>
            <w:vAlign w:val="center"/>
          </w:tcPr>
          <w:p w14:paraId="37443377">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项目经理</w:t>
            </w:r>
          </w:p>
        </w:tc>
        <w:tc>
          <w:tcPr>
            <w:tcW w:w="5631" w:type="dxa"/>
            <w:tcBorders>
              <w:top w:val="single" w:color="auto" w:sz="4" w:space="0"/>
              <w:left w:val="single" w:color="auto" w:sz="4" w:space="0"/>
              <w:bottom w:val="single" w:color="auto" w:sz="4" w:space="0"/>
              <w:right w:val="single" w:color="auto" w:sz="4" w:space="0"/>
            </w:tcBorders>
            <w:vAlign w:val="center"/>
          </w:tcPr>
          <w:p w14:paraId="6C48B1DD">
            <w:pPr>
              <w:autoSpaceDE w:val="0"/>
              <w:autoSpaceDN w:val="0"/>
              <w:adjustRightInd w:val="0"/>
              <w:spacing w:line="300" w:lineRule="exact"/>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姓名：</w:t>
            </w:r>
          </w:p>
        </w:tc>
        <w:tc>
          <w:tcPr>
            <w:tcW w:w="1800" w:type="dxa"/>
            <w:tcBorders>
              <w:top w:val="single" w:color="auto" w:sz="4" w:space="0"/>
              <w:left w:val="single" w:color="auto" w:sz="4" w:space="0"/>
              <w:bottom w:val="single" w:color="auto" w:sz="4" w:space="0"/>
              <w:right w:val="single" w:color="auto" w:sz="4" w:space="0"/>
            </w:tcBorders>
            <w:vAlign w:val="center"/>
          </w:tcPr>
          <w:p w14:paraId="76964D6A">
            <w:pPr>
              <w:autoSpaceDE w:val="0"/>
              <w:autoSpaceDN w:val="0"/>
              <w:adjustRightInd w:val="0"/>
              <w:spacing w:line="300" w:lineRule="exact"/>
              <w:rPr>
                <w:rFonts w:hint="eastAsia" w:ascii="仿宋" w:hAnsi="仿宋" w:eastAsia="仿宋" w:cs="仿宋"/>
                <w:color w:val="auto"/>
                <w:szCs w:val="21"/>
                <w:highlight w:val="none"/>
                <w:lang w:val="zh-CN"/>
              </w:rPr>
            </w:pPr>
          </w:p>
        </w:tc>
      </w:tr>
      <w:tr w14:paraId="0B5FA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44A6B2AA">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w:t>
            </w:r>
          </w:p>
        </w:tc>
        <w:tc>
          <w:tcPr>
            <w:tcW w:w="1824" w:type="dxa"/>
            <w:tcBorders>
              <w:top w:val="single" w:color="auto" w:sz="4" w:space="0"/>
              <w:left w:val="single" w:color="auto" w:sz="4" w:space="0"/>
              <w:bottom w:val="single" w:color="auto" w:sz="4" w:space="0"/>
              <w:right w:val="single" w:color="auto" w:sz="4" w:space="0"/>
            </w:tcBorders>
            <w:vAlign w:val="center"/>
          </w:tcPr>
          <w:p w14:paraId="753CB316">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合同履行期限</w:t>
            </w:r>
            <w:r>
              <w:rPr>
                <w:rFonts w:hint="eastAsia" w:ascii="仿宋" w:hAnsi="仿宋" w:eastAsia="仿宋" w:cs="仿宋"/>
                <w:color w:val="auto"/>
                <w:szCs w:val="21"/>
                <w:highlight w:val="none"/>
                <w:lang w:val="zh-CN" w:eastAsia="zh-CN"/>
              </w:rPr>
              <w:t>（计划工期）</w:t>
            </w:r>
          </w:p>
        </w:tc>
        <w:tc>
          <w:tcPr>
            <w:tcW w:w="5631" w:type="dxa"/>
            <w:tcBorders>
              <w:top w:val="single" w:color="auto" w:sz="4" w:space="0"/>
              <w:left w:val="single" w:color="auto" w:sz="4" w:space="0"/>
              <w:bottom w:val="single" w:color="auto" w:sz="4" w:space="0"/>
              <w:right w:val="single" w:color="auto" w:sz="4" w:space="0"/>
            </w:tcBorders>
            <w:vAlign w:val="center"/>
          </w:tcPr>
          <w:p w14:paraId="0C128570">
            <w:pPr>
              <w:autoSpaceDE w:val="0"/>
              <w:autoSpaceDN w:val="0"/>
              <w:adjustRightInd w:val="0"/>
              <w:spacing w:line="300" w:lineRule="exact"/>
              <w:rPr>
                <w:rFonts w:hint="eastAsia" w:ascii="仿宋" w:hAnsi="仿宋" w:eastAsia="仿宋" w:cs="仿宋"/>
                <w:color w:val="auto"/>
                <w:kern w:val="15"/>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217BEBD3">
            <w:pPr>
              <w:autoSpaceDE w:val="0"/>
              <w:autoSpaceDN w:val="0"/>
              <w:adjustRightInd w:val="0"/>
              <w:spacing w:line="300" w:lineRule="exact"/>
              <w:rPr>
                <w:rFonts w:hint="eastAsia" w:ascii="仿宋" w:hAnsi="仿宋" w:eastAsia="仿宋" w:cs="仿宋"/>
                <w:color w:val="auto"/>
                <w:szCs w:val="21"/>
                <w:highlight w:val="none"/>
                <w:lang w:val="zh-CN"/>
              </w:rPr>
            </w:pPr>
          </w:p>
        </w:tc>
      </w:tr>
      <w:tr w14:paraId="0EF28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15AB0065">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w:t>
            </w:r>
          </w:p>
        </w:tc>
        <w:tc>
          <w:tcPr>
            <w:tcW w:w="1824" w:type="dxa"/>
            <w:tcBorders>
              <w:top w:val="single" w:color="auto" w:sz="4" w:space="0"/>
              <w:left w:val="single" w:color="auto" w:sz="4" w:space="0"/>
              <w:bottom w:val="single" w:color="auto" w:sz="4" w:space="0"/>
              <w:right w:val="single" w:color="auto" w:sz="4" w:space="0"/>
            </w:tcBorders>
            <w:vAlign w:val="center"/>
          </w:tcPr>
          <w:p w14:paraId="44AF778A">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保修期</w:t>
            </w:r>
          </w:p>
        </w:tc>
        <w:tc>
          <w:tcPr>
            <w:tcW w:w="5631" w:type="dxa"/>
            <w:tcBorders>
              <w:top w:val="single" w:color="auto" w:sz="4" w:space="0"/>
              <w:left w:val="single" w:color="auto" w:sz="4" w:space="0"/>
              <w:bottom w:val="single" w:color="auto" w:sz="4" w:space="0"/>
              <w:right w:val="single" w:color="auto" w:sz="4" w:space="0"/>
            </w:tcBorders>
            <w:vAlign w:val="center"/>
          </w:tcPr>
          <w:p w14:paraId="0B69B605">
            <w:pPr>
              <w:autoSpaceDE w:val="0"/>
              <w:autoSpaceDN w:val="0"/>
              <w:adjustRightInd w:val="0"/>
              <w:spacing w:line="3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执行中华人民共和国国务院第279号令《建设工程质量管理条例》</w:t>
            </w:r>
          </w:p>
        </w:tc>
        <w:tc>
          <w:tcPr>
            <w:tcW w:w="1800" w:type="dxa"/>
            <w:tcBorders>
              <w:top w:val="single" w:color="auto" w:sz="4" w:space="0"/>
              <w:left w:val="single" w:color="auto" w:sz="4" w:space="0"/>
              <w:bottom w:val="single" w:color="auto" w:sz="4" w:space="0"/>
              <w:right w:val="single" w:color="auto" w:sz="4" w:space="0"/>
            </w:tcBorders>
            <w:vAlign w:val="center"/>
          </w:tcPr>
          <w:p w14:paraId="1624D5E2">
            <w:pPr>
              <w:autoSpaceDE w:val="0"/>
              <w:autoSpaceDN w:val="0"/>
              <w:adjustRightInd w:val="0"/>
              <w:spacing w:line="300" w:lineRule="exact"/>
              <w:rPr>
                <w:rFonts w:hint="eastAsia" w:ascii="仿宋" w:hAnsi="仿宋" w:eastAsia="仿宋" w:cs="仿宋"/>
                <w:color w:val="auto"/>
                <w:szCs w:val="21"/>
                <w:highlight w:val="none"/>
                <w:lang w:val="zh-CN"/>
              </w:rPr>
            </w:pPr>
          </w:p>
        </w:tc>
      </w:tr>
      <w:tr w14:paraId="33A4C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34E2A00A">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w:t>
            </w:r>
          </w:p>
        </w:tc>
        <w:tc>
          <w:tcPr>
            <w:tcW w:w="1824" w:type="dxa"/>
            <w:tcBorders>
              <w:top w:val="single" w:color="auto" w:sz="4" w:space="0"/>
              <w:left w:val="single" w:color="auto" w:sz="4" w:space="0"/>
              <w:bottom w:val="single" w:color="auto" w:sz="4" w:space="0"/>
              <w:right w:val="single" w:color="auto" w:sz="4" w:space="0"/>
            </w:tcBorders>
            <w:vAlign w:val="center"/>
          </w:tcPr>
          <w:p w14:paraId="1C773DE9">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分包</w:t>
            </w:r>
          </w:p>
        </w:tc>
        <w:tc>
          <w:tcPr>
            <w:tcW w:w="5631" w:type="dxa"/>
            <w:tcBorders>
              <w:top w:val="single" w:color="auto" w:sz="4" w:space="0"/>
              <w:left w:val="single" w:color="auto" w:sz="4" w:space="0"/>
              <w:bottom w:val="single" w:color="auto" w:sz="4" w:space="0"/>
              <w:right w:val="single" w:color="auto" w:sz="4" w:space="0"/>
            </w:tcBorders>
            <w:vAlign w:val="center"/>
          </w:tcPr>
          <w:p w14:paraId="43E7DD71">
            <w:pPr>
              <w:autoSpaceDE w:val="0"/>
              <w:autoSpaceDN w:val="0"/>
              <w:adjustRightInd w:val="0"/>
              <w:spacing w:line="300" w:lineRule="exact"/>
              <w:jc w:val="left"/>
              <w:rPr>
                <w:rFonts w:hint="eastAsia" w:ascii="仿宋" w:hAnsi="仿宋" w:eastAsia="仿宋" w:cs="仿宋"/>
                <w:color w:val="auto"/>
                <w:szCs w:val="21"/>
                <w:highlight w:val="none"/>
                <w:lang w:val="zh-CN"/>
              </w:rPr>
            </w:pPr>
            <w:r>
              <w:rPr>
                <w:rFonts w:hint="eastAsia" w:ascii="仿宋" w:hAnsi="仿宋" w:eastAsia="仿宋" w:cs="仿宋"/>
                <w:color w:val="auto"/>
                <w:kern w:val="15"/>
                <w:szCs w:val="21"/>
                <w:highlight w:val="none"/>
              </w:rPr>
              <w:t>本工程不</w:t>
            </w:r>
            <w:r>
              <w:rPr>
                <w:rFonts w:hint="eastAsia" w:ascii="仿宋" w:hAnsi="仿宋" w:eastAsia="仿宋" w:cs="仿宋"/>
                <w:color w:val="auto"/>
                <w:szCs w:val="21"/>
                <w:highlight w:val="none"/>
                <w:lang w:val="zh-CN"/>
              </w:rPr>
              <w:t>允许分包。</w:t>
            </w:r>
          </w:p>
        </w:tc>
        <w:tc>
          <w:tcPr>
            <w:tcW w:w="1800" w:type="dxa"/>
            <w:tcBorders>
              <w:top w:val="single" w:color="auto" w:sz="4" w:space="0"/>
              <w:left w:val="single" w:color="auto" w:sz="4" w:space="0"/>
              <w:bottom w:val="single" w:color="auto" w:sz="4" w:space="0"/>
              <w:right w:val="single" w:color="auto" w:sz="4" w:space="0"/>
            </w:tcBorders>
            <w:vAlign w:val="center"/>
          </w:tcPr>
          <w:p w14:paraId="559A0E8D">
            <w:pPr>
              <w:autoSpaceDE w:val="0"/>
              <w:autoSpaceDN w:val="0"/>
              <w:adjustRightInd w:val="0"/>
              <w:spacing w:line="300" w:lineRule="exact"/>
              <w:rPr>
                <w:rFonts w:hint="eastAsia" w:ascii="仿宋" w:hAnsi="仿宋" w:eastAsia="仿宋" w:cs="仿宋"/>
                <w:color w:val="auto"/>
                <w:szCs w:val="21"/>
                <w:highlight w:val="none"/>
                <w:lang w:val="zh-CN"/>
              </w:rPr>
            </w:pPr>
          </w:p>
        </w:tc>
      </w:tr>
      <w:tr w14:paraId="09198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54675454">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w:t>
            </w:r>
          </w:p>
        </w:tc>
        <w:tc>
          <w:tcPr>
            <w:tcW w:w="1824" w:type="dxa"/>
            <w:tcBorders>
              <w:top w:val="single" w:color="auto" w:sz="4" w:space="0"/>
              <w:left w:val="single" w:color="auto" w:sz="4" w:space="0"/>
              <w:bottom w:val="single" w:color="auto" w:sz="4" w:space="0"/>
              <w:right w:val="single" w:color="auto" w:sz="4" w:space="0"/>
            </w:tcBorders>
            <w:vAlign w:val="center"/>
          </w:tcPr>
          <w:p w14:paraId="573C0EA8">
            <w:pPr>
              <w:autoSpaceDE w:val="0"/>
              <w:autoSpaceDN w:val="0"/>
              <w:adjustRightIn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工期提前</w:t>
            </w:r>
          </w:p>
        </w:tc>
        <w:tc>
          <w:tcPr>
            <w:tcW w:w="5631" w:type="dxa"/>
            <w:tcBorders>
              <w:top w:val="single" w:color="auto" w:sz="4" w:space="0"/>
              <w:left w:val="single" w:color="auto" w:sz="4" w:space="0"/>
              <w:bottom w:val="single" w:color="auto" w:sz="4" w:space="0"/>
              <w:right w:val="single" w:color="auto" w:sz="4" w:space="0"/>
            </w:tcBorders>
            <w:vAlign w:val="center"/>
          </w:tcPr>
          <w:p w14:paraId="4705F8D6">
            <w:pPr>
              <w:autoSpaceDE w:val="0"/>
              <w:autoSpaceDN w:val="0"/>
              <w:adjustRightInd w:val="0"/>
              <w:spacing w:line="3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承包人提前竣工，不奖励。</w:t>
            </w:r>
          </w:p>
        </w:tc>
        <w:tc>
          <w:tcPr>
            <w:tcW w:w="1800" w:type="dxa"/>
            <w:tcBorders>
              <w:top w:val="single" w:color="auto" w:sz="4" w:space="0"/>
              <w:left w:val="single" w:color="auto" w:sz="4" w:space="0"/>
              <w:bottom w:val="single" w:color="auto" w:sz="4" w:space="0"/>
              <w:right w:val="single" w:color="auto" w:sz="4" w:space="0"/>
            </w:tcBorders>
            <w:vAlign w:val="center"/>
          </w:tcPr>
          <w:p w14:paraId="1A9DBE09">
            <w:pPr>
              <w:autoSpaceDE w:val="0"/>
              <w:autoSpaceDN w:val="0"/>
              <w:adjustRightInd w:val="0"/>
              <w:spacing w:line="300" w:lineRule="exact"/>
              <w:rPr>
                <w:rFonts w:hint="eastAsia" w:ascii="仿宋" w:hAnsi="仿宋" w:eastAsia="仿宋" w:cs="仿宋"/>
                <w:color w:val="auto"/>
                <w:szCs w:val="21"/>
                <w:highlight w:val="none"/>
                <w:lang w:val="zh-CN"/>
              </w:rPr>
            </w:pPr>
          </w:p>
        </w:tc>
      </w:tr>
      <w:tr w14:paraId="7FC16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7C8791E4">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6</w:t>
            </w:r>
          </w:p>
        </w:tc>
        <w:tc>
          <w:tcPr>
            <w:tcW w:w="1824" w:type="dxa"/>
            <w:tcBorders>
              <w:top w:val="single" w:color="auto" w:sz="4" w:space="0"/>
              <w:left w:val="single" w:color="auto" w:sz="4" w:space="0"/>
              <w:bottom w:val="single" w:color="auto" w:sz="4" w:space="0"/>
              <w:right w:val="single" w:color="auto" w:sz="4" w:space="0"/>
            </w:tcBorders>
            <w:vAlign w:val="center"/>
          </w:tcPr>
          <w:p w14:paraId="0478A92C">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质量标准</w:t>
            </w:r>
          </w:p>
        </w:tc>
        <w:tc>
          <w:tcPr>
            <w:tcW w:w="5631" w:type="dxa"/>
            <w:tcBorders>
              <w:top w:val="single" w:color="auto" w:sz="4" w:space="0"/>
              <w:left w:val="single" w:color="auto" w:sz="4" w:space="0"/>
              <w:bottom w:val="single" w:color="auto" w:sz="4" w:space="0"/>
              <w:right w:val="single" w:color="auto" w:sz="4" w:space="0"/>
            </w:tcBorders>
            <w:vAlign w:val="center"/>
          </w:tcPr>
          <w:p w14:paraId="5629DD8D">
            <w:pPr>
              <w:autoSpaceDE w:val="0"/>
              <w:autoSpaceDN w:val="0"/>
              <w:adjustRightInd w:val="0"/>
              <w:spacing w:line="300" w:lineRule="exact"/>
              <w:jc w:val="left"/>
              <w:rPr>
                <w:rFonts w:hint="eastAsia" w:ascii="仿宋" w:hAnsi="仿宋" w:eastAsia="仿宋" w:cs="仿宋"/>
                <w:color w:val="auto"/>
                <w:kern w:val="15"/>
                <w:szCs w:val="21"/>
                <w:highlight w:val="none"/>
                <w:u w:val="single"/>
                <w:lang w:eastAsia="zh-CN"/>
              </w:rPr>
            </w:pPr>
            <w:r>
              <w:rPr>
                <w:rFonts w:hint="eastAsia" w:ascii="仿宋" w:hAnsi="仿宋" w:eastAsia="仿宋" w:cs="仿宋"/>
                <w:color w:val="auto"/>
                <w:szCs w:val="21"/>
                <w:highlight w:val="none"/>
              </w:rPr>
              <w:t>符合国家现行工程施工质量验收统一标准及相关标准的合格工程。工程量清单及图纸的全部内容</w:t>
            </w:r>
            <w:r>
              <w:rPr>
                <w:rFonts w:hint="eastAsia" w:ascii="仿宋" w:hAnsi="仿宋" w:eastAsia="仿宋" w:cs="仿宋"/>
                <w:color w:val="auto"/>
                <w:szCs w:val="21"/>
                <w:highlight w:val="none"/>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14:paraId="58D17501">
            <w:pPr>
              <w:autoSpaceDE w:val="0"/>
              <w:autoSpaceDN w:val="0"/>
              <w:adjustRightInd w:val="0"/>
              <w:spacing w:line="300" w:lineRule="exact"/>
              <w:rPr>
                <w:rFonts w:hint="eastAsia" w:ascii="仿宋" w:hAnsi="仿宋" w:eastAsia="仿宋" w:cs="仿宋"/>
                <w:color w:val="auto"/>
                <w:szCs w:val="21"/>
                <w:highlight w:val="none"/>
                <w:lang w:val="zh-CN"/>
              </w:rPr>
            </w:pPr>
          </w:p>
        </w:tc>
      </w:tr>
    </w:tbl>
    <w:p w14:paraId="4CE34FCF">
      <w:pPr>
        <w:autoSpaceDE w:val="0"/>
        <w:autoSpaceDN w:val="0"/>
        <w:adjustRightInd w:val="0"/>
        <w:spacing w:line="400" w:lineRule="exact"/>
        <w:jc w:val="left"/>
        <w:rPr>
          <w:rFonts w:hint="eastAsia" w:ascii="仿宋" w:hAnsi="仿宋" w:eastAsia="仿宋" w:cs="仿宋"/>
          <w:color w:val="auto"/>
          <w:szCs w:val="18"/>
          <w:highlight w:val="none"/>
        </w:rPr>
      </w:pPr>
    </w:p>
    <w:p w14:paraId="54F70564">
      <w:pPr>
        <w:spacing w:line="360" w:lineRule="auto"/>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p>
    <w:p w14:paraId="26E4123A">
      <w:pPr>
        <w:pStyle w:val="3"/>
        <w:outlineLvl w:val="1"/>
        <w:rPr>
          <w:rFonts w:hint="eastAsia" w:ascii="仿宋" w:hAnsi="仿宋" w:eastAsia="仿宋" w:cs="仿宋"/>
          <w:color w:val="auto"/>
          <w:highlight w:val="none"/>
          <w:lang w:eastAsia="zh-CN"/>
        </w:rPr>
      </w:pPr>
      <w:bookmarkStart w:id="116" w:name="_Toc25251"/>
      <w:bookmarkStart w:id="117" w:name="_Toc382396571"/>
      <w:bookmarkStart w:id="118" w:name="_Toc184635139"/>
      <w:bookmarkStart w:id="119" w:name="_Toc20073"/>
      <w:bookmarkStart w:id="120" w:name="_Toc22249"/>
      <w:bookmarkStart w:id="121" w:name="_Toc3139"/>
      <w:r>
        <w:rPr>
          <w:rFonts w:hint="eastAsia" w:ascii="仿宋" w:hAnsi="仿宋" w:eastAsia="仿宋" w:cs="仿宋"/>
          <w:color w:val="auto"/>
          <w:highlight w:val="none"/>
          <w:lang w:eastAsia="zh-CN"/>
        </w:rPr>
        <w:t>二、法定代表人身份证明</w:t>
      </w:r>
      <w:bookmarkEnd w:id="116"/>
      <w:bookmarkEnd w:id="117"/>
      <w:bookmarkEnd w:id="118"/>
      <w:bookmarkEnd w:id="119"/>
      <w:bookmarkEnd w:id="120"/>
      <w:bookmarkEnd w:id="121"/>
    </w:p>
    <w:p w14:paraId="0BDF1436">
      <w:pPr>
        <w:spacing w:line="360" w:lineRule="auto"/>
        <w:ind w:firstLine="480" w:firstLineChars="200"/>
        <w:rPr>
          <w:rFonts w:hint="eastAsia" w:ascii="仿宋" w:hAnsi="仿宋" w:eastAsia="仿宋" w:cs="仿宋"/>
          <w:color w:val="auto"/>
          <w:sz w:val="24"/>
          <w:szCs w:val="24"/>
          <w:highlight w:val="none"/>
        </w:rPr>
      </w:pPr>
    </w:p>
    <w:p w14:paraId="2BE7072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7EE283F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单位性质：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434BB74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45D7A10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成立时间：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20D3A26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经营期限：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51875F7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性别：</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年龄：</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职务：</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_系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名称）的法定代表人。</w:t>
      </w:r>
    </w:p>
    <w:p w14:paraId="584DFC2A">
      <w:pPr>
        <w:spacing w:line="360" w:lineRule="auto"/>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特此证明。</w:t>
      </w:r>
    </w:p>
    <w:p w14:paraId="30BA719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附：法定代表人身份证复印件加盖单位公章</w:t>
      </w:r>
    </w:p>
    <w:p w14:paraId="586C6DE6">
      <w:pPr>
        <w:spacing w:line="360" w:lineRule="auto"/>
        <w:ind w:firstLine="420" w:firstLineChars="200"/>
        <w:rPr>
          <w:rFonts w:hint="eastAsia" w:ascii="仿宋" w:hAnsi="仿宋" w:eastAsia="仿宋" w:cs="仿宋"/>
          <w:color w:val="auto"/>
          <w:szCs w:val="21"/>
          <w:highlight w:val="none"/>
        </w:rPr>
      </w:pPr>
    </w:p>
    <w:p w14:paraId="270D0109">
      <w:pPr>
        <w:spacing w:line="360" w:lineRule="auto"/>
        <w:ind w:firstLine="420" w:firstLineChars="200"/>
        <w:rPr>
          <w:rFonts w:hint="eastAsia" w:ascii="仿宋" w:hAnsi="仿宋" w:eastAsia="仿宋" w:cs="仿宋"/>
          <w:color w:val="auto"/>
          <w:szCs w:val="21"/>
          <w:highlight w:val="none"/>
        </w:rPr>
      </w:pPr>
    </w:p>
    <w:p w14:paraId="0F81B058">
      <w:pPr>
        <w:spacing w:line="360" w:lineRule="auto"/>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（盖单位章）</w:t>
      </w:r>
    </w:p>
    <w:p w14:paraId="326CC6C6">
      <w:pPr>
        <w:spacing w:line="360" w:lineRule="auto"/>
        <w:ind w:firstLine="4515" w:firstLineChars="2150"/>
        <w:rPr>
          <w:rFonts w:hint="eastAsia" w:ascii="仿宋" w:hAnsi="仿宋" w:eastAsia="仿宋" w:cs="仿宋"/>
          <w:color w:val="auto"/>
          <w:szCs w:val="21"/>
          <w:highlight w:val="none"/>
          <w:u w:val="single"/>
        </w:rPr>
      </w:pPr>
    </w:p>
    <w:p w14:paraId="7BB75102">
      <w:pPr>
        <w:spacing w:line="360" w:lineRule="auto"/>
        <w:ind w:firstLine="4515" w:firstLineChars="215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1862ABBE">
      <w:pPr>
        <w:spacing w:line="360" w:lineRule="auto"/>
        <w:ind w:firstLine="420" w:firstLineChars="200"/>
        <w:jc w:val="right"/>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p>
    <w:p w14:paraId="18404139">
      <w:pPr>
        <w:pStyle w:val="3"/>
        <w:outlineLvl w:val="1"/>
        <w:rPr>
          <w:rFonts w:hint="eastAsia" w:ascii="仿宋" w:hAnsi="仿宋" w:eastAsia="仿宋" w:cs="仿宋"/>
          <w:color w:val="auto"/>
          <w:highlight w:val="none"/>
          <w:lang w:eastAsia="zh-CN"/>
        </w:rPr>
      </w:pPr>
      <w:bookmarkStart w:id="122" w:name="_Toc10455"/>
      <w:bookmarkStart w:id="123" w:name="_Toc8258"/>
      <w:bookmarkStart w:id="124" w:name="_Toc20619"/>
      <w:bookmarkStart w:id="125" w:name="_Toc184635140"/>
      <w:bookmarkStart w:id="126" w:name="_Toc31963"/>
      <w:bookmarkStart w:id="127" w:name="_Toc382396572"/>
      <w:r>
        <w:rPr>
          <w:rFonts w:hint="eastAsia" w:ascii="仿宋" w:hAnsi="仿宋" w:eastAsia="仿宋" w:cs="仿宋"/>
          <w:color w:val="auto"/>
          <w:highlight w:val="none"/>
          <w:lang w:eastAsia="zh-CN"/>
        </w:rPr>
        <w:t>三、授权委托书</w:t>
      </w:r>
      <w:bookmarkEnd w:id="122"/>
      <w:bookmarkEnd w:id="123"/>
      <w:bookmarkEnd w:id="124"/>
      <w:bookmarkEnd w:id="125"/>
      <w:bookmarkEnd w:id="126"/>
      <w:bookmarkEnd w:id="127"/>
    </w:p>
    <w:p w14:paraId="3DCC0CCF">
      <w:pPr>
        <w:spacing w:line="360" w:lineRule="auto"/>
        <w:ind w:firstLine="420" w:firstLineChars="200"/>
        <w:rPr>
          <w:rFonts w:hint="eastAsia" w:ascii="仿宋" w:hAnsi="仿宋" w:eastAsia="仿宋" w:cs="仿宋"/>
          <w:color w:val="auto"/>
          <w:szCs w:val="21"/>
          <w:highlight w:val="none"/>
        </w:rPr>
      </w:pPr>
    </w:p>
    <w:p w14:paraId="0B8289F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（姓名）系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名称）的法定代表人，现委托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（姓名）为我方代理人。代理人根据授权，以我方名义签署、澄清、说明、补正、递交、撤回、修改</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（项目名称）响应文件、签订合同和处理有关事宜，其法律后果由我方承担。</w:t>
      </w:r>
    </w:p>
    <w:p w14:paraId="3A133774">
      <w:pPr>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委托期限：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p>
    <w:p w14:paraId="3FF4C14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代理人无转委托权。</w:t>
      </w:r>
    </w:p>
    <w:p w14:paraId="2EAE52B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附：授权委托人身份证复印件加盖单位公章</w:t>
      </w:r>
    </w:p>
    <w:p w14:paraId="26F5DD3F">
      <w:pPr>
        <w:spacing w:line="360" w:lineRule="auto"/>
        <w:ind w:firstLine="420" w:firstLineChars="200"/>
        <w:rPr>
          <w:rFonts w:hint="eastAsia" w:ascii="仿宋" w:hAnsi="仿宋" w:eastAsia="仿宋" w:cs="仿宋"/>
          <w:color w:val="auto"/>
          <w:szCs w:val="21"/>
          <w:highlight w:val="none"/>
          <w:lang w:val="en-US" w:eastAsia="zh-CN"/>
        </w:rPr>
      </w:pPr>
    </w:p>
    <w:p w14:paraId="30B5A966">
      <w:pPr>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注：法定代表人投标的无需提供授权委托书。</w:t>
      </w:r>
    </w:p>
    <w:p w14:paraId="32136CF9">
      <w:pPr>
        <w:spacing w:line="360" w:lineRule="auto"/>
        <w:ind w:firstLine="420" w:firstLineChars="200"/>
        <w:rPr>
          <w:rFonts w:hint="eastAsia" w:ascii="仿宋" w:hAnsi="仿宋" w:eastAsia="仿宋" w:cs="仿宋"/>
          <w:color w:val="auto"/>
          <w:szCs w:val="21"/>
          <w:highlight w:val="none"/>
        </w:rPr>
      </w:pPr>
    </w:p>
    <w:p w14:paraId="61CB5C36">
      <w:pPr>
        <w:spacing w:line="360" w:lineRule="auto"/>
        <w:ind w:firstLine="420" w:firstLineChars="200"/>
        <w:rPr>
          <w:rFonts w:hint="eastAsia" w:ascii="仿宋" w:hAnsi="仿宋" w:eastAsia="仿宋" w:cs="仿宋"/>
          <w:color w:val="auto"/>
          <w:szCs w:val="21"/>
          <w:highlight w:val="none"/>
        </w:rPr>
      </w:pPr>
    </w:p>
    <w:p w14:paraId="5B7D0ECB">
      <w:pPr>
        <w:spacing w:line="360" w:lineRule="auto"/>
        <w:ind w:left="0" w:leftChars="0" w:firstLine="4200" w:firstLineChars="20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（盖单位章）</w:t>
      </w:r>
    </w:p>
    <w:p w14:paraId="597C2B3C">
      <w:pPr>
        <w:spacing w:line="360" w:lineRule="auto"/>
        <w:ind w:left="0" w:leftChars="0" w:firstLine="4200" w:firstLineChars="2000"/>
        <w:rPr>
          <w:rFonts w:hint="eastAsia" w:ascii="仿宋" w:hAnsi="仿宋" w:eastAsia="仿宋" w:cs="仿宋"/>
          <w:color w:val="auto"/>
          <w:szCs w:val="21"/>
          <w:highlight w:val="none"/>
        </w:rPr>
      </w:pPr>
    </w:p>
    <w:p w14:paraId="7A53F464">
      <w:pPr>
        <w:spacing w:line="360" w:lineRule="auto"/>
        <w:ind w:left="0" w:leftChars="0" w:firstLine="4200" w:firstLineChars="20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w:t>
      </w:r>
      <w:r>
        <w:rPr>
          <w:rFonts w:hint="eastAsia" w:ascii="仿宋" w:hAnsi="仿宋" w:eastAsia="仿宋" w:cs="仿宋"/>
          <w:color w:val="auto"/>
          <w:szCs w:val="21"/>
          <w:highlight w:val="none"/>
          <w:lang w:val="en-US" w:eastAsia="zh-CN"/>
        </w:rPr>
        <w:t>或盖章</w:t>
      </w:r>
      <w:r>
        <w:rPr>
          <w:rFonts w:hint="eastAsia" w:ascii="仿宋" w:hAnsi="仿宋" w:eastAsia="仿宋" w:cs="仿宋"/>
          <w:color w:val="auto"/>
          <w:szCs w:val="21"/>
          <w:highlight w:val="none"/>
        </w:rPr>
        <w:t>）</w:t>
      </w:r>
    </w:p>
    <w:p w14:paraId="57A7D9CF">
      <w:pPr>
        <w:spacing w:line="360" w:lineRule="auto"/>
        <w:ind w:left="0" w:leftChars="0" w:firstLine="4200" w:firstLineChars="2000"/>
        <w:rPr>
          <w:rFonts w:hint="eastAsia" w:ascii="仿宋" w:hAnsi="仿宋" w:eastAsia="仿宋" w:cs="仿宋"/>
          <w:color w:val="auto"/>
          <w:szCs w:val="21"/>
          <w:highlight w:val="none"/>
        </w:rPr>
      </w:pPr>
    </w:p>
    <w:p w14:paraId="62C0EE64">
      <w:pPr>
        <w:spacing w:line="360" w:lineRule="auto"/>
        <w:ind w:left="0" w:leftChars="0" w:firstLine="4200" w:firstLineChars="20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（签字或盖章）</w:t>
      </w:r>
    </w:p>
    <w:p w14:paraId="44FE5403">
      <w:pPr>
        <w:spacing w:line="360" w:lineRule="auto"/>
        <w:ind w:left="0" w:leftChars="0" w:firstLine="4200" w:firstLineChars="2000"/>
        <w:rPr>
          <w:rFonts w:hint="eastAsia" w:ascii="仿宋" w:hAnsi="仿宋" w:eastAsia="仿宋" w:cs="仿宋"/>
          <w:color w:val="auto"/>
          <w:szCs w:val="21"/>
          <w:highlight w:val="none"/>
        </w:rPr>
      </w:pPr>
    </w:p>
    <w:p w14:paraId="41E33BC5">
      <w:pPr>
        <w:spacing w:line="360" w:lineRule="auto"/>
        <w:ind w:left="0" w:leftChars="0" w:firstLine="4200" w:firstLineChars="2000"/>
        <w:rPr>
          <w:rFonts w:hint="eastAsia" w:ascii="仿宋" w:hAnsi="仿宋" w:eastAsia="仿宋" w:cs="仿宋"/>
          <w:color w:val="auto"/>
          <w:szCs w:val="21"/>
          <w:highlight w:val="none"/>
        </w:rPr>
      </w:pPr>
    </w:p>
    <w:p w14:paraId="1E1F5B08">
      <w:pPr>
        <w:spacing w:line="360" w:lineRule="auto"/>
        <w:ind w:left="0" w:leftChars="0" w:firstLine="4200" w:firstLineChars="20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730C5EA5">
      <w:pPr>
        <w:spacing w:line="360" w:lineRule="auto"/>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p>
    <w:p w14:paraId="2D27ED6E">
      <w:pPr>
        <w:pStyle w:val="3"/>
        <w:outlineLvl w:val="1"/>
        <w:rPr>
          <w:rFonts w:hint="eastAsia" w:ascii="仿宋" w:hAnsi="仿宋" w:eastAsia="仿宋" w:cs="仿宋"/>
          <w:color w:val="auto"/>
          <w:highlight w:val="none"/>
          <w:lang w:eastAsia="zh-CN"/>
        </w:rPr>
      </w:pPr>
      <w:bookmarkStart w:id="128" w:name="_Toc16812"/>
      <w:bookmarkStart w:id="129" w:name="_Toc4968"/>
      <w:bookmarkStart w:id="130" w:name="_Toc14372"/>
      <w:bookmarkStart w:id="131" w:name="_Toc29294"/>
      <w:bookmarkStart w:id="132" w:name="_Toc382396573"/>
      <w:bookmarkStart w:id="133" w:name="_Toc184635142"/>
      <w:r>
        <w:rPr>
          <w:rFonts w:hint="eastAsia" w:ascii="仿宋" w:hAnsi="仿宋" w:eastAsia="仿宋" w:cs="仿宋"/>
          <w:color w:val="auto"/>
          <w:highlight w:val="none"/>
          <w:lang w:eastAsia="zh-CN"/>
        </w:rPr>
        <w:t>四、报价一览表</w:t>
      </w:r>
      <w:bookmarkEnd w:id="128"/>
      <w:bookmarkEnd w:id="129"/>
      <w:bookmarkEnd w:id="130"/>
      <w:bookmarkEnd w:id="131"/>
      <w:bookmarkEnd w:id="132"/>
    </w:p>
    <w:p w14:paraId="33FF9DF5">
      <w:pPr>
        <w:autoSpaceDE w:val="0"/>
        <w:autoSpaceDN w:val="0"/>
        <w:adjustRightInd w:val="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项目名称：</w:t>
      </w:r>
    </w:p>
    <w:p w14:paraId="70BE25A4">
      <w:pPr>
        <w:autoSpaceDE w:val="0"/>
        <w:autoSpaceDN w:val="0"/>
        <w:adjustRightInd w:val="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项目编号：</w:t>
      </w:r>
    </w:p>
    <w:tbl>
      <w:tblPr>
        <w:tblStyle w:val="31"/>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700"/>
        <w:gridCol w:w="1980"/>
        <w:gridCol w:w="3060"/>
      </w:tblGrid>
      <w:tr w14:paraId="0953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0" w:type="dxa"/>
            <w:vAlign w:val="center"/>
          </w:tcPr>
          <w:p w14:paraId="7CB43CBB">
            <w:pPr>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供应商</w:t>
            </w:r>
          </w:p>
        </w:tc>
        <w:tc>
          <w:tcPr>
            <w:tcW w:w="7740" w:type="dxa"/>
            <w:gridSpan w:val="3"/>
            <w:vAlign w:val="center"/>
          </w:tcPr>
          <w:p w14:paraId="046D338D">
            <w:pPr>
              <w:jc w:val="left"/>
              <w:rPr>
                <w:rFonts w:hint="eastAsia" w:ascii="仿宋" w:hAnsi="仿宋" w:eastAsia="仿宋" w:cs="仿宋"/>
                <w:bCs/>
                <w:color w:val="auto"/>
                <w:szCs w:val="21"/>
                <w:highlight w:val="none"/>
              </w:rPr>
            </w:pPr>
          </w:p>
        </w:tc>
      </w:tr>
      <w:tr w14:paraId="0FFC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0" w:type="dxa"/>
            <w:vAlign w:val="center"/>
          </w:tcPr>
          <w:p w14:paraId="6AAFF407">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企业</w:t>
            </w:r>
            <w:r>
              <w:rPr>
                <w:rFonts w:hint="eastAsia" w:ascii="仿宋" w:hAnsi="仿宋" w:eastAsia="仿宋" w:cs="仿宋"/>
                <w:bCs/>
                <w:color w:val="auto"/>
                <w:szCs w:val="21"/>
                <w:highlight w:val="none"/>
                <w:lang w:val="en-US" w:eastAsia="zh-CN"/>
              </w:rPr>
              <w:t>资质</w:t>
            </w:r>
            <w:r>
              <w:rPr>
                <w:rFonts w:hint="eastAsia" w:ascii="仿宋" w:hAnsi="仿宋" w:eastAsia="仿宋" w:cs="仿宋"/>
                <w:bCs/>
                <w:color w:val="auto"/>
                <w:szCs w:val="21"/>
                <w:highlight w:val="none"/>
              </w:rPr>
              <w:t>等级</w:t>
            </w:r>
          </w:p>
        </w:tc>
        <w:tc>
          <w:tcPr>
            <w:tcW w:w="2700" w:type="dxa"/>
            <w:vAlign w:val="center"/>
          </w:tcPr>
          <w:p w14:paraId="27F0400F">
            <w:pPr>
              <w:jc w:val="left"/>
              <w:rPr>
                <w:rFonts w:hint="eastAsia" w:ascii="仿宋" w:hAnsi="仿宋" w:eastAsia="仿宋" w:cs="仿宋"/>
                <w:bCs/>
                <w:color w:val="auto"/>
                <w:szCs w:val="21"/>
                <w:highlight w:val="none"/>
              </w:rPr>
            </w:pPr>
          </w:p>
        </w:tc>
        <w:tc>
          <w:tcPr>
            <w:tcW w:w="1980" w:type="dxa"/>
            <w:vAlign w:val="center"/>
          </w:tcPr>
          <w:p w14:paraId="22D6689E">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投标报价</w:t>
            </w:r>
          </w:p>
        </w:tc>
        <w:tc>
          <w:tcPr>
            <w:tcW w:w="3060" w:type="dxa"/>
            <w:vAlign w:val="center"/>
          </w:tcPr>
          <w:p w14:paraId="5E36A9CB">
            <w:pPr>
              <w:jc w:val="left"/>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 xml:space="preserve">   </w:t>
            </w: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元</w:t>
            </w:r>
          </w:p>
        </w:tc>
      </w:tr>
      <w:tr w14:paraId="74B9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0" w:type="dxa"/>
            <w:vAlign w:val="center"/>
          </w:tcPr>
          <w:p w14:paraId="0F10CBE4">
            <w:pPr>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磋商保证金</w:t>
            </w:r>
          </w:p>
        </w:tc>
        <w:tc>
          <w:tcPr>
            <w:tcW w:w="2700" w:type="dxa"/>
            <w:vAlign w:val="center"/>
          </w:tcPr>
          <w:p w14:paraId="0712E7C2">
            <w:pPr>
              <w:jc w:val="left"/>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有/无</w:t>
            </w:r>
            <w:r>
              <w:rPr>
                <w:rFonts w:hint="eastAsia" w:ascii="仿宋" w:hAnsi="仿宋" w:eastAsia="仿宋" w:cs="仿宋"/>
                <w:bCs/>
                <w:color w:val="auto"/>
                <w:szCs w:val="21"/>
                <w:highlight w:val="none"/>
                <w:lang w:val="en-US" w:eastAsia="zh-CN"/>
              </w:rPr>
              <w:t>/</w:t>
            </w:r>
            <w:r>
              <w:rPr>
                <w:rFonts w:hint="eastAsia" w:ascii="仿宋" w:hAnsi="仿宋" w:eastAsia="仿宋" w:cs="仿宋"/>
                <w:color w:val="auto"/>
                <w:highlight w:val="none"/>
                <w:lang w:val="zh-CN" w:eastAsia="zh-CN"/>
              </w:rPr>
              <w:t>诚信记录良好无需提供</w:t>
            </w:r>
          </w:p>
        </w:tc>
        <w:tc>
          <w:tcPr>
            <w:tcW w:w="1980" w:type="dxa"/>
            <w:vAlign w:val="center"/>
          </w:tcPr>
          <w:p w14:paraId="2F6F8924">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质量标准</w:t>
            </w:r>
          </w:p>
        </w:tc>
        <w:tc>
          <w:tcPr>
            <w:tcW w:w="3060" w:type="dxa"/>
            <w:vAlign w:val="center"/>
          </w:tcPr>
          <w:p w14:paraId="3F6ECF95">
            <w:pPr>
              <w:jc w:val="left"/>
              <w:rPr>
                <w:rFonts w:hint="eastAsia" w:ascii="仿宋" w:hAnsi="仿宋" w:eastAsia="仿宋" w:cs="仿宋"/>
                <w:bCs/>
                <w:color w:val="auto"/>
                <w:szCs w:val="21"/>
                <w:highlight w:val="none"/>
              </w:rPr>
            </w:pPr>
          </w:p>
        </w:tc>
      </w:tr>
      <w:tr w14:paraId="7AAE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0" w:type="dxa"/>
            <w:vAlign w:val="center"/>
          </w:tcPr>
          <w:p w14:paraId="7A97F931">
            <w:pPr>
              <w:jc w:val="center"/>
              <w:rPr>
                <w:rFonts w:hint="eastAsia" w:ascii="仿宋" w:hAnsi="仿宋" w:eastAsia="仿宋" w:cs="仿宋"/>
                <w:bCs/>
                <w:color w:val="auto"/>
                <w:szCs w:val="21"/>
                <w:highlight w:val="none"/>
              </w:rPr>
            </w:pPr>
            <w:r>
              <w:rPr>
                <w:rFonts w:hint="eastAsia" w:ascii="仿宋" w:hAnsi="仿宋" w:eastAsia="仿宋" w:cs="仿宋"/>
                <w:color w:val="auto"/>
                <w:szCs w:val="21"/>
                <w:highlight w:val="none"/>
                <w:lang w:val="zh-CN"/>
              </w:rPr>
              <w:t>合同履行期限</w:t>
            </w:r>
            <w:r>
              <w:rPr>
                <w:rFonts w:hint="eastAsia" w:ascii="仿宋" w:hAnsi="仿宋" w:eastAsia="仿宋" w:cs="仿宋"/>
                <w:color w:val="auto"/>
                <w:szCs w:val="21"/>
                <w:highlight w:val="none"/>
                <w:lang w:val="zh-CN" w:eastAsia="zh-CN"/>
              </w:rPr>
              <w:t>（计划工期）</w:t>
            </w:r>
          </w:p>
        </w:tc>
        <w:tc>
          <w:tcPr>
            <w:tcW w:w="7740" w:type="dxa"/>
            <w:gridSpan w:val="3"/>
            <w:vAlign w:val="center"/>
          </w:tcPr>
          <w:p w14:paraId="35900587">
            <w:pPr>
              <w:autoSpaceDE w:val="0"/>
              <w:autoSpaceDN w:val="0"/>
              <w:adjustRightInd w:val="0"/>
              <w:snapToGrid w:val="0"/>
              <w:spacing w:before="78" w:beforeLines="25" w:line="300" w:lineRule="auto"/>
              <w:jc w:val="left"/>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 xml:space="preserve">  </w:t>
            </w:r>
          </w:p>
        </w:tc>
      </w:tr>
      <w:tr w14:paraId="78CF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0" w:type="dxa"/>
            <w:vAlign w:val="center"/>
          </w:tcPr>
          <w:p w14:paraId="34C33AEE">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优惠条件</w:t>
            </w:r>
          </w:p>
        </w:tc>
        <w:tc>
          <w:tcPr>
            <w:tcW w:w="7740" w:type="dxa"/>
            <w:gridSpan w:val="3"/>
            <w:vAlign w:val="center"/>
          </w:tcPr>
          <w:p w14:paraId="5822AB7F">
            <w:pPr>
              <w:jc w:val="left"/>
              <w:rPr>
                <w:rFonts w:hint="eastAsia" w:ascii="仿宋" w:hAnsi="仿宋" w:eastAsia="仿宋" w:cs="仿宋"/>
                <w:bCs/>
                <w:color w:val="auto"/>
                <w:szCs w:val="21"/>
                <w:highlight w:val="none"/>
              </w:rPr>
            </w:pPr>
          </w:p>
        </w:tc>
      </w:tr>
      <w:tr w14:paraId="4CA5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800" w:type="dxa"/>
            <w:vAlign w:val="center"/>
          </w:tcPr>
          <w:p w14:paraId="447CEF23">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服务承诺</w:t>
            </w:r>
          </w:p>
        </w:tc>
        <w:tc>
          <w:tcPr>
            <w:tcW w:w="7740" w:type="dxa"/>
            <w:gridSpan w:val="3"/>
            <w:vAlign w:val="center"/>
          </w:tcPr>
          <w:p w14:paraId="675C3C3D">
            <w:pPr>
              <w:jc w:val="left"/>
              <w:rPr>
                <w:rFonts w:hint="eastAsia" w:ascii="仿宋" w:hAnsi="仿宋" w:eastAsia="仿宋" w:cs="仿宋"/>
                <w:bCs/>
                <w:color w:val="auto"/>
                <w:szCs w:val="21"/>
                <w:highlight w:val="none"/>
              </w:rPr>
            </w:pPr>
          </w:p>
          <w:p w14:paraId="370A8834">
            <w:pPr>
              <w:jc w:val="left"/>
              <w:rPr>
                <w:rFonts w:hint="eastAsia" w:ascii="仿宋" w:hAnsi="仿宋" w:eastAsia="仿宋" w:cs="仿宋"/>
                <w:bCs/>
                <w:color w:val="auto"/>
                <w:szCs w:val="21"/>
                <w:highlight w:val="none"/>
              </w:rPr>
            </w:pPr>
          </w:p>
        </w:tc>
      </w:tr>
      <w:tr w14:paraId="421E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800" w:type="dxa"/>
            <w:vAlign w:val="center"/>
          </w:tcPr>
          <w:p w14:paraId="21201547">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备注</w:t>
            </w:r>
          </w:p>
        </w:tc>
        <w:tc>
          <w:tcPr>
            <w:tcW w:w="7740" w:type="dxa"/>
            <w:gridSpan w:val="3"/>
            <w:vAlign w:val="center"/>
          </w:tcPr>
          <w:p w14:paraId="4964281C">
            <w:pPr>
              <w:ind w:left="-207" w:firstLine="140" w:firstLineChars="67"/>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1.但本表的一切内容均具有法律效力，不得更改。</w:t>
            </w:r>
          </w:p>
          <w:p w14:paraId="08431E00">
            <w:pPr>
              <w:ind w:left="-65"/>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2.投标报价为本次采购项目所有工程项目报价的总和。</w:t>
            </w:r>
          </w:p>
          <w:p w14:paraId="0F5EFFA5">
            <w:pPr>
              <w:ind w:left="-65"/>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3.优惠条件、</w:t>
            </w:r>
            <w:r>
              <w:rPr>
                <w:rFonts w:hint="eastAsia" w:ascii="仿宋" w:hAnsi="仿宋" w:eastAsia="仿宋" w:cs="仿宋"/>
                <w:bCs/>
                <w:color w:val="auto"/>
                <w:szCs w:val="21"/>
                <w:highlight w:val="none"/>
                <w:lang w:val="en-US" w:eastAsia="zh-CN"/>
              </w:rPr>
              <w:t>服务承诺</w:t>
            </w:r>
            <w:r>
              <w:rPr>
                <w:rFonts w:hint="eastAsia" w:ascii="仿宋" w:hAnsi="仿宋" w:eastAsia="仿宋" w:cs="仿宋"/>
                <w:bCs/>
                <w:color w:val="auto"/>
                <w:szCs w:val="21"/>
                <w:highlight w:val="none"/>
              </w:rPr>
              <w:t>两项，详细内容必须在投标书中载明，如内容较多，本表只填写“有”“无”即可。</w:t>
            </w:r>
          </w:p>
        </w:tc>
      </w:tr>
      <w:tr w14:paraId="57B5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9540" w:type="dxa"/>
            <w:gridSpan w:val="4"/>
            <w:vAlign w:val="center"/>
          </w:tcPr>
          <w:p w14:paraId="0FD9A63C">
            <w:pPr>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eastAsia="zh-CN"/>
              </w:rPr>
              <w:t>供应商</w:t>
            </w:r>
            <w:r>
              <w:rPr>
                <w:rFonts w:hint="eastAsia" w:ascii="仿宋" w:hAnsi="仿宋" w:eastAsia="仿宋" w:cs="仿宋"/>
                <w:bCs/>
                <w:color w:val="auto"/>
                <w:szCs w:val="21"/>
                <w:highlight w:val="none"/>
              </w:rPr>
              <w:t xml:space="preserve">：              （盖章）                   </w:t>
            </w:r>
          </w:p>
          <w:p w14:paraId="5BBC0E0C">
            <w:pPr>
              <w:jc w:val="left"/>
              <w:rPr>
                <w:rFonts w:hint="eastAsia" w:ascii="仿宋" w:hAnsi="仿宋" w:eastAsia="仿宋" w:cs="仿宋"/>
                <w:bCs/>
                <w:color w:val="auto"/>
                <w:szCs w:val="21"/>
                <w:highlight w:val="none"/>
              </w:rPr>
            </w:pPr>
          </w:p>
          <w:p w14:paraId="039C054D">
            <w:pPr>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法定代表人或其委托代理人：          （签字</w:t>
            </w:r>
            <w:r>
              <w:rPr>
                <w:rFonts w:hint="eastAsia" w:ascii="仿宋" w:hAnsi="仿宋" w:eastAsia="仿宋" w:cs="仿宋"/>
                <w:bCs/>
                <w:color w:val="auto"/>
                <w:szCs w:val="21"/>
                <w:highlight w:val="none"/>
                <w:lang w:val="en-US" w:eastAsia="zh-CN"/>
              </w:rPr>
              <w:t>或盖章</w:t>
            </w:r>
            <w:r>
              <w:rPr>
                <w:rFonts w:hint="eastAsia" w:ascii="仿宋" w:hAnsi="仿宋" w:eastAsia="仿宋" w:cs="仿宋"/>
                <w:bCs/>
                <w:color w:val="auto"/>
                <w:szCs w:val="21"/>
                <w:highlight w:val="none"/>
              </w:rPr>
              <w:t>）</w:t>
            </w:r>
          </w:p>
          <w:p w14:paraId="37164C5F">
            <w:pPr>
              <w:jc w:val="left"/>
              <w:rPr>
                <w:rFonts w:hint="eastAsia" w:ascii="仿宋" w:hAnsi="仿宋" w:eastAsia="仿宋" w:cs="仿宋"/>
                <w:bCs/>
                <w:color w:val="auto"/>
                <w:szCs w:val="21"/>
                <w:highlight w:val="none"/>
              </w:rPr>
            </w:pPr>
          </w:p>
        </w:tc>
      </w:tr>
    </w:tbl>
    <w:p w14:paraId="486FEBD3">
      <w:pPr>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注：1、填报的内容必须和响应文件及投标函中的内容一致。</w:t>
      </w:r>
    </w:p>
    <w:p w14:paraId="60EE46BD">
      <w:pPr>
        <w:ind w:firstLine="411" w:firstLineChars="196"/>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2、投标总价以元为单位。</w:t>
      </w:r>
      <w:r>
        <w:rPr>
          <w:rFonts w:hint="eastAsia" w:ascii="仿宋" w:hAnsi="仿宋" w:eastAsia="仿宋" w:cs="仿宋"/>
          <w:color w:val="auto"/>
          <w:szCs w:val="21"/>
          <w:highlight w:val="none"/>
        </w:rPr>
        <w:t xml:space="preserve">                                     </w:t>
      </w:r>
    </w:p>
    <w:p w14:paraId="5CBA5DB5">
      <w:pPr>
        <w:autoSpaceDE w:val="0"/>
        <w:autoSpaceDN w:val="0"/>
        <w:adjustRightInd w:val="0"/>
        <w:spacing w:line="400" w:lineRule="exact"/>
        <w:ind w:firstLine="525" w:firstLineChars="250"/>
        <w:jc w:val="left"/>
        <w:rPr>
          <w:rFonts w:hint="eastAsia" w:ascii="仿宋" w:hAnsi="仿宋" w:eastAsia="仿宋" w:cs="仿宋"/>
          <w:color w:val="auto"/>
          <w:szCs w:val="21"/>
          <w:highlight w:val="none"/>
          <w:lang w:val="zh-CN"/>
        </w:rPr>
      </w:pPr>
    </w:p>
    <w:p w14:paraId="0E171DEA">
      <w:pPr>
        <w:autoSpaceDE w:val="0"/>
        <w:autoSpaceDN w:val="0"/>
        <w:adjustRightInd w:val="0"/>
        <w:spacing w:line="400" w:lineRule="exact"/>
        <w:rPr>
          <w:rFonts w:hint="eastAsia" w:ascii="仿宋" w:hAnsi="仿宋" w:eastAsia="仿宋" w:cs="仿宋"/>
          <w:color w:val="auto"/>
          <w:szCs w:val="21"/>
          <w:highlight w:val="none"/>
        </w:rPr>
      </w:pPr>
    </w:p>
    <w:p w14:paraId="7DA7E9A0">
      <w:pPr>
        <w:pStyle w:val="4"/>
        <w:rPr>
          <w:rFonts w:hint="eastAsia" w:ascii="仿宋" w:hAnsi="仿宋" w:eastAsia="仿宋" w:cs="仿宋"/>
          <w:color w:val="auto"/>
          <w:szCs w:val="32"/>
          <w:highlight w:val="none"/>
          <w:lang w:eastAsia="zh-CN"/>
        </w:rPr>
        <w:sectPr>
          <w:pgSz w:w="11906" w:h="16838"/>
          <w:pgMar w:top="1440" w:right="1080" w:bottom="1440" w:left="1080" w:header="851" w:footer="992" w:gutter="0"/>
          <w:pgNumType w:fmt="decimal"/>
          <w:cols w:space="720" w:num="1"/>
          <w:docGrid w:type="lines" w:linePitch="312" w:charSpace="0"/>
        </w:sectPr>
      </w:pPr>
      <w:bookmarkStart w:id="134" w:name="_Toc382396574"/>
      <w:bookmarkStart w:id="135" w:name="_Toc8526"/>
    </w:p>
    <w:p w14:paraId="76DFAC53">
      <w:pPr>
        <w:pStyle w:val="3"/>
        <w:outlineLvl w:val="1"/>
        <w:rPr>
          <w:rFonts w:hint="eastAsia" w:ascii="仿宋" w:hAnsi="仿宋" w:eastAsia="仿宋" w:cs="仿宋"/>
          <w:color w:val="auto"/>
          <w:szCs w:val="32"/>
          <w:highlight w:val="none"/>
          <w:lang w:eastAsia="zh-CN"/>
        </w:rPr>
      </w:pPr>
      <w:bookmarkStart w:id="136" w:name="_Toc2967"/>
      <w:bookmarkStart w:id="137" w:name="_Toc972"/>
      <w:bookmarkStart w:id="138" w:name="_Toc27218"/>
      <w:r>
        <w:rPr>
          <w:rFonts w:hint="eastAsia" w:ascii="仿宋" w:hAnsi="仿宋" w:eastAsia="仿宋" w:cs="仿宋"/>
          <w:color w:val="auto"/>
          <w:szCs w:val="32"/>
          <w:highlight w:val="none"/>
          <w:lang w:eastAsia="zh-CN"/>
        </w:rPr>
        <w:t>五、</w:t>
      </w:r>
      <w:bookmarkEnd w:id="133"/>
      <w:bookmarkEnd w:id="134"/>
      <w:bookmarkEnd w:id="135"/>
      <w:bookmarkEnd w:id="136"/>
      <w:bookmarkEnd w:id="137"/>
      <w:bookmarkEnd w:id="138"/>
      <w:r>
        <w:rPr>
          <w:rFonts w:hint="eastAsia" w:ascii="仿宋" w:hAnsi="仿宋" w:eastAsia="仿宋" w:cs="仿宋"/>
          <w:color w:val="auto"/>
          <w:szCs w:val="32"/>
          <w:highlight w:val="none"/>
          <w:lang w:eastAsia="zh-CN"/>
        </w:rPr>
        <w:t>磋商保证金</w:t>
      </w:r>
    </w:p>
    <w:p w14:paraId="7E0E79DF">
      <w:pPr>
        <w:spacing w:line="360" w:lineRule="auto"/>
        <w:ind w:firstLine="420" w:firstLineChars="200"/>
        <w:rPr>
          <w:rFonts w:hint="eastAsia" w:ascii="仿宋" w:hAnsi="仿宋" w:eastAsia="仿宋" w:cs="仿宋"/>
          <w:color w:val="auto"/>
          <w:szCs w:val="21"/>
          <w:highlight w:val="none"/>
        </w:rPr>
      </w:pPr>
    </w:p>
    <w:p w14:paraId="57BCAB25">
      <w:pPr>
        <w:spacing w:line="480" w:lineRule="auto"/>
        <w:ind w:firstLine="422" w:firstLineChars="200"/>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后附：</w:t>
      </w:r>
      <w:r>
        <w:rPr>
          <w:rFonts w:hint="eastAsia" w:ascii="仿宋" w:hAnsi="仿宋" w:eastAsia="仿宋" w:cs="仿宋"/>
          <w:b/>
          <w:bCs/>
          <w:color w:val="auto"/>
          <w:szCs w:val="21"/>
          <w:highlight w:val="none"/>
          <w:lang w:eastAsia="zh-CN"/>
        </w:rPr>
        <w:t>供应商</w:t>
      </w:r>
      <w:r>
        <w:rPr>
          <w:rFonts w:hint="eastAsia" w:ascii="仿宋" w:hAnsi="仿宋" w:eastAsia="仿宋" w:cs="仿宋"/>
          <w:b/>
          <w:bCs/>
          <w:color w:val="auto"/>
          <w:szCs w:val="21"/>
          <w:highlight w:val="none"/>
        </w:rPr>
        <w:t>的</w:t>
      </w:r>
      <w:r>
        <w:rPr>
          <w:rFonts w:hint="eastAsia" w:ascii="仿宋" w:hAnsi="仿宋" w:eastAsia="仿宋" w:cs="仿宋"/>
          <w:b/>
          <w:bCs/>
          <w:color w:val="auto"/>
          <w:szCs w:val="21"/>
          <w:highlight w:val="none"/>
          <w:lang w:val="en-US" w:eastAsia="zh-CN"/>
        </w:rPr>
        <w:t>保证金递交凭证</w:t>
      </w:r>
      <w:r>
        <w:rPr>
          <w:rFonts w:hint="eastAsia" w:ascii="仿宋" w:hAnsi="仿宋" w:eastAsia="仿宋" w:cs="仿宋"/>
          <w:b/>
          <w:bCs/>
          <w:color w:val="auto"/>
          <w:szCs w:val="21"/>
          <w:highlight w:val="none"/>
        </w:rPr>
        <w:t>复印件加盖单位公章</w:t>
      </w:r>
      <w:r>
        <w:rPr>
          <w:rFonts w:hint="eastAsia" w:ascii="仿宋" w:hAnsi="仿宋" w:eastAsia="仿宋" w:cs="仿宋"/>
          <w:b/>
          <w:bCs/>
          <w:color w:val="auto"/>
          <w:szCs w:val="21"/>
          <w:highlight w:val="none"/>
          <w:lang w:eastAsia="zh-CN"/>
        </w:rPr>
        <w:t>，或诚信良好无需递交保证金的相关证明材料（</w:t>
      </w:r>
      <w:r>
        <w:rPr>
          <w:rFonts w:hint="eastAsia" w:ascii="仿宋" w:hAnsi="仿宋" w:eastAsia="仿宋" w:cs="仿宋"/>
          <w:b/>
          <w:bCs/>
          <w:color w:val="auto"/>
          <w:szCs w:val="21"/>
          <w:highlight w:val="none"/>
          <w:lang w:val="zh-CN" w:eastAsia="zh-CN"/>
        </w:rPr>
        <w:t>经“信用中国”网站 查询</w:t>
      </w:r>
      <w:r>
        <w:rPr>
          <w:rFonts w:hint="eastAsia" w:ascii="仿宋" w:hAnsi="仿宋" w:eastAsia="仿宋" w:cs="仿宋"/>
          <w:b/>
          <w:bCs/>
          <w:color w:val="auto"/>
          <w:szCs w:val="21"/>
          <w:highlight w:val="none"/>
          <w:lang w:eastAsia="zh-CN"/>
        </w:rPr>
        <w:t>）。</w:t>
      </w:r>
    </w:p>
    <w:p w14:paraId="362BA4C2">
      <w:pPr>
        <w:spacing w:line="480" w:lineRule="auto"/>
        <w:ind w:firstLine="420" w:firstLineChars="200"/>
        <w:rPr>
          <w:rFonts w:hint="eastAsia" w:ascii="仿宋" w:hAnsi="仿宋" w:eastAsia="仿宋" w:cs="仿宋"/>
          <w:color w:val="auto"/>
          <w:szCs w:val="21"/>
          <w:highlight w:val="none"/>
        </w:rPr>
      </w:pPr>
    </w:p>
    <w:p w14:paraId="7B42555D">
      <w:pPr>
        <w:spacing w:line="480" w:lineRule="auto"/>
        <w:ind w:firstLine="420" w:firstLineChars="200"/>
        <w:rPr>
          <w:rFonts w:hint="eastAsia" w:ascii="仿宋" w:hAnsi="仿宋" w:eastAsia="仿宋" w:cs="仿宋"/>
          <w:color w:val="auto"/>
          <w:szCs w:val="21"/>
          <w:highlight w:val="none"/>
        </w:rPr>
      </w:pPr>
    </w:p>
    <w:p w14:paraId="4357A1E7">
      <w:pPr>
        <w:spacing w:line="480" w:lineRule="auto"/>
        <w:ind w:firstLine="4935" w:firstLineChars="2350"/>
        <w:jc w:val="right"/>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p>
    <w:p w14:paraId="5DC9EA2D">
      <w:pPr>
        <w:pStyle w:val="3"/>
        <w:outlineLvl w:val="1"/>
        <w:rPr>
          <w:rFonts w:hint="eastAsia" w:ascii="仿宋" w:hAnsi="仿宋" w:eastAsia="仿宋" w:cs="仿宋"/>
          <w:color w:val="auto"/>
          <w:szCs w:val="32"/>
          <w:highlight w:val="none"/>
          <w:lang w:eastAsia="zh-CN"/>
        </w:rPr>
      </w:pPr>
      <w:bookmarkStart w:id="139" w:name="_Toc22955"/>
      <w:bookmarkStart w:id="140" w:name="_Toc11456"/>
      <w:bookmarkStart w:id="141" w:name="_Toc32443"/>
      <w:bookmarkStart w:id="142" w:name="_Toc19220"/>
      <w:bookmarkStart w:id="143" w:name="_Toc382396575"/>
      <w:bookmarkStart w:id="144" w:name="_Toc184635143"/>
      <w:r>
        <w:rPr>
          <w:rFonts w:hint="eastAsia" w:ascii="仿宋" w:hAnsi="仿宋" w:eastAsia="仿宋" w:cs="仿宋"/>
          <w:color w:val="auto"/>
          <w:szCs w:val="32"/>
          <w:highlight w:val="none"/>
          <w:lang w:eastAsia="zh-CN"/>
        </w:rPr>
        <w:t>六、已标价工程量清单</w:t>
      </w:r>
      <w:bookmarkEnd w:id="139"/>
      <w:bookmarkEnd w:id="140"/>
      <w:bookmarkEnd w:id="141"/>
      <w:bookmarkEnd w:id="142"/>
      <w:bookmarkEnd w:id="143"/>
      <w:bookmarkEnd w:id="144"/>
    </w:p>
    <w:p w14:paraId="64FD223B">
      <w:pPr>
        <w:tabs>
          <w:tab w:val="left" w:pos="1170"/>
        </w:tabs>
        <w:rPr>
          <w:rFonts w:hint="eastAsia" w:ascii="仿宋" w:hAnsi="仿宋" w:eastAsia="仿宋" w:cs="仿宋"/>
          <w:color w:val="auto"/>
          <w:szCs w:val="21"/>
          <w:highlight w:val="none"/>
        </w:rPr>
      </w:pPr>
      <w:r>
        <w:rPr>
          <w:rFonts w:hint="eastAsia" w:ascii="仿宋" w:hAnsi="仿宋" w:eastAsia="仿宋" w:cs="仿宋"/>
          <w:color w:val="auto"/>
          <w:szCs w:val="21"/>
          <w:highlight w:val="none"/>
        </w:rPr>
        <w:tab/>
      </w:r>
    </w:p>
    <w:p w14:paraId="270B1540">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应按照《建设工程量清单计价规范》（GB50500-2013）提供的工程量清单计价格式编制。已标价工程量清单封皮有</w:t>
      </w:r>
      <w:r>
        <w:rPr>
          <w:rFonts w:hint="eastAsia" w:ascii="仿宋" w:hAnsi="仿宋" w:eastAsia="仿宋" w:cs="仿宋"/>
          <w:color w:val="auto"/>
          <w:szCs w:val="21"/>
          <w:highlight w:val="none"/>
          <w:em w:val="dot"/>
        </w:rPr>
        <w:t>造价人员</w:t>
      </w:r>
      <w:r>
        <w:rPr>
          <w:rFonts w:hint="eastAsia" w:ascii="仿宋" w:hAnsi="仿宋" w:eastAsia="仿宋" w:cs="仿宋"/>
          <w:color w:val="auto"/>
          <w:szCs w:val="21"/>
          <w:highlight w:val="none"/>
        </w:rPr>
        <w:t>签字并盖专用章。</w:t>
      </w:r>
    </w:p>
    <w:p w14:paraId="2F70E430">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62E6AC2E">
      <w:pPr>
        <w:spacing w:line="360" w:lineRule="auto"/>
        <w:rPr>
          <w:rFonts w:hint="eastAsia" w:ascii="仿宋" w:hAnsi="仿宋" w:eastAsia="仿宋" w:cs="仿宋"/>
          <w:color w:val="auto"/>
          <w:szCs w:val="21"/>
          <w:highlight w:val="none"/>
        </w:rPr>
      </w:pPr>
    </w:p>
    <w:p w14:paraId="52E30553">
      <w:pPr>
        <w:spacing w:line="360" w:lineRule="auto"/>
        <w:rPr>
          <w:rFonts w:hint="eastAsia" w:ascii="仿宋" w:hAnsi="仿宋" w:eastAsia="仿宋" w:cs="仿宋"/>
          <w:color w:val="auto"/>
          <w:szCs w:val="21"/>
          <w:highlight w:val="none"/>
        </w:rPr>
      </w:pPr>
    </w:p>
    <w:p w14:paraId="26920AD6">
      <w:pPr>
        <w:spacing w:line="360" w:lineRule="auto"/>
        <w:rPr>
          <w:rFonts w:hint="eastAsia" w:ascii="仿宋" w:hAnsi="仿宋" w:eastAsia="仿宋" w:cs="仿宋"/>
          <w:color w:val="auto"/>
          <w:szCs w:val="21"/>
          <w:highlight w:val="none"/>
        </w:rPr>
      </w:pPr>
    </w:p>
    <w:p w14:paraId="198E9394">
      <w:pPr>
        <w:spacing w:line="360" w:lineRule="auto"/>
        <w:rPr>
          <w:rFonts w:hint="eastAsia" w:ascii="仿宋" w:hAnsi="仿宋" w:eastAsia="仿宋" w:cs="仿宋"/>
          <w:color w:val="auto"/>
          <w:szCs w:val="21"/>
          <w:highlight w:val="none"/>
        </w:rPr>
      </w:pPr>
    </w:p>
    <w:p w14:paraId="7A7A1E2F">
      <w:pPr>
        <w:spacing w:line="360" w:lineRule="auto"/>
        <w:rPr>
          <w:rFonts w:hint="eastAsia" w:ascii="仿宋" w:hAnsi="仿宋" w:eastAsia="仿宋" w:cs="仿宋"/>
          <w:color w:val="auto"/>
          <w:szCs w:val="21"/>
          <w:highlight w:val="none"/>
        </w:rPr>
      </w:pPr>
    </w:p>
    <w:p w14:paraId="27D95B76">
      <w:pPr>
        <w:spacing w:line="360" w:lineRule="auto"/>
        <w:rPr>
          <w:rFonts w:hint="eastAsia" w:ascii="仿宋" w:hAnsi="仿宋" w:eastAsia="仿宋" w:cs="仿宋"/>
          <w:color w:val="auto"/>
          <w:szCs w:val="21"/>
          <w:highlight w:val="none"/>
        </w:rPr>
      </w:pPr>
    </w:p>
    <w:p w14:paraId="69FAA719">
      <w:pPr>
        <w:spacing w:line="360" w:lineRule="auto"/>
        <w:rPr>
          <w:rFonts w:hint="eastAsia" w:ascii="仿宋" w:hAnsi="仿宋" w:eastAsia="仿宋" w:cs="仿宋"/>
          <w:color w:val="auto"/>
          <w:szCs w:val="21"/>
          <w:highlight w:val="none"/>
        </w:rPr>
      </w:pPr>
    </w:p>
    <w:p w14:paraId="06B004ED">
      <w:pPr>
        <w:spacing w:line="360" w:lineRule="auto"/>
        <w:rPr>
          <w:rFonts w:hint="eastAsia" w:ascii="仿宋" w:hAnsi="仿宋" w:eastAsia="仿宋" w:cs="仿宋"/>
          <w:color w:val="auto"/>
          <w:szCs w:val="21"/>
          <w:highlight w:val="none"/>
        </w:rPr>
      </w:pPr>
    </w:p>
    <w:p w14:paraId="32596702">
      <w:pPr>
        <w:spacing w:line="360" w:lineRule="auto"/>
        <w:rPr>
          <w:rFonts w:hint="eastAsia" w:ascii="仿宋" w:hAnsi="仿宋" w:eastAsia="仿宋" w:cs="仿宋"/>
          <w:color w:val="auto"/>
          <w:szCs w:val="21"/>
          <w:highlight w:val="none"/>
        </w:rPr>
      </w:pPr>
    </w:p>
    <w:p w14:paraId="696D922B">
      <w:pPr>
        <w:spacing w:line="360" w:lineRule="auto"/>
        <w:rPr>
          <w:rFonts w:hint="eastAsia" w:ascii="仿宋" w:hAnsi="仿宋" w:eastAsia="仿宋" w:cs="仿宋"/>
          <w:color w:val="auto"/>
          <w:szCs w:val="21"/>
          <w:highlight w:val="none"/>
        </w:rPr>
      </w:pPr>
    </w:p>
    <w:p w14:paraId="3750FB8A">
      <w:pPr>
        <w:spacing w:line="360" w:lineRule="auto"/>
        <w:rPr>
          <w:rFonts w:hint="eastAsia" w:ascii="仿宋" w:hAnsi="仿宋" w:eastAsia="仿宋" w:cs="仿宋"/>
          <w:color w:val="auto"/>
          <w:szCs w:val="21"/>
          <w:highlight w:val="none"/>
        </w:rPr>
      </w:pPr>
    </w:p>
    <w:p w14:paraId="58A2CB62">
      <w:pPr>
        <w:spacing w:line="360" w:lineRule="auto"/>
        <w:rPr>
          <w:rFonts w:hint="eastAsia" w:ascii="仿宋" w:hAnsi="仿宋" w:eastAsia="仿宋" w:cs="仿宋"/>
          <w:color w:val="auto"/>
          <w:szCs w:val="21"/>
          <w:highlight w:val="none"/>
        </w:rPr>
      </w:pPr>
    </w:p>
    <w:p w14:paraId="5E2944DE">
      <w:pPr>
        <w:spacing w:line="360" w:lineRule="auto"/>
        <w:rPr>
          <w:rFonts w:hint="eastAsia" w:ascii="仿宋" w:hAnsi="仿宋" w:eastAsia="仿宋" w:cs="仿宋"/>
          <w:color w:val="auto"/>
          <w:szCs w:val="21"/>
          <w:highlight w:val="none"/>
        </w:rPr>
      </w:pPr>
    </w:p>
    <w:p w14:paraId="6BDA6DAA">
      <w:pPr>
        <w:spacing w:line="360" w:lineRule="auto"/>
        <w:rPr>
          <w:rFonts w:hint="eastAsia" w:ascii="仿宋" w:hAnsi="仿宋" w:eastAsia="仿宋" w:cs="仿宋"/>
          <w:color w:val="auto"/>
          <w:szCs w:val="21"/>
          <w:highlight w:val="none"/>
        </w:rPr>
      </w:pPr>
    </w:p>
    <w:p w14:paraId="51C38DA0">
      <w:pPr>
        <w:spacing w:line="360" w:lineRule="auto"/>
        <w:rPr>
          <w:rFonts w:hint="eastAsia" w:ascii="仿宋" w:hAnsi="仿宋" w:eastAsia="仿宋" w:cs="仿宋"/>
          <w:color w:val="auto"/>
          <w:szCs w:val="21"/>
          <w:highlight w:val="none"/>
        </w:rPr>
      </w:pPr>
    </w:p>
    <w:p w14:paraId="5C74337F">
      <w:pPr>
        <w:spacing w:line="360" w:lineRule="auto"/>
        <w:rPr>
          <w:rFonts w:hint="eastAsia" w:ascii="仿宋" w:hAnsi="仿宋" w:eastAsia="仿宋" w:cs="仿宋"/>
          <w:color w:val="auto"/>
          <w:szCs w:val="21"/>
          <w:highlight w:val="none"/>
        </w:rPr>
      </w:pPr>
    </w:p>
    <w:p w14:paraId="0C0106DD">
      <w:pPr>
        <w:spacing w:line="360" w:lineRule="auto"/>
        <w:rPr>
          <w:rFonts w:hint="eastAsia" w:ascii="仿宋" w:hAnsi="仿宋" w:eastAsia="仿宋" w:cs="仿宋"/>
          <w:color w:val="auto"/>
          <w:szCs w:val="21"/>
          <w:highlight w:val="none"/>
        </w:rPr>
      </w:pPr>
    </w:p>
    <w:p w14:paraId="69ED1BD5">
      <w:pPr>
        <w:spacing w:line="360" w:lineRule="auto"/>
        <w:rPr>
          <w:rFonts w:hint="eastAsia" w:ascii="仿宋" w:hAnsi="仿宋" w:eastAsia="仿宋" w:cs="仿宋"/>
          <w:color w:val="auto"/>
          <w:szCs w:val="21"/>
          <w:highlight w:val="none"/>
        </w:rPr>
      </w:pPr>
    </w:p>
    <w:p w14:paraId="5D2597FD">
      <w:pPr>
        <w:spacing w:line="360" w:lineRule="auto"/>
        <w:rPr>
          <w:rFonts w:hint="eastAsia" w:ascii="仿宋" w:hAnsi="仿宋" w:eastAsia="仿宋" w:cs="仿宋"/>
          <w:color w:val="auto"/>
          <w:szCs w:val="21"/>
          <w:highlight w:val="none"/>
        </w:rPr>
      </w:pPr>
    </w:p>
    <w:p w14:paraId="602426C8">
      <w:pPr>
        <w:spacing w:line="360" w:lineRule="auto"/>
        <w:rPr>
          <w:rFonts w:hint="eastAsia" w:ascii="仿宋" w:hAnsi="仿宋" w:eastAsia="仿宋" w:cs="仿宋"/>
          <w:color w:val="auto"/>
          <w:szCs w:val="21"/>
          <w:highlight w:val="none"/>
        </w:rPr>
      </w:pPr>
    </w:p>
    <w:p w14:paraId="6F9EBEBC">
      <w:pPr>
        <w:spacing w:line="360" w:lineRule="auto"/>
        <w:rPr>
          <w:rFonts w:hint="eastAsia" w:ascii="仿宋" w:hAnsi="仿宋" w:eastAsia="仿宋" w:cs="仿宋"/>
          <w:color w:val="auto"/>
          <w:szCs w:val="21"/>
          <w:highlight w:val="none"/>
        </w:rPr>
      </w:pPr>
    </w:p>
    <w:p w14:paraId="34D205AC">
      <w:pPr>
        <w:spacing w:line="360" w:lineRule="auto"/>
        <w:rPr>
          <w:rFonts w:hint="eastAsia" w:ascii="仿宋" w:hAnsi="仿宋" w:eastAsia="仿宋" w:cs="仿宋"/>
          <w:color w:val="auto"/>
          <w:szCs w:val="21"/>
          <w:highlight w:val="none"/>
        </w:rPr>
      </w:pPr>
    </w:p>
    <w:p w14:paraId="3AF0942B">
      <w:pPr>
        <w:spacing w:line="360" w:lineRule="auto"/>
        <w:rPr>
          <w:rFonts w:hint="eastAsia" w:ascii="仿宋" w:hAnsi="仿宋" w:eastAsia="仿宋" w:cs="仿宋"/>
          <w:color w:val="auto"/>
          <w:szCs w:val="21"/>
          <w:highlight w:val="none"/>
        </w:rPr>
      </w:pPr>
    </w:p>
    <w:tbl>
      <w:tblPr>
        <w:tblStyle w:val="31"/>
        <w:tblW w:w="0" w:type="auto"/>
        <w:jc w:val="center"/>
        <w:tblLayout w:type="fixed"/>
        <w:tblCellMar>
          <w:top w:w="0" w:type="dxa"/>
          <w:left w:w="108" w:type="dxa"/>
          <w:bottom w:w="0" w:type="dxa"/>
          <w:right w:w="108" w:type="dxa"/>
        </w:tblCellMar>
      </w:tblPr>
      <w:tblGrid>
        <w:gridCol w:w="1705"/>
        <w:gridCol w:w="40"/>
        <w:gridCol w:w="140"/>
        <w:gridCol w:w="500"/>
        <w:gridCol w:w="140"/>
        <w:gridCol w:w="100"/>
        <w:gridCol w:w="5850"/>
        <w:gridCol w:w="105"/>
        <w:gridCol w:w="425"/>
        <w:gridCol w:w="355"/>
      </w:tblGrid>
      <w:tr w14:paraId="5FFD9FBB">
        <w:tblPrEx>
          <w:tblCellMar>
            <w:top w:w="0" w:type="dxa"/>
            <w:left w:w="108" w:type="dxa"/>
            <w:bottom w:w="0" w:type="dxa"/>
            <w:right w:w="108" w:type="dxa"/>
          </w:tblCellMar>
        </w:tblPrEx>
        <w:trPr>
          <w:trHeight w:val="1110" w:hRule="atLeast"/>
          <w:jc w:val="center"/>
        </w:trPr>
        <w:tc>
          <w:tcPr>
            <w:tcW w:w="9360" w:type="dxa"/>
            <w:gridSpan w:val="10"/>
            <w:tcBorders>
              <w:top w:val="nil"/>
              <w:left w:val="nil"/>
              <w:bottom w:val="nil"/>
              <w:right w:val="nil"/>
            </w:tcBorders>
            <w:vAlign w:val="bottom"/>
          </w:tcPr>
          <w:p w14:paraId="19E8B623">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附件：已标价工程量清单封皮</w:t>
            </w:r>
          </w:p>
          <w:p w14:paraId="7478B0FA">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  标  总  价</w:t>
            </w:r>
          </w:p>
        </w:tc>
      </w:tr>
      <w:tr w14:paraId="48E4E7DD">
        <w:tblPrEx>
          <w:tblCellMar>
            <w:top w:w="0" w:type="dxa"/>
            <w:left w:w="108" w:type="dxa"/>
            <w:bottom w:w="0" w:type="dxa"/>
            <w:right w:w="108" w:type="dxa"/>
          </w:tblCellMar>
        </w:tblPrEx>
        <w:trPr>
          <w:trHeight w:val="1155" w:hRule="atLeast"/>
          <w:jc w:val="center"/>
        </w:trPr>
        <w:tc>
          <w:tcPr>
            <w:tcW w:w="2385" w:type="dxa"/>
            <w:gridSpan w:val="4"/>
            <w:tcBorders>
              <w:top w:val="nil"/>
              <w:left w:val="nil"/>
              <w:bottom w:val="nil"/>
              <w:right w:val="nil"/>
            </w:tcBorders>
            <w:vAlign w:val="bottom"/>
          </w:tcPr>
          <w:p w14:paraId="7427C224">
            <w:pPr>
              <w:spacing w:line="360" w:lineRule="auto"/>
              <w:ind w:right="6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w:t>
            </w:r>
          </w:p>
        </w:tc>
        <w:tc>
          <w:tcPr>
            <w:tcW w:w="6090" w:type="dxa"/>
            <w:gridSpan w:val="3"/>
            <w:tcBorders>
              <w:top w:val="nil"/>
              <w:left w:val="nil"/>
              <w:bottom w:val="single" w:color="auto" w:sz="4" w:space="0"/>
              <w:right w:val="nil"/>
            </w:tcBorders>
            <w:vAlign w:val="bottom"/>
          </w:tcPr>
          <w:p w14:paraId="15C40033">
            <w:pPr>
              <w:spacing w:line="360" w:lineRule="auto"/>
              <w:rPr>
                <w:rFonts w:hint="eastAsia" w:ascii="仿宋" w:hAnsi="仿宋" w:eastAsia="仿宋" w:cs="仿宋"/>
                <w:color w:val="auto"/>
                <w:szCs w:val="21"/>
                <w:highlight w:val="none"/>
              </w:rPr>
            </w:pPr>
          </w:p>
        </w:tc>
        <w:tc>
          <w:tcPr>
            <w:tcW w:w="885" w:type="dxa"/>
            <w:gridSpan w:val="3"/>
            <w:tcBorders>
              <w:top w:val="nil"/>
              <w:left w:val="nil"/>
              <w:bottom w:val="nil"/>
              <w:right w:val="nil"/>
            </w:tcBorders>
            <w:vAlign w:val="bottom"/>
          </w:tcPr>
          <w:p w14:paraId="18386D92">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0E89B7AF">
        <w:tblPrEx>
          <w:tblCellMar>
            <w:top w:w="0" w:type="dxa"/>
            <w:left w:w="108" w:type="dxa"/>
            <w:bottom w:w="0" w:type="dxa"/>
            <w:right w:w="108" w:type="dxa"/>
          </w:tblCellMar>
        </w:tblPrEx>
        <w:trPr>
          <w:trHeight w:val="915" w:hRule="atLeast"/>
          <w:jc w:val="center"/>
        </w:trPr>
        <w:tc>
          <w:tcPr>
            <w:tcW w:w="2385" w:type="dxa"/>
            <w:gridSpan w:val="4"/>
            <w:tcBorders>
              <w:top w:val="nil"/>
              <w:left w:val="nil"/>
              <w:bottom w:val="nil"/>
              <w:right w:val="nil"/>
            </w:tcBorders>
            <w:vAlign w:val="bottom"/>
          </w:tcPr>
          <w:p w14:paraId="2C6DB0E0">
            <w:pPr>
              <w:spacing w:line="360" w:lineRule="auto"/>
              <w:ind w:right="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工程名称:</w:t>
            </w:r>
          </w:p>
        </w:tc>
        <w:tc>
          <w:tcPr>
            <w:tcW w:w="6090" w:type="dxa"/>
            <w:gridSpan w:val="3"/>
            <w:tcBorders>
              <w:top w:val="nil"/>
              <w:left w:val="nil"/>
              <w:bottom w:val="single" w:color="auto" w:sz="4" w:space="0"/>
              <w:right w:val="nil"/>
            </w:tcBorders>
            <w:vAlign w:val="bottom"/>
          </w:tcPr>
          <w:p w14:paraId="3C6D0BB9">
            <w:pPr>
              <w:spacing w:line="360" w:lineRule="auto"/>
              <w:rPr>
                <w:rFonts w:hint="eastAsia" w:ascii="仿宋" w:hAnsi="仿宋" w:eastAsia="仿宋" w:cs="仿宋"/>
                <w:color w:val="auto"/>
                <w:szCs w:val="21"/>
                <w:highlight w:val="none"/>
              </w:rPr>
            </w:pPr>
          </w:p>
        </w:tc>
        <w:tc>
          <w:tcPr>
            <w:tcW w:w="885" w:type="dxa"/>
            <w:gridSpan w:val="3"/>
            <w:tcBorders>
              <w:top w:val="nil"/>
              <w:left w:val="nil"/>
              <w:bottom w:val="nil"/>
              <w:right w:val="nil"/>
            </w:tcBorders>
            <w:vAlign w:val="bottom"/>
          </w:tcPr>
          <w:p w14:paraId="7AE1957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51CA8B13">
        <w:tblPrEx>
          <w:tblCellMar>
            <w:top w:w="0" w:type="dxa"/>
            <w:left w:w="108" w:type="dxa"/>
            <w:bottom w:w="0" w:type="dxa"/>
            <w:right w:w="108" w:type="dxa"/>
          </w:tblCellMar>
        </w:tblPrEx>
        <w:trPr>
          <w:trHeight w:val="795" w:hRule="atLeast"/>
          <w:jc w:val="center"/>
        </w:trPr>
        <w:tc>
          <w:tcPr>
            <w:tcW w:w="2385" w:type="dxa"/>
            <w:gridSpan w:val="4"/>
            <w:tcBorders>
              <w:top w:val="nil"/>
              <w:left w:val="nil"/>
              <w:bottom w:val="nil"/>
              <w:right w:val="nil"/>
            </w:tcBorders>
            <w:vAlign w:val="bottom"/>
          </w:tcPr>
          <w:p w14:paraId="5452438F">
            <w:pPr>
              <w:spacing w:line="360" w:lineRule="auto"/>
              <w:ind w:right="-3"/>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投标总价(小写):</w:t>
            </w:r>
          </w:p>
        </w:tc>
        <w:tc>
          <w:tcPr>
            <w:tcW w:w="6090" w:type="dxa"/>
            <w:gridSpan w:val="3"/>
            <w:tcBorders>
              <w:top w:val="nil"/>
              <w:left w:val="nil"/>
              <w:bottom w:val="single" w:color="auto" w:sz="4" w:space="0"/>
              <w:right w:val="nil"/>
            </w:tcBorders>
            <w:vAlign w:val="bottom"/>
          </w:tcPr>
          <w:p w14:paraId="0B5F963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c>
          <w:tcPr>
            <w:tcW w:w="885" w:type="dxa"/>
            <w:gridSpan w:val="3"/>
            <w:tcBorders>
              <w:top w:val="nil"/>
              <w:left w:val="nil"/>
              <w:bottom w:val="nil"/>
              <w:right w:val="nil"/>
            </w:tcBorders>
            <w:vAlign w:val="bottom"/>
          </w:tcPr>
          <w:p w14:paraId="7205106C">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09190A5D">
        <w:tblPrEx>
          <w:tblCellMar>
            <w:top w:w="0" w:type="dxa"/>
            <w:left w:w="108" w:type="dxa"/>
            <w:bottom w:w="0" w:type="dxa"/>
            <w:right w:w="108" w:type="dxa"/>
          </w:tblCellMar>
        </w:tblPrEx>
        <w:trPr>
          <w:trHeight w:val="468" w:hRule="atLeast"/>
          <w:jc w:val="center"/>
        </w:trPr>
        <w:tc>
          <w:tcPr>
            <w:tcW w:w="2385" w:type="dxa"/>
            <w:gridSpan w:val="4"/>
            <w:vMerge w:val="restart"/>
            <w:tcBorders>
              <w:top w:val="nil"/>
              <w:left w:val="nil"/>
              <w:bottom w:val="nil"/>
              <w:right w:val="nil"/>
            </w:tcBorders>
            <w:vAlign w:val="bottom"/>
          </w:tcPr>
          <w:p w14:paraId="7C037B9C">
            <w:pPr>
              <w:spacing w:line="360" w:lineRule="auto"/>
              <w:ind w:right="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(大写):</w:t>
            </w:r>
          </w:p>
        </w:tc>
        <w:tc>
          <w:tcPr>
            <w:tcW w:w="6090" w:type="dxa"/>
            <w:gridSpan w:val="3"/>
            <w:vMerge w:val="restart"/>
            <w:tcBorders>
              <w:top w:val="nil"/>
              <w:left w:val="nil"/>
              <w:bottom w:val="single" w:color="auto" w:sz="4" w:space="0"/>
              <w:right w:val="nil"/>
            </w:tcBorders>
            <w:vAlign w:val="bottom"/>
          </w:tcPr>
          <w:p w14:paraId="1FA9A998">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c>
          <w:tcPr>
            <w:tcW w:w="885" w:type="dxa"/>
            <w:gridSpan w:val="3"/>
            <w:vMerge w:val="restart"/>
            <w:tcBorders>
              <w:top w:val="nil"/>
              <w:left w:val="nil"/>
              <w:bottom w:val="nil"/>
              <w:right w:val="nil"/>
            </w:tcBorders>
            <w:vAlign w:val="bottom"/>
          </w:tcPr>
          <w:p w14:paraId="4ABBDB3D">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13AF4A27">
        <w:tblPrEx>
          <w:tblCellMar>
            <w:top w:w="0" w:type="dxa"/>
            <w:left w:w="108" w:type="dxa"/>
            <w:bottom w:w="0" w:type="dxa"/>
            <w:right w:w="108" w:type="dxa"/>
          </w:tblCellMar>
        </w:tblPrEx>
        <w:trPr>
          <w:trHeight w:val="468" w:hRule="atLeast"/>
          <w:jc w:val="center"/>
        </w:trPr>
        <w:tc>
          <w:tcPr>
            <w:tcW w:w="2385" w:type="dxa"/>
            <w:gridSpan w:val="4"/>
            <w:vMerge w:val="continue"/>
            <w:tcBorders>
              <w:top w:val="nil"/>
              <w:left w:val="nil"/>
              <w:bottom w:val="nil"/>
              <w:right w:val="nil"/>
            </w:tcBorders>
            <w:vAlign w:val="center"/>
          </w:tcPr>
          <w:p w14:paraId="6D253FB5">
            <w:pPr>
              <w:spacing w:line="360" w:lineRule="auto"/>
              <w:rPr>
                <w:rFonts w:hint="eastAsia" w:ascii="仿宋" w:hAnsi="仿宋" w:eastAsia="仿宋" w:cs="仿宋"/>
                <w:color w:val="auto"/>
                <w:szCs w:val="21"/>
                <w:highlight w:val="none"/>
              </w:rPr>
            </w:pPr>
          </w:p>
        </w:tc>
        <w:tc>
          <w:tcPr>
            <w:tcW w:w="6090" w:type="dxa"/>
            <w:gridSpan w:val="3"/>
            <w:vMerge w:val="continue"/>
            <w:tcBorders>
              <w:top w:val="nil"/>
              <w:left w:val="nil"/>
              <w:bottom w:val="single" w:color="auto" w:sz="4" w:space="0"/>
              <w:right w:val="nil"/>
            </w:tcBorders>
            <w:vAlign w:val="center"/>
          </w:tcPr>
          <w:p w14:paraId="7564390F">
            <w:pPr>
              <w:spacing w:line="360" w:lineRule="auto"/>
              <w:rPr>
                <w:rFonts w:hint="eastAsia" w:ascii="仿宋" w:hAnsi="仿宋" w:eastAsia="仿宋" w:cs="仿宋"/>
                <w:color w:val="auto"/>
                <w:szCs w:val="21"/>
                <w:highlight w:val="none"/>
              </w:rPr>
            </w:pPr>
          </w:p>
        </w:tc>
        <w:tc>
          <w:tcPr>
            <w:tcW w:w="885" w:type="dxa"/>
            <w:gridSpan w:val="3"/>
            <w:vMerge w:val="continue"/>
            <w:tcBorders>
              <w:top w:val="nil"/>
              <w:left w:val="nil"/>
              <w:bottom w:val="nil"/>
              <w:right w:val="nil"/>
            </w:tcBorders>
            <w:vAlign w:val="center"/>
          </w:tcPr>
          <w:p w14:paraId="46750758">
            <w:pPr>
              <w:spacing w:line="360" w:lineRule="auto"/>
              <w:rPr>
                <w:rFonts w:hint="eastAsia" w:ascii="仿宋" w:hAnsi="仿宋" w:eastAsia="仿宋" w:cs="仿宋"/>
                <w:color w:val="auto"/>
                <w:szCs w:val="21"/>
                <w:highlight w:val="none"/>
              </w:rPr>
            </w:pPr>
          </w:p>
        </w:tc>
      </w:tr>
      <w:tr w14:paraId="3A04CB68">
        <w:tblPrEx>
          <w:tblCellMar>
            <w:top w:w="0" w:type="dxa"/>
            <w:left w:w="108" w:type="dxa"/>
            <w:bottom w:w="0" w:type="dxa"/>
            <w:right w:w="108" w:type="dxa"/>
          </w:tblCellMar>
        </w:tblPrEx>
        <w:trPr>
          <w:trHeight w:val="780" w:hRule="atLeast"/>
          <w:jc w:val="center"/>
        </w:trPr>
        <w:tc>
          <w:tcPr>
            <w:tcW w:w="9360" w:type="dxa"/>
            <w:gridSpan w:val="10"/>
            <w:tcBorders>
              <w:top w:val="nil"/>
              <w:left w:val="nil"/>
              <w:bottom w:val="nil"/>
              <w:right w:val="nil"/>
            </w:tcBorders>
            <w:vAlign w:val="bottom"/>
          </w:tcPr>
          <w:p w14:paraId="79CE7B81">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335D5DAB">
        <w:tblPrEx>
          <w:tblCellMar>
            <w:top w:w="0" w:type="dxa"/>
            <w:left w:w="108" w:type="dxa"/>
            <w:bottom w:w="0" w:type="dxa"/>
            <w:right w:w="108" w:type="dxa"/>
          </w:tblCellMar>
        </w:tblPrEx>
        <w:trPr>
          <w:trHeight w:val="1095" w:hRule="atLeast"/>
          <w:jc w:val="center"/>
        </w:trPr>
        <w:tc>
          <w:tcPr>
            <w:tcW w:w="2385" w:type="dxa"/>
            <w:gridSpan w:val="4"/>
            <w:tcBorders>
              <w:top w:val="nil"/>
              <w:left w:val="nil"/>
              <w:bottom w:val="nil"/>
              <w:right w:val="nil"/>
            </w:tcBorders>
            <w:vAlign w:val="bottom"/>
          </w:tcPr>
          <w:p w14:paraId="1381D2F2">
            <w:pPr>
              <w:spacing w:line="360" w:lineRule="auto"/>
              <w:ind w:right="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　标　人:</w:t>
            </w:r>
          </w:p>
        </w:tc>
        <w:tc>
          <w:tcPr>
            <w:tcW w:w="6195" w:type="dxa"/>
            <w:gridSpan w:val="4"/>
            <w:tcBorders>
              <w:top w:val="nil"/>
              <w:left w:val="nil"/>
              <w:bottom w:val="single" w:color="auto" w:sz="4" w:space="0"/>
              <w:right w:val="nil"/>
            </w:tcBorders>
            <w:vAlign w:val="bottom"/>
          </w:tcPr>
          <w:p w14:paraId="6CEDD2B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tc>
        <w:tc>
          <w:tcPr>
            <w:tcW w:w="780" w:type="dxa"/>
            <w:gridSpan w:val="2"/>
            <w:tcBorders>
              <w:top w:val="nil"/>
              <w:left w:val="nil"/>
              <w:bottom w:val="nil"/>
              <w:right w:val="nil"/>
            </w:tcBorders>
            <w:vAlign w:val="bottom"/>
          </w:tcPr>
          <w:p w14:paraId="38B4FE2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14F92C07">
        <w:tblPrEx>
          <w:tblCellMar>
            <w:top w:w="0" w:type="dxa"/>
            <w:left w:w="108" w:type="dxa"/>
            <w:bottom w:w="0" w:type="dxa"/>
            <w:right w:w="108" w:type="dxa"/>
          </w:tblCellMar>
        </w:tblPrEx>
        <w:trPr>
          <w:trHeight w:val="390" w:hRule="atLeast"/>
          <w:jc w:val="center"/>
        </w:trPr>
        <w:tc>
          <w:tcPr>
            <w:tcW w:w="1745" w:type="dxa"/>
            <w:gridSpan w:val="2"/>
            <w:tcBorders>
              <w:top w:val="nil"/>
              <w:left w:val="nil"/>
              <w:bottom w:val="nil"/>
              <w:right w:val="nil"/>
            </w:tcBorders>
            <w:vAlign w:val="bottom"/>
          </w:tcPr>
          <w:p w14:paraId="12645DE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c>
          <w:tcPr>
            <w:tcW w:w="7615" w:type="dxa"/>
            <w:gridSpan w:val="8"/>
            <w:tcBorders>
              <w:top w:val="nil"/>
              <w:left w:val="nil"/>
              <w:bottom w:val="nil"/>
              <w:right w:val="nil"/>
            </w:tcBorders>
            <w:vAlign w:val="center"/>
          </w:tcPr>
          <w:p w14:paraId="6632C13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(单位盖章)</w:t>
            </w:r>
          </w:p>
        </w:tc>
      </w:tr>
      <w:tr w14:paraId="0E41ADEC">
        <w:tblPrEx>
          <w:tblCellMar>
            <w:top w:w="0" w:type="dxa"/>
            <w:left w:w="108" w:type="dxa"/>
            <w:bottom w:w="0" w:type="dxa"/>
            <w:right w:w="108" w:type="dxa"/>
          </w:tblCellMar>
        </w:tblPrEx>
        <w:trPr>
          <w:trHeight w:val="1560" w:hRule="atLeast"/>
          <w:jc w:val="center"/>
        </w:trPr>
        <w:tc>
          <w:tcPr>
            <w:tcW w:w="2625" w:type="dxa"/>
            <w:gridSpan w:val="6"/>
            <w:tcBorders>
              <w:top w:val="nil"/>
              <w:left w:val="nil"/>
              <w:bottom w:val="nil"/>
              <w:right w:val="nil"/>
            </w:tcBorders>
            <w:vAlign w:val="bottom"/>
          </w:tcPr>
          <w:p w14:paraId="09E4E7D0">
            <w:pPr>
              <w:spacing w:line="360" w:lineRule="auto"/>
              <w:ind w:right="48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 xml:space="preserve">法定代表人 </w:t>
            </w:r>
          </w:p>
          <w:p w14:paraId="5A28CA08">
            <w:pPr>
              <w:spacing w:line="360" w:lineRule="auto"/>
              <w:ind w:right="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或其授权人:</w:t>
            </w:r>
          </w:p>
        </w:tc>
        <w:tc>
          <w:tcPr>
            <w:tcW w:w="5955" w:type="dxa"/>
            <w:gridSpan w:val="2"/>
            <w:tcBorders>
              <w:top w:val="nil"/>
              <w:left w:val="nil"/>
              <w:bottom w:val="single" w:color="auto" w:sz="4" w:space="0"/>
              <w:right w:val="nil"/>
            </w:tcBorders>
            <w:vAlign w:val="bottom"/>
          </w:tcPr>
          <w:p w14:paraId="2409CB34">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tc>
        <w:tc>
          <w:tcPr>
            <w:tcW w:w="780" w:type="dxa"/>
            <w:gridSpan w:val="2"/>
            <w:tcBorders>
              <w:top w:val="nil"/>
              <w:left w:val="nil"/>
              <w:bottom w:val="nil"/>
              <w:right w:val="nil"/>
            </w:tcBorders>
            <w:vAlign w:val="bottom"/>
          </w:tcPr>
          <w:p w14:paraId="585B6A64">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08BC649F">
        <w:tblPrEx>
          <w:tblCellMar>
            <w:top w:w="0" w:type="dxa"/>
            <w:left w:w="108" w:type="dxa"/>
            <w:bottom w:w="0" w:type="dxa"/>
            <w:right w:w="108" w:type="dxa"/>
          </w:tblCellMar>
        </w:tblPrEx>
        <w:trPr>
          <w:trHeight w:val="450" w:hRule="atLeast"/>
          <w:jc w:val="center"/>
        </w:trPr>
        <w:tc>
          <w:tcPr>
            <w:tcW w:w="1705" w:type="dxa"/>
            <w:tcBorders>
              <w:top w:val="nil"/>
              <w:left w:val="nil"/>
              <w:bottom w:val="nil"/>
              <w:right w:val="nil"/>
            </w:tcBorders>
            <w:vAlign w:val="bottom"/>
          </w:tcPr>
          <w:p w14:paraId="604FB0A2">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tc>
        <w:tc>
          <w:tcPr>
            <w:tcW w:w="7655" w:type="dxa"/>
            <w:gridSpan w:val="9"/>
            <w:tcBorders>
              <w:top w:val="nil"/>
              <w:left w:val="nil"/>
              <w:bottom w:val="nil"/>
              <w:right w:val="nil"/>
            </w:tcBorders>
            <w:vAlign w:val="center"/>
          </w:tcPr>
          <w:p w14:paraId="19D69516">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(签字或盖章)</w:t>
            </w:r>
          </w:p>
        </w:tc>
      </w:tr>
      <w:tr w14:paraId="19AA9F86">
        <w:tblPrEx>
          <w:tblCellMar>
            <w:top w:w="0" w:type="dxa"/>
            <w:left w:w="108" w:type="dxa"/>
            <w:bottom w:w="0" w:type="dxa"/>
            <w:right w:w="108" w:type="dxa"/>
          </w:tblCellMar>
        </w:tblPrEx>
        <w:trPr>
          <w:trHeight w:val="1545" w:hRule="atLeast"/>
          <w:jc w:val="center"/>
        </w:trPr>
        <w:tc>
          <w:tcPr>
            <w:tcW w:w="2625" w:type="dxa"/>
            <w:gridSpan w:val="6"/>
            <w:tcBorders>
              <w:top w:val="nil"/>
              <w:left w:val="nil"/>
              <w:bottom w:val="nil"/>
              <w:right w:val="nil"/>
            </w:tcBorders>
            <w:vAlign w:val="bottom"/>
          </w:tcPr>
          <w:p w14:paraId="3FA25236">
            <w:pPr>
              <w:spacing w:line="360" w:lineRule="auto"/>
              <w:ind w:right="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编　制　人:</w:t>
            </w:r>
          </w:p>
        </w:tc>
        <w:tc>
          <w:tcPr>
            <w:tcW w:w="5955" w:type="dxa"/>
            <w:gridSpan w:val="2"/>
            <w:tcBorders>
              <w:top w:val="nil"/>
              <w:left w:val="nil"/>
              <w:bottom w:val="single" w:color="auto" w:sz="4" w:space="0"/>
              <w:right w:val="nil"/>
            </w:tcBorders>
            <w:vAlign w:val="bottom"/>
          </w:tcPr>
          <w:p w14:paraId="370BF14C">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tc>
        <w:tc>
          <w:tcPr>
            <w:tcW w:w="780" w:type="dxa"/>
            <w:gridSpan w:val="2"/>
            <w:tcBorders>
              <w:top w:val="nil"/>
              <w:left w:val="nil"/>
              <w:bottom w:val="nil"/>
              <w:right w:val="nil"/>
            </w:tcBorders>
            <w:vAlign w:val="bottom"/>
          </w:tcPr>
          <w:p w14:paraId="0FE9938A">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797FB439">
        <w:tblPrEx>
          <w:tblCellMar>
            <w:top w:w="0" w:type="dxa"/>
            <w:left w:w="108" w:type="dxa"/>
            <w:bottom w:w="0" w:type="dxa"/>
            <w:right w:w="108" w:type="dxa"/>
          </w:tblCellMar>
        </w:tblPrEx>
        <w:trPr>
          <w:trHeight w:val="420" w:hRule="atLeast"/>
          <w:jc w:val="center"/>
        </w:trPr>
        <w:tc>
          <w:tcPr>
            <w:tcW w:w="1885" w:type="dxa"/>
            <w:gridSpan w:val="3"/>
            <w:tcBorders>
              <w:top w:val="nil"/>
              <w:left w:val="nil"/>
              <w:bottom w:val="nil"/>
              <w:right w:val="nil"/>
            </w:tcBorders>
            <w:vAlign w:val="bottom"/>
          </w:tcPr>
          <w:p w14:paraId="38ACD15F">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c>
          <w:tcPr>
            <w:tcW w:w="7475" w:type="dxa"/>
            <w:gridSpan w:val="7"/>
            <w:tcBorders>
              <w:top w:val="nil"/>
              <w:left w:val="nil"/>
              <w:bottom w:val="nil"/>
              <w:right w:val="nil"/>
            </w:tcBorders>
            <w:vAlign w:val="center"/>
          </w:tcPr>
          <w:p w14:paraId="393B1FC4">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em w:val="dot"/>
              </w:rPr>
              <w:t>造价人员</w:t>
            </w:r>
            <w:r>
              <w:rPr>
                <w:rFonts w:hint="eastAsia" w:ascii="仿宋" w:hAnsi="仿宋" w:eastAsia="仿宋" w:cs="仿宋"/>
                <w:color w:val="auto"/>
                <w:szCs w:val="21"/>
                <w:highlight w:val="none"/>
              </w:rPr>
              <w:t>签字并盖专用章)</w:t>
            </w:r>
          </w:p>
        </w:tc>
      </w:tr>
      <w:tr w14:paraId="36457DF4">
        <w:tblPrEx>
          <w:tblCellMar>
            <w:top w:w="0" w:type="dxa"/>
            <w:left w:w="108" w:type="dxa"/>
            <w:bottom w:w="0" w:type="dxa"/>
            <w:right w:w="108" w:type="dxa"/>
          </w:tblCellMar>
        </w:tblPrEx>
        <w:trPr>
          <w:trHeight w:val="1485" w:hRule="atLeast"/>
          <w:jc w:val="center"/>
        </w:trPr>
        <w:tc>
          <w:tcPr>
            <w:tcW w:w="2525" w:type="dxa"/>
            <w:gridSpan w:val="5"/>
            <w:tcBorders>
              <w:top w:val="nil"/>
              <w:left w:val="nil"/>
              <w:bottom w:val="nil"/>
              <w:right w:val="nil"/>
            </w:tcBorders>
            <w:vAlign w:val="bottom"/>
          </w:tcPr>
          <w:p w14:paraId="4B250064">
            <w:pPr>
              <w:spacing w:line="360" w:lineRule="auto"/>
              <w:ind w:right="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编制时间:</w:t>
            </w:r>
          </w:p>
        </w:tc>
        <w:tc>
          <w:tcPr>
            <w:tcW w:w="6480" w:type="dxa"/>
            <w:gridSpan w:val="4"/>
            <w:tcBorders>
              <w:top w:val="nil"/>
              <w:left w:val="nil"/>
              <w:bottom w:val="nil"/>
              <w:right w:val="nil"/>
            </w:tcBorders>
            <w:vAlign w:val="bottom"/>
          </w:tcPr>
          <w:p w14:paraId="6D4FFE87">
            <w:pP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u w:val="single"/>
              </w:rPr>
              <w:t xml:space="preserve">                                                     </w:t>
            </w:r>
          </w:p>
        </w:tc>
        <w:tc>
          <w:tcPr>
            <w:tcW w:w="355" w:type="dxa"/>
            <w:tcBorders>
              <w:top w:val="nil"/>
              <w:left w:val="nil"/>
              <w:bottom w:val="nil"/>
              <w:right w:val="nil"/>
            </w:tcBorders>
            <w:vAlign w:val="bottom"/>
          </w:tcPr>
          <w:p w14:paraId="14BE5CF7">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bl>
    <w:p w14:paraId="0EF68007">
      <w:pPr>
        <w:spacing w:line="500" w:lineRule="exact"/>
        <w:ind w:firstLine="538"/>
        <w:rPr>
          <w:rFonts w:hint="eastAsia" w:ascii="仿宋" w:hAnsi="仿宋" w:eastAsia="仿宋" w:cs="仿宋"/>
          <w:color w:val="auto"/>
          <w:szCs w:val="21"/>
          <w:highlight w:val="none"/>
        </w:rPr>
      </w:pPr>
    </w:p>
    <w:p w14:paraId="7644A4A8">
      <w:pPr>
        <w:spacing w:line="500" w:lineRule="exact"/>
        <w:ind w:firstLine="538"/>
        <w:rPr>
          <w:rFonts w:hint="eastAsia" w:ascii="仿宋" w:hAnsi="仿宋" w:eastAsia="仿宋" w:cs="仿宋"/>
          <w:color w:val="auto"/>
          <w:szCs w:val="44"/>
          <w:highlight w:val="none"/>
        </w:rPr>
      </w:pPr>
    </w:p>
    <w:p w14:paraId="4820B4AB">
      <w:pPr>
        <w:pStyle w:val="3"/>
        <w:outlineLvl w:val="1"/>
        <w:rPr>
          <w:rFonts w:hint="eastAsia" w:ascii="仿宋" w:hAnsi="仿宋" w:eastAsia="仿宋" w:cs="仿宋"/>
          <w:color w:val="auto"/>
          <w:szCs w:val="32"/>
          <w:highlight w:val="none"/>
        </w:rPr>
      </w:pPr>
      <w:bookmarkStart w:id="145" w:name="_Toc11508"/>
      <w:bookmarkStart w:id="146" w:name="_Toc32179"/>
      <w:bookmarkStart w:id="147" w:name="_Toc382396576"/>
      <w:bookmarkStart w:id="148" w:name="_Toc16747"/>
      <w:bookmarkStart w:id="149" w:name="_Toc184635144"/>
      <w:bookmarkStart w:id="150" w:name="_Toc2900"/>
      <w:r>
        <w:rPr>
          <w:rFonts w:hint="eastAsia" w:ascii="仿宋" w:hAnsi="仿宋" w:eastAsia="仿宋" w:cs="仿宋"/>
          <w:color w:val="auto"/>
          <w:szCs w:val="32"/>
          <w:highlight w:val="none"/>
          <w:lang w:eastAsia="zh-CN"/>
        </w:rPr>
        <w:t>七</w:t>
      </w:r>
      <w:r>
        <w:rPr>
          <w:rFonts w:hint="eastAsia" w:ascii="仿宋" w:hAnsi="仿宋" w:eastAsia="仿宋" w:cs="仿宋"/>
          <w:color w:val="auto"/>
          <w:szCs w:val="32"/>
          <w:highlight w:val="none"/>
        </w:rPr>
        <w:t>、施工组织设计</w:t>
      </w:r>
      <w:bookmarkEnd w:id="145"/>
      <w:bookmarkEnd w:id="146"/>
      <w:bookmarkEnd w:id="147"/>
      <w:bookmarkEnd w:id="148"/>
      <w:bookmarkEnd w:id="149"/>
      <w:bookmarkEnd w:id="150"/>
    </w:p>
    <w:p w14:paraId="27303128">
      <w:pPr>
        <w:spacing w:line="360" w:lineRule="auto"/>
        <w:ind w:firstLine="420" w:firstLineChars="200"/>
        <w:rPr>
          <w:rFonts w:hint="eastAsia" w:ascii="仿宋" w:hAnsi="仿宋" w:eastAsia="仿宋" w:cs="仿宋"/>
          <w:color w:val="auto"/>
          <w:szCs w:val="21"/>
          <w:highlight w:val="none"/>
        </w:rPr>
      </w:pPr>
      <w:bookmarkStart w:id="151" w:name="_Toc14504"/>
      <w:bookmarkStart w:id="152" w:name="_Toc382396577"/>
      <w:bookmarkStart w:id="153" w:name="_Toc30236"/>
      <w:bookmarkStart w:id="154" w:name="_Toc184635145"/>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3CF2979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2．施工组织设计除采用文字表述外可附下列图表，图表及格式要求附后。</w:t>
      </w:r>
    </w:p>
    <w:p w14:paraId="20A4748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附表一  拟投入本项目的主要施工设备表</w:t>
      </w:r>
    </w:p>
    <w:p w14:paraId="25C651A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附表二  拟配备本项目的试验和检测仪器设备表</w:t>
      </w:r>
    </w:p>
    <w:p w14:paraId="5DB899E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附表三  劳动力计划表</w:t>
      </w:r>
    </w:p>
    <w:p w14:paraId="2AA6FE8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附表四  计划开、竣工日期和施工进度网络图</w:t>
      </w:r>
    </w:p>
    <w:p w14:paraId="7D1244C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附表五  施工总平面图</w:t>
      </w:r>
    </w:p>
    <w:p w14:paraId="1727DD0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附表六  临时用地表</w:t>
      </w:r>
    </w:p>
    <w:p w14:paraId="59AF75A7">
      <w:pPr>
        <w:widowControl/>
        <w:jc w:val="left"/>
        <w:rPr>
          <w:rFonts w:hint="eastAsia" w:ascii="仿宋" w:hAnsi="仿宋" w:eastAsia="仿宋" w:cs="仿宋"/>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17BBCFC8">
      <w:pPr>
        <w:pStyle w:val="6"/>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附表一：拟投入本项目的主要施工设备表</w:t>
      </w:r>
    </w:p>
    <w:p w14:paraId="7B4BB54A">
      <w:pPr>
        <w:rPr>
          <w:rFonts w:hint="eastAsia" w:ascii="仿宋" w:hAnsi="仿宋" w:eastAsia="仿宋" w:cs="仿宋"/>
          <w:color w:val="auto"/>
          <w:szCs w:val="21"/>
          <w:highlight w:val="none"/>
        </w:rPr>
      </w:pP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14:paraId="4C74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C7CA3A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8CC571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设备名称</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2A47E1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型号</w:t>
            </w:r>
          </w:p>
          <w:p w14:paraId="1D69D45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规格</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6E56E9D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41EF122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国别</w:t>
            </w:r>
          </w:p>
          <w:p w14:paraId="14E8A40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产地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2374EB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制造</w:t>
            </w:r>
          </w:p>
          <w:p w14:paraId="56D30A1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年份</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A15F80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额定功率</w:t>
            </w:r>
          </w:p>
          <w:p w14:paraId="7A3BF07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KW )</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53C5DCD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生产</w:t>
            </w:r>
          </w:p>
          <w:p w14:paraId="2A6C896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能力</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EBEF1D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用于施</w:t>
            </w:r>
          </w:p>
          <w:p w14:paraId="46613C9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工部位</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05A1C3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7874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6AEAC4AF">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32549296">
            <w:pPr>
              <w:ind w:firstLine="420" w:firstLineChars="200"/>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32850144">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462ED8B8">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7CF4B6B1">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5B1208C">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D193853">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25C14B53">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2BAE4C3">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9B8C4C4">
            <w:pPr>
              <w:rPr>
                <w:rFonts w:hint="eastAsia" w:ascii="仿宋" w:hAnsi="仿宋" w:eastAsia="仿宋" w:cs="仿宋"/>
                <w:color w:val="auto"/>
                <w:szCs w:val="21"/>
                <w:highlight w:val="none"/>
              </w:rPr>
            </w:pPr>
          </w:p>
        </w:tc>
      </w:tr>
      <w:tr w14:paraId="459E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2ABA0358">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700B3AAE">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4FDD7C61">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67AECD3D">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7F5C938E">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F6A5949">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0864A32">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2B50A9EE">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7D7151D">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A97DB28">
            <w:pPr>
              <w:rPr>
                <w:rFonts w:hint="eastAsia" w:ascii="仿宋" w:hAnsi="仿宋" w:eastAsia="仿宋" w:cs="仿宋"/>
                <w:color w:val="auto"/>
                <w:szCs w:val="21"/>
                <w:highlight w:val="none"/>
              </w:rPr>
            </w:pPr>
          </w:p>
        </w:tc>
      </w:tr>
      <w:tr w14:paraId="112A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0A8F70BB">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5CDA8E99">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1AF5232">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1F9F172B">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7AB8F4CA">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8E5658E">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788DA62">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7EEFBD3D">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949A557">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5B23C40">
            <w:pPr>
              <w:rPr>
                <w:rFonts w:hint="eastAsia" w:ascii="仿宋" w:hAnsi="仿宋" w:eastAsia="仿宋" w:cs="仿宋"/>
                <w:color w:val="auto"/>
                <w:szCs w:val="21"/>
                <w:highlight w:val="none"/>
              </w:rPr>
            </w:pPr>
          </w:p>
        </w:tc>
      </w:tr>
      <w:tr w14:paraId="56FF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29BD6F6B">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0DA01ACF">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7B1FFA46">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5963B5C3">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79CAFBE1">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C528CE6">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552DFB3">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5997FD99">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B60854E">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E4FA8A8">
            <w:pPr>
              <w:rPr>
                <w:rFonts w:hint="eastAsia" w:ascii="仿宋" w:hAnsi="仿宋" w:eastAsia="仿宋" w:cs="仿宋"/>
                <w:color w:val="auto"/>
                <w:szCs w:val="21"/>
                <w:highlight w:val="none"/>
              </w:rPr>
            </w:pPr>
          </w:p>
        </w:tc>
      </w:tr>
      <w:tr w14:paraId="087D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35236CAE">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6323DC98">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7FEE5825">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4E949381">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450F73B5">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F023EA4">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106F7CA">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35FB8BE2">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F757738">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EA76E60">
            <w:pPr>
              <w:rPr>
                <w:rFonts w:hint="eastAsia" w:ascii="仿宋" w:hAnsi="仿宋" w:eastAsia="仿宋" w:cs="仿宋"/>
                <w:color w:val="auto"/>
                <w:szCs w:val="21"/>
                <w:highlight w:val="none"/>
              </w:rPr>
            </w:pPr>
          </w:p>
        </w:tc>
      </w:tr>
      <w:tr w14:paraId="4D88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5E71BE71">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1D1EC017">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05A4F005">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28F5ACB1">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2E2DB271">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341223B">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12D40D6">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78B64894">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129B763">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6B51F19">
            <w:pPr>
              <w:rPr>
                <w:rFonts w:hint="eastAsia" w:ascii="仿宋" w:hAnsi="仿宋" w:eastAsia="仿宋" w:cs="仿宋"/>
                <w:color w:val="auto"/>
                <w:szCs w:val="21"/>
                <w:highlight w:val="none"/>
              </w:rPr>
            </w:pPr>
          </w:p>
        </w:tc>
      </w:tr>
      <w:tr w14:paraId="1C7E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5FC816C3">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2C7CB941">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35680F28">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565A6CAF">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52F86B86">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E822EC4">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84E95DF">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0E054CDC">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BEAD66B">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FDE9994">
            <w:pPr>
              <w:rPr>
                <w:rFonts w:hint="eastAsia" w:ascii="仿宋" w:hAnsi="仿宋" w:eastAsia="仿宋" w:cs="仿宋"/>
                <w:color w:val="auto"/>
                <w:szCs w:val="21"/>
                <w:highlight w:val="none"/>
              </w:rPr>
            </w:pPr>
          </w:p>
        </w:tc>
      </w:tr>
      <w:tr w14:paraId="6DDE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7B38DB7A">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78071697">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54DD0582">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4B213205">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529214AD">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3100D94">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F11E01A">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47F78A3F">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176985A">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0E5AF3B">
            <w:pPr>
              <w:rPr>
                <w:rFonts w:hint="eastAsia" w:ascii="仿宋" w:hAnsi="仿宋" w:eastAsia="仿宋" w:cs="仿宋"/>
                <w:color w:val="auto"/>
                <w:szCs w:val="21"/>
                <w:highlight w:val="none"/>
              </w:rPr>
            </w:pPr>
          </w:p>
        </w:tc>
      </w:tr>
      <w:tr w14:paraId="37CE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4B7A9625">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431D1664">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651C3D55">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13293F03">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34B0C565">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D90F4FD">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851EA9C">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18BDDC9A">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0B30F4B">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0B048D9">
            <w:pPr>
              <w:rPr>
                <w:rFonts w:hint="eastAsia" w:ascii="仿宋" w:hAnsi="仿宋" w:eastAsia="仿宋" w:cs="仿宋"/>
                <w:color w:val="auto"/>
                <w:szCs w:val="21"/>
                <w:highlight w:val="none"/>
              </w:rPr>
            </w:pPr>
          </w:p>
        </w:tc>
      </w:tr>
      <w:tr w14:paraId="2833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22820F51">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059E5A78">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595A008C">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7F6F0989">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0E6386CB">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CDB4F4A">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A267480">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1799F500">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AF3D6D0">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F8DF4DF">
            <w:pPr>
              <w:rPr>
                <w:rFonts w:hint="eastAsia" w:ascii="仿宋" w:hAnsi="仿宋" w:eastAsia="仿宋" w:cs="仿宋"/>
                <w:color w:val="auto"/>
                <w:szCs w:val="21"/>
                <w:highlight w:val="none"/>
              </w:rPr>
            </w:pPr>
          </w:p>
        </w:tc>
      </w:tr>
      <w:tr w14:paraId="51B4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026368BD">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0A6CC939">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534CEE2">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329CB3D7">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613C6E68">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BEBFC4F">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8CA3E35">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1A0A9E5E">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0F8FCAE">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4D28920">
            <w:pPr>
              <w:rPr>
                <w:rFonts w:hint="eastAsia" w:ascii="仿宋" w:hAnsi="仿宋" w:eastAsia="仿宋" w:cs="仿宋"/>
                <w:color w:val="auto"/>
                <w:szCs w:val="21"/>
                <w:highlight w:val="none"/>
              </w:rPr>
            </w:pPr>
          </w:p>
        </w:tc>
      </w:tr>
      <w:tr w14:paraId="5EC4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149B70AD">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68E057CD">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504AE1C3">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1981B23A">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6705B5C6">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5231233">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1D7F4A2">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04D12CD6">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2EEFF92">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34F4A7C">
            <w:pPr>
              <w:rPr>
                <w:rFonts w:hint="eastAsia" w:ascii="仿宋" w:hAnsi="仿宋" w:eastAsia="仿宋" w:cs="仿宋"/>
                <w:color w:val="auto"/>
                <w:szCs w:val="21"/>
                <w:highlight w:val="none"/>
              </w:rPr>
            </w:pPr>
          </w:p>
        </w:tc>
      </w:tr>
      <w:tr w14:paraId="5335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5F314700">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212E6EB6">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8ABE4AF">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00E25911">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5DBBD94D">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180A655">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1353053">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0D9275ED">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242BBDB">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C62F097">
            <w:pPr>
              <w:rPr>
                <w:rFonts w:hint="eastAsia" w:ascii="仿宋" w:hAnsi="仿宋" w:eastAsia="仿宋" w:cs="仿宋"/>
                <w:color w:val="auto"/>
                <w:szCs w:val="21"/>
                <w:highlight w:val="none"/>
              </w:rPr>
            </w:pPr>
          </w:p>
        </w:tc>
      </w:tr>
      <w:tr w14:paraId="6F5A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2A4D2BCB">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139C7577">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604C51BD">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764BFD71">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2A106BF8">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59D4A2E">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F8BED75">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20C7F4B9">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FAB5CF1">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AE88F16">
            <w:pPr>
              <w:rPr>
                <w:rFonts w:hint="eastAsia" w:ascii="仿宋" w:hAnsi="仿宋" w:eastAsia="仿宋" w:cs="仿宋"/>
                <w:color w:val="auto"/>
                <w:szCs w:val="21"/>
                <w:highlight w:val="none"/>
              </w:rPr>
            </w:pPr>
          </w:p>
        </w:tc>
      </w:tr>
      <w:tr w14:paraId="7411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35DA08B4">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52CA8E92">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0974BA12">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37C9181F">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55087651">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E123AA9">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9D46EF0">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0FF168F2">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96B86A5">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6155121">
            <w:pPr>
              <w:rPr>
                <w:rFonts w:hint="eastAsia" w:ascii="仿宋" w:hAnsi="仿宋" w:eastAsia="仿宋" w:cs="仿宋"/>
                <w:color w:val="auto"/>
                <w:szCs w:val="21"/>
                <w:highlight w:val="none"/>
              </w:rPr>
            </w:pPr>
          </w:p>
        </w:tc>
      </w:tr>
    </w:tbl>
    <w:p w14:paraId="744D4147">
      <w:pPr>
        <w:rPr>
          <w:rFonts w:hint="eastAsia" w:ascii="仿宋" w:hAnsi="仿宋" w:eastAsia="仿宋" w:cs="仿宋"/>
          <w:color w:val="auto"/>
          <w:szCs w:val="21"/>
          <w:highlight w:val="none"/>
        </w:rPr>
      </w:pPr>
    </w:p>
    <w:p w14:paraId="2A22C4C4">
      <w:pPr>
        <w:widowControl/>
        <w:jc w:val="left"/>
        <w:rPr>
          <w:rFonts w:hint="eastAsia" w:ascii="仿宋" w:hAnsi="仿宋" w:eastAsia="仿宋" w:cs="仿宋"/>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47D213BE">
      <w:pPr>
        <w:pStyle w:val="6"/>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附表二：拟配备本项目的试验和检测仪器设备表</w:t>
      </w:r>
    </w:p>
    <w:p w14:paraId="7DC8B702">
      <w:pPr>
        <w:ind w:firstLine="420" w:firstLineChars="200"/>
        <w:rPr>
          <w:rFonts w:hint="eastAsia" w:ascii="仿宋" w:hAnsi="仿宋" w:eastAsia="仿宋" w:cs="仿宋"/>
          <w:color w:val="auto"/>
          <w:szCs w:val="21"/>
          <w:highlight w:val="none"/>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68"/>
        <w:gridCol w:w="1125"/>
        <w:gridCol w:w="709"/>
        <w:gridCol w:w="1275"/>
        <w:gridCol w:w="1134"/>
        <w:gridCol w:w="1560"/>
        <w:gridCol w:w="708"/>
        <w:gridCol w:w="727"/>
      </w:tblGrid>
      <w:tr w14:paraId="5858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29680B0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568" w:type="dxa"/>
            <w:tcBorders>
              <w:top w:val="outset" w:color="auto" w:sz="6" w:space="0"/>
              <w:left w:val="outset" w:color="auto" w:sz="6" w:space="0"/>
              <w:bottom w:val="outset" w:color="auto" w:sz="6" w:space="0"/>
              <w:right w:val="outset" w:color="auto" w:sz="6" w:space="0"/>
            </w:tcBorders>
            <w:noWrap w:val="0"/>
            <w:vAlign w:val="center"/>
          </w:tcPr>
          <w:p w14:paraId="3C7AAC2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仪器设备名称</w:t>
            </w:r>
          </w:p>
        </w:tc>
        <w:tc>
          <w:tcPr>
            <w:tcW w:w="1125" w:type="dxa"/>
            <w:tcBorders>
              <w:top w:val="outset" w:color="auto" w:sz="6" w:space="0"/>
              <w:left w:val="outset" w:color="auto" w:sz="6" w:space="0"/>
              <w:bottom w:val="outset" w:color="auto" w:sz="6" w:space="0"/>
              <w:right w:val="outset" w:color="auto" w:sz="6" w:space="0"/>
            </w:tcBorders>
            <w:noWrap w:val="0"/>
            <w:vAlign w:val="center"/>
          </w:tcPr>
          <w:p w14:paraId="6BBB829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型号规格</w:t>
            </w:r>
          </w:p>
        </w:tc>
        <w:tc>
          <w:tcPr>
            <w:tcW w:w="709" w:type="dxa"/>
            <w:tcBorders>
              <w:top w:val="outset" w:color="auto" w:sz="6" w:space="0"/>
              <w:left w:val="outset" w:color="auto" w:sz="6" w:space="0"/>
              <w:bottom w:val="outset" w:color="auto" w:sz="6" w:space="0"/>
              <w:right w:val="outset" w:color="auto" w:sz="6" w:space="0"/>
            </w:tcBorders>
            <w:noWrap w:val="0"/>
            <w:vAlign w:val="center"/>
          </w:tcPr>
          <w:p w14:paraId="4FB3DBD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1275" w:type="dxa"/>
            <w:tcBorders>
              <w:top w:val="outset" w:color="auto" w:sz="6" w:space="0"/>
              <w:left w:val="outset" w:color="auto" w:sz="6" w:space="0"/>
              <w:bottom w:val="outset" w:color="auto" w:sz="6" w:space="0"/>
              <w:right w:val="outset" w:color="auto" w:sz="6" w:space="0"/>
            </w:tcBorders>
            <w:noWrap w:val="0"/>
            <w:vAlign w:val="center"/>
          </w:tcPr>
          <w:p w14:paraId="6AC6EF7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国别产地</w:t>
            </w:r>
          </w:p>
        </w:tc>
        <w:tc>
          <w:tcPr>
            <w:tcW w:w="1134" w:type="dxa"/>
            <w:tcBorders>
              <w:top w:val="outset" w:color="auto" w:sz="6" w:space="0"/>
              <w:left w:val="outset" w:color="auto" w:sz="6" w:space="0"/>
              <w:bottom w:val="outset" w:color="auto" w:sz="6" w:space="0"/>
              <w:right w:val="outset" w:color="auto" w:sz="6" w:space="0"/>
            </w:tcBorders>
            <w:noWrap w:val="0"/>
            <w:vAlign w:val="center"/>
          </w:tcPr>
          <w:p w14:paraId="4C5155C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制造年份</w:t>
            </w:r>
          </w:p>
        </w:tc>
        <w:tc>
          <w:tcPr>
            <w:tcW w:w="1560" w:type="dxa"/>
            <w:tcBorders>
              <w:top w:val="outset" w:color="auto" w:sz="6" w:space="0"/>
              <w:left w:val="outset" w:color="auto" w:sz="6" w:space="0"/>
              <w:bottom w:val="outset" w:color="auto" w:sz="6" w:space="0"/>
              <w:right w:val="outset" w:color="auto" w:sz="6" w:space="0"/>
            </w:tcBorders>
            <w:noWrap w:val="0"/>
            <w:vAlign w:val="center"/>
          </w:tcPr>
          <w:p w14:paraId="512128F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己使用台时数</w:t>
            </w:r>
          </w:p>
        </w:tc>
        <w:tc>
          <w:tcPr>
            <w:tcW w:w="708" w:type="dxa"/>
            <w:tcBorders>
              <w:top w:val="outset" w:color="auto" w:sz="6" w:space="0"/>
              <w:left w:val="outset" w:color="auto" w:sz="6" w:space="0"/>
              <w:bottom w:val="outset" w:color="auto" w:sz="6" w:space="0"/>
              <w:right w:val="outset" w:color="auto" w:sz="6" w:space="0"/>
            </w:tcBorders>
            <w:noWrap w:val="0"/>
            <w:vAlign w:val="center"/>
          </w:tcPr>
          <w:p w14:paraId="2EBC91B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用途</w:t>
            </w:r>
          </w:p>
        </w:tc>
        <w:tc>
          <w:tcPr>
            <w:tcW w:w="727" w:type="dxa"/>
            <w:tcBorders>
              <w:top w:val="outset" w:color="auto" w:sz="6" w:space="0"/>
              <w:left w:val="outset" w:color="auto" w:sz="6" w:space="0"/>
              <w:bottom w:val="outset" w:color="auto" w:sz="6" w:space="0"/>
              <w:right w:val="outset" w:color="auto" w:sz="6" w:space="0"/>
            </w:tcBorders>
            <w:noWrap w:val="0"/>
            <w:vAlign w:val="center"/>
          </w:tcPr>
          <w:p w14:paraId="2EDAABC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3AED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1425EAB8">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6EBEAF33">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6634967B">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3B3B7829">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2553B17F">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2EC062A8">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3E45FAB1">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7E2214C9">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08D0E2E3">
            <w:pPr>
              <w:ind w:firstLine="420" w:firstLineChars="200"/>
              <w:rPr>
                <w:rFonts w:hint="eastAsia" w:ascii="仿宋" w:hAnsi="仿宋" w:eastAsia="仿宋" w:cs="仿宋"/>
                <w:color w:val="auto"/>
                <w:szCs w:val="21"/>
                <w:highlight w:val="none"/>
              </w:rPr>
            </w:pPr>
          </w:p>
        </w:tc>
      </w:tr>
      <w:tr w14:paraId="3AC4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5EB2EA18">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0479CC4C">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2151D1E0">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435E1436">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119D5A32">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2F95E090">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78794997">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75F32615">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76E6CD5B">
            <w:pPr>
              <w:ind w:firstLine="420" w:firstLineChars="200"/>
              <w:rPr>
                <w:rFonts w:hint="eastAsia" w:ascii="仿宋" w:hAnsi="仿宋" w:eastAsia="仿宋" w:cs="仿宋"/>
                <w:color w:val="auto"/>
                <w:szCs w:val="21"/>
                <w:highlight w:val="none"/>
              </w:rPr>
            </w:pPr>
          </w:p>
        </w:tc>
      </w:tr>
      <w:tr w14:paraId="514C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4FAB7EFE">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0183C07C">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22A9AE0B">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2C4E9E60">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66B6BCA9">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0C15AEC8">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3B7E8461">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3D98FB7D">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6E09B2B3">
            <w:pPr>
              <w:ind w:firstLine="420" w:firstLineChars="200"/>
              <w:rPr>
                <w:rFonts w:hint="eastAsia" w:ascii="仿宋" w:hAnsi="仿宋" w:eastAsia="仿宋" w:cs="仿宋"/>
                <w:color w:val="auto"/>
                <w:szCs w:val="21"/>
                <w:highlight w:val="none"/>
              </w:rPr>
            </w:pPr>
          </w:p>
        </w:tc>
      </w:tr>
      <w:tr w14:paraId="26BB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2176699E">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7B84662A">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17172B33">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3B4E4D86">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64169714">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2C1971E9">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0D9564F6">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432B03F6">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7583CB03">
            <w:pPr>
              <w:ind w:firstLine="420" w:firstLineChars="200"/>
              <w:rPr>
                <w:rFonts w:hint="eastAsia" w:ascii="仿宋" w:hAnsi="仿宋" w:eastAsia="仿宋" w:cs="仿宋"/>
                <w:color w:val="auto"/>
                <w:szCs w:val="21"/>
                <w:highlight w:val="none"/>
              </w:rPr>
            </w:pPr>
          </w:p>
        </w:tc>
      </w:tr>
      <w:tr w14:paraId="3804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5ABE0777">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1F185CC4">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76E51D5B">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2CBED637">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7AC9BF20">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596F586F">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581A5627">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61496BB6">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2A3BA7DB">
            <w:pPr>
              <w:ind w:firstLine="420" w:firstLineChars="200"/>
              <w:rPr>
                <w:rFonts w:hint="eastAsia" w:ascii="仿宋" w:hAnsi="仿宋" w:eastAsia="仿宋" w:cs="仿宋"/>
                <w:color w:val="auto"/>
                <w:szCs w:val="21"/>
                <w:highlight w:val="none"/>
              </w:rPr>
            </w:pPr>
          </w:p>
        </w:tc>
      </w:tr>
      <w:tr w14:paraId="633E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31314313">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6D62BD29">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65C5142B">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0CB31800">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7ADF5E13">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0A391C1C">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0D59FC6B">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468CC9FB">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3F41F831">
            <w:pPr>
              <w:ind w:firstLine="420" w:firstLineChars="200"/>
              <w:rPr>
                <w:rFonts w:hint="eastAsia" w:ascii="仿宋" w:hAnsi="仿宋" w:eastAsia="仿宋" w:cs="仿宋"/>
                <w:color w:val="auto"/>
                <w:szCs w:val="21"/>
                <w:highlight w:val="none"/>
              </w:rPr>
            </w:pPr>
          </w:p>
        </w:tc>
      </w:tr>
      <w:tr w14:paraId="3093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0F9A12FC">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58F275E1">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32F8BC96">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1FD3C181">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5055F3BB">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6C769398">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4EAC2938">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272A0FBE">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6D767B38">
            <w:pPr>
              <w:ind w:firstLine="420" w:firstLineChars="200"/>
              <w:rPr>
                <w:rFonts w:hint="eastAsia" w:ascii="仿宋" w:hAnsi="仿宋" w:eastAsia="仿宋" w:cs="仿宋"/>
                <w:color w:val="auto"/>
                <w:szCs w:val="21"/>
                <w:highlight w:val="none"/>
              </w:rPr>
            </w:pPr>
          </w:p>
        </w:tc>
      </w:tr>
      <w:tr w14:paraId="028A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1BE586E4">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299A01E0">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1890AD5F">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411AB246">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069F4E2D">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46ECA526">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2AA09148">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32A7B70A">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5B6EC76D">
            <w:pPr>
              <w:ind w:firstLine="420" w:firstLineChars="200"/>
              <w:rPr>
                <w:rFonts w:hint="eastAsia" w:ascii="仿宋" w:hAnsi="仿宋" w:eastAsia="仿宋" w:cs="仿宋"/>
                <w:color w:val="auto"/>
                <w:szCs w:val="21"/>
                <w:highlight w:val="none"/>
              </w:rPr>
            </w:pPr>
          </w:p>
        </w:tc>
      </w:tr>
      <w:tr w14:paraId="62D7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6FD3ECB3">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66E0FCC8">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3E5E7FFF">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2DFFC659">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41E9F5A5">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4E39E56E">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047D743D">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54B92B5B">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412BDE8E">
            <w:pPr>
              <w:ind w:firstLine="420" w:firstLineChars="200"/>
              <w:rPr>
                <w:rFonts w:hint="eastAsia" w:ascii="仿宋" w:hAnsi="仿宋" w:eastAsia="仿宋" w:cs="仿宋"/>
                <w:color w:val="auto"/>
                <w:szCs w:val="21"/>
                <w:highlight w:val="none"/>
              </w:rPr>
            </w:pPr>
          </w:p>
        </w:tc>
      </w:tr>
      <w:tr w14:paraId="540D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6F68F2BF">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69A5794B">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026BD637">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625755A6">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564AE244">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0DA0FBC3">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140C0B7B">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0D37CBE7">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45D73290">
            <w:pPr>
              <w:ind w:firstLine="420" w:firstLineChars="200"/>
              <w:rPr>
                <w:rFonts w:hint="eastAsia" w:ascii="仿宋" w:hAnsi="仿宋" w:eastAsia="仿宋" w:cs="仿宋"/>
                <w:color w:val="auto"/>
                <w:szCs w:val="21"/>
                <w:highlight w:val="none"/>
              </w:rPr>
            </w:pPr>
          </w:p>
        </w:tc>
      </w:tr>
      <w:tr w14:paraId="58EB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65D1EF62">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27B681FB">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39CD4701">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725C67D8">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29DDE335">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4FD131C8">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13A7D17B">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2712F79D">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299EF9A6">
            <w:pPr>
              <w:ind w:firstLine="420" w:firstLineChars="200"/>
              <w:rPr>
                <w:rFonts w:hint="eastAsia" w:ascii="仿宋" w:hAnsi="仿宋" w:eastAsia="仿宋" w:cs="仿宋"/>
                <w:color w:val="auto"/>
                <w:szCs w:val="21"/>
                <w:highlight w:val="none"/>
              </w:rPr>
            </w:pPr>
          </w:p>
        </w:tc>
      </w:tr>
      <w:tr w14:paraId="2260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0B23667A">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540BDE56">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7B8172BC">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5BCEC103">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5FA94DBF">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26F26882">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62228390">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1B0966DE">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258959A6">
            <w:pPr>
              <w:ind w:firstLine="420" w:firstLineChars="200"/>
              <w:rPr>
                <w:rFonts w:hint="eastAsia" w:ascii="仿宋" w:hAnsi="仿宋" w:eastAsia="仿宋" w:cs="仿宋"/>
                <w:color w:val="auto"/>
                <w:szCs w:val="21"/>
                <w:highlight w:val="none"/>
              </w:rPr>
            </w:pPr>
          </w:p>
        </w:tc>
      </w:tr>
      <w:tr w14:paraId="7050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1048D70A">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34D0283A">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0D4D6C32">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3A2E3192">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36212F30">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1C8FBDE5">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27E014D3">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30DCD936">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444CFCEF">
            <w:pPr>
              <w:ind w:firstLine="420" w:firstLineChars="200"/>
              <w:rPr>
                <w:rFonts w:hint="eastAsia" w:ascii="仿宋" w:hAnsi="仿宋" w:eastAsia="仿宋" w:cs="仿宋"/>
                <w:color w:val="auto"/>
                <w:szCs w:val="21"/>
                <w:highlight w:val="none"/>
              </w:rPr>
            </w:pPr>
          </w:p>
        </w:tc>
      </w:tr>
      <w:tr w14:paraId="03A4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7A62759F">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0303CE05">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7A8DDD5A">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64371E24">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0C3D5743">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2F265D73">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42415889">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667924BC">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0DEFD8FB">
            <w:pPr>
              <w:ind w:firstLine="420" w:firstLineChars="200"/>
              <w:rPr>
                <w:rFonts w:hint="eastAsia" w:ascii="仿宋" w:hAnsi="仿宋" w:eastAsia="仿宋" w:cs="仿宋"/>
                <w:color w:val="auto"/>
                <w:szCs w:val="21"/>
                <w:highlight w:val="none"/>
              </w:rPr>
            </w:pPr>
          </w:p>
        </w:tc>
      </w:tr>
      <w:tr w14:paraId="3A16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315E4550">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34F5D9C1">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5D5A0F80">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30F4BC6C">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4678C295">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4E4DCCFB">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2D57F68F">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1D183507">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13850612">
            <w:pPr>
              <w:ind w:firstLine="420" w:firstLineChars="200"/>
              <w:rPr>
                <w:rFonts w:hint="eastAsia" w:ascii="仿宋" w:hAnsi="仿宋" w:eastAsia="仿宋" w:cs="仿宋"/>
                <w:color w:val="auto"/>
                <w:szCs w:val="21"/>
                <w:highlight w:val="none"/>
              </w:rPr>
            </w:pPr>
          </w:p>
        </w:tc>
      </w:tr>
      <w:tr w14:paraId="60F1C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36986A3D">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5834B22F">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144D6844">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0EEBCD84">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1657AEA5">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0FF4A77A">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05239D85">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367C5D3A">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2628B55C">
            <w:pPr>
              <w:ind w:firstLine="420" w:firstLineChars="200"/>
              <w:rPr>
                <w:rFonts w:hint="eastAsia" w:ascii="仿宋" w:hAnsi="仿宋" w:eastAsia="仿宋" w:cs="仿宋"/>
                <w:color w:val="auto"/>
                <w:szCs w:val="21"/>
                <w:highlight w:val="none"/>
              </w:rPr>
            </w:pPr>
          </w:p>
        </w:tc>
      </w:tr>
      <w:tr w14:paraId="4387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0B92AE4F">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3BA58EF7">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0A97C9B7">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46DF7084">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636356B5">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39C80952">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495115FD">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7A992BBF">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4C64DCEA">
            <w:pPr>
              <w:ind w:firstLine="420" w:firstLineChars="200"/>
              <w:rPr>
                <w:rFonts w:hint="eastAsia" w:ascii="仿宋" w:hAnsi="仿宋" w:eastAsia="仿宋" w:cs="仿宋"/>
                <w:color w:val="auto"/>
                <w:szCs w:val="21"/>
                <w:highlight w:val="none"/>
              </w:rPr>
            </w:pPr>
          </w:p>
        </w:tc>
      </w:tr>
      <w:tr w14:paraId="31A3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3B6E5C1C">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32C9C6C0">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210778F0">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2BB346C5">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55ECA446">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60F4ACE0">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6A4F8ED7">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638D3849">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0142CBEA">
            <w:pPr>
              <w:ind w:firstLine="420" w:firstLineChars="200"/>
              <w:rPr>
                <w:rFonts w:hint="eastAsia" w:ascii="仿宋" w:hAnsi="仿宋" w:eastAsia="仿宋" w:cs="仿宋"/>
                <w:color w:val="auto"/>
                <w:szCs w:val="21"/>
                <w:highlight w:val="none"/>
              </w:rPr>
            </w:pPr>
          </w:p>
        </w:tc>
      </w:tr>
      <w:tr w14:paraId="32FD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4849A762">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48C3C3B8">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675459AE">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343B06BA">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6B6602F2">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215FD67E">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494E36B4">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3AA1E8AF">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21B4ABFF">
            <w:pPr>
              <w:ind w:firstLine="420" w:firstLineChars="200"/>
              <w:rPr>
                <w:rFonts w:hint="eastAsia" w:ascii="仿宋" w:hAnsi="仿宋" w:eastAsia="仿宋" w:cs="仿宋"/>
                <w:color w:val="auto"/>
                <w:szCs w:val="21"/>
                <w:highlight w:val="none"/>
              </w:rPr>
            </w:pPr>
          </w:p>
        </w:tc>
      </w:tr>
      <w:tr w14:paraId="51B4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0A1DD097">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614DAC9D">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7A9D322B">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3CE346F9">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47E8B570">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46AF2280">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00640A47">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6501906B">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3E65140C">
            <w:pPr>
              <w:ind w:firstLine="420" w:firstLineChars="200"/>
              <w:rPr>
                <w:rFonts w:hint="eastAsia" w:ascii="仿宋" w:hAnsi="仿宋" w:eastAsia="仿宋" w:cs="仿宋"/>
                <w:color w:val="auto"/>
                <w:szCs w:val="21"/>
                <w:highlight w:val="none"/>
              </w:rPr>
            </w:pPr>
          </w:p>
        </w:tc>
      </w:tr>
      <w:tr w14:paraId="2242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6A816703">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238AA00B">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3E641032">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1611E4B9">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514F5785">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477404E6">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0F04B550">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5AB96819">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77E9429E">
            <w:pPr>
              <w:ind w:firstLine="420" w:firstLineChars="200"/>
              <w:rPr>
                <w:rFonts w:hint="eastAsia" w:ascii="仿宋" w:hAnsi="仿宋" w:eastAsia="仿宋" w:cs="仿宋"/>
                <w:color w:val="auto"/>
                <w:szCs w:val="21"/>
                <w:highlight w:val="none"/>
              </w:rPr>
            </w:pPr>
          </w:p>
        </w:tc>
      </w:tr>
      <w:tr w14:paraId="2FA3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59FD43E9">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6973021E">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7538F3B2">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6CA5060E">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4A7A59F4">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66945C7E">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23BA960F">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58E3A63B">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0E335387">
            <w:pPr>
              <w:ind w:firstLine="420" w:firstLineChars="200"/>
              <w:rPr>
                <w:rFonts w:hint="eastAsia" w:ascii="仿宋" w:hAnsi="仿宋" w:eastAsia="仿宋" w:cs="仿宋"/>
                <w:color w:val="auto"/>
                <w:szCs w:val="21"/>
                <w:highlight w:val="none"/>
              </w:rPr>
            </w:pPr>
          </w:p>
        </w:tc>
      </w:tr>
      <w:tr w14:paraId="395C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7061475C">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7124E59D">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02FBBE2E">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3D943F05">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6CD8B3A6">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02F27C4C">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0DDB7250">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7F9E4F71">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338ADBA3">
            <w:pPr>
              <w:ind w:firstLine="420" w:firstLineChars="200"/>
              <w:rPr>
                <w:rFonts w:hint="eastAsia" w:ascii="仿宋" w:hAnsi="仿宋" w:eastAsia="仿宋" w:cs="仿宋"/>
                <w:color w:val="auto"/>
                <w:szCs w:val="21"/>
                <w:highlight w:val="none"/>
              </w:rPr>
            </w:pPr>
          </w:p>
        </w:tc>
      </w:tr>
    </w:tbl>
    <w:p w14:paraId="0060B080">
      <w:pPr>
        <w:ind w:firstLine="420" w:firstLineChars="200"/>
        <w:rPr>
          <w:rFonts w:hint="eastAsia" w:ascii="仿宋" w:hAnsi="仿宋" w:eastAsia="仿宋" w:cs="仿宋"/>
          <w:color w:val="auto"/>
          <w:szCs w:val="21"/>
          <w:highlight w:val="none"/>
        </w:rPr>
      </w:pPr>
    </w:p>
    <w:p w14:paraId="02EC9496">
      <w:pPr>
        <w:widowControl/>
        <w:jc w:val="left"/>
        <w:rPr>
          <w:rFonts w:hint="eastAsia" w:ascii="仿宋" w:hAnsi="仿宋" w:eastAsia="仿宋" w:cs="仿宋"/>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79760761">
      <w:pPr>
        <w:pStyle w:val="6"/>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附表三：劳动力计划表</w:t>
      </w:r>
    </w:p>
    <w:p w14:paraId="45807AD1">
      <w:pPr>
        <w:ind w:firstLine="420" w:firstLineChars="200"/>
        <w:rPr>
          <w:rFonts w:hint="eastAsia" w:ascii="仿宋" w:hAnsi="仿宋" w:eastAsia="仿宋" w:cs="仿宋"/>
          <w:color w:val="auto"/>
          <w:szCs w:val="21"/>
          <w:highlight w:val="none"/>
        </w:rPr>
      </w:pPr>
    </w:p>
    <w:p w14:paraId="21C9B093">
      <w:pPr>
        <w:ind w:firstLine="7560" w:firstLineChars="36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单位：人</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290"/>
        <w:gridCol w:w="1290"/>
        <w:gridCol w:w="1290"/>
        <w:gridCol w:w="1289"/>
        <w:gridCol w:w="1290"/>
        <w:gridCol w:w="1289"/>
        <w:gridCol w:w="1290"/>
      </w:tblGrid>
      <w:tr w14:paraId="10AB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14FB9DD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工种</w:t>
            </w:r>
          </w:p>
        </w:tc>
        <w:tc>
          <w:tcPr>
            <w:tcW w:w="9028" w:type="dxa"/>
            <w:gridSpan w:val="7"/>
            <w:tcBorders>
              <w:top w:val="outset" w:color="auto" w:sz="6" w:space="0"/>
              <w:left w:val="outset" w:color="auto" w:sz="6" w:space="0"/>
              <w:bottom w:val="outset" w:color="auto" w:sz="6" w:space="0"/>
              <w:right w:val="outset" w:color="auto" w:sz="6" w:space="0"/>
            </w:tcBorders>
            <w:noWrap w:val="0"/>
            <w:vAlign w:val="center"/>
          </w:tcPr>
          <w:p w14:paraId="1E8A2208">
            <w:pPr>
              <w:ind w:firstLine="420" w:firstLineChars="20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按工程施工阶段投入劳动力情况</w:t>
            </w:r>
          </w:p>
        </w:tc>
      </w:tr>
      <w:tr w14:paraId="7460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2386AFD4">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0820945">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93336A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16326EC">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101B703C">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70FC0C6">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2D87B9C2">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ED7C2B7">
            <w:pPr>
              <w:ind w:firstLine="420" w:firstLineChars="200"/>
              <w:rPr>
                <w:rFonts w:hint="eastAsia" w:ascii="仿宋" w:hAnsi="仿宋" w:eastAsia="仿宋" w:cs="仿宋"/>
                <w:color w:val="auto"/>
                <w:szCs w:val="21"/>
                <w:highlight w:val="none"/>
              </w:rPr>
            </w:pPr>
          </w:p>
        </w:tc>
      </w:tr>
      <w:tr w14:paraId="56D1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73127EC1">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247C355">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82F6DE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3B052ED">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385CF6C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E0CAB5C">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482BFA3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FCDBFBD">
            <w:pPr>
              <w:ind w:firstLine="420" w:firstLineChars="200"/>
              <w:rPr>
                <w:rFonts w:hint="eastAsia" w:ascii="仿宋" w:hAnsi="仿宋" w:eastAsia="仿宋" w:cs="仿宋"/>
                <w:color w:val="auto"/>
                <w:szCs w:val="21"/>
                <w:highlight w:val="none"/>
              </w:rPr>
            </w:pPr>
          </w:p>
        </w:tc>
      </w:tr>
      <w:tr w14:paraId="25F3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4CCA06D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68D51E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5D3CD41">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B5F8BF1">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59AB05C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C8EB4D7">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59563893">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67C0D1E">
            <w:pPr>
              <w:ind w:firstLine="420" w:firstLineChars="200"/>
              <w:rPr>
                <w:rFonts w:hint="eastAsia" w:ascii="仿宋" w:hAnsi="仿宋" w:eastAsia="仿宋" w:cs="仿宋"/>
                <w:color w:val="auto"/>
                <w:szCs w:val="21"/>
                <w:highlight w:val="none"/>
              </w:rPr>
            </w:pPr>
          </w:p>
        </w:tc>
      </w:tr>
      <w:tr w14:paraId="569F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71BC139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B609EF3">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2DE398E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1F8374A">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544F49EF">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4F52065">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4ADB10D0">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004D404">
            <w:pPr>
              <w:ind w:firstLine="420" w:firstLineChars="200"/>
              <w:rPr>
                <w:rFonts w:hint="eastAsia" w:ascii="仿宋" w:hAnsi="仿宋" w:eastAsia="仿宋" w:cs="仿宋"/>
                <w:color w:val="auto"/>
                <w:szCs w:val="21"/>
                <w:highlight w:val="none"/>
              </w:rPr>
            </w:pPr>
          </w:p>
        </w:tc>
      </w:tr>
      <w:tr w14:paraId="1B55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4375CC80">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53AB49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F1828D4">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4695E16">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7346ADC1">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C3D9CE4">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54476EF3">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2458DC5">
            <w:pPr>
              <w:ind w:firstLine="420" w:firstLineChars="200"/>
              <w:rPr>
                <w:rFonts w:hint="eastAsia" w:ascii="仿宋" w:hAnsi="仿宋" w:eastAsia="仿宋" w:cs="仿宋"/>
                <w:color w:val="auto"/>
                <w:szCs w:val="21"/>
                <w:highlight w:val="none"/>
              </w:rPr>
            </w:pPr>
          </w:p>
        </w:tc>
      </w:tr>
      <w:tr w14:paraId="780B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0D2E6FE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FD9FCF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E0E1F8D">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293B65C8">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4F02DB9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6B15466">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146E703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9F2FC32">
            <w:pPr>
              <w:ind w:firstLine="420" w:firstLineChars="200"/>
              <w:rPr>
                <w:rFonts w:hint="eastAsia" w:ascii="仿宋" w:hAnsi="仿宋" w:eastAsia="仿宋" w:cs="仿宋"/>
                <w:color w:val="auto"/>
                <w:szCs w:val="21"/>
                <w:highlight w:val="none"/>
              </w:rPr>
            </w:pPr>
          </w:p>
        </w:tc>
      </w:tr>
      <w:tr w14:paraId="5A5A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4D0431D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A2396E6">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E38BB0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281DB3D0">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34F3FAFF">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F953BA8">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0CAEBE74">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5C59C80">
            <w:pPr>
              <w:ind w:firstLine="420" w:firstLineChars="200"/>
              <w:rPr>
                <w:rFonts w:hint="eastAsia" w:ascii="仿宋" w:hAnsi="仿宋" w:eastAsia="仿宋" w:cs="仿宋"/>
                <w:color w:val="auto"/>
                <w:szCs w:val="21"/>
                <w:highlight w:val="none"/>
              </w:rPr>
            </w:pPr>
          </w:p>
        </w:tc>
      </w:tr>
      <w:tr w14:paraId="35F4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672B1FB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344A3CC">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181EC04">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344BA60">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59573133">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515A416">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0608ADB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58DC026">
            <w:pPr>
              <w:ind w:firstLine="420" w:firstLineChars="200"/>
              <w:rPr>
                <w:rFonts w:hint="eastAsia" w:ascii="仿宋" w:hAnsi="仿宋" w:eastAsia="仿宋" w:cs="仿宋"/>
                <w:color w:val="auto"/>
                <w:szCs w:val="21"/>
                <w:highlight w:val="none"/>
              </w:rPr>
            </w:pPr>
          </w:p>
        </w:tc>
      </w:tr>
      <w:tr w14:paraId="2A06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593003B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FD5887A">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839F02A">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E530226">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0DCB1889">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8E073CC">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2C87C362">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981E5EC">
            <w:pPr>
              <w:ind w:firstLine="420" w:firstLineChars="200"/>
              <w:rPr>
                <w:rFonts w:hint="eastAsia" w:ascii="仿宋" w:hAnsi="仿宋" w:eastAsia="仿宋" w:cs="仿宋"/>
                <w:color w:val="auto"/>
                <w:szCs w:val="21"/>
                <w:highlight w:val="none"/>
              </w:rPr>
            </w:pPr>
          </w:p>
        </w:tc>
      </w:tr>
      <w:tr w14:paraId="4AFA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69819DAA">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3D477EF">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D1F207E">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BC16775">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4246C11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B0D6C4F">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6D9D9769">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037AD0E">
            <w:pPr>
              <w:ind w:firstLine="420" w:firstLineChars="200"/>
              <w:rPr>
                <w:rFonts w:hint="eastAsia" w:ascii="仿宋" w:hAnsi="仿宋" w:eastAsia="仿宋" w:cs="仿宋"/>
                <w:color w:val="auto"/>
                <w:szCs w:val="21"/>
                <w:highlight w:val="none"/>
              </w:rPr>
            </w:pPr>
          </w:p>
        </w:tc>
      </w:tr>
      <w:tr w14:paraId="6858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1AA99665">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01040DA">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430383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80395DD">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26CEA90D">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32A50EE">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6977A954">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2F9073C">
            <w:pPr>
              <w:ind w:firstLine="420" w:firstLineChars="200"/>
              <w:rPr>
                <w:rFonts w:hint="eastAsia" w:ascii="仿宋" w:hAnsi="仿宋" w:eastAsia="仿宋" w:cs="仿宋"/>
                <w:color w:val="auto"/>
                <w:szCs w:val="21"/>
                <w:highlight w:val="none"/>
              </w:rPr>
            </w:pPr>
          </w:p>
        </w:tc>
      </w:tr>
      <w:tr w14:paraId="7332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760873B0">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396A6C1">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446C6A3">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DFA998C">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4C46868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BAC89BD">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74D16DFE">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424EDB9">
            <w:pPr>
              <w:ind w:firstLine="420" w:firstLineChars="200"/>
              <w:rPr>
                <w:rFonts w:hint="eastAsia" w:ascii="仿宋" w:hAnsi="仿宋" w:eastAsia="仿宋" w:cs="仿宋"/>
                <w:color w:val="auto"/>
                <w:szCs w:val="21"/>
                <w:highlight w:val="none"/>
              </w:rPr>
            </w:pPr>
          </w:p>
        </w:tc>
      </w:tr>
      <w:tr w14:paraId="4F6B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794622D4">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8836B92">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B3E2129">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76BCA4D">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0FF0EF62">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5EA7C65">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2914578D">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9C9184F">
            <w:pPr>
              <w:ind w:firstLine="420" w:firstLineChars="200"/>
              <w:rPr>
                <w:rFonts w:hint="eastAsia" w:ascii="仿宋" w:hAnsi="仿宋" w:eastAsia="仿宋" w:cs="仿宋"/>
                <w:color w:val="auto"/>
                <w:szCs w:val="21"/>
                <w:highlight w:val="none"/>
              </w:rPr>
            </w:pPr>
          </w:p>
        </w:tc>
      </w:tr>
      <w:tr w14:paraId="4102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347FF614">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AF0A8C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2AD61FD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F279F53">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5D19DEE3">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43B6956">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396BB1E6">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B3E7A97">
            <w:pPr>
              <w:ind w:firstLine="420" w:firstLineChars="200"/>
              <w:rPr>
                <w:rFonts w:hint="eastAsia" w:ascii="仿宋" w:hAnsi="仿宋" w:eastAsia="仿宋" w:cs="仿宋"/>
                <w:color w:val="auto"/>
                <w:szCs w:val="21"/>
                <w:highlight w:val="none"/>
              </w:rPr>
            </w:pPr>
          </w:p>
        </w:tc>
      </w:tr>
      <w:tr w14:paraId="6AB4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280612E6">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856BFA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3334626">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6258E0B">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028D428C">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D27996E">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6465CC6F">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7B7CBE6">
            <w:pPr>
              <w:ind w:firstLine="420" w:firstLineChars="200"/>
              <w:rPr>
                <w:rFonts w:hint="eastAsia" w:ascii="仿宋" w:hAnsi="仿宋" w:eastAsia="仿宋" w:cs="仿宋"/>
                <w:color w:val="auto"/>
                <w:szCs w:val="21"/>
                <w:highlight w:val="none"/>
              </w:rPr>
            </w:pPr>
          </w:p>
        </w:tc>
      </w:tr>
      <w:tr w14:paraId="5D2A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555FE363">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30CAF9D">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32AA09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939D4F5">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00E90D6E">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7547C96">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2F22BFD9">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7027338">
            <w:pPr>
              <w:ind w:firstLine="420" w:firstLineChars="200"/>
              <w:rPr>
                <w:rFonts w:hint="eastAsia" w:ascii="仿宋" w:hAnsi="仿宋" w:eastAsia="仿宋" w:cs="仿宋"/>
                <w:color w:val="auto"/>
                <w:szCs w:val="21"/>
                <w:highlight w:val="none"/>
              </w:rPr>
            </w:pPr>
          </w:p>
        </w:tc>
      </w:tr>
      <w:tr w14:paraId="25EE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0B274AA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B63D3E2">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2800D6A5">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EB8DAA6">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158E39F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B12E645">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228B96B2">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29B3FC2B">
            <w:pPr>
              <w:ind w:firstLine="420" w:firstLineChars="200"/>
              <w:rPr>
                <w:rFonts w:hint="eastAsia" w:ascii="仿宋" w:hAnsi="仿宋" w:eastAsia="仿宋" w:cs="仿宋"/>
                <w:color w:val="auto"/>
                <w:szCs w:val="21"/>
                <w:highlight w:val="none"/>
              </w:rPr>
            </w:pPr>
          </w:p>
        </w:tc>
      </w:tr>
      <w:tr w14:paraId="45BC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289ED66F">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752F0EF">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E07FF6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75E00E2">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4B3C1C49">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A2A4B4C">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1D9874F4">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8D62D76">
            <w:pPr>
              <w:ind w:firstLine="420" w:firstLineChars="200"/>
              <w:rPr>
                <w:rFonts w:hint="eastAsia" w:ascii="仿宋" w:hAnsi="仿宋" w:eastAsia="仿宋" w:cs="仿宋"/>
                <w:color w:val="auto"/>
                <w:szCs w:val="21"/>
                <w:highlight w:val="none"/>
              </w:rPr>
            </w:pPr>
          </w:p>
        </w:tc>
      </w:tr>
      <w:tr w14:paraId="0D19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602DF88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239B93BA">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72A1EDE">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889B54C">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11E13129">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FB810B4">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7DABA00C">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0250B24">
            <w:pPr>
              <w:ind w:firstLine="420" w:firstLineChars="200"/>
              <w:rPr>
                <w:rFonts w:hint="eastAsia" w:ascii="仿宋" w:hAnsi="仿宋" w:eastAsia="仿宋" w:cs="仿宋"/>
                <w:color w:val="auto"/>
                <w:szCs w:val="21"/>
                <w:highlight w:val="none"/>
              </w:rPr>
            </w:pPr>
          </w:p>
        </w:tc>
      </w:tr>
      <w:tr w14:paraId="47A34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5C4F1FD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AF8FCA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4F1F155">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AC5BF55">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320143DE">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2EE1359">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025C97DE">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2B6A600D">
            <w:pPr>
              <w:ind w:firstLine="420" w:firstLineChars="200"/>
              <w:rPr>
                <w:rFonts w:hint="eastAsia" w:ascii="仿宋" w:hAnsi="仿宋" w:eastAsia="仿宋" w:cs="仿宋"/>
                <w:color w:val="auto"/>
                <w:szCs w:val="21"/>
                <w:highlight w:val="none"/>
              </w:rPr>
            </w:pPr>
          </w:p>
        </w:tc>
      </w:tr>
    </w:tbl>
    <w:p w14:paraId="17D1F5BB">
      <w:pPr>
        <w:ind w:firstLine="420" w:firstLineChars="200"/>
        <w:rPr>
          <w:rFonts w:hint="eastAsia" w:ascii="仿宋" w:hAnsi="仿宋" w:eastAsia="仿宋" w:cs="仿宋"/>
          <w:color w:val="auto"/>
          <w:szCs w:val="21"/>
          <w:highlight w:val="none"/>
        </w:rPr>
      </w:pPr>
    </w:p>
    <w:p w14:paraId="070C510F">
      <w:pPr>
        <w:widowControl/>
        <w:jc w:val="left"/>
        <w:rPr>
          <w:rFonts w:hint="eastAsia" w:ascii="仿宋" w:hAnsi="仿宋" w:eastAsia="仿宋" w:cs="仿宋"/>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1DBCE5E2">
      <w:pPr>
        <w:pStyle w:val="6"/>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附表四：计划开、竣工日期和施工进度网络图</w:t>
      </w:r>
    </w:p>
    <w:p w14:paraId="51956578">
      <w:pPr>
        <w:ind w:firstLine="420" w:firstLineChars="200"/>
        <w:rPr>
          <w:rFonts w:hint="eastAsia" w:ascii="仿宋" w:hAnsi="仿宋" w:eastAsia="仿宋" w:cs="仿宋"/>
          <w:color w:val="auto"/>
          <w:szCs w:val="21"/>
          <w:highlight w:val="none"/>
        </w:rPr>
      </w:pPr>
    </w:p>
    <w:p w14:paraId="69085EA8">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应递交施工进度网络图或施工进度表，说明按招标文件要求的合同履行期限</w:t>
      </w:r>
      <w:r>
        <w:rPr>
          <w:rFonts w:hint="eastAsia" w:ascii="仿宋" w:hAnsi="仿宋" w:eastAsia="仿宋" w:cs="仿宋"/>
          <w:color w:val="auto"/>
          <w:szCs w:val="21"/>
          <w:highlight w:val="none"/>
          <w:lang w:eastAsia="zh-CN"/>
        </w:rPr>
        <w:t>（计划工期）</w:t>
      </w:r>
      <w:r>
        <w:rPr>
          <w:rFonts w:hint="eastAsia" w:ascii="仿宋" w:hAnsi="仿宋" w:eastAsia="仿宋" w:cs="仿宋"/>
          <w:color w:val="auto"/>
          <w:szCs w:val="21"/>
          <w:highlight w:val="none"/>
        </w:rPr>
        <w:t>进行施工的各个关键日期。</w:t>
      </w:r>
    </w:p>
    <w:p w14:paraId="6F12A68D">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2．施工进度表可采用网络图（或横道图）表示。</w:t>
      </w:r>
    </w:p>
    <w:p w14:paraId="456B7EA5">
      <w:pPr>
        <w:ind w:firstLine="420" w:firstLineChars="200"/>
        <w:rPr>
          <w:rFonts w:hint="eastAsia" w:ascii="仿宋" w:hAnsi="仿宋" w:eastAsia="仿宋" w:cs="仿宋"/>
          <w:color w:val="auto"/>
          <w:szCs w:val="21"/>
          <w:highlight w:val="none"/>
        </w:rPr>
      </w:pPr>
    </w:p>
    <w:p w14:paraId="4DCA24A5">
      <w:pPr>
        <w:widowControl/>
        <w:jc w:val="left"/>
        <w:rPr>
          <w:rFonts w:hint="eastAsia" w:ascii="仿宋" w:hAnsi="仿宋" w:eastAsia="仿宋" w:cs="仿宋"/>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0D8299AE">
      <w:pPr>
        <w:pStyle w:val="6"/>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附表五：施工总平面图</w:t>
      </w:r>
    </w:p>
    <w:p w14:paraId="16116A33">
      <w:pPr>
        <w:ind w:firstLine="420" w:firstLineChars="200"/>
        <w:rPr>
          <w:rFonts w:hint="eastAsia" w:ascii="仿宋" w:hAnsi="仿宋" w:eastAsia="仿宋" w:cs="仿宋"/>
          <w:color w:val="auto"/>
          <w:szCs w:val="21"/>
          <w:highlight w:val="none"/>
        </w:rPr>
      </w:pPr>
    </w:p>
    <w:p w14:paraId="1D6ACBD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应递交一份施工总平面图，绘出现场临时设施布置图表并附文字说明。</w:t>
      </w:r>
    </w:p>
    <w:p w14:paraId="4EECF6F8">
      <w:pPr>
        <w:ind w:firstLine="420" w:firstLineChars="200"/>
        <w:rPr>
          <w:rFonts w:hint="eastAsia" w:ascii="仿宋" w:hAnsi="仿宋" w:eastAsia="仿宋" w:cs="仿宋"/>
          <w:color w:val="auto"/>
          <w:szCs w:val="21"/>
          <w:highlight w:val="none"/>
        </w:rPr>
      </w:pPr>
    </w:p>
    <w:p w14:paraId="09EE7362">
      <w:pPr>
        <w:widowControl/>
        <w:jc w:val="left"/>
        <w:rPr>
          <w:rFonts w:hint="eastAsia" w:ascii="仿宋" w:hAnsi="仿宋" w:eastAsia="仿宋" w:cs="仿宋"/>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64D9036F">
      <w:pPr>
        <w:pStyle w:val="6"/>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附表六：临时用地表</w:t>
      </w:r>
    </w:p>
    <w:p w14:paraId="48087FCC">
      <w:pPr>
        <w:rPr>
          <w:rFonts w:hint="eastAsia" w:ascii="仿宋" w:hAnsi="仿宋" w:eastAsia="仿宋" w:cs="仿宋"/>
          <w:color w:val="auto"/>
          <w:highlight w:val="none"/>
        </w:rPr>
      </w:pP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26"/>
        <w:gridCol w:w="2499"/>
        <w:gridCol w:w="2499"/>
      </w:tblGrid>
      <w:tr w14:paraId="4AF0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38" w:type="dxa"/>
            <w:tcBorders>
              <w:top w:val="single" w:color="auto" w:sz="4" w:space="0"/>
              <w:left w:val="single" w:color="auto" w:sz="4" w:space="0"/>
              <w:bottom w:val="single" w:color="auto" w:sz="4" w:space="0"/>
              <w:right w:val="single" w:color="auto" w:sz="4" w:space="0"/>
            </w:tcBorders>
            <w:noWrap w:val="0"/>
            <w:vAlign w:val="center"/>
          </w:tcPr>
          <w:p w14:paraId="2D2A8FBC">
            <w:pPr>
              <w:jc w:val="center"/>
              <w:rPr>
                <w:rFonts w:hint="eastAsia" w:ascii="仿宋" w:hAnsi="仿宋" w:eastAsia="仿宋" w:cs="仿宋"/>
                <w:color w:val="auto"/>
                <w:highlight w:val="none"/>
              </w:rPr>
            </w:pPr>
            <w:r>
              <w:rPr>
                <w:rFonts w:hint="eastAsia" w:ascii="仿宋" w:hAnsi="仿宋" w:eastAsia="仿宋" w:cs="仿宋"/>
                <w:color w:val="auto"/>
                <w:szCs w:val="21"/>
                <w:highlight w:val="none"/>
              </w:rPr>
              <w:t>用途</w:t>
            </w:r>
          </w:p>
        </w:tc>
        <w:tc>
          <w:tcPr>
            <w:tcW w:w="2326" w:type="dxa"/>
            <w:tcBorders>
              <w:top w:val="single" w:color="auto" w:sz="4" w:space="0"/>
              <w:left w:val="single" w:color="auto" w:sz="4" w:space="0"/>
              <w:bottom w:val="single" w:color="auto" w:sz="4" w:space="0"/>
              <w:right w:val="single" w:color="auto" w:sz="4" w:space="0"/>
            </w:tcBorders>
            <w:noWrap w:val="0"/>
            <w:vAlign w:val="center"/>
          </w:tcPr>
          <w:p w14:paraId="11CA0ED3">
            <w:pPr>
              <w:jc w:val="center"/>
              <w:rPr>
                <w:rFonts w:hint="eastAsia" w:ascii="仿宋" w:hAnsi="仿宋" w:eastAsia="仿宋" w:cs="仿宋"/>
                <w:color w:val="auto"/>
                <w:highlight w:val="none"/>
              </w:rPr>
            </w:pPr>
            <w:r>
              <w:rPr>
                <w:rFonts w:hint="eastAsia" w:ascii="仿宋" w:hAnsi="仿宋" w:eastAsia="仿宋" w:cs="仿宋"/>
                <w:color w:val="auto"/>
                <w:szCs w:val="21"/>
                <w:highlight w:val="none"/>
              </w:rPr>
              <w:t>面积（平方米）</w:t>
            </w:r>
          </w:p>
        </w:tc>
        <w:tc>
          <w:tcPr>
            <w:tcW w:w="2499" w:type="dxa"/>
            <w:tcBorders>
              <w:top w:val="single" w:color="auto" w:sz="4" w:space="0"/>
              <w:left w:val="single" w:color="auto" w:sz="4" w:space="0"/>
              <w:bottom w:val="single" w:color="auto" w:sz="4" w:space="0"/>
              <w:right w:val="single" w:color="auto" w:sz="4" w:space="0"/>
            </w:tcBorders>
            <w:noWrap w:val="0"/>
            <w:vAlign w:val="center"/>
          </w:tcPr>
          <w:p w14:paraId="76A58408">
            <w:pPr>
              <w:jc w:val="center"/>
              <w:rPr>
                <w:rFonts w:hint="eastAsia" w:ascii="仿宋" w:hAnsi="仿宋" w:eastAsia="仿宋" w:cs="仿宋"/>
                <w:color w:val="auto"/>
                <w:highlight w:val="none"/>
              </w:rPr>
            </w:pPr>
            <w:r>
              <w:rPr>
                <w:rFonts w:hint="eastAsia" w:ascii="仿宋" w:hAnsi="仿宋" w:eastAsia="仿宋" w:cs="仿宋"/>
                <w:color w:val="auto"/>
                <w:szCs w:val="21"/>
                <w:highlight w:val="none"/>
              </w:rPr>
              <w:t>位置</w:t>
            </w:r>
          </w:p>
        </w:tc>
        <w:tc>
          <w:tcPr>
            <w:tcW w:w="2499" w:type="dxa"/>
            <w:tcBorders>
              <w:top w:val="single" w:color="auto" w:sz="4" w:space="0"/>
              <w:left w:val="single" w:color="auto" w:sz="4" w:space="0"/>
              <w:bottom w:val="single" w:color="auto" w:sz="4" w:space="0"/>
              <w:right w:val="single" w:color="auto" w:sz="4" w:space="0"/>
            </w:tcBorders>
            <w:noWrap w:val="0"/>
            <w:vAlign w:val="center"/>
          </w:tcPr>
          <w:p w14:paraId="5DD61F63">
            <w:pPr>
              <w:jc w:val="center"/>
              <w:rPr>
                <w:rFonts w:hint="eastAsia" w:ascii="仿宋" w:hAnsi="仿宋" w:eastAsia="仿宋" w:cs="仿宋"/>
                <w:color w:val="auto"/>
                <w:highlight w:val="none"/>
              </w:rPr>
            </w:pPr>
            <w:r>
              <w:rPr>
                <w:rFonts w:hint="eastAsia" w:ascii="仿宋" w:hAnsi="仿宋" w:eastAsia="仿宋" w:cs="仿宋"/>
                <w:color w:val="auto"/>
                <w:szCs w:val="21"/>
                <w:highlight w:val="none"/>
              </w:rPr>
              <w:t>需用时间</w:t>
            </w:r>
          </w:p>
        </w:tc>
      </w:tr>
      <w:tr w14:paraId="0BE2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16A20588">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260ABF40">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118D7E00">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725B503B">
            <w:pPr>
              <w:rPr>
                <w:rFonts w:hint="eastAsia" w:ascii="仿宋" w:hAnsi="仿宋" w:eastAsia="仿宋" w:cs="仿宋"/>
                <w:color w:val="auto"/>
                <w:highlight w:val="none"/>
              </w:rPr>
            </w:pPr>
          </w:p>
        </w:tc>
      </w:tr>
      <w:tr w14:paraId="6AE7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61645D5F">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05A0C48F">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19212C12">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425683F9">
            <w:pPr>
              <w:rPr>
                <w:rFonts w:hint="eastAsia" w:ascii="仿宋" w:hAnsi="仿宋" w:eastAsia="仿宋" w:cs="仿宋"/>
                <w:color w:val="auto"/>
                <w:highlight w:val="none"/>
              </w:rPr>
            </w:pPr>
          </w:p>
        </w:tc>
      </w:tr>
      <w:tr w14:paraId="1EA3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78AF7412">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7D1A10AE">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45767BEB">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41396885">
            <w:pPr>
              <w:rPr>
                <w:rFonts w:hint="eastAsia" w:ascii="仿宋" w:hAnsi="仿宋" w:eastAsia="仿宋" w:cs="仿宋"/>
                <w:color w:val="auto"/>
                <w:highlight w:val="none"/>
              </w:rPr>
            </w:pPr>
          </w:p>
        </w:tc>
      </w:tr>
      <w:tr w14:paraId="70EE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2587FE8B">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334865C1">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9F8AAD3">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6C7C68A">
            <w:pPr>
              <w:rPr>
                <w:rFonts w:hint="eastAsia" w:ascii="仿宋" w:hAnsi="仿宋" w:eastAsia="仿宋" w:cs="仿宋"/>
                <w:color w:val="auto"/>
                <w:highlight w:val="none"/>
              </w:rPr>
            </w:pPr>
          </w:p>
        </w:tc>
      </w:tr>
      <w:tr w14:paraId="5375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34B133B0">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0FB8C8F5">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07B89DDA">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B6EDA15">
            <w:pPr>
              <w:rPr>
                <w:rFonts w:hint="eastAsia" w:ascii="仿宋" w:hAnsi="仿宋" w:eastAsia="仿宋" w:cs="仿宋"/>
                <w:color w:val="auto"/>
                <w:highlight w:val="none"/>
              </w:rPr>
            </w:pPr>
          </w:p>
        </w:tc>
      </w:tr>
      <w:tr w14:paraId="2A09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7B7F4445">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474A919A">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1E91D094">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164A58A6">
            <w:pPr>
              <w:rPr>
                <w:rFonts w:hint="eastAsia" w:ascii="仿宋" w:hAnsi="仿宋" w:eastAsia="仿宋" w:cs="仿宋"/>
                <w:color w:val="auto"/>
                <w:highlight w:val="none"/>
              </w:rPr>
            </w:pPr>
          </w:p>
        </w:tc>
      </w:tr>
      <w:tr w14:paraId="5B76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20D1497E">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7145F61F">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474A280D">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5C85EB21">
            <w:pPr>
              <w:rPr>
                <w:rFonts w:hint="eastAsia" w:ascii="仿宋" w:hAnsi="仿宋" w:eastAsia="仿宋" w:cs="仿宋"/>
                <w:color w:val="auto"/>
                <w:highlight w:val="none"/>
              </w:rPr>
            </w:pPr>
          </w:p>
        </w:tc>
      </w:tr>
      <w:tr w14:paraId="261F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3DF41CA9">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263FF82A">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8A2A9EF">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25168CB0">
            <w:pPr>
              <w:rPr>
                <w:rFonts w:hint="eastAsia" w:ascii="仿宋" w:hAnsi="仿宋" w:eastAsia="仿宋" w:cs="仿宋"/>
                <w:color w:val="auto"/>
                <w:highlight w:val="none"/>
              </w:rPr>
            </w:pPr>
          </w:p>
        </w:tc>
      </w:tr>
      <w:tr w14:paraId="45C5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5690870B">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68AA84A7">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35E4DCC">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2EEA9111">
            <w:pPr>
              <w:rPr>
                <w:rFonts w:hint="eastAsia" w:ascii="仿宋" w:hAnsi="仿宋" w:eastAsia="仿宋" w:cs="仿宋"/>
                <w:color w:val="auto"/>
                <w:highlight w:val="none"/>
              </w:rPr>
            </w:pPr>
          </w:p>
        </w:tc>
      </w:tr>
      <w:tr w14:paraId="3738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2734BA42">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2C842950">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1034CEC9">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06863FED">
            <w:pPr>
              <w:rPr>
                <w:rFonts w:hint="eastAsia" w:ascii="仿宋" w:hAnsi="仿宋" w:eastAsia="仿宋" w:cs="仿宋"/>
                <w:color w:val="auto"/>
                <w:highlight w:val="none"/>
              </w:rPr>
            </w:pPr>
          </w:p>
        </w:tc>
      </w:tr>
      <w:tr w14:paraId="7ADA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649697FA">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682ADC72">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294AA34D">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71E93CD8">
            <w:pPr>
              <w:rPr>
                <w:rFonts w:hint="eastAsia" w:ascii="仿宋" w:hAnsi="仿宋" w:eastAsia="仿宋" w:cs="仿宋"/>
                <w:color w:val="auto"/>
                <w:highlight w:val="none"/>
              </w:rPr>
            </w:pPr>
          </w:p>
        </w:tc>
      </w:tr>
      <w:tr w14:paraId="49B2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10D06D21">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5220B489">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10034313">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1A610C58">
            <w:pPr>
              <w:rPr>
                <w:rFonts w:hint="eastAsia" w:ascii="仿宋" w:hAnsi="仿宋" w:eastAsia="仿宋" w:cs="仿宋"/>
                <w:color w:val="auto"/>
                <w:highlight w:val="none"/>
              </w:rPr>
            </w:pPr>
          </w:p>
        </w:tc>
      </w:tr>
      <w:tr w14:paraId="4AAE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6A20E3A3">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77E555E1">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291C5598">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38410499">
            <w:pPr>
              <w:rPr>
                <w:rFonts w:hint="eastAsia" w:ascii="仿宋" w:hAnsi="仿宋" w:eastAsia="仿宋" w:cs="仿宋"/>
                <w:color w:val="auto"/>
                <w:highlight w:val="none"/>
              </w:rPr>
            </w:pPr>
          </w:p>
        </w:tc>
      </w:tr>
      <w:tr w14:paraId="5DE3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63E1A22C">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38B59BC5">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0C26746F">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299091EA">
            <w:pPr>
              <w:rPr>
                <w:rFonts w:hint="eastAsia" w:ascii="仿宋" w:hAnsi="仿宋" w:eastAsia="仿宋" w:cs="仿宋"/>
                <w:color w:val="auto"/>
                <w:highlight w:val="none"/>
              </w:rPr>
            </w:pPr>
          </w:p>
        </w:tc>
      </w:tr>
      <w:tr w14:paraId="319D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6D0ED9E9">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333BE2CD">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75E6E0B2">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018F9DD6">
            <w:pPr>
              <w:rPr>
                <w:rFonts w:hint="eastAsia" w:ascii="仿宋" w:hAnsi="仿宋" w:eastAsia="仿宋" w:cs="仿宋"/>
                <w:color w:val="auto"/>
                <w:highlight w:val="none"/>
              </w:rPr>
            </w:pPr>
          </w:p>
        </w:tc>
      </w:tr>
      <w:tr w14:paraId="4624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098C6A5E">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5FD0DC7D">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32D58719">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F5718C2">
            <w:pPr>
              <w:rPr>
                <w:rFonts w:hint="eastAsia" w:ascii="仿宋" w:hAnsi="仿宋" w:eastAsia="仿宋" w:cs="仿宋"/>
                <w:color w:val="auto"/>
                <w:highlight w:val="none"/>
              </w:rPr>
            </w:pPr>
          </w:p>
        </w:tc>
      </w:tr>
      <w:tr w14:paraId="153A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0276E475">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32D22FF8">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76374C0E">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4D553D0A">
            <w:pPr>
              <w:rPr>
                <w:rFonts w:hint="eastAsia" w:ascii="仿宋" w:hAnsi="仿宋" w:eastAsia="仿宋" w:cs="仿宋"/>
                <w:color w:val="auto"/>
                <w:highlight w:val="none"/>
              </w:rPr>
            </w:pPr>
          </w:p>
        </w:tc>
      </w:tr>
      <w:tr w14:paraId="39D6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7595DE70">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0B69FD02">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826882B">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A1B85A3">
            <w:pPr>
              <w:rPr>
                <w:rFonts w:hint="eastAsia" w:ascii="仿宋" w:hAnsi="仿宋" w:eastAsia="仿宋" w:cs="仿宋"/>
                <w:color w:val="auto"/>
                <w:highlight w:val="none"/>
              </w:rPr>
            </w:pPr>
          </w:p>
        </w:tc>
      </w:tr>
      <w:tr w14:paraId="4250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120F32DF">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67FD3A25">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404DBDC3">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779FB9DD">
            <w:pPr>
              <w:rPr>
                <w:rFonts w:hint="eastAsia" w:ascii="仿宋" w:hAnsi="仿宋" w:eastAsia="仿宋" w:cs="仿宋"/>
                <w:color w:val="auto"/>
                <w:highlight w:val="none"/>
              </w:rPr>
            </w:pPr>
          </w:p>
        </w:tc>
      </w:tr>
      <w:tr w14:paraId="56E9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7E11450D">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4B37E5E7">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35E593D8">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70556841">
            <w:pPr>
              <w:rPr>
                <w:rFonts w:hint="eastAsia" w:ascii="仿宋" w:hAnsi="仿宋" w:eastAsia="仿宋" w:cs="仿宋"/>
                <w:color w:val="auto"/>
                <w:highlight w:val="none"/>
              </w:rPr>
            </w:pPr>
          </w:p>
        </w:tc>
      </w:tr>
      <w:tr w14:paraId="4DAF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5ECCE28B">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0F32729A">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32B65E92">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02B08194">
            <w:pPr>
              <w:rPr>
                <w:rFonts w:hint="eastAsia" w:ascii="仿宋" w:hAnsi="仿宋" w:eastAsia="仿宋" w:cs="仿宋"/>
                <w:color w:val="auto"/>
                <w:highlight w:val="none"/>
              </w:rPr>
            </w:pPr>
          </w:p>
        </w:tc>
      </w:tr>
      <w:tr w14:paraId="789A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4B90E2B6">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61F60619">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214CDA0F">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11612F2">
            <w:pPr>
              <w:rPr>
                <w:rFonts w:hint="eastAsia" w:ascii="仿宋" w:hAnsi="仿宋" w:eastAsia="仿宋" w:cs="仿宋"/>
                <w:color w:val="auto"/>
                <w:highlight w:val="none"/>
              </w:rPr>
            </w:pPr>
          </w:p>
        </w:tc>
      </w:tr>
    </w:tbl>
    <w:p w14:paraId="5C56E261">
      <w:pPr>
        <w:pStyle w:val="4"/>
        <w:rPr>
          <w:rFonts w:hint="eastAsia" w:ascii="仿宋" w:hAnsi="仿宋" w:eastAsia="仿宋" w:cs="仿宋"/>
          <w:color w:val="auto"/>
          <w:szCs w:val="32"/>
          <w:highlight w:val="none"/>
          <w:lang w:eastAsia="zh-CN"/>
        </w:rPr>
        <w:sectPr>
          <w:pgSz w:w="11906" w:h="16838"/>
          <w:pgMar w:top="1440" w:right="1080" w:bottom="1440" w:left="1080" w:header="851" w:footer="992" w:gutter="0"/>
          <w:pgNumType w:fmt="decimal"/>
          <w:cols w:space="720" w:num="1"/>
          <w:docGrid w:type="lines" w:linePitch="312" w:charSpace="0"/>
        </w:sectPr>
      </w:pPr>
    </w:p>
    <w:p w14:paraId="798F985E">
      <w:pPr>
        <w:pStyle w:val="3"/>
        <w:outlineLvl w:val="1"/>
        <w:rPr>
          <w:rFonts w:hint="eastAsia" w:ascii="仿宋" w:hAnsi="仿宋" w:eastAsia="仿宋" w:cs="仿宋"/>
          <w:color w:val="auto"/>
          <w:szCs w:val="32"/>
          <w:highlight w:val="none"/>
          <w:lang w:eastAsia="zh-CN"/>
        </w:rPr>
      </w:pPr>
      <w:bookmarkStart w:id="155" w:name="_Toc20847"/>
      <w:bookmarkStart w:id="156" w:name="_Toc5892"/>
      <w:r>
        <w:rPr>
          <w:rFonts w:hint="eastAsia" w:ascii="仿宋" w:hAnsi="仿宋" w:eastAsia="仿宋" w:cs="仿宋"/>
          <w:color w:val="auto"/>
          <w:szCs w:val="32"/>
          <w:highlight w:val="none"/>
          <w:lang w:eastAsia="zh-CN"/>
        </w:rPr>
        <w:t>八、项目管理机构</w:t>
      </w:r>
      <w:bookmarkEnd w:id="151"/>
      <w:bookmarkEnd w:id="152"/>
      <w:bookmarkEnd w:id="153"/>
      <w:bookmarkEnd w:id="154"/>
      <w:bookmarkEnd w:id="155"/>
      <w:bookmarkEnd w:id="156"/>
    </w:p>
    <w:p w14:paraId="253622CA">
      <w:pPr>
        <w:pStyle w:val="6"/>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（一）项目管理机构组成表</w:t>
      </w: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2614"/>
        <w:gridCol w:w="1069"/>
      </w:tblGrid>
      <w:tr w14:paraId="501E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4" w:type="dxa"/>
            <w:vMerge w:val="restart"/>
            <w:vAlign w:val="center"/>
          </w:tcPr>
          <w:p w14:paraId="0C1F61E8">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职务</w:t>
            </w:r>
          </w:p>
        </w:tc>
        <w:tc>
          <w:tcPr>
            <w:tcW w:w="726" w:type="dxa"/>
            <w:vMerge w:val="restart"/>
            <w:vAlign w:val="center"/>
          </w:tcPr>
          <w:p w14:paraId="62EDB5C1">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姓名</w:t>
            </w:r>
          </w:p>
        </w:tc>
        <w:tc>
          <w:tcPr>
            <w:tcW w:w="889" w:type="dxa"/>
            <w:vMerge w:val="restart"/>
            <w:vAlign w:val="center"/>
          </w:tcPr>
          <w:p w14:paraId="5BB80649">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职称</w:t>
            </w:r>
          </w:p>
        </w:tc>
        <w:tc>
          <w:tcPr>
            <w:tcW w:w="6045" w:type="dxa"/>
            <w:gridSpan w:val="4"/>
            <w:vAlign w:val="center"/>
          </w:tcPr>
          <w:p w14:paraId="2B7645E7">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执业或职业资格证明</w:t>
            </w:r>
          </w:p>
        </w:tc>
        <w:tc>
          <w:tcPr>
            <w:tcW w:w="1069" w:type="dxa"/>
            <w:vMerge w:val="restart"/>
            <w:vAlign w:val="center"/>
          </w:tcPr>
          <w:p w14:paraId="1FBBD960">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备注</w:t>
            </w:r>
          </w:p>
        </w:tc>
      </w:tr>
      <w:tr w14:paraId="737B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4" w:type="dxa"/>
            <w:vMerge w:val="continue"/>
            <w:vAlign w:val="center"/>
          </w:tcPr>
          <w:p w14:paraId="15C95376">
            <w:pPr>
              <w:spacing w:line="300" w:lineRule="exact"/>
              <w:jc w:val="center"/>
              <w:rPr>
                <w:rFonts w:hint="eastAsia" w:ascii="仿宋" w:hAnsi="仿宋" w:eastAsia="仿宋" w:cs="仿宋"/>
                <w:b/>
                <w:bCs/>
                <w:color w:val="auto"/>
                <w:szCs w:val="21"/>
                <w:highlight w:val="none"/>
              </w:rPr>
            </w:pPr>
          </w:p>
        </w:tc>
        <w:tc>
          <w:tcPr>
            <w:tcW w:w="726" w:type="dxa"/>
            <w:vMerge w:val="continue"/>
            <w:vAlign w:val="center"/>
          </w:tcPr>
          <w:p w14:paraId="498209E5">
            <w:pPr>
              <w:spacing w:line="300" w:lineRule="exact"/>
              <w:jc w:val="center"/>
              <w:rPr>
                <w:rFonts w:hint="eastAsia" w:ascii="仿宋" w:hAnsi="仿宋" w:eastAsia="仿宋" w:cs="仿宋"/>
                <w:b/>
                <w:bCs/>
                <w:color w:val="auto"/>
                <w:szCs w:val="21"/>
                <w:highlight w:val="none"/>
              </w:rPr>
            </w:pPr>
          </w:p>
        </w:tc>
        <w:tc>
          <w:tcPr>
            <w:tcW w:w="889" w:type="dxa"/>
            <w:vMerge w:val="continue"/>
            <w:vAlign w:val="center"/>
          </w:tcPr>
          <w:p w14:paraId="4902FDEC">
            <w:pPr>
              <w:spacing w:line="300" w:lineRule="exact"/>
              <w:jc w:val="center"/>
              <w:rPr>
                <w:rFonts w:hint="eastAsia" w:ascii="仿宋" w:hAnsi="仿宋" w:eastAsia="仿宋" w:cs="仿宋"/>
                <w:b/>
                <w:bCs/>
                <w:color w:val="auto"/>
                <w:szCs w:val="21"/>
                <w:highlight w:val="none"/>
              </w:rPr>
            </w:pPr>
          </w:p>
        </w:tc>
        <w:tc>
          <w:tcPr>
            <w:tcW w:w="1451" w:type="dxa"/>
            <w:vAlign w:val="center"/>
          </w:tcPr>
          <w:p w14:paraId="57CB8C8B">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证书名称</w:t>
            </w:r>
          </w:p>
        </w:tc>
        <w:tc>
          <w:tcPr>
            <w:tcW w:w="900" w:type="dxa"/>
            <w:vAlign w:val="center"/>
          </w:tcPr>
          <w:p w14:paraId="2491C208">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级别</w:t>
            </w:r>
          </w:p>
        </w:tc>
        <w:tc>
          <w:tcPr>
            <w:tcW w:w="1080" w:type="dxa"/>
            <w:vAlign w:val="center"/>
          </w:tcPr>
          <w:p w14:paraId="740466E3">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证号</w:t>
            </w:r>
          </w:p>
        </w:tc>
        <w:tc>
          <w:tcPr>
            <w:tcW w:w="2614" w:type="dxa"/>
            <w:vAlign w:val="center"/>
          </w:tcPr>
          <w:p w14:paraId="70B66F1E">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专业</w:t>
            </w:r>
          </w:p>
        </w:tc>
        <w:tc>
          <w:tcPr>
            <w:tcW w:w="1069" w:type="dxa"/>
            <w:vMerge w:val="continue"/>
            <w:vAlign w:val="center"/>
          </w:tcPr>
          <w:p w14:paraId="3EF6ED56">
            <w:pPr>
              <w:spacing w:line="300" w:lineRule="exact"/>
              <w:jc w:val="center"/>
              <w:rPr>
                <w:rFonts w:hint="eastAsia" w:ascii="仿宋" w:hAnsi="仿宋" w:eastAsia="仿宋" w:cs="仿宋"/>
                <w:b/>
                <w:bCs/>
                <w:color w:val="auto"/>
                <w:szCs w:val="21"/>
                <w:highlight w:val="none"/>
              </w:rPr>
            </w:pPr>
          </w:p>
        </w:tc>
      </w:tr>
      <w:tr w14:paraId="68B2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70451A4A">
            <w:pPr>
              <w:spacing w:line="360" w:lineRule="auto"/>
              <w:rPr>
                <w:rFonts w:hint="eastAsia" w:ascii="仿宋" w:hAnsi="仿宋" w:eastAsia="仿宋" w:cs="仿宋"/>
                <w:color w:val="auto"/>
                <w:szCs w:val="21"/>
                <w:highlight w:val="none"/>
              </w:rPr>
            </w:pPr>
          </w:p>
        </w:tc>
        <w:tc>
          <w:tcPr>
            <w:tcW w:w="726" w:type="dxa"/>
          </w:tcPr>
          <w:p w14:paraId="238BF709">
            <w:pPr>
              <w:spacing w:line="360" w:lineRule="auto"/>
              <w:rPr>
                <w:rFonts w:hint="eastAsia" w:ascii="仿宋" w:hAnsi="仿宋" w:eastAsia="仿宋" w:cs="仿宋"/>
                <w:color w:val="auto"/>
                <w:szCs w:val="21"/>
                <w:highlight w:val="none"/>
              </w:rPr>
            </w:pPr>
          </w:p>
        </w:tc>
        <w:tc>
          <w:tcPr>
            <w:tcW w:w="889" w:type="dxa"/>
          </w:tcPr>
          <w:p w14:paraId="5A4DF6EA">
            <w:pPr>
              <w:spacing w:line="360" w:lineRule="auto"/>
              <w:rPr>
                <w:rFonts w:hint="eastAsia" w:ascii="仿宋" w:hAnsi="仿宋" w:eastAsia="仿宋" w:cs="仿宋"/>
                <w:color w:val="auto"/>
                <w:szCs w:val="21"/>
                <w:highlight w:val="none"/>
              </w:rPr>
            </w:pPr>
          </w:p>
        </w:tc>
        <w:tc>
          <w:tcPr>
            <w:tcW w:w="1451" w:type="dxa"/>
          </w:tcPr>
          <w:p w14:paraId="376AC816">
            <w:pPr>
              <w:spacing w:line="360" w:lineRule="auto"/>
              <w:rPr>
                <w:rFonts w:hint="eastAsia" w:ascii="仿宋" w:hAnsi="仿宋" w:eastAsia="仿宋" w:cs="仿宋"/>
                <w:color w:val="auto"/>
                <w:szCs w:val="21"/>
                <w:highlight w:val="none"/>
              </w:rPr>
            </w:pPr>
          </w:p>
        </w:tc>
        <w:tc>
          <w:tcPr>
            <w:tcW w:w="900" w:type="dxa"/>
          </w:tcPr>
          <w:p w14:paraId="1E78A4EA">
            <w:pPr>
              <w:spacing w:line="360" w:lineRule="auto"/>
              <w:rPr>
                <w:rFonts w:hint="eastAsia" w:ascii="仿宋" w:hAnsi="仿宋" w:eastAsia="仿宋" w:cs="仿宋"/>
                <w:color w:val="auto"/>
                <w:szCs w:val="21"/>
                <w:highlight w:val="none"/>
              </w:rPr>
            </w:pPr>
          </w:p>
        </w:tc>
        <w:tc>
          <w:tcPr>
            <w:tcW w:w="1080" w:type="dxa"/>
          </w:tcPr>
          <w:p w14:paraId="039356B1">
            <w:pPr>
              <w:spacing w:line="360" w:lineRule="auto"/>
              <w:rPr>
                <w:rFonts w:hint="eastAsia" w:ascii="仿宋" w:hAnsi="仿宋" w:eastAsia="仿宋" w:cs="仿宋"/>
                <w:color w:val="auto"/>
                <w:szCs w:val="21"/>
                <w:highlight w:val="none"/>
              </w:rPr>
            </w:pPr>
          </w:p>
        </w:tc>
        <w:tc>
          <w:tcPr>
            <w:tcW w:w="2614" w:type="dxa"/>
          </w:tcPr>
          <w:p w14:paraId="08AF75BF">
            <w:pPr>
              <w:spacing w:line="360" w:lineRule="auto"/>
              <w:ind w:firstLine="420" w:firstLineChars="200"/>
              <w:rPr>
                <w:rFonts w:hint="eastAsia" w:ascii="仿宋" w:hAnsi="仿宋" w:eastAsia="仿宋" w:cs="仿宋"/>
                <w:color w:val="auto"/>
                <w:szCs w:val="21"/>
                <w:highlight w:val="none"/>
              </w:rPr>
            </w:pPr>
          </w:p>
        </w:tc>
        <w:tc>
          <w:tcPr>
            <w:tcW w:w="1069" w:type="dxa"/>
          </w:tcPr>
          <w:p w14:paraId="4960DC9F">
            <w:pPr>
              <w:spacing w:line="360" w:lineRule="auto"/>
              <w:rPr>
                <w:rFonts w:hint="eastAsia" w:ascii="仿宋" w:hAnsi="仿宋" w:eastAsia="仿宋" w:cs="仿宋"/>
                <w:color w:val="auto"/>
                <w:szCs w:val="21"/>
                <w:highlight w:val="none"/>
              </w:rPr>
            </w:pPr>
          </w:p>
        </w:tc>
      </w:tr>
      <w:tr w14:paraId="66A6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4F760B78">
            <w:pPr>
              <w:spacing w:line="360" w:lineRule="auto"/>
              <w:rPr>
                <w:rFonts w:hint="eastAsia" w:ascii="仿宋" w:hAnsi="仿宋" w:eastAsia="仿宋" w:cs="仿宋"/>
                <w:color w:val="auto"/>
                <w:szCs w:val="21"/>
                <w:highlight w:val="none"/>
              </w:rPr>
            </w:pPr>
          </w:p>
        </w:tc>
        <w:tc>
          <w:tcPr>
            <w:tcW w:w="726" w:type="dxa"/>
          </w:tcPr>
          <w:p w14:paraId="0B892BCF">
            <w:pPr>
              <w:spacing w:line="360" w:lineRule="auto"/>
              <w:rPr>
                <w:rFonts w:hint="eastAsia" w:ascii="仿宋" w:hAnsi="仿宋" w:eastAsia="仿宋" w:cs="仿宋"/>
                <w:color w:val="auto"/>
                <w:szCs w:val="21"/>
                <w:highlight w:val="none"/>
              </w:rPr>
            </w:pPr>
          </w:p>
        </w:tc>
        <w:tc>
          <w:tcPr>
            <w:tcW w:w="889" w:type="dxa"/>
          </w:tcPr>
          <w:p w14:paraId="2E7757FC">
            <w:pPr>
              <w:spacing w:line="360" w:lineRule="auto"/>
              <w:rPr>
                <w:rFonts w:hint="eastAsia" w:ascii="仿宋" w:hAnsi="仿宋" w:eastAsia="仿宋" w:cs="仿宋"/>
                <w:color w:val="auto"/>
                <w:szCs w:val="21"/>
                <w:highlight w:val="none"/>
              </w:rPr>
            </w:pPr>
          </w:p>
        </w:tc>
        <w:tc>
          <w:tcPr>
            <w:tcW w:w="1451" w:type="dxa"/>
          </w:tcPr>
          <w:p w14:paraId="409CD826">
            <w:pPr>
              <w:spacing w:line="360" w:lineRule="auto"/>
              <w:rPr>
                <w:rFonts w:hint="eastAsia" w:ascii="仿宋" w:hAnsi="仿宋" w:eastAsia="仿宋" w:cs="仿宋"/>
                <w:color w:val="auto"/>
                <w:szCs w:val="21"/>
                <w:highlight w:val="none"/>
              </w:rPr>
            </w:pPr>
          </w:p>
        </w:tc>
        <w:tc>
          <w:tcPr>
            <w:tcW w:w="900" w:type="dxa"/>
          </w:tcPr>
          <w:p w14:paraId="7EC63283">
            <w:pPr>
              <w:spacing w:line="360" w:lineRule="auto"/>
              <w:rPr>
                <w:rFonts w:hint="eastAsia" w:ascii="仿宋" w:hAnsi="仿宋" w:eastAsia="仿宋" w:cs="仿宋"/>
                <w:color w:val="auto"/>
                <w:szCs w:val="21"/>
                <w:highlight w:val="none"/>
              </w:rPr>
            </w:pPr>
          </w:p>
        </w:tc>
        <w:tc>
          <w:tcPr>
            <w:tcW w:w="1080" w:type="dxa"/>
          </w:tcPr>
          <w:p w14:paraId="6A90327C">
            <w:pPr>
              <w:spacing w:line="360" w:lineRule="auto"/>
              <w:rPr>
                <w:rFonts w:hint="eastAsia" w:ascii="仿宋" w:hAnsi="仿宋" w:eastAsia="仿宋" w:cs="仿宋"/>
                <w:color w:val="auto"/>
                <w:szCs w:val="21"/>
                <w:highlight w:val="none"/>
              </w:rPr>
            </w:pPr>
          </w:p>
        </w:tc>
        <w:tc>
          <w:tcPr>
            <w:tcW w:w="2614" w:type="dxa"/>
          </w:tcPr>
          <w:p w14:paraId="55D50EA8">
            <w:pPr>
              <w:spacing w:line="360" w:lineRule="auto"/>
              <w:rPr>
                <w:rFonts w:hint="eastAsia" w:ascii="仿宋" w:hAnsi="仿宋" w:eastAsia="仿宋" w:cs="仿宋"/>
                <w:color w:val="auto"/>
                <w:szCs w:val="21"/>
                <w:highlight w:val="none"/>
              </w:rPr>
            </w:pPr>
          </w:p>
        </w:tc>
        <w:tc>
          <w:tcPr>
            <w:tcW w:w="1069" w:type="dxa"/>
          </w:tcPr>
          <w:p w14:paraId="45372001">
            <w:pPr>
              <w:spacing w:line="360" w:lineRule="auto"/>
              <w:rPr>
                <w:rFonts w:hint="eastAsia" w:ascii="仿宋" w:hAnsi="仿宋" w:eastAsia="仿宋" w:cs="仿宋"/>
                <w:color w:val="auto"/>
                <w:szCs w:val="21"/>
                <w:highlight w:val="none"/>
              </w:rPr>
            </w:pPr>
          </w:p>
        </w:tc>
      </w:tr>
      <w:tr w14:paraId="1CD8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6E3310CB">
            <w:pPr>
              <w:spacing w:line="360" w:lineRule="auto"/>
              <w:rPr>
                <w:rFonts w:hint="eastAsia" w:ascii="仿宋" w:hAnsi="仿宋" w:eastAsia="仿宋" w:cs="仿宋"/>
                <w:color w:val="auto"/>
                <w:szCs w:val="21"/>
                <w:highlight w:val="none"/>
              </w:rPr>
            </w:pPr>
          </w:p>
        </w:tc>
        <w:tc>
          <w:tcPr>
            <w:tcW w:w="726" w:type="dxa"/>
          </w:tcPr>
          <w:p w14:paraId="74B4755D">
            <w:pPr>
              <w:spacing w:line="360" w:lineRule="auto"/>
              <w:rPr>
                <w:rFonts w:hint="eastAsia" w:ascii="仿宋" w:hAnsi="仿宋" w:eastAsia="仿宋" w:cs="仿宋"/>
                <w:color w:val="auto"/>
                <w:szCs w:val="21"/>
                <w:highlight w:val="none"/>
              </w:rPr>
            </w:pPr>
          </w:p>
        </w:tc>
        <w:tc>
          <w:tcPr>
            <w:tcW w:w="889" w:type="dxa"/>
          </w:tcPr>
          <w:p w14:paraId="09592991">
            <w:pPr>
              <w:spacing w:line="360" w:lineRule="auto"/>
              <w:rPr>
                <w:rFonts w:hint="eastAsia" w:ascii="仿宋" w:hAnsi="仿宋" w:eastAsia="仿宋" w:cs="仿宋"/>
                <w:color w:val="auto"/>
                <w:szCs w:val="21"/>
                <w:highlight w:val="none"/>
              </w:rPr>
            </w:pPr>
          </w:p>
        </w:tc>
        <w:tc>
          <w:tcPr>
            <w:tcW w:w="1451" w:type="dxa"/>
          </w:tcPr>
          <w:p w14:paraId="54101A33">
            <w:pPr>
              <w:spacing w:line="360" w:lineRule="auto"/>
              <w:rPr>
                <w:rFonts w:hint="eastAsia" w:ascii="仿宋" w:hAnsi="仿宋" w:eastAsia="仿宋" w:cs="仿宋"/>
                <w:color w:val="auto"/>
                <w:szCs w:val="21"/>
                <w:highlight w:val="none"/>
              </w:rPr>
            </w:pPr>
          </w:p>
        </w:tc>
        <w:tc>
          <w:tcPr>
            <w:tcW w:w="900" w:type="dxa"/>
          </w:tcPr>
          <w:p w14:paraId="7A2821F5">
            <w:pPr>
              <w:spacing w:line="360" w:lineRule="auto"/>
              <w:rPr>
                <w:rFonts w:hint="eastAsia" w:ascii="仿宋" w:hAnsi="仿宋" w:eastAsia="仿宋" w:cs="仿宋"/>
                <w:color w:val="auto"/>
                <w:szCs w:val="21"/>
                <w:highlight w:val="none"/>
              </w:rPr>
            </w:pPr>
          </w:p>
        </w:tc>
        <w:tc>
          <w:tcPr>
            <w:tcW w:w="1080" w:type="dxa"/>
          </w:tcPr>
          <w:p w14:paraId="2A590D77">
            <w:pPr>
              <w:spacing w:line="360" w:lineRule="auto"/>
              <w:rPr>
                <w:rFonts w:hint="eastAsia" w:ascii="仿宋" w:hAnsi="仿宋" w:eastAsia="仿宋" w:cs="仿宋"/>
                <w:color w:val="auto"/>
                <w:szCs w:val="21"/>
                <w:highlight w:val="none"/>
              </w:rPr>
            </w:pPr>
          </w:p>
        </w:tc>
        <w:tc>
          <w:tcPr>
            <w:tcW w:w="2614" w:type="dxa"/>
          </w:tcPr>
          <w:p w14:paraId="44519DA6">
            <w:pPr>
              <w:spacing w:line="360" w:lineRule="auto"/>
              <w:rPr>
                <w:rFonts w:hint="eastAsia" w:ascii="仿宋" w:hAnsi="仿宋" w:eastAsia="仿宋" w:cs="仿宋"/>
                <w:color w:val="auto"/>
                <w:szCs w:val="21"/>
                <w:highlight w:val="none"/>
              </w:rPr>
            </w:pPr>
          </w:p>
        </w:tc>
        <w:tc>
          <w:tcPr>
            <w:tcW w:w="1069" w:type="dxa"/>
          </w:tcPr>
          <w:p w14:paraId="07DBFB5E">
            <w:pPr>
              <w:spacing w:line="360" w:lineRule="auto"/>
              <w:rPr>
                <w:rFonts w:hint="eastAsia" w:ascii="仿宋" w:hAnsi="仿宋" w:eastAsia="仿宋" w:cs="仿宋"/>
                <w:color w:val="auto"/>
                <w:szCs w:val="21"/>
                <w:highlight w:val="none"/>
              </w:rPr>
            </w:pPr>
          </w:p>
        </w:tc>
      </w:tr>
      <w:tr w14:paraId="7605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0915B393">
            <w:pPr>
              <w:spacing w:line="360" w:lineRule="auto"/>
              <w:rPr>
                <w:rFonts w:hint="eastAsia" w:ascii="仿宋" w:hAnsi="仿宋" w:eastAsia="仿宋" w:cs="仿宋"/>
                <w:color w:val="auto"/>
                <w:szCs w:val="21"/>
                <w:highlight w:val="none"/>
              </w:rPr>
            </w:pPr>
          </w:p>
        </w:tc>
        <w:tc>
          <w:tcPr>
            <w:tcW w:w="726" w:type="dxa"/>
          </w:tcPr>
          <w:p w14:paraId="598FC860">
            <w:pPr>
              <w:spacing w:line="360" w:lineRule="auto"/>
              <w:rPr>
                <w:rFonts w:hint="eastAsia" w:ascii="仿宋" w:hAnsi="仿宋" w:eastAsia="仿宋" w:cs="仿宋"/>
                <w:color w:val="auto"/>
                <w:szCs w:val="21"/>
                <w:highlight w:val="none"/>
              </w:rPr>
            </w:pPr>
          </w:p>
        </w:tc>
        <w:tc>
          <w:tcPr>
            <w:tcW w:w="889" w:type="dxa"/>
          </w:tcPr>
          <w:p w14:paraId="5B1507BD">
            <w:pPr>
              <w:spacing w:line="360" w:lineRule="auto"/>
              <w:rPr>
                <w:rFonts w:hint="eastAsia" w:ascii="仿宋" w:hAnsi="仿宋" w:eastAsia="仿宋" w:cs="仿宋"/>
                <w:color w:val="auto"/>
                <w:szCs w:val="21"/>
                <w:highlight w:val="none"/>
              </w:rPr>
            </w:pPr>
          </w:p>
        </w:tc>
        <w:tc>
          <w:tcPr>
            <w:tcW w:w="1451" w:type="dxa"/>
          </w:tcPr>
          <w:p w14:paraId="37AD45B7">
            <w:pPr>
              <w:spacing w:line="360" w:lineRule="auto"/>
              <w:rPr>
                <w:rFonts w:hint="eastAsia" w:ascii="仿宋" w:hAnsi="仿宋" w:eastAsia="仿宋" w:cs="仿宋"/>
                <w:color w:val="auto"/>
                <w:szCs w:val="21"/>
                <w:highlight w:val="none"/>
              </w:rPr>
            </w:pPr>
          </w:p>
        </w:tc>
        <w:tc>
          <w:tcPr>
            <w:tcW w:w="900" w:type="dxa"/>
          </w:tcPr>
          <w:p w14:paraId="0D8161CC">
            <w:pPr>
              <w:spacing w:line="360" w:lineRule="auto"/>
              <w:rPr>
                <w:rFonts w:hint="eastAsia" w:ascii="仿宋" w:hAnsi="仿宋" w:eastAsia="仿宋" w:cs="仿宋"/>
                <w:color w:val="auto"/>
                <w:szCs w:val="21"/>
                <w:highlight w:val="none"/>
              </w:rPr>
            </w:pPr>
          </w:p>
        </w:tc>
        <w:tc>
          <w:tcPr>
            <w:tcW w:w="1080" w:type="dxa"/>
          </w:tcPr>
          <w:p w14:paraId="1E334FD1">
            <w:pPr>
              <w:spacing w:line="360" w:lineRule="auto"/>
              <w:rPr>
                <w:rFonts w:hint="eastAsia" w:ascii="仿宋" w:hAnsi="仿宋" w:eastAsia="仿宋" w:cs="仿宋"/>
                <w:color w:val="auto"/>
                <w:szCs w:val="21"/>
                <w:highlight w:val="none"/>
              </w:rPr>
            </w:pPr>
          </w:p>
        </w:tc>
        <w:tc>
          <w:tcPr>
            <w:tcW w:w="2614" w:type="dxa"/>
          </w:tcPr>
          <w:p w14:paraId="625C6D32">
            <w:pPr>
              <w:spacing w:line="360" w:lineRule="auto"/>
              <w:rPr>
                <w:rFonts w:hint="eastAsia" w:ascii="仿宋" w:hAnsi="仿宋" w:eastAsia="仿宋" w:cs="仿宋"/>
                <w:color w:val="auto"/>
                <w:szCs w:val="21"/>
                <w:highlight w:val="none"/>
              </w:rPr>
            </w:pPr>
          </w:p>
        </w:tc>
        <w:tc>
          <w:tcPr>
            <w:tcW w:w="1069" w:type="dxa"/>
          </w:tcPr>
          <w:p w14:paraId="7BE1D03E">
            <w:pPr>
              <w:spacing w:line="360" w:lineRule="auto"/>
              <w:rPr>
                <w:rFonts w:hint="eastAsia" w:ascii="仿宋" w:hAnsi="仿宋" w:eastAsia="仿宋" w:cs="仿宋"/>
                <w:color w:val="auto"/>
                <w:szCs w:val="21"/>
                <w:highlight w:val="none"/>
              </w:rPr>
            </w:pPr>
          </w:p>
        </w:tc>
      </w:tr>
      <w:tr w14:paraId="028B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7597FF6F">
            <w:pPr>
              <w:spacing w:line="360" w:lineRule="auto"/>
              <w:rPr>
                <w:rFonts w:hint="eastAsia" w:ascii="仿宋" w:hAnsi="仿宋" w:eastAsia="仿宋" w:cs="仿宋"/>
                <w:color w:val="auto"/>
                <w:szCs w:val="21"/>
                <w:highlight w:val="none"/>
              </w:rPr>
            </w:pPr>
          </w:p>
        </w:tc>
        <w:tc>
          <w:tcPr>
            <w:tcW w:w="726" w:type="dxa"/>
          </w:tcPr>
          <w:p w14:paraId="754E263F">
            <w:pPr>
              <w:spacing w:line="360" w:lineRule="auto"/>
              <w:rPr>
                <w:rFonts w:hint="eastAsia" w:ascii="仿宋" w:hAnsi="仿宋" w:eastAsia="仿宋" w:cs="仿宋"/>
                <w:color w:val="auto"/>
                <w:szCs w:val="21"/>
                <w:highlight w:val="none"/>
              </w:rPr>
            </w:pPr>
          </w:p>
        </w:tc>
        <w:tc>
          <w:tcPr>
            <w:tcW w:w="889" w:type="dxa"/>
          </w:tcPr>
          <w:p w14:paraId="758D4FD1">
            <w:pPr>
              <w:spacing w:line="360" w:lineRule="auto"/>
              <w:rPr>
                <w:rFonts w:hint="eastAsia" w:ascii="仿宋" w:hAnsi="仿宋" w:eastAsia="仿宋" w:cs="仿宋"/>
                <w:color w:val="auto"/>
                <w:szCs w:val="21"/>
                <w:highlight w:val="none"/>
              </w:rPr>
            </w:pPr>
          </w:p>
        </w:tc>
        <w:tc>
          <w:tcPr>
            <w:tcW w:w="1451" w:type="dxa"/>
          </w:tcPr>
          <w:p w14:paraId="11FF1CD8">
            <w:pPr>
              <w:spacing w:line="360" w:lineRule="auto"/>
              <w:rPr>
                <w:rFonts w:hint="eastAsia" w:ascii="仿宋" w:hAnsi="仿宋" w:eastAsia="仿宋" w:cs="仿宋"/>
                <w:color w:val="auto"/>
                <w:szCs w:val="21"/>
                <w:highlight w:val="none"/>
              </w:rPr>
            </w:pPr>
          </w:p>
        </w:tc>
        <w:tc>
          <w:tcPr>
            <w:tcW w:w="900" w:type="dxa"/>
          </w:tcPr>
          <w:p w14:paraId="184B4223">
            <w:pPr>
              <w:spacing w:line="360" w:lineRule="auto"/>
              <w:rPr>
                <w:rFonts w:hint="eastAsia" w:ascii="仿宋" w:hAnsi="仿宋" w:eastAsia="仿宋" w:cs="仿宋"/>
                <w:color w:val="auto"/>
                <w:szCs w:val="21"/>
                <w:highlight w:val="none"/>
              </w:rPr>
            </w:pPr>
          </w:p>
        </w:tc>
        <w:tc>
          <w:tcPr>
            <w:tcW w:w="1080" w:type="dxa"/>
          </w:tcPr>
          <w:p w14:paraId="5B2F6774">
            <w:pPr>
              <w:spacing w:line="360" w:lineRule="auto"/>
              <w:rPr>
                <w:rFonts w:hint="eastAsia" w:ascii="仿宋" w:hAnsi="仿宋" w:eastAsia="仿宋" w:cs="仿宋"/>
                <w:color w:val="auto"/>
                <w:szCs w:val="21"/>
                <w:highlight w:val="none"/>
              </w:rPr>
            </w:pPr>
          </w:p>
        </w:tc>
        <w:tc>
          <w:tcPr>
            <w:tcW w:w="2614" w:type="dxa"/>
          </w:tcPr>
          <w:p w14:paraId="1C09EEB3">
            <w:pPr>
              <w:spacing w:line="360" w:lineRule="auto"/>
              <w:rPr>
                <w:rFonts w:hint="eastAsia" w:ascii="仿宋" w:hAnsi="仿宋" w:eastAsia="仿宋" w:cs="仿宋"/>
                <w:color w:val="auto"/>
                <w:szCs w:val="21"/>
                <w:highlight w:val="none"/>
              </w:rPr>
            </w:pPr>
          </w:p>
        </w:tc>
        <w:tc>
          <w:tcPr>
            <w:tcW w:w="1069" w:type="dxa"/>
          </w:tcPr>
          <w:p w14:paraId="45B65082">
            <w:pPr>
              <w:spacing w:line="360" w:lineRule="auto"/>
              <w:rPr>
                <w:rFonts w:hint="eastAsia" w:ascii="仿宋" w:hAnsi="仿宋" w:eastAsia="仿宋" w:cs="仿宋"/>
                <w:color w:val="auto"/>
                <w:szCs w:val="21"/>
                <w:highlight w:val="none"/>
              </w:rPr>
            </w:pPr>
          </w:p>
        </w:tc>
      </w:tr>
      <w:tr w14:paraId="53AA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78D8BA4E">
            <w:pPr>
              <w:spacing w:line="360" w:lineRule="auto"/>
              <w:rPr>
                <w:rFonts w:hint="eastAsia" w:ascii="仿宋" w:hAnsi="仿宋" w:eastAsia="仿宋" w:cs="仿宋"/>
                <w:color w:val="auto"/>
                <w:szCs w:val="21"/>
                <w:highlight w:val="none"/>
              </w:rPr>
            </w:pPr>
          </w:p>
        </w:tc>
        <w:tc>
          <w:tcPr>
            <w:tcW w:w="726" w:type="dxa"/>
          </w:tcPr>
          <w:p w14:paraId="281000B1">
            <w:pPr>
              <w:spacing w:line="360" w:lineRule="auto"/>
              <w:rPr>
                <w:rFonts w:hint="eastAsia" w:ascii="仿宋" w:hAnsi="仿宋" w:eastAsia="仿宋" w:cs="仿宋"/>
                <w:color w:val="auto"/>
                <w:szCs w:val="21"/>
                <w:highlight w:val="none"/>
              </w:rPr>
            </w:pPr>
          </w:p>
        </w:tc>
        <w:tc>
          <w:tcPr>
            <w:tcW w:w="889" w:type="dxa"/>
          </w:tcPr>
          <w:p w14:paraId="47D879D8">
            <w:pPr>
              <w:spacing w:line="360" w:lineRule="auto"/>
              <w:rPr>
                <w:rFonts w:hint="eastAsia" w:ascii="仿宋" w:hAnsi="仿宋" w:eastAsia="仿宋" w:cs="仿宋"/>
                <w:color w:val="auto"/>
                <w:szCs w:val="21"/>
                <w:highlight w:val="none"/>
              </w:rPr>
            </w:pPr>
          </w:p>
        </w:tc>
        <w:tc>
          <w:tcPr>
            <w:tcW w:w="1451" w:type="dxa"/>
          </w:tcPr>
          <w:p w14:paraId="560C2E29">
            <w:pPr>
              <w:spacing w:line="360" w:lineRule="auto"/>
              <w:rPr>
                <w:rFonts w:hint="eastAsia" w:ascii="仿宋" w:hAnsi="仿宋" w:eastAsia="仿宋" w:cs="仿宋"/>
                <w:color w:val="auto"/>
                <w:szCs w:val="21"/>
                <w:highlight w:val="none"/>
              </w:rPr>
            </w:pPr>
          </w:p>
        </w:tc>
        <w:tc>
          <w:tcPr>
            <w:tcW w:w="900" w:type="dxa"/>
          </w:tcPr>
          <w:p w14:paraId="2DF5C3F3">
            <w:pPr>
              <w:spacing w:line="360" w:lineRule="auto"/>
              <w:rPr>
                <w:rFonts w:hint="eastAsia" w:ascii="仿宋" w:hAnsi="仿宋" w:eastAsia="仿宋" w:cs="仿宋"/>
                <w:color w:val="auto"/>
                <w:szCs w:val="21"/>
                <w:highlight w:val="none"/>
              </w:rPr>
            </w:pPr>
          </w:p>
        </w:tc>
        <w:tc>
          <w:tcPr>
            <w:tcW w:w="1080" w:type="dxa"/>
          </w:tcPr>
          <w:p w14:paraId="515B0DE0">
            <w:pPr>
              <w:spacing w:line="360" w:lineRule="auto"/>
              <w:rPr>
                <w:rFonts w:hint="eastAsia" w:ascii="仿宋" w:hAnsi="仿宋" w:eastAsia="仿宋" w:cs="仿宋"/>
                <w:color w:val="auto"/>
                <w:szCs w:val="21"/>
                <w:highlight w:val="none"/>
              </w:rPr>
            </w:pPr>
          </w:p>
        </w:tc>
        <w:tc>
          <w:tcPr>
            <w:tcW w:w="2614" w:type="dxa"/>
          </w:tcPr>
          <w:p w14:paraId="2A6FC4EB">
            <w:pPr>
              <w:spacing w:line="360" w:lineRule="auto"/>
              <w:rPr>
                <w:rFonts w:hint="eastAsia" w:ascii="仿宋" w:hAnsi="仿宋" w:eastAsia="仿宋" w:cs="仿宋"/>
                <w:color w:val="auto"/>
                <w:szCs w:val="21"/>
                <w:highlight w:val="none"/>
              </w:rPr>
            </w:pPr>
          </w:p>
        </w:tc>
        <w:tc>
          <w:tcPr>
            <w:tcW w:w="1069" w:type="dxa"/>
          </w:tcPr>
          <w:p w14:paraId="7D025797">
            <w:pPr>
              <w:spacing w:line="360" w:lineRule="auto"/>
              <w:rPr>
                <w:rFonts w:hint="eastAsia" w:ascii="仿宋" w:hAnsi="仿宋" w:eastAsia="仿宋" w:cs="仿宋"/>
                <w:color w:val="auto"/>
                <w:szCs w:val="21"/>
                <w:highlight w:val="none"/>
              </w:rPr>
            </w:pPr>
          </w:p>
        </w:tc>
      </w:tr>
      <w:tr w14:paraId="27D3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554142FA">
            <w:pPr>
              <w:spacing w:line="360" w:lineRule="auto"/>
              <w:rPr>
                <w:rFonts w:hint="eastAsia" w:ascii="仿宋" w:hAnsi="仿宋" w:eastAsia="仿宋" w:cs="仿宋"/>
                <w:color w:val="auto"/>
                <w:szCs w:val="21"/>
                <w:highlight w:val="none"/>
              </w:rPr>
            </w:pPr>
          </w:p>
        </w:tc>
        <w:tc>
          <w:tcPr>
            <w:tcW w:w="726" w:type="dxa"/>
          </w:tcPr>
          <w:p w14:paraId="66E76358">
            <w:pPr>
              <w:spacing w:line="360" w:lineRule="auto"/>
              <w:rPr>
                <w:rFonts w:hint="eastAsia" w:ascii="仿宋" w:hAnsi="仿宋" w:eastAsia="仿宋" w:cs="仿宋"/>
                <w:color w:val="auto"/>
                <w:szCs w:val="21"/>
                <w:highlight w:val="none"/>
              </w:rPr>
            </w:pPr>
          </w:p>
        </w:tc>
        <w:tc>
          <w:tcPr>
            <w:tcW w:w="889" w:type="dxa"/>
          </w:tcPr>
          <w:p w14:paraId="40F9EF92">
            <w:pPr>
              <w:spacing w:line="360" w:lineRule="auto"/>
              <w:rPr>
                <w:rFonts w:hint="eastAsia" w:ascii="仿宋" w:hAnsi="仿宋" w:eastAsia="仿宋" w:cs="仿宋"/>
                <w:color w:val="auto"/>
                <w:szCs w:val="21"/>
                <w:highlight w:val="none"/>
              </w:rPr>
            </w:pPr>
          </w:p>
        </w:tc>
        <w:tc>
          <w:tcPr>
            <w:tcW w:w="1451" w:type="dxa"/>
          </w:tcPr>
          <w:p w14:paraId="31763BFE">
            <w:pPr>
              <w:spacing w:line="360" w:lineRule="auto"/>
              <w:rPr>
                <w:rFonts w:hint="eastAsia" w:ascii="仿宋" w:hAnsi="仿宋" w:eastAsia="仿宋" w:cs="仿宋"/>
                <w:color w:val="auto"/>
                <w:szCs w:val="21"/>
                <w:highlight w:val="none"/>
              </w:rPr>
            </w:pPr>
          </w:p>
        </w:tc>
        <w:tc>
          <w:tcPr>
            <w:tcW w:w="900" w:type="dxa"/>
          </w:tcPr>
          <w:p w14:paraId="4134B7E2">
            <w:pPr>
              <w:spacing w:line="360" w:lineRule="auto"/>
              <w:rPr>
                <w:rFonts w:hint="eastAsia" w:ascii="仿宋" w:hAnsi="仿宋" w:eastAsia="仿宋" w:cs="仿宋"/>
                <w:color w:val="auto"/>
                <w:szCs w:val="21"/>
                <w:highlight w:val="none"/>
              </w:rPr>
            </w:pPr>
          </w:p>
        </w:tc>
        <w:tc>
          <w:tcPr>
            <w:tcW w:w="1080" w:type="dxa"/>
          </w:tcPr>
          <w:p w14:paraId="56585DFD">
            <w:pPr>
              <w:spacing w:line="360" w:lineRule="auto"/>
              <w:rPr>
                <w:rFonts w:hint="eastAsia" w:ascii="仿宋" w:hAnsi="仿宋" w:eastAsia="仿宋" w:cs="仿宋"/>
                <w:color w:val="auto"/>
                <w:szCs w:val="21"/>
                <w:highlight w:val="none"/>
              </w:rPr>
            </w:pPr>
          </w:p>
        </w:tc>
        <w:tc>
          <w:tcPr>
            <w:tcW w:w="2614" w:type="dxa"/>
          </w:tcPr>
          <w:p w14:paraId="6069A6D4">
            <w:pPr>
              <w:spacing w:line="360" w:lineRule="auto"/>
              <w:rPr>
                <w:rFonts w:hint="eastAsia" w:ascii="仿宋" w:hAnsi="仿宋" w:eastAsia="仿宋" w:cs="仿宋"/>
                <w:color w:val="auto"/>
                <w:szCs w:val="21"/>
                <w:highlight w:val="none"/>
              </w:rPr>
            </w:pPr>
          </w:p>
        </w:tc>
        <w:tc>
          <w:tcPr>
            <w:tcW w:w="1069" w:type="dxa"/>
          </w:tcPr>
          <w:p w14:paraId="14172FF2">
            <w:pPr>
              <w:spacing w:line="360" w:lineRule="auto"/>
              <w:rPr>
                <w:rFonts w:hint="eastAsia" w:ascii="仿宋" w:hAnsi="仿宋" w:eastAsia="仿宋" w:cs="仿宋"/>
                <w:color w:val="auto"/>
                <w:szCs w:val="21"/>
                <w:highlight w:val="none"/>
              </w:rPr>
            </w:pPr>
          </w:p>
        </w:tc>
      </w:tr>
      <w:tr w14:paraId="760A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1BD48AD6">
            <w:pPr>
              <w:spacing w:line="360" w:lineRule="auto"/>
              <w:rPr>
                <w:rFonts w:hint="eastAsia" w:ascii="仿宋" w:hAnsi="仿宋" w:eastAsia="仿宋" w:cs="仿宋"/>
                <w:color w:val="auto"/>
                <w:szCs w:val="21"/>
                <w:highlight w:val="none"/>
              </w:rPr>
            </w:pPr>
          </w:p>
        </w:tc>
        <w:tc>
          <w:tcPr>
            <w:tcW w:w="726" w:type="dxa"/>
          </w:tcPr>
          <w:p w14:paraId="37F44141">
            <w:pPr>
              <w:spacing w:line="360" w:lineRule="auto"/>
              <w:rPr>
                <w:rFonts w:hint="eastAsia" w:ascii="仿宋" w:hAnsi="仿宋" w:eastAsia="仿宋" w:cs="仿宋"/>
                <w:color w:val="auto"/>
                <w:szCs w:val="21"/>
                <w:highlight w:val="none"/>
              </w:rPr>
            </w:pPr>
          </w:p>
        </w:tc>
        <w:tc>
          <w:tcPr>
            <w:tcW w:w="889" w:type="dxa"/>
          </w:tcPr>
          <w:p w14:paraId="2D01CA5D">
            <w:pPr>
              <w:spacing w:line="360" w:lineRule="auto"/>
              <w:rPr>
                <w:rFonts w:hint="eastAsia" w:ascii="仿宋" w:hAnsi="仿宋" w:eastAsia="仿宋" w:cs="仿宋"/>
                <w:color w:val="auto"/>
                <w:szCs w:val="21"/>
                <w:highlight w:val="none"/>
              </w:rPr>
            </w:pPr>
          </w:p>
        </w:tc>
        <w:tc>
          <w:tcPr>
            <w:tcW w:w="1451" w:type="dxa"/>
          </w:tcPr>
          <w:p w14:paraId="13BC7F8F">
            <w:pPr>
              <w:spacing w:line="360" w:lineRule="auto"/>
              <w:rPr>
                <w:rFonts w:hint="eastAsia" w:ascii="仿宋" w:hAnsi="仿宋" w:eastAsia="仿宋" w:cs="仿宋"/>
                <w:color w:val="auto"/>
                <w:szCs w:val="21"/>
                <w:highlight w:val="none"/>
              </w:rPr>
            </w:pPr>
          </w:p>
        </w:tc>
        <w:tc>
          <w:tcPr>
            <w:tcW w:w="900" w:type="dxa"/>
          </w:tcPr>
          <w:p w14:paraId="65322C59">
            <w:pPr>
              <w:spacing w:line="360" w:lineRule="auto"/>
              <w:rPr>
                <w:rFonts w:hint="eastAsia" w:ascii="仿宋" w:hAnsi="仿宋" w:eastAsia="仿宋" w:cs="仿宋"/>
                <w:color w:val="auto"/>
                <w:szCs w:val="21"/>
                <w:highlight w:val="none"/>
              </w:rPr>
            </w:pPr>
          </w:p>
        </w:tc>
        <w:tc>
          <w:tcPr>
            <w:tcW w:w="1080" w:type="dxa"/>
          </w:tcPr>
          <w:p w14:paraId="15086B70">
            <w:pPr>
              <w:spacing w:line="360" w:lineRule="auto"/>
              <w:rPr>
                <w:rFonts w:hint="eastAsia" w:ascii="仿宋" w:hAnsi="仿宋" w:eastAsia="仿宋" w:cs="仿宋"/>
                <w:color w:val="auto"/>
                <w:szCs w:val="21"/>
                <w:highlight w:val="none"/>
              </w:rPr>
            </w:pPr>
          </w:p>
        </w:tc>
        <w:tc>
          <w:tcPr>
            <w:tcW w:w="2614" w:type="dxa"/>
          </w:tcPr>
          <w:p w14:paraId="171D0EA1">
            <w:pPr>
              <w:spacing w:line="360" w:lineRule="auto"/>
              <w:rPr>
                <w:rFonts w:hint="eastAsia" w:ascii="仿宋" w:hAnsi="仿宋" w:eastAsia="仿宋" w:cs="仿宋"/>
                <w:color w:val="auto"/>
                <w:szCs w:val="21"/>
                <w:highlight w:val="none"/>
              </w:rPr>
            </w:pPr>
          </w:p>
        </w:tc>
        <w:tc>
          <w:tcPr>
            <w:tcW w:w="1069" w:type="dxa"/>
          </w:tcPr>
          <w:p w14:paraId="38E3BF23">
            <w:pPr>
              <w:spacing w:line="360" w:lineRule="auto"/>
              <w:rPr>
                <w:rFonts w:hint="eastAsia" w:ascii="仿宋" w:hAnsi="仿宋" w:eastAsia="仿宋" w:cs="仿宋"/>
                <w:color w:val="auto"/>
                <w:szCs w:val="21"/>
                <w:highlight w:val="none"/>
              </w:rPr>
            </w:pPr>
          </w:p>
        </w:tc>
      </w:tr>
      <w:tr w14:paraId="17EF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77F4C91A">
            <w:pPr>
              <w:spacing w:line="360" w:lineRule="auto"/>
              <w:rPr>
                <w:rFonts w:hint="eastAsia" w:ascii="仿宋" w:hAnsi="仿宋" w:eastAsia="仿宋" w:cs="仿宋"/>
                <w:color w:val="auto"/>
                <w:szCs w:val="21"/>
                <w:highlight w:val="none"/>
              </w:rPr>
            </w:pPr>
          </w:p>
        </w:tc>
        <w:tc>
          <w:tcPr>
            <w:tcW w:w="726" w:type="dxa"/>
          </w:tcPr>
          <w:p w14:paraId="7D2B3E22">
            <w:pPr>
              <w:spacing w:line="360" w:lineRule="auto"/>
              <w:rPr>
                <w:rFonts w:hint="eastAsia" w:ascii="仿宋" w:hAnsi="仿宋" w:eastAsia="仿宋" w:cs="仿宋"/>
                <w:color w:val="auto"/>
                <w:szCs w:val="21"/>
                <w:highlight w:val="none"/>
              </w:rPr>
            </w:pPr>
          </w:p>
        </w:tc>
        <w:tc>
          <w:tcPr>
            <w:tcW w:w="889" w:type="dxa"/>
          </w:tcPr>
          <w:p w14:paraId="1C3353E7">
            <w:pPr>
              <w:spacing w:line="360" w:lineRule="auto"/>
              <w:rPr>
                <w:rFonts w:hint="eastAsia" w:ascii="仿宋" w:hAnsi="仿宋" w:eastAsia="仿宋" w:cs="仿宋"/>
                <w:color w:val="auto"/>
                <w:szCs w:val="21"/>
                <w:highlight w:val="none"/>
              </w:rPr>
            </w:pPr>
          </w:p>
        </w:tc>
        <w:tc>
          <w:tcPr>
            <w:tcW w:w="1451" w:type="dxa"/>
          </w:tcPr>
          <w:p w14:paraId="3556426F">
            <w:pPr>
              <w:spacing w:line="360" w:lineRule="auto"/>
              <w:rPr>
                <w:rFonts w:hint="eastAsia" w:ascii="仿宋" w:hAnsi="仿宋" w:eastAsia="仿宋" w:cs="仿宋"/>
                <w:color w:val="auto"/>
                <w:szCs w:val="21"/>
                <w:highlight w:val="none"/>
              </w:rPr>
            </w:pPr>
          </w:p>
        </w:tc>
        <w:tc>
          <w:tcPr>
            <w:tcW w:w="900" w:type="dxa"/>
          </w:tcPr>
          <w:p w14:paraId="71C7D6F6">
            <w:pPr>
              <w:spacing w:line="360" w:lineRule="auto"/>
              <w:rPr>
                <w:rFonts w:hint="eastAsia" w:ascii="仿宋" w:hAnsi="仿宋" w:eastAsia="仿宋" w:cs="仿宋"/>
                <w:color w:val="auto"/>
                <w:szCs w:val="21"/>
                <w:highlight w:val="none"/>
              </w:rPr>
            </w:pPr>
          </w:p>
        </w:tc>
        <w:tc>
          <w:tcPr>
            <w:tcW w:w="1080" w:type="dxa"/>
          </w:tcPr>
          <w:p w14:paraId="2E9A07BA">
            <w:pPr>
              <w:spacing w:line="360" w:lineRule="auto"/>
              <w:rPr>
                <w:rFonts w:hint="eastAsia" w:ascii="仿宋" w:hAnsi="仿宋" w:eastAsia="仿宋" w:cs="仿宋"/>
                <w:color w:val="auto"/>
                <w:szCs w:val="21"/>
                <w:highlight w:val="none"/>
              </w:rPr>
            </w:pPr>
          </w:p>
        </w:tc>
        <w:tc>
          <w:tcPr>
            <w:tcW w:w="2614" w:type="dxa"/>
          </w:tcPr>
          <w:p w14:paraId="4AFB33BC">
            <w:pPr>
              <w:spacing w:line="360" w:lineRule="auto"/>
              <w:rPr>
                <w:rFonts w:hint="eastAsia" w:ascii="仿宋" w:hAnsi="仿宋" w:eastAsia="仿宋" w:cs="仿宋"/>
                <w:color w:val="auto"/>
                <w:szCs w:val="21"/>
                <w:highlight w:val="none"/>
              </w:rPr>
            </w:pPr>
          </w:p>
        </w:tc>
        <w:tc>
          <w:tcPr>
            <w:tcW w:w="1069" w:type="dxa"/>
          </w:tcPr>
          <w:p w14:paraId="4F3E2DCF">
            <w:pPr>
              <w:spacing w:line="360" w:lineRule="auto"/>
              <w:rPr>
                <w:rFonts w:hint="eastAsia" w:ascii="仿宋" w:hAnsi="仿宋" w:eastAsia="仿宋" w:cs="仿宋"/>
                <w:color w:val="auto"/>
                <w:szCs w:val="21"/>
                <w:highlight w:val="none"/>
              </w:rPr>
            </w:pPr>
          </w:p>
        </w:tc>
      </w:tr>
      <w:tr w14:paraId="6E82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5D3EE7E3">
            <w:pPr>
              <w:spacing w:line="360" w:lineRule="auto"/>
              <w:rPr>
                <w:rFonts w:hint="eastAsia" w:ascii="仿宋" w:hAnsi="仿宋" w:eastAsia="仿宋" w:cs="仿宋"/>
                <w:color w:val="auto"/>
                <w:szCs w:val="21"/>
                <w:highlight w:val="none"/>
              </w:rPr>
            </w:pPr>
          </w:p>
        </w:tc>
        <w:tc>
          <w:tcPr>
            <w:tcW w:w="726" w:type="dxa"/>
          </w:tcPr>
          <w:p w14:paraId="09ED078A">
            <w:pPr>
              <w:spacing w:line="360" w:lineRule="auto"/>
              <w:rPr>
                <w:rFonts w:hint="eastAsia" w:ascii="仿宋" w:hAnsi="仿宋" w:eastAsia="仿宋" w:cs="仿宋"/>
                <w:color w:val="auto"/>
                <w:szCs w:val="21"/>
                <w:highlight w:val="none"/>
              </w:rPr>
            </w:pPr>
          </w:p>
        </w:tc>
        <w:tc>
          <w:tcPr>
            <w:tcW w:w="889" w:type="dxa"/>
          </w:tcPr>
          <w:p w14:paraId="0864687E">
            <w:pPr>
              <w:spacing w:line="360" w:lineRule="auto"/>
              <w:rPr>
                <w:rFonts w:hint="eastAsia" w:ascii="仿宋" w:hAnsi="仿宋" w:eastAsia="仿宋" w:cs="仿宋"/>
                <w:color w:val="auto"/>
                <w:szCs w:val="21"/>
                <w:highlight w:val="none"/>
              </w:rPr>
            </w:pPr>
          </w:p>
        </w:tc>
        <w:tc>
          <w:tcPr>
            <w:tcW w:w="1451" w:type="dxa"/>
          </w:tcPr>
          <w:p w14:paraId="7695FEFD">
            <w:pPr>
              <w:spacing w:line="360" w:lineRule="auto"/>
              <w:rPr>
                <w:rFonts w:hint="eastAsia" w:ascii="仿宋" w:hAnsi="仿宋" w:eastAsia="仿宋" w:cs="仿宋"/>
                <w:color w:val="auto"/>
                <w:szCs w:val="21"/>
                <w:highlight w:val="none"/>
              </w:rPr>
            </w:pPr>
          </w:p>
        </w:tc>
        <w:tc>
          <w:tcPr>
            <w:tcW w:w="900" w:type="dxa"/>
          </w:tcPr>
          <w:p w14:paraId="527B60C6">
            <w:pPr>
              <w:spacing w:line="360" w:lineRule="auto"/>
              <w:rPr>
                <w:rFonts w:hint="eastAsia" w:ascii="仿宋" w:hAnsi="仿宋" w:eastAsia="仿宋" w:cs="仿宋"/>
                <w:color w:val="auto"/>
                <w:szCs w:val="21"/>
                <w:highlight w:val="none"/>
              </w:rPr>
            </w:pPr>
          </w:p>
        </w:tc>
        <w:tc>
          <w:tcPr>
            <w:tcW w:w="1080" w:type="dxa"/>
          </w:tcPr>
          <w:p w14:paraId="711EEB6D">
            <w:pPr>
              <w:spacing w:line="360" w:lineRule="auto"/>
              <w:rPr>
                <w:rFonts w:hint="eastAsia" w:ascii="仿宋" w:hAnsi="仿宋" w:eastAsia="仿宋" w:cs="仿宋"/>
                <w:color w:val="auto"/>
                <w:szCs w:val="21"/>
                <w:highlight w:val="none"/>
              </w:rPr>
            </w:pPr>
          </w:p>
        </w:tc>
        <w:tc>
          <w:tcPr>
            <w:tcW w:w="2614" w:type="dxa"/>
          </w:tcPr>
          <w:p w14:paraId="7037BA1A">
            <w:pPr>
              <w:spacing w:line="360" w:lineRule="auto"/>
              <w:rPr>
                <w:rFonts w:hint="eastAsia" w:ascii="仿宋" w:hAnsi="仿宋" w:eastAsia="仿宋" w:cs="仿宋"/>
                <w:color w:val="auto"/>
                <w:szCs w:val="21"/>
                <w:highlight w:val="none"/>
              </w:rPr>
            </w:pPr>
          </w:p>
        </w:tc>
        <w:tc>
          <w:tcPr>
            <w:tcW w:w="1069" w:type="dxa"/>
          </w:tcPr>
          <w:p w14:paraId="0D717ECB">
            <w:pPr>
              <w:spacing w:line="360" w:lineRule="auto"/>
              <w:rPr>
                <w:rFonts w:hint="eastAsia" w:ascii="仿宋" w:hAnsi="仿宋" w:eastAsia="仿宋" w:cs="仿宋"/>
                <w:color w:val="auto"/>
                <w:szCs w:val="21"/>
                <w:highlight w:val="none"/>
              </w:rPr>
            </w:pPr>
          </w:p>
        </w:tc>
      </w:tr>
      <w:tr w14:paraId="3AA8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51F44ECE">
            <w:pPr>
              <w:spacing w:line="360" w:lineRule="auto"/>
              <w:rPr>
                <w:rFonts w:hint="eastAsia" w:ascii="仿宋" w:hAnsi="仿宋" w:eastAsia="仿宋" w:cs="仿宋"/>
                <w:color w:val="auto"/>
                <w:szCs w:val="21"/>
                <w:highlight w:val="none"/>
              </w:rPr>
            </w:pPr>
          </w:p>
        </w:tc>
        <w:tc>
          <w:tcPr>
            <w:tcW w:w="726" w:type="dxa"/>
          </w:tcPr>
          <w:p w14:paraId="47F1F3C1">
            <w:pPr>
              <w:spacing w:line="360" w:lineRule="auto"/>
              <w:rPr>
                <w:rFonts w:hint="eastAsia" w:ascii="仿宋" w:hAnsi="仿宋" w:eastAsia="仿宋" w:cs="仿宋"/>
                <w:color w:val="auto"/>
                <w:szCs w:val="21"/>
                <w:highlight w:val="none"/>
              </w:rPr>
            </w:pPr>
          </w:p>
        </w:tc>
        <w:tc>
          <w:tcPr>
            <w:tcW w:w="889" w:type="dxa"/>
          </w:tcPr>
          <w:p w14:paraId="5A99E527">
            <w:pPr>
              <w:spacing w:line="360" w:lineRule="auto"/>
              <w:rPr>
                <w:rFonts w:hint="eastAsia" w:ascii="仿宋" w:hAnsi="仿宋" w:eastAsia="仿宋" w:cs="仿宋"/>
                <w:color w:val="auto"/>
                <w:szCs w:val="21"/>
                <w:highlight w:val="none"/>
              </w:rPr>
            </w:pPr>
          </w:p>
        </w:tc>
        <w:tc>
          <w:tcPr>
            <w:tcW w:w="1451" w:type="dxa"/>
          </w:tcPr>
          <w:p w14:paraId="3E8658FA">
            <w:pPr>
              <w:spacing w:line="360" w:lineRule="auto"/>
              <w:rPr>
                <w:rFonts w:hint="eastAsia" w:ascii="仿宋" w:hAnsi="仿宋" w:eastAsia="仿宋" w:cs="仿宋"/>
                <w:color w:val="auto"/>
                <w:szCs w:val="21"/>
                <w:highlight w:val="none"/>
              </w:rPr>
            </w:pPr>
          </w:p>
        </w:tc>
        <w:tc>
          <w:tcPr>
            <w:tcW w:w="900" w:type="dxa"/>
          </w:tcPr>
          <w:p w14:paraId="0BF89337">
            <w:pPr>
              <w:spacing w:line="360" w:lineRule="auto"/>
              <w:rPr>
                <w:rFonts w:hint="eastAsia" w:ascii="仿宋" w:hAnsi="仿宋" w:eastAsia="仿宋" w:cs="仿宋"/>
                <w:color w:val="auto"/>
                <w:szCs w:val="21"/>
                <w:highlight w:val="none"/>
              </w:rPr>
            </w:pPr>
          </w:p>
        </w:tc>
        <w:tc>
          <w:tcPr>
            <w:tcW w:w="1080" w:type="dxa"/>
          </w:tcPr>
          <w:p w14:paraId="087EE911">
            <w:pPr>
              <w:spacing w:line="360" w:lineRule="auto"/>
              <w:rPr>
                <w:rFonts w:hint="eastAsia" w:ascii="仿宋" w:hAnsi="仿宋" w:eastAsia="仿宋" w:cs="仿宋"/>
                <w:color w:val="auto"/>
                <w:szCs w:val="21"/>
                <w:highlight w:val="none"/>
              </w:rPr>
            </w:pPr>
          </w:p>
        </w:tc>
        <w:tc>
          <w:tcPr>
            <w:tcW w:w="2614" w:type="dxa"/>
          </w:tcPr>
          <w:p w14:paraId="54633D3D">
            <w:pPr>
              <w:spacing w:line="360" w:lineRule="auto"/>
              <w:rPr>
                <w:rFonts w:hint="eastAsia" w:ascii="仿宋" w:hAnsi="仿宋" w:eastAsia="仿宋" w:cs="仿宋"/>
                <w:color w:val="auto"/>
                <w:szCs w:val="21"/>
                <w:highlight w:val="none"/>
              </w:rPr>
            </w:pPr>
          </w:p>
        </w:tc>
        <w:tc>
          <w:tcPr>
            <w:tcW w:w="1069" w:type="dxa"/>
          </w:tcPr>
          <w:p w14:paraId="3873C743">
            <w:pPr>
              <w:spacing w:line="360" w:lineRule="auto"/>
              <w:rPr>
                <w:rFonts w:hint="eastAsia" w:ascii="仿宋" w:hAnsi="仿宋" w:eastAsia="仿宋" w:cs="仿宋"/>
                <w:color w:val="auto"/>
                <w:szCs w:val="21"/>
                <w:highlight w:val="none"/>
              </w:rPr>
            </w:pPr>
          </w:p>
        </w:tc>
      </w:tr>
      <w:tr w14:paraId="72F6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793F7D29">
            <w:pPr>
              <w:spacing w:line="360" w:lineRule="auto"/>
              <w:rPr>
                <w:rFonts w:hint="eastAsia" w:ascii="仿宋" w:hAnsi="仿宋" w:eastAsia="仿宋" w:cs="仿宋"/>
                <w:color w:val="auto"/>
                <w:szCs w:val="21"/>
                <w:highlight w:val="none"/>
              </w:rPr>
            </w:pPr>
          </w:p>
        </w:tc>
        <w:tc>
          <w:tcPr>
            <w:tcW w:w="726" w:type="dxa"/>
          </w:tcPr>
          <w:p w14:paraId="2BFB9CEE">
            <w:pPr>
              <w:spacing w:line="360" w:lineRule="auto"/>
              <w:rPr>
                <w:rFonts w:hint="eastAsia" w:ascii="仿宋" w:hAnsi="仿宋" w:eastAsia="仿宋" w:cs="仿宋"/>
                <w:color w:val="auto"/>
                <w:szCs w:val="21"/>
                <w:highlight w:val="none"/>
              </w:rPr>
            </w:pPr>
          </w:p>
        </w:tc>
        <w:tc>
          <w:tcPr>
            <w:tcW w:w="889" w:type="dxa"/>
          </w:tcPr>
          <w:p w14:paraId="79C80359">
            <w:pPr>
              <w:spacing w:line="360" w:lineRule="auto"/>
              <w:rPr>
                <w:rFonts w:hint="eastAsia" w:ascii="仿宋" w:hAnsi="仿宋" w:eastAsia="仿宋" w:cs="仿宋"/>
                <w:color w:val="auto"/>
                <w:szCs w:val="21"/>
                <w:highlight w:val="none"/>
              </w:rPr>
            </w:pPr>
          </w:p>
        </w:tc>
        <w:tc>
          <w:tcPr>
            <w:tcW w:w="1451" w:type="dxa"/>
          </w:tcPr>
          <w:p w14:paraId="3974F255">
            <w:pPr>
              <w:spacing w:line="360" w:lineRule="auto"/>
              <w:rPr>
                <w:rFonts w:hint="eastAsia" w:ascii="仿宋" w:hAnsi="仿宋" w:eastAsia="仿宋" w:cs="仿宋"/>
                <w:color w:val="auto"/>
                <w:szCs w:val="21"/>
                <w:highlight w:val="none"/>
              </w:rPr>
            </w:pPr>
          </w:p>
        </w:tc>
        <w:tc>
          <w:tcPr>
            <w:tcW w:w="900" w:type="dxa"/>
          </w:tcPr>
          <w:p w14:paraId="39F888B7">
            <w:pPr>
              <w:spacing w:line="360" w:lineRule="auto"/>
              <w:rPr>
                <w:rFonts w:hint="eastAsia" w:ascii="仿宋" w:hAnsi="仿宋" w:eastAsia="仿宋" w:cs="仿宋"/>
                <w:color w:val="auto"/>
                <w:szCs w:val="21"/>
                <w:highlight w:val="none"/>
              </w:rPr>
            </w:pPr>
          </w:p>
        </w:tc>
        <w:tc>
          <w:tcPr>
            <w:tcW w:w="1080" w:type="dxa"/>
          </w:tcPr>
          <w:p w14:paraId="092E5EAF">
            <w:pPr>
              <w:spacing w:line="360" w:lineRule="auto"/>
              <w:rPr>
                <w:rFonts w:hint="eastAsia" w:ascii="仿宋" w:hAnsi="仿宋" w:eastAsia="仿宋" w:cs="仿宋"/>
                <w:color w:val="auto"/>
                <w:szCs w:val="21"/>
                <w:highlight w:val="none"/>
              </w:rPr>
            </w:pPr>
          </w:p>
        </w:tc>
        <w:tc>
          <w:tcPr>
            <w:tcW w:w="2614" w:type="dxa"/>
          </w:tcPr>
          <w:p w14:paraId="606DF64E">
            <w:pPr>
              <w:spacing w:line="360" w:lineRule="auto"/>
              <w:rPr>
                <w:rFonts w:hint="eastAsia" w:ascii="仿宋" w:hAnsi="仿宋" w:eastAsia="仿宋" w:cs="仿宋"/>
                <w:color w:val="auto"/>
                <w:szCs w:val="21"/>
                <w:highlight w:val="none"/>
              </w:rPr>
            </w:pPr>
          </w:p>
        </w:tc>
        <w:tc>
          <w:tcPr>
            <w:tcW w:w="1069" w:type="dxa"/>
          </w:tcPr>
          <w:p w14:paraId="47C0196C">
            <w:pPr>
              <w:spacing w:line="360" w:lineRule="auto"/>
              <w:rPr>
                <w:rFonts w:hint="eastAsia" w:ascii="仿宋" w:hAnsi="仿宋" w:eastAsia="仿宋" w:cs="仿宋"/>
                <w:color w:val="auto"/>
                <w:szCs w:val="21"/>
                <w:highlight w:val="none"/>
              </w:rPr>
            </w:pPr>
          </w:p>
        </w:tc>
      </w:tr>
      <w:tr w14:paraId="4A2C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380DA621">
            <w:pPr>
              <w:spacing w:line="360" w:lineRule="auto"/>
              <w:rPr>
                <w:rFonts w:hint="eastAsia" w:ascii="仿宋" w:hAnsi="仿宋" w:eastAsia="仿宋" w:cs="仿宋"/>
                <w:color w:val="auto"/>
                <w:szCs w:val="21"/>
                <w:highlight w:val="none"/>
              </w:rPr>
            </w:pPr>
          </w:p>
        </w:tc>
        <w:tc>
          <w:tcPr>
            <w:tcW w:w="726" w:type="dxa"/>
          </w:tcPr>
          <w:p w14:paraId="519DD1AC">
            <w:pPr>
              <w:spacing w:line="360" w:lineRule="auto"/>
              <w:rPr>
                <w:rFonts w:hint="eastAsia" w:ascii="仿宋" w:hAnsi="仿宋" w:eastAsia="仿宋" w:cs="仿宋"/>
                <w:color w:val="auto"/>
                <w:szCs w:val="21"/>
                <w:highlight w:val="none"/>
              </w:rPr>
            </w:pPr>
          </w:p>
        </w:tc>
        <w:tc>
          <w:tcPr>
            <w:tcW w:w="889" w:type="dxa"/>
          </w:tcPr>
          <w:p w14:paraId="2DB1CDF4">
            <w:pPr>
              <w:spacing w:line="360" w:lineRule="auto"/>
              <w:rPr>
                <w:rFonts w:hint="eastAsia" w:ascii="仿宋" w:hAnsi="仿宋" w:eastAsia="仿宋" w:cs="仿宋"/>
                <w:color w:val="auto"/>
                <w:szCs w:val="21"/>
                <w:highlight w:val="none"/>
              </w:rPr>
            </w:pPr>
          </w:p>
        </w:tc>
        <w:tc>
          <w:tcPr>
            <w:tcW w:w="1451" w:type="dxa"/>
          </w:tcPr>
          <w:p w14:paraId="2F19579F">
            <w:pPr>
              <w:spacing w:line="360" w:lineRule="auto"/>
              <w:rPr>
                <w:rFonts w:hint="eastAsia" w:ascii="仿宋" w:hAnsi="仿宋" w:eastAsia="仿宋" w:cs="仿宋"/>
                <w:color w:val="auto"/>
                <w:szCs w:val="21"/>
                <w:highlight w:val="none"/>
              </w:rPr>
            </w:pPr>
          </w:p>
        </w:tc>
        <w:tc>
          <w:tcPr>
            <w:tcW w:w="900" w:type="dxa"/>
          </w:tcPr>
          <w:p w14:paraId="1D5AC260">
            <w:pPr>
              <w:spacing w:line="360" w:lineRule="auto"/>
              <w:rPr>
                <w:rFonts w:hint="eastAsia" w:ascii="仿宋" w:hAnsi="仿宋" w:eastAsia="仿宋" w:cs="仿宋"/>
                <w:color w:val="auto"/>
                <w:szCs w:val="21"/>
                <w:highlight w:val="none"/>
              </w:rPr>
            </w:pPr>
          </w:p>
        </w:tc>
        <w:tc>
          <w:tcPr>
            <w:tcW w:w="1080" w:type="dxa"/>
          </w:tcPr>
          <w:p w14:paraId="13E47169">
            <w:pPr>
              <w:spacing w:line="360" w:lineRule="auto"/>
              <w:rPr>
                <w:rFonts w:hint="eastAsia" w:ascii="仿宋" w:hAnsi="仿宋" w:eastAsia="仿宋" w:cs="仿宋"/>
                <w:color w:val="auto"/>
                <w:szCs w:val="21"/>
                <w:highlight w:val="none"/>
              </w:rPr>
            </w:pPr>
          </w:p>
        </w:tc>
        <w:tc>
          <w:tcPr>
            <w:tcW w:w="2614" w:type="dxa"/>
          </w:tcPr>
          <w:p w14:paraId="47B7088F">
            <w:pPr>
              <w:spacing w:line="360" w:lineRule="auto"/>
              <w:rPr>
                <w:rFonts w:hint="eastAsia" w:ascii="仿宋" w:hAnsi="仿宋" w:eastAsia="仿宋" w:cs="仿宋"/>
                <w:color w:val="auto"/>
                <w:szCs w:val="21"/>
                <w:highlight w:val="none"/>
              </w:rPr>
            </w:pPr>
          </w:p>
        </w:tc>
        <w:tc>
          <w:tcPr>
            <w:tcW w:w="1069" w:type="dxa"/>
          </w:tcPr>
          <w:p w14:paraId="7C51DE30">
            <w:pPr>
              <w:spacing w:line="360" w:lineRule="auto"/>
              <w:rPr>
                <w:rFonts w:hint="eastAsia" w:ascii="仿宋" w:hAnsi="仿宋" w:eastAsia="仿宋" w:cs="仿宋"/>
                <w:color w:val="auto"/>
                <w:szCs w:val="21"/>
                <w:highlight w:val="none"/>
              </w:rPr>
            </w:pPr>
          </w:p>
        </w:tc>
      </w:tr>
      <w:tr w14:paraId="2CE3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31ED5BCC">
            <w:pPr>
              <w:spacing w:line="360" w:lineRule="auto"/>
              <w:rPr>
                <w:rFonts w:hint="eastAsia" w:ascii="仿宋" w:hAnsi="仿宋" w:eastAsia="仿宋" w:cs="仿宋"/>
                <w:color w:val="auto"/>
                <w:szCs w:val="21"/>
                <w:highlight w:val="none"/>
              </w:rPr>
            </w:pPr>
          </w:p>
        </w:tc>
        <w:tc>
          <w:tcPr>
            <w:tcW w:w="726" w:type="dxa"/>
          </w:tcPr>
          <w:p w14:paraId="46D50E00">
            <w:pPr>
              <w:spacing w:line="360" w:lineRule="auto"/>
              <w:rPr>
                <w:rFonts w:hint="eastAsia" w:ascii="仿宋" w:hAnsi="仿宋" w:eastAsia="仿宋" w:cs="仿宋"/>
                <w:color w:val="auto"/>
                <w:szCs w:val="21"/>
                <w:highlight w:val="none"/>
              </w:rPr>
            </w:pPr>
          </w:p>
        </w:tc>
        <w:tc>
          <w:tcPr>
            <w:tcW w:w="889" w:type="dxa"/>
          </w:tcPr>
          <w:p w14:paraId="136D3112">
            <w:pPr>
              <w:spacing w:line="360" w:lineRule="auto"/>
              <w:rPr>
                <w:rFonts w:hint="eastAsia" w:ascii="仿宋" w:hAnsi="仿宋" w:eastAsia="仿宋" w:cs="仿宋"/>
                <w:color w:val="auto"/>
                <w:szCs w:val="21"/>
                <w:highlight w:val="none"/>
              </w:rPr>
            </w:pPr>
          </w:p>
        </w:tc>
        <w:tc>
          <w:tcPr>
            <w:tcW w:w="1451" w:type="dxa"/>
          </w:tcPr>
          <w:p w14:paraId="3151E367">
            <w:pPr>
              <w:spacing w:line="360" w:lineRule="auto"/>
              <w:rPr>
                <w:rFonts w:hint="eastAsia" w:ascii="仿宋" w:hAnsi="仿宋" w:eastAsia="仿宋" w:cs="仿宋"/>
                <w:color w:val="auto"/>
                <w:szCs w:val="21"/>
                <w:highlight w:val="none"/>
              </w:rPr>
            </w:pPr>
          </w:p>
        </w:tc>
        <w:tc>
          <w:tcPr>
            <w:tcW w:w="900" w:type="dxa"/>
          </w:tcPr>
          <w:p w14:paraId="36ADD090">
            <w:pPr>
              <w:spacing w:line="360" w:lineRule="auto"/>
              <w:rPr>
                <w:rFonts w:hint="eastAsia" w:ascii="仿宋" w:hAnsi="仿宋" w:eastAsia="仿宋" w:cs="仿宋"/>
                <w:color w:val="auto"/>
                <w:szCs w:val="21"/>
                <w:highlight w:val="none"/>
              </w:rPr>
            </w:pPr>
          </w:p>
        </w:tc>
        <w:tc>
          <w:tcPr>
            <w:tcW w:w="1080" w:type="dxa"/>
          </w:tcPr>
          <w:p w14:paraId="64656C80">
            <w:pPr>
              <w:spacing w:line="360" w:lineRule="auto"/>
              <w:rPr>
                <w:rFonts w:hint="eastAsia" w:ascii="仿宋" w:hAnsi="仿宋" w:eastAsia="仿宋" w:cs="仿宋"/>
                <w:color w:val="auto"/>
                <w:szCs w:val="21"/>
                <w:highlight w:val="none"/>
              </w:rPr>
            </w:pPr>
          </w:p>
        </w:tc>
        <w:tc>
          <w:tcPr>
            <w:tcW w:w="2614" w:type="dxa"/>
          </w:tcPr>
          <w:p w14:paraId="08274131">
            <w:pPr>
              <w:spacing w:line="360" w:lineRule="auto"/>
              <w:rPr>
                <w:rFonts w:hint="eastAsia" w:ascii="仿宋" w:hAnsi="仿宋" w:eastAsia="仿宋" w:cs="仿宋"/>
                <w:color w:val="auto"/>
                <w:szCs w:val="21"/>
                <w:highlight w:val="none"/>
              </w:rPr>
            </w:pPr>
          </w:p>
        </w:tc>
        <w:tc>
          <w:tcPr>
            <w:tcW w:w="1069" w:type="dxa"/>
          </w:tcPr>
          <w:p w14:paraId="172358B8">
            <w:pPr>
              <w:spacing w:line="360" w:lineRule="auto"/>
              <w:rPr>
                <w:rFonts w:hint="eastAsia" w:ascii="仿宋" w:hAnsi="仿宋" w:eastAsia="仿宋" w:cs="仿宋"/>
                <w:color w:val="auto"/>
                <w:szCs w:val="21"/>
                <w:highlight w:val="none"/>
              </w:rPr>
            </w:pPr>
          </w:p>
        </w:tc>
      </w:tr>
    </w:tbl>
    <w:p w14:paraId="74DD00B6">
      <w:pPr>
        <w:spacing w:line="360" w:lineRule="auto"/>
        <w:rPr>
          <w:rFonts w:hint="eastAsia" w:ascii="仿宋" w:hAnsi="仿宋" w:eastAsia="仿宋" w:cs="仿宋"/>
          <w:color w:val="auto"/>
          <w:szCs w:val="21"/>
          <w:highlight w:val="none"/>
        </w:rPr>
      </w:pPr>
    </w:p>
    <w:p w14:paraId="6FCEFA0D">
      <w:pPr>
        <w:spacing w:line="360" w:lineRule="auto"/>
        <w:ind w:firstLine="420" w:firstLineChars="200"/>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p>
    <w:p w14:paraId="524F2997">
      <w:pPr>
        <w:pStyle w:val="6"/>
        <w:rPr>
          <w:rFonts w:hint="eastAsia" w:ascii="仿宋" w:hAnsi="仿宋" w:eastAsia="仿宋" w:cs="仿宋"/>
          <w:color w:val="auto"/>
          <w:szCs w:val="24"/>
          <w:highlight w:val="none"/>
        </w:rPr>
      </w:pPr>
      <w:r>
        <w:rPr>
          <w:rFonts w:hint="eastAsia" w:ascii="仿宋" w:hAnsi="仿宋" w:eastAsia="仿宋" w:cs="仿宋"/>
          <w:color w:val="auto"/>
          <w:szCs w:val="24"/>
          <w:highlight w:val="none"/>
        </w:rPr>
        <w:t>（二）主要人员简历表</w:t>
      </w:r>
    </w:p>
    <w:p w14:paraId="4E019CD2">
      <w:pPr>
        <w:spacing w:line="420" w:lineRule="exact"/>
        <w:outlineLvl w:val="3"/>
        <w:rPr>
          <w:rFonts w:hint="eastAsia" w:ascii="仿宋" w:hAnsi="仿宋" w:eastAsia="仿宋" w:cs="仿宋"/>
          <w:color w:val="auto"/>
          <w:sz w:val="24"/>
          <w:szCs w:val="24"/>
          <w:highlight w:val="none"/>
        </w:rPr>
      </w:pPr>
      <w:bookmarkStart w:id="157" w:name="_Toc296352902"/>
      <w:bookmarkStart w:id="158" w:name="_Toc283106512"/>
      <w:bookmarkStart w:id="159" w:name="_Toc976"/>
      <w:bookmarkStart w:id="160" w:name="_Toc367794663"/>
      <w:r>
        <w:rPr>
          <w:rFonts w:hint="eastAsia" w:ascii="仿宋" w:hAnsi="仿宋" w:eastAsia="仿宋" w:cs="仿宋"/>
          <w:color w:val="auto"/>
          <w:sz w:val="24"/>
          <w:szCs w:val="24"/>
          <w:highlight w:val="none"/>
        </w:rPr>
        <w:t>附1：项目经理简历表</w:t>
      </w:r>
      <w:bookmarkEnd w:id="157"/>
      <w:bookmarkEnd w:id="158"/>
      <w:bookmarkEnd w:id="159"/>
      <w:bookmarkEnd w:id="160"/>
    </w:p>
    <w:p w14:paraId="0CD97F9B">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项目经理应附建造师注册证书、安全生产考核合格证书、职称证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社保证明</w:t>
      </w:r>
      <w:r>
        <w:rPr>
          <w:rFonts w:hint="eastAsia" w:ascii="仿宋" w:hAnsi="仿宋" w:eastAsia="仿宋" w:cs="仿宋"/>
          <w:color w:val="auto"/>
          <w:sz w:val="24"/>
          <w:szCs w:val="24"/>
          <w:highlight w:val="none"/>
        </w:rPr>
        <w:t>等资料的复印件加盖公章，管理过的项目业绩须附提供的中标通知书或合同协议书或竣工验收报告的复印件加盖公章。类似项目限于以项目经理身份参与的项目。</w:t>
      </w:r>
    </w:p>
    <w:p w14:paraId="1854FC06">
      <w:pPr>
        <w:spacing w:line="42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highlight w:val="none"/>
        </w:rPr>
        <w:t>项目管理机构组成人员（不含退休人员）个人参保证明（原件或复印件，证明上的二维码要保证移动终端可以扫描识别验证真伪），如该响应人所在的地区确实没有带二维码的证明，须提供网上查询方式</w:t>
      </w:r>
      <w:r>
        <w:rPr>
          <w:rFonts w:hint="eastAsia" w:ascii="仿宋" w:hAnsi="仿宋" w:eastAsia="仿宋" w:cs="仿宋"/>
          <w:b w:val="0"/>
          <w:bCs/>
          <w:color w:val="auto"/>
          <w:sz w:val="24"/>
          <w:highlight w:val="none"/>
          <w:lang w:eastAsia="zh-CN"/>
        </w:rPr>
        <w:t>。</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04"/>
        <w:gridCol w:w="1321"/>
        <w:gridCol w:w="1486"/>
        <w:gridCol w:w="2144"/>
        <w:gridCol w:w="2476"/>
      </w:tblGrid>
      <w:tr w14:paraId="72E7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58E78A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p>
        </w:tc>
        <w:tc>
          <w:tcPr>
            <w:tcW w:w="1204" w:type="dxa"/>
            <w:vAlign w:val="center"/>
          </w:tcPr>
          <w:p w14:paraId="44716C52">
            <w:pPr>
              <w:rPr>
                <w:rFonts w:hint="eastAsia" w:ascii="仿宋" w:hAnsi="仿宋" w:eastAsia="仿宋" w:cs="仿宋"/>
                <w:color w:val="auto"/>
                <w:sz w:val="24"/>
                <w:szCs w:val="24"/>
                <w:highlight w:val="none"/>
              </w:rPr>
            </w:pPr>
          </w:p>
        </w:tc>
        <w:tc>
          <w:tcPr>
            <w:tcW w:w="1321" w:type="dxa"/>
            <w:vAlign w:val="center"/>
          </w:tcPr>
          <w:p w14:paraId="2D4853C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龄</w:t>
            </w:r>
          </w:p>
        </w:tc>
        <w:tc>
          <w:tcPr>
            <w:tcW w:w="1486" w:type="dxa"/>
            <w:vAlign w:val="center"/>
          </w:tcPr>
          <w:p w14:paraId="6B6DA7AC">
            <w:pPr>
              <w:rPr>
                <w:rFonts w:hint="eastAsia" w:ascii="仿宋" w:hAnsi="仿宋" w:eastAsia="仿宋" w:cs="仿宋"/>
                <w:color w:val="auto"/>
                <w:sz w:val="24"/>
                <w:szCs w:val="24"/>
                <w:highlight w:val="none"/>
              </w:rPr>
            </w:pPr>
          </w:p>
        </w:tc>
        <w:tc>
          <w:tcPr>
            <w:tcW w:w="2144" w:type="dxa"/>
            <w:vAlign w:val="center"/>
          </w:tcPr>
          <w:p w14:paraId="2D79184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2476" w:type="dxa"/>
            <w:vAlign w:val="center"/>
          </w:tcPr>
          <w:p w14:paraId="1EEF53D0">
            <w:pPr>
              <w:rPr>
                <w:rFonts w:hint="eastAsia" w:ascii="仿宋" w:hAnsi="仿宋" w:eastAsia="仿宋" w:cs="仿宋"/>
                <w:color w:val="auto"/>
                <w:sz w:val="24"/>
                <w:szCs w:val="24"/>
                <w:highlight w:val="none"/>
              </w:rPr>
            </w:pPr>
          </w:p>
        </w:tc>
      </w:tr>
      <w:tr w14:paraId="2855E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FD2251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称</w:t>
            </w:r>
          </w:p>
        </w:tc>
        <w:tc>
          <w:tcPr>
            <w:tcW w:w="1204" w:type="dxa"/>
            <w:vAlign w:val="center"/>
          </w:tcPr>
          <w:p w14:paraId="64CF5902">
            <w:pPr>
              <w:rPr>
                <w:rFonts w:hint="eastAsia" w:ascii="仿宋" w:hAnsi="仿宋" w:eastAsia="仿宋" w:cs="仿宋"/>
                <w:color w:val="auto"/>
                <w:sz w:val="24"/>
                <w:szCs w:val="24"/>
                <w:highlight w:val="none"/>
              </w:rPr>
            </w:pPr>
          </w:p>
        </w:tc>
        <w:tc>
          <w:tcPr>
            <w:tcW w:w="1321" w:type="dxa"/>
            <w:vAlign w:val="center"/>
          </w:tcPr>
          <w:p w14:paraId="3A1E73A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p>
        </w:tc>
        <w:tc>
          <w:tcPr>
            <w:tcW w:w="1486" w:type="dxa"/>
            <w:vAlign w:val="center"/>
          </w:tcPr>
          <w:p w14:paraId="33BD9AEE">
            <w:pPr>
              <w:rPr>
                <w:rFonts w:hint="eastAsia" w:ascii="仿宋" w:hAnsi="仿宋" w:eastAsia="仿宋" w:cs="仿宋"/>
                <w:color w:val="auto"/>
                <w:sz w:val="24"/>
                <w:szCs w:val="24"/>
                <w:highlight w:val="none"/>
              </w:rPr>
            </w:pPr>
          </w:p>
        </w:tc>
        <w:tc>
          <w:tcPr>
            <w:tcW w:w="2144" w:type="dxa"/>
            <w:vAlign w:val="center"/>
          </w:tcPr>
          <w:p w14:paraId="3E4469B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拟在本工程任职</w:t>
            </w:r>
          </w:p>
        </w:tc>
        <w:tc>
          <w:tcPr>
            <w:tcW w:w="2476" w:type="dxa"/>
            <w:vAlign w:val="center"/>
          </w:tcPr>
          <w:p w14:paraId="154AF862">
            <w:pPr>
              <w:rPr>
                <w:rFonts w:hint="eastAsia" w:ascii="仿宋" w:hAnsi="仿宋" w:eastAsia="仿宋" w:cs="仿宋"/>
                <w:color w:val="auto"/>
                <w:sz w:val="24"/>
                <w:szCs w:val="24"/>
                <w:highlight w:val="none"/>
              </w:rPr>
            </w:pPr>
          </w:p>
        </w:tc>
      </w:tr>
      <w:tr w14:paraId="69D8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5" w:type="dxa"/>
            <w:gridSpan w:val="3"/>
            <w:vAlign w:val="center"/>
          </w:tcPr>
          <w:p w14:paraId="19116E6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注册建造师执业资格等级</w:t>
            </w:r>
          </w:p>
        </w:tc>
        <w:tc>
          <w:tcPr>
            <w:tcW w:w="1486" w:type="dxa"/>
            <w:vAlign w:val="center"/>
          </w:tcPr>
          <w:p w14:paraId="2773C47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级</w:t>
            </w:r>
          </w:p>
        </w:tc>
        <w:tc>
          <w:tcPr>
            <w:tcW w:w="2144" w:type="dxa"/>
            <w:vAlign w:val="center"/>
          </w:tcPr>
          <w:p w14:paraId="629D54A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建造师专业</w:t>
            </w:r>
          </w:p>
        </w:tc>
        <w:tc>
          <w:tcPr>
            <w:tcW w:w="2476" w:type="dxa"/>
            <w:vAlign w:val="center"/>
          </w:tcPr>
          <w:p w14:paraId="3CB83CD5">
            <w:pPr>
              <w:rPr>
                <w:rFonts w:hint="eastAsia" w:ascii="仿宋" w:hAnsi="仿宋" w:eastAsia="仿宋" w:cs="仿宋"/>
                <w:color w:val="auto"/>
                <w:sz w:val="24"/>
                <w:szCs w:val="24"/>
                <w:highlight w:val="none"/>
              </w:rPr>
            </w:pPr>
          </w:p>
        </w:tc>
      </w:tr>
      <w:tr w14:paraId="52E2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5" w:type="dxa"/>
            <w:gridSpan w:val="3"/>
            <w:vAlign w:val="center"/>
          </w:tcPr>
          <w:p w14:paraId="0CE5228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安全生产考核合格证书</w:t>
            </w:r>
          </w:p>
        </w:tc>
        <w:tc>
          <w:tcPr>
            <w:tcW w:w="6106" w:type="dxa"/>
            <w:gridSpan w:val="3"/>
            <w:vAlign w:val="center"/>
          </w:tcPr>
          <w:p w14:paraId="17B936CE">
            <w:pPr>
              <w:rPr>
                <w:rFonts w:hint="eastAsia" w:ascii="仿宋" w:hAnsi="仿宋" w:eastAsia="仿宋" w:cs="仿宋"/>
                <w:color w:val="auto"/>
                <w:sz w:val="24"/>
                <w:szCs w:val="24"/>
                <w:highlight w:val="none"/>
              </w:rPr>
            </w:pPr>
          </w:p>
        </w:tc>
      </w:tr>
      <w:tr w14:paraId="03EB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1A6CF3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w:t>
            </w:r>
          </w:p>
          <w:p w14:paraId="2E98611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学校</w:t>
            </w:r>
          </w:p>
        </w:tc>
        <w:tc>
          <w:tcPr>
            <w:tcW w:w="8631" w:type="dxa"/>
            <w:gridSpan w:val="5"/>
            <w:vAlign w:val="center"/>
          </w:tcPr>
          <w:p w14:paraId="55680AC4">
            <w:pPr>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年毕业于                  学校            专业</w:t>
            </w:r>
          </w:p>
        </w:tc>
      </w:tr>
      <w:tr w14:paraId="5960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1" w:type="dxa"/>
            <w:gridSpan w:val="6"/>
            <w:vAlign w:val="center"/>
          </w:tcPr>
          <w:p w14:paraId="085550C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主要工作经历</w:t>
            </w:r>
          </w:p>
        </w:tc>
      </w:tr>
      <w:tr w14:paraId="3FCB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DF5B80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  间</w:t>
            </w:r>
          </w:p>
        </w:tc>
        <w:tc>
          <w:tcPr>
            <w:tcW w:w="4011" w:type="dxa"/>
            <w:gridSpan w:val="3"/>
            <w:vAlign w:val="center"/>
          </w:tcPr>
          <w:p w14:paraId="47A9C17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参加过的类似项目名称</w:t>
            </w:r>
          </w:p>
        </w:tc>
        <w:tc>
          <w:tcPr>
            <w:tcW w:w="2144" w:type="dxa"/>
            <w:vAlign w:val="center"/>
          </w:tcPr>
          <w:p w14:paraId="03C5E91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工程概况说明</w:t>
            </w:r>
          </w:p>
        </w:tc>
        <w:tc>
          <w:tcPr>
            <w:tcW w:w="2476" w:type="dxa"/>
            <w:vAlign w:val="center"/>
          </w:tcPr>
          <w:p w14:paraId="0D7AA8A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发包人及联系电话</w:t>
            </w:r>
          </w:p>
        </w:tc>
      </w:tr>
      <w:tr w14:paraId="1B69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0" w:type="dxa"/>
            <w:vAlign w:val="center"/>
          </w:tcPr>
          <w:p w14:paraId="0AAA916F">
            <w:pPr>
              <w:rPr>
                <w:rFonts w:hint="eastAsia" w:ascii="仿宋" w:hAnsi="仿宋" w:eastAsia="仿宋" w:cs="仿宋"/>
                <w:color w:val="auto"/>
                <w:sz w:val="24"/>
                <w:szCs w:val="24"/>
                <w:highlight w:val="none"/>
              </w:rPr>
            </w:pPr>
          </w:p>
        </w:tc>
        <w:tc>
          <w:tcPr>
            <w:tcW w:w="4011" w:type="dxa"/>
            <w:gridSpan w:val="3"/>
            <w:vAlign w:val="center"/>
          </w:tcPr>
          <w:p w14:paraId="7F148326">
            <w:pPr>
              <w:rPr>
                <w:rFonts w:hint="eastAsia" w:ascii="仿宋" w:hAnsi="仿宋" w:eastAsia="仿宋" w:cs="仿宋"/>
                <w:color w:val="auto"/>
                <w:sz w:val="24"/>
                <w:szCs w:val="24"/>
                <w:highlight w:val="none"/>
              </w:rPr>
            </w:pPr>
          </w:p>
        </w:tc>
        <w:tc>
          <w:tcPr>
            <w:tcW w:w="2144" w:type="dxa"/>
            <w:vAlign w:val="center"/>
          </w:tcPr>
          <w:p w14:paraId="43FF32F2">
            <w:pPr>
              <w:rPr>
                <w:rFonts w:hint="eastAsia" w:ascii="仿宋" w:hAnsi="仿宋" w:eastAsia="仿宋" w:cs="仿宋"/>
                <w:color w:val="auto"/>
                <w:sz w:val="24"/>
                <w:szCs w:val="24"/>
                <w:highlight w:val="none"/>
              </w:rPr>
            </w:pPr>
          </w:p>
        </w:tc>
        <w:tc>
          <w:tcPr>
            <w:tcW w:w="2476" w:type="dxa"/>
            <w:vAlign w:val="center"/>
          </w:tcPr>
          <w:p w14:paraId="6AE4BF17">
            <w:pPr>
              <w:rPr>
                <w:rFonts w:hint="eastAsia" w:ascii="仿宋" w:hAnsi="仿宋" w:eastAsia="仿宋" w:cs="仿宋"/>
                <w:color w:val="auto"/>
                <w:sz w:val="24"/>
                <w:szCs w:val="24"/>
                <w:highlight w:val="none"/>
              </w:rPr>
            </w:pPr>
          </w:p>
        </w:tc>
      </w:tr>
      <w:tr w14:paraId="6641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0" w:type="dxa"/>
            <w:vAlign w:val="center"/>
          </w:tcPr>
          <w:p w14:paraId="1E237507">
            <w:pPr>
              <w:rPr>
                <w:rFonts w:hint="eastAsia" w:ascii="仿宋" w:hAnsi="仿宋" w:eastAsia="仿宋" w:cs="仿宋"/>
                <w:color w:val="auto"/>
                <w:sz w:val="24"/>
                <w:szCs w:val="24"/>
                <w:highlight w:val="none"/>
              </w:rPr>
            </w:pPr>
          </w:p>
        </w:tc>
        <w:tc>
          <w:tcPr>
            <w:tcW w:w="4011" w:type="dxa"/>
            <w:gridSpan w:val="3"/>
            <w:vAlign w:val="center"/>
          </w:tcPr>
          <w:p w14:paraId="3568D6BF">
            <w:pPr>
              <w:rPr>
                <w:rFonts w:hint="eastAsia" w:ascii="仿宋" w:hAnsi="仿宋" w:eastAsia="仿宋" w:cs="仿宋"/>
                <w:color w:val="auto"/>
                <w:sz w:val="24"/>
                <w:szCs w:val="24"/>
                <w:highlight w:val="none"/>
              </w:rPr>
            </w:pPr>
          </w:p>
        </w:tc>
        <w:tc>
          <w:tcPr>
            <w:tcW w:w="2144" w:type="dxa"/>
            <w:vAlign w:val="center"/>
          </w:tcPr>
          <w:p w14:paraId="0BBF2E68">
            <w:pPr>
              <w:rPr>
                <w:rFonts w:hint="eastAsia" w:ascii="仿宋" w:hAnsi="仿宋" w:eastAsia="仿宋" w:cs="仿宋"/>
                <w:color w:val="auto"/>
                <w:sz w:val="24"/>
                <w:szCs w:val="24"/>
                <w:highlight w:val="none"/>
              </w:rPr>
            </w:pPr>
          </w:p>
        </w:tc>
        <w:tc>
          <w:tcPr>
            <w:tcW w:w="2476" w:type="dxa"/>
            <w:vAlign w:val="center"/>
          </w:tcPr>
          <w:p w14:paraId="158E4BB9">
            <w:pPr>
              <w:rPr>
                <w:rFonts w:hint="eastAsia" w:ascii="仿宋" w:hAnsi="仿宋" w:eastAsia="仿宋" w:cs="仿宋"/>
                <w:color w:val="auto"/>
                <w:sz w:val="24"/>
                <w:szCs w:val="24"/>
                <w:highlight w:val="none"/>
              </w:rPr>
            </w:pPr>
          </w:p>
        </w:tc>
      </w:tr>
    </w:tbl>
    <w:p w14:paraId="35FA3964">
      <w:pPr>
        <w:spacing w:line="420" w:lineRule="exact"/>
        <w:outlineLvl w:val="3"/>
        <w:rPr>
          <w:rFonts w:hint="eastAsia" w:ascii="仿宋" w:hAnsi="仿宋" w:eastAsia="仿宋" w:cs="仿宋"/>
          <w:color w:val="auto"/>
          <w:sz w:val="24"/>
          <w:szCs w:val="24"/>
          <w:highlight w:val="none"/>
        </w:rPr>
        <w:sectPr>
          <w:pgSz w:w="11906" w:h="16838"/>
          <w:pgMar w:top="1440" w:right="1080" w:bottom="1440" w:left="1080" w:header="851" w:footer="992" w:gutter="0"/>
          <w:pgNumType w:fmt="decimal"/>
          <w:cols w:space="720" w:num="1"/>
          <w:docGrid w:type="lines" w:linePitch="312" w:charSpace="0"/>
        </w:sectPr>
      </w:pPr>
      <w:bookmarkStart w:id="161" w:name="_Toc296352903"/>
      <w:bookmarkStart w:id="162" w:name="_Toc283106513"/>
      <w:bookmarkStart w:id="163" w:name="_Toc25400"/>
      <w:bookmarkStart w:id="164" w:name="_Toc367794664"/>
    </w:p>
    <w:p w14:paraId="19AB7746">
      <w:pPr>
        <w:spacing w:line="420" w:lineRule="exact"/>
        <w:outlineLvl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附2：主要项目管理人员简历表</w:t>
      </w:r>
      <w:bookmarkEnd w:id="161"/>
      <w:bookmarkEnd w:id="162"/>
      <w:bookmarkEnd w:id="163"/>
      <w:bookmarkEnd w:id="164"/>
    </w:p>
    <w:p w14:paraId="2B8B96F8">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主要项目管理人员应附相应的上岗证、职称证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社保证明</w:t>
      </w:r>
      <w:r>
        <w:rPr>
          <w:rFonts w:hint="eastAsia" w:ascii="仿宋" w:hAnsi="仿宋" w:eastAsia="仿宋" w:cs="仿宋"/>
          <w:color w:val="auto"/>
          <w:sz w:val="24"/>
          <w:szCs w:val="24"/>
          <w:highlight w:val="none"/>
        </w:rPr>
        <w:t>等资料的复印件加盖公章。</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1989"/>
        <w:gridCol w:w="1515"/>
        <w:gridCol w:w="3703"/>
      </w:tblGrid>
      <w:tr w14:paraId="33388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13" w:type="dxa"/>
            <w:vAlign w:val="center"/>
          </w:tcPr>
          <w:p w14:paraId="0B9F89B4">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岗位名称</w:t>
            </w:r>
          </w:p>
        </w:tc>
        <w:tc>
          <w:tcPr>
            <w:tcW w:w="7207" w:type="dxa"/>
            <w:gridSpan w:val="3"/>
            <w:vAlign w:val="center"/>
          </w:tcPr>
          <w:p w14:paraId="33DB32CE">
            <w:pPr>
              <w:spacing w:line="440" w:lineRule="exact"/>
              <w:rPr>
                <w:rFonts w:hint="eastAsia" w:ascii="仿宋" w:hAnsi="仿宋" w:eastAsia="仿宋" w:cs="仿宋"/>
                <w:color w:val="auto"/>
                <w:sz w:val="24"/>
                <w:szCs w:val="24"/>
                <w:highlight w:val="none"/>
              </w:rPr>
            </w:pPr>
          </w:p>
        </w:tc>
      </w:tr>
      <w:tr w14:paraId="199A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13" w:type="dxa"/>
            <w:vAlign w:val="center"/>
          </w:tcPr>
          <w:p w14:paraId="48DF23BD">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p>
        </w:tc>
        <w:tc>
          <w:tcPr>
            <w:tcW w:w="1989" w:type="dxa"/>
            <w:vAlign w:val="center"/>
          </w:tcPr>
          <w:p w14:paraId="66979B1B">
            <w:pPr>
              <w:spacing w:line="440" w:lineRule="exact"/>
              <w:rPr>
                <w:rFonts w:hint="eastAsia" w:ascii="仿宋" w:hAnsi="仿宋" w:eastAsia="仿宋" w:cs="仿宋"/>
                <w:color w:val="auto"/>
                <w:sz w:val="24"/>
                <w:szCs w:val="24"/>
                <w:highlight w:val="none"/>
              </w:rPr>
            </w:pPr>
          </w:p>
        </w:tc>
        <w:tc>
          <w:tcPr>
            <w:tcW w:w="1515" w:type="dxa"/>
            <w:vAlign w:val="center"/>
          </w:tcPr>
          <w:p w14:paraId="123773A3">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龄</w:t>
            </w:r>
          </w:p>
        </w:tc>
        <w:tc>
          <w:tcPr>
            <w:tcW w:w="3703" w:type="dxa"/>
            <w:vAlign w:val="center"/>
          </w:tcPr>
          <w:p w14:paraId="696C4E37">
            <w:pPr>
              <w:spacing w:line="440" w:lineRule="exact"/>
              <w:rPr>
                <w:rFonts w:hint="eastAsia" w:ascii="仿宋" w:hAnsi="仿宋" w:eastAsia="仿宋" w:cs="仿宋"/>
                <w:color w:val="auto"/>
                <w:sz w:val="24"/>
                <w:szCs w:val="24"/>
                <w:highlight w:val="none"/>
              </w:rPr>
            </w:pPr>
          </w:p>
        </w:tc>
      </w:tr>
      <w:tr w14:paraId="0D87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313" w:type="dxa"/>
            <w:vAlign w:val="center"/>
          </w:tcPr>
          <w:p w14:paraId="1FEE86EA">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    别</w:t>
            </w:r>
          </w:p>
        </w:tc>
        <w:tc>
          <w:tcPr>
            <w:tcW w:w="1989" w:type="dxa"/>
            <w:vAlign w:val="center"/>
          </w:tcPr>
          <w:p w14:paraId="1C04BE37">
            <w:pPr>
              <w:spacing w:line="440" w:lineRule="exact"/>
              <w:rPr>
                <w:rFonts w:hint="eastAsia" w:ascii="仿宋" w:hAnsi="仿宋" w:eastAsia="仿宋" w:cs="仿宋"/>
                <w:color w:val="auto"/>
                <w:sz w:val="24"/>
                <w:szCs w:val="24"/>
                <w:highlight w:val="none"/>
              </w:rPr>
            </w:pPr>
          </w:p>
        </w:tc>
        <w:tc>
          <w:tcPr>
            <w:tcW w:w="1515" w:type="dxa"/>
            <w:vAlign w:val="center"/>
          </w:tcPr>
          <w:p w14:paraId="7E574FF5">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毕业学校</w:t>
            </w:r>
          </w:p>
        </w:tc>
        <w:tc>
          <w:tcPr>
            <w:tcW w:w="3703" w:type="dxa"/>
            <w:vAlign w:val="center"/>
          </w:tcPr>
          <w:p w14:paraId="5F78D6E5">
            <w:pPr>
              <w:spacing w:line="440" w:lineRule="exact"/>
              <w:rPr>
                <w:rFonts w:hint="eastAsia" w:ascii="仿宋" w:hAnsi="仿宋" w:eastAsia="仿宋" w:cs="仿宋"/>
                <w:color w:val="auto"/>
                <w:sz w:val="24"/>
                <w:szCs w:val="24"/>
                <w:highlight w:val="none"/>
              </w:rPr>
            </w:pPr>
          </w:p>
        </w:tc>
      </w:tr>
      <w:tr w14:paraId="2E94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13" w:type="dxa"/>
            <w:vAlign w:val="center"/>
          </w:tcPr>
          <w:p w14:paraId="5FCA1B41">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学历和专业</w:t>
            </w:r>
          </w:p>
        </w:tc>
        <w:tc>
          <w:tcPr>
            <w:tcW w:w="1989" w:type="dxa"/>
            <w:vAlign w:val="center"/>
          </w:tcPr>
          <w:p w14:paraId="7AB6821D">
            <w:pPr>
              <w:spacing w:line="440" w:lineRule="exact"/>
              <w:rPr>
                <w:rFonts w:hint="eastAsia" w:ascii="仿宋" w:hAnsi="仿宋" w:eastAsia="仿宋" w:cs="仿宋"/>
                <w:color w:val="auto"/>
                <w:sz w:val="24"/>
                <w:szCs w:val="24"/>
                <w:highlight w:val="none"/>
              </w:rPr>
            </w:pPr>
          </w:p>
        </w:tc>
        <w:tc>
          <w:tcPr>
            <w:tcW w:w="1515" w:type="dxa"/>
            <w:vAlign w:val="center"/>
          </w:tcPr>
          <w:p w14:paraId="18549EAE">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毕业时间</w:t>
            </w:r>
          </w:p>
        </w:tc>
        <w:tc>
          <w:tcPr>
            <w:tcW w:w="3703" w:type="dxa"/>
            <w:vAlign w:val="center"/>
          </w:tcPr>
          <w:p w14:paraId="1CD7B971">
            <w:pPr>
              <w:spacing w:line="440" w:lineRule="exact"/>
              <w:rPr>
                <w:rFonts w:hint="eastAsia" w:ascii="仿宋" w:hAnsi="仿宋" w:eastAsia="仿宋" w:cs="仿宋"/>
                <w:color w:val="auto"/>
                <w:sz w:val="24"/>
                <w:szCs w:val="24"/>
                <w:highlight w:val="none"/>
              </w:rPr>
            </w:pPr>
          </w:p>
        </w:tc>
      </w:tr>
      <w:tr w14:paraId="184B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13" w:type="dxa"/>
            <w:vAlign w:val="center"/>
          </w:tcPr>
          <w:p w14:paraId="35C91B9E">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拥有的执业资格</w:t>
            </w:r>
          </w:p>
        </w:tc>
        <w:tc>
          <w:tcPr>
            <w:tcW w:w="1989" w:type="dxa"/>
            <w:vAlign w:val="center"/>
          </w:tcPr>
          <w:p w14:paraId="4DCF3518">
            <w:pPr>
              <w:spacing w:line="440" w:lineRule="exact"/>
              <w:rPr>
                <w:rFonts w:hint="eastAsia" w:ascii="仿宋" w:hAnsi="仿宋" w:eastAsia="仿宋" w:cs="仿宋"/>
                <w:color w:val="auto"/>
                <w:sz w:val="24"/>
                <w:szCs w:val="24"/>
                <w:highlight w:val="none"/>
              </w:rPr>
            </w:pPr>
          </w:p>
        </w:tc>
        <w:tc>
          <w:tcPr>
            <w:tcW w:w="1515" w:type="dxa"/>
            <w:vAlign w:val="center"/>
          </w:tcPr>
          <w:p w14:paraId="63E854E9">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专业职称</w:t>
            </w:r>
          </w:p>
        </w:tc>
        <w:tc>
          <w:tcPr>
            <w:tcW w:w="3703" w:type="dxa"/>
            <w:vAlign w:val="center"/>
          </w:tcPr>
          <w:p w14:paraId="42ABFBD7">
            <w:pPr>
              <w:spacing w:line="440" w:lineRule="exact"/>
              <w:rPr>
                <w:rFonts w:hint="eastAsia" w:ascii="仿宋" w:hAnsi="仿宋" w:eastAsia="仿宋" w:cs="仿宋"/>
                <w:color w:val="auto"/>
                <w:sz w:val="24"/>
                <w:szCs w:val="24"/>
                <w:highlight w:val="none"/>
              </w:rPr>
            </w:pPr>
          </w:p>
        </w:tc>
      </w:tr>
      <w:tr w14:paraId="2A4C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313" w:type="dxa"/>
            <w:vAlign w:val="center"/>
          </w:tcPr>
          <w:p w14:paraId="1CBA484E">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执业资格证书编号</w:t>
            </w:r>
          </w:p>
        </w:tc>
        <w:tc>
          <w:tcPr>
            <w:tcW w:w="1989" w:type="dxa"/>
            <w:vAlign w:val="center"/>
          </w:tcPr>
          <w:p w14:paraId="25BDE7EC">
            <w:pPr>
              <w:spacing w:line="440" w:lineRule="exact"/>
              <w:rPr>
                <w:rFonts w:hint="eastAsia" w:ascii="仿宋" w:hAnsi="仿宋" w:eastAsia="仿宋" w:cs="仿宋"/>
                <w:color w:val="auto"/>
                <w:sz w:val="24"/>
                <w:szCs w:val="24"/>
                <w:highlight w:val="none"/>
              </w:rPr>
            </w:pPr>
          </w:p>
        </w:tc>
        <w:tc>
          <w:tcPr>
            <w:tcW w:w="1515" w:type="dxa"/>
            <w:vAlign w:val="center"/>
          </w:tcPr>
          <w:p w14:paraId="3624A3E7">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工作年限</w:t>
            </w:r>
          </w:p>
        </w:tc>
        <w:tc>
          <w:tcPr>
            <w:tcW w:w="3703" w:type="dxa"/>
            <w:vAlign w:val="center"/>
          </w:tcPr>
          <w:p w14:paraId="55A20733">
            <w:pPr>
              <w:spacing w:line="440" w:lineRule="exact"/>
              <w:rPr>
                <w:rFonts w:hint="eastAsia" w:ascii="仿宋" w:hAnsi="仿宋" w:eastAsia="仿宋" w:cs="仿宋"/>
                <w:color w:val="auto"/>
                <w:sz w:val="24"/>
                <w:szCs w:val="24"/>
                <w:highlight w:val="none"/>
              </w:rPr>
            </w:pPr>
          </w:p>
        </w:tc>
      </w:tr>
      <w:tr w14:paraId="42CA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0" w:hRule="atLeast"/>
          <w:jc w:val="center"/>
        </w:trPr>
        <w:tc>
          <w:tcPr>
            <w:tcW w:w="2313" w:type="dxa"/>
            <w:vAlign w:val="center"/>
          </w:tcPr>
          <w:p w14:paraId="38FE6C1A">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主要工作业绩及担任的主要工作</w:t>
            </w:r>
          </w:p>
        </w:tc>
        <w:tc>
          <w:tcPr>
            <w:tcW w:w="7207" w:type="dxa"/>
            <w:gridSpan w:val="3"/>
            <w:vAlign w:val="center"/>
          </w:tcPr>
          <w:p w14:paraId="08A9D661">
            <w:pPr>
              <w:spacing w:line="440" w:lineRule="exact"/>
              <w:rPr>
                <w:rFonts w:hint="eastAsia" w:ascii="仿宋" w:hAnsi="仿宋" w:eastAsia="仿宋" w:cs="仿宋"/>
                <w:color w:val="auto"/>
                <w:sz w:val="24"/>
                <w:szCs w:val="24"/>
                <w:highlight w:val="none"/>
              </w:rPr>
            </w:pPr>
          </w:p>
        </w:tc>
      </w:tr>
    </w:tbl>
    <w:p w14:paraId="54C338E7">
      <w:pPr>
        <w:outlineLvl w:val="9"/>
        <w:rPr>
          <w:rFonts w:hint="eastAsia" w:ascii="仿宋" w:hAnsi="仿宋" w:eastAsia="仿宋" w:cs="仿宋"/>
          <w:color w:val="auto"/>
          <w:sz w:val="24"/>
          <w:szCs w:val="24"/>
          <w:highlight w:val="none"/>
        </w:rPr>
      </w:pPr>
    </w:p>
    <w:p w14:paraId="77751B98">
      <w:pPr>
        <w:spacing w:line="360" w:lineRule="auto"/>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p>
    <w:p w14:paraId="6F17D0E0">
      <w:pPr>
        <w:pStyle w:val="3"/>
        <w:outlineLvl w:val="1"/>
        <w:rPr>
          <w:rFonts w:hint="eastAsia" w:ascii="仿宋" w:hAnsi="仿宋" w:eastAsia="仿宋" w:cs="仿宋"/>
          <w:color w:val="auto"/>
          <w:szCs w:val="32"/>
          <w:highlight w:val="none"/>
          <w:lang w:eastAsia="zh-CN"/>
        </w:rPr>
      </w:pPr>
      <w:bookmarkStart w:id="165" w:name="_Toc184635147"/>
      <w:bookmarkStart w:id="166" w:name="_Toc19597"/>
      <w:bookmarkStart w:id="167" w:name="_Toc27194"/>
      <w:bookmarkStart w:id="168" w:name="_Toc382396579"/>
      <w:bookmarkStart w:id="169" w:name="_Toc8011"/>
      <w:bookmarkStart w:id="170" w:name="_Toc25720"/>
      <w:r>
        <w:rPr>
          <w:rFonts w:hint="eastAsia" w:ascii="仿宋" w:hAnsi="仿宋" w:eastAsia="仿宋" w:cs="仿宋"/>
          <w:color w:val="auto"/>
          <w:szCs w:val="32"/>
          <w:highlight w:val="none"/>
          <w:lang w:eastAsia="zh-CN"/>
        </w:rPr>
        <w:t>九、资格审查资料</w:t>
      </w:r>
      <w:bookmarkEnd w:id="165"/>
      <w:bookmarkEnd w:id="166"/>
      <w:bookmarkEnd w:id="167"/>
      <w:bookmarkEnd w:id="168"/>
      <w:bookmarkEnd w:id="169"/>
      <w:bookmarkEnd w:id="170"/>
    </w:p>
    <w:p w14:paraId="7069BE3D">
      <w:pPr>
        <w:spacing w:line="360" w:lineRule="auto"/>
        <w:jc w:val="both"/>
        <w:outlineLvl w:val="2"/>
        <w:rPr>
          <w:rFonts w:hint="eastAsia" w:ascii="仿宋" w:hAnsi="仿宋" w:eastAsia="仿宋" w:cs="仿宋"/>
          <w:b/>
          <w:color w:val="auto"/>
          <w:sz w:val="24"/>
          <w:highlight w:val="none"/>
          <w:lang w:eastAsia="zh-CN"/>
        </w:rPr>
      </w:pPr>
      <w:bookmarkStart w:id="171" w:name="_Toc17436"/>
      <w:r>
        <w:rPr>
          <w:rFonts w:hint="eastAsia" w:ascii="仿宋" w:hAnsi="仿宋" w:eastAsia="仿宋" w:cs="仿宋"/>
          <w:b/>
          <w:color w:val="auto"/>
          <w:sz w:val="24"/>
          <w:highlight w:val="none"/>
          <w:lang w:eastAsia="zh-CN"/>
        </w:rPr>
        <w:t>（一）供应商基本情况表</w:t>
      </w:r>
      <w:bookmarkEnd w:id="171"/>
    </w:p>
    <w:tbl>
      <w:tblPr>
        <w:tblStyle w:val="31"/>
        <w:tblW w:w="99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23"/>
        <w:gridCol w:w="1880"/>
        <w:gridCol w:w="745"/>
        <w:gridCol w:w="561"/>
        <w:gridCol w:w="1357"/>
        <w:gridCol w:w="717"/>
        <w:gridCol w:w="1492"/>
      </w:tblGrid>
      <w:tr w14:paraId="64A6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065" w:type="dxa"/>
            <w:vAlign w:val="center"/>
          </w:tcPr>
          <w:p w14:paraId="694D1EC3">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p>
        </w:tc>
        <w:tc>
          <w:tcPr>
            <w:tcW w:w="7875" w:type="dxa"/>
            <w:gridSpan w:val="7"/>
            <w:vAlign w:val="center"/>
          </w:tcPr>
          <w:p w14:paraId="0E58961C">
            <w:pPr>
              <w:spacing w:line="300" w:lineRule="exact"/>
              <w:rPr>
                <w:rFonts w:hint="eastAsia" w:ascii="仿宋" w:hAnsi="仿宋" w:eastAsia="仿宋" w:cs="仿宋"/>
                <w:color w:val="auto"/>
                <w:sz w:val="24"/>
                <w:szCs w:val="24"/>
                <w:highlight w:val="none"/>
              </w:rPr>
            </w:pPr>
          </w:p>
        </w:tc>
      </w:tr>
      <w:tr w14:paraId="1473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065" w:type="dxa"/>
            <w:vAlign w:val="center"/>
          </w:tcPr>
          <w:p w14:paraId="6578C146">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4309" w:type="dxa"/>
            <w:gridSpan w:val="4"/>
            <w:vAlign w:val="center"/>
          </w:tcPr>
          <w:p w14:paraId="638D32EB">
            <w:pPr>
              <w:spacing w:line="300" w:lineRule="exact"/>
              <w:rPr>
                <w:rFonts w:hint="eastAsia" w:ascii="仿宋" w:hAnsi="仿宋" w:eastAsia="仿宋" w:cs="仿宋"/>
                <w:color w:val="auto"/>
                <w:sz w:val="24"/>
                <w:szCs w:val="24"/>
                <w:highlight w:val="none"/>
              </w:rPr>
            </w:pPr>
          </w:p>
        </w:tc>
        <w:tc>
          <w:tcPr>
            <w:tcW w:w="1357" w:type="dxa"/>
            <w:vAlign w:val="center"/>
          </w:tcPr>
          <w:p w14:paraId="2CB779D5">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209" w:type="dxa"/>
            <w:gridSpan w:val="2"/>
            <w:vAlign w:val="center"/>
          </w:tcPr>
          <w:p w14:paraId="2235F413">
            <w:pPr>
              <w:spacing w:line="300" w:lineRule="exact"/>
              <w:rPr>
                <w:rFonts w:hint="eastAsia" w:ascii="仿宋" w:hAnsi="仿宋" w:eastAsia="仿宋" w:cs="仿宋"/>
                <w:color w:val="auto"/>
                <w:sz w:val="24"/>
                <w:szCs w:val="24"/>
                <w:highlight w:val="none"/>
              </w:rPr>
            </w:pPr>
          </w:p>
        </w:tc>
      </w:tr>
      <w:tr w14:paraId="0362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065" w:type="dxa"/>
            <w:vMerge w:val="restart"/>
            <w:vAlign w:val="center"/>
          </w:tcPr>
          <w:p w14:paraId="669E610D">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1123" w:type="dxa"/>
            <w:vAlign w:val="center"/>
          </w:tcPr>
          <w:p w14:paraId="182CE58D">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3186" w:type="dxa"/>
            <w:gridSpan w:val="3"/>
            <w:vAlign w:val="center"/>
          </w:tcPr>
          <w:p w14:paraId="055CD302">
            <w:pPr>
              <w:spacing w:line="300" w:lineRule="exact"/>
              <w:rPr>
                <w:rFonts w:hint="eastAsia" w:ascii="仿宋" w:hAnsi="仿宋" w:eastAsia="仿宋" w:cs="仿宋"/>
                <w:color w:val="auto"/>
                <w:sz w:val="24"/>
                <w:szCs w:val="24"/>
                <w:highlight w:val="none"/>
              </w:rPr>
            </w:pPr>
          </w:p>
        </w:tc>
        <w:tc>
          <w:tcPr>
            <w:tcW w:w="1357" w:type="dxa"/>
            <w:vAlign w:val="center"/>
          </w:tcPr>
          <w:p w14:paraId="34C76A26">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2209" w:type="dxa"/>
            <w:gridSpan w:val="2"/>
            <w:vAlign w:val="center"/>
          </w:tcPr>
          <w:p w14:paraId="08AD3EE4">
            <w:pPr>
              <w:spacing w:line="300" w:lineRule="exact"/>
              <w:rPr>
                <w:rFonts w:hint="eastAsia" w:ascii="仿宋" w:hAnsi="仿宋" w:eastAsia="仿宋" w:cs="仿宋"/>
                <w:color w:val="auto"/>
                <w:sz w:val="24"/>
                <w:szCs w:val="24"/>
                <w:highlight w:val="none"/>
              </w:rPr>
            </w:pPr>
          </w:p>
        </w:tc>
      </w:tr>
      <w:tr w14:paraId="6659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065" w:type="dxa"/>
            <w:vMerge w:val="continue"/>
            <w:vAlign w:val="center"/>
          </w:tcPr>
          <w:p w14:paraId="73048DAA">
            <w:pPr>
              <w:spacing w:line="300" w:lineRule="exact"/>
              <w:rPr>
                <w:rFonts w:hint="eastAsia" w:ascii="仿宋" w:hAnsi="仿宋" w:eastAsia="仿宋" w:cs="仿宋"/>
                <w:color w:val="auto"/>
                <w:sz w:val="24"/>
                <w:szCs w:val="24"/>
                <w:highlight w:val="none"/>
              </w:rPr>
            </w:pPr>
          </w:p>
        </w:tc>
        <w:tc>
          <w:tcPr>
            <w:tcW w:w="1123" w:type="dxa"/>
            <w:vAlign w:val="center"/>
          </w:tcPr>
          <w:p w14:paraId="6ED8C2EF">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3186" w:type="dxa"/>
            <w:gridSpan w:val="3"/>
            <w:vAlign w:val="center"/>
          </w:tcPr>
          <w:p w14:paraId="310E048A">
            <w:pPr>
              <w:spacing w:line="300" w:lineRule="exact"/>
              <w:rPr>
                <w:rFonts w:hint="eastAsia" w:ascii="仿宋" w:hAnsi="仿宋" w:eastAsia="仿宋" w:cs="仿宋"/>
                <w:color w:val="auto"/>
                <w:sz w:val="24"/>
                <w:szCs w:val="24"/>
                <w:highlight w:val="none"/>
              </w:rPr>
            </w:pPr>
          </w:p>
        </w:tc>
        <w:tc>
          <w:tcPr>
            <w:tcW w:w="1357" w:type="dxa"/>
            <w:vAlign w:val="center"/>
          </w:tcPr>
          <w:p w14:paraId="01EAC983">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网址</w:t>
            </w:r>
          </w:p>
        </w:tc>
        <w:tc>
          <w:tcPr>
            <w:tcW w:w="2209" w:type="dxa"/>
            <w:gridSpan w:val="2"/>
            <w:vAlign w:val="center"/>
          </w:tcPr>
          <w:p w14:paraId="4645DABA">
            <w:pPr>
              <w:spacing w:line="300" w:lineRule="exact"/>
              <w:rPr>
                <w:rFonts w:hint="eastAsia" w:ascii="仿宋" w:hAnsi="仿宋" w:eastAsia="仿宋" w:cs="仿宋"/>
                <w:color w:val="auto"/>
                <w:sz w:val="24"/>
                <w:szCs w:val="24"/>
                <w:highlight w:val="none"/>
              </w:rPr>
            </w:pPr>
          </w:p>
        </w:tc>
      </w:tr>
      <w:tr w14:paraId="7876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065" w:type="dxa"/>
            <w:vAlign w:val="center"/>
          </w:tcPr>
          <w:p w14:paraId="58829376">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组织结构</w:t>
            </w:r>
          </w:p>
        </w:tc>
        <w:tc>
          <w:tcPr>
            <w:tcW w:w="7875" w:type="dxa"/>
            <w:gridSpan w:val="7"/>
            <w:vAlign w:val="center"/>
          </w:tcPr>
          <w:p w14:paraId="6B04EB49">
            <w:pPr>
              <w:spacing w:line="300" w:lineRule="exact"/>
              <w:rPr>
                <w:rFonts w:hint="eastAsia" w:ascii="仿宋" w:hAnsi="仿宋" w:eastAsia="仿宋" w:cs="仿宋"/>
                <w:color w:val="auto"/>
                <w:sz w:val="24"/>
                <w:szCs w:val="24"/>
                <w:highlight w:val="none"/>
              </w:rPr>
            </w:pPr>
          </w:p>
        </w:tc>
      </w:tr>
      <w:tr w14:paraId="7058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065" w:type="dxa"/>
            <w:vAlign w:val="center"/>
          </w:tcPr>
          <w:p w14:paraId="0D2FB62F">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1123" w:type="dxa"/>
            <w:vAlign w:val="center"/>
          </w:tcPr>
          <w:p w14:paraId="5BB407E1">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880" w:type="dxa"/>
            <w:vAlign w:val="center"/>
          </w:tcPr>
          <w:p w14:paraId="32B37752">
            <w:pPr>
              <w:spacing w:line="300" w:lineRule="exact"/>
              <w:rPr>
                <w:rFonts w:hint="eastAsia" w:ascii="仿宋" w:hAnsi="仿宋" w:eastAsia="仿宋" w:cs="仿宋"/>
                <w:color w:val="auto"/>
                <w:sz w:val="24"/>
                <w:szCs w:val="24"/>
                <w:highlight w:val="none"/>
              </w:rPr>
            </w:pPr>
          </w:p>
        </w:tc>
        <w:tc>
          <w:tcPr>
            <w:tcW w:w="1306" w:type="dxa"/>
            <w:gridSpan w:val="2"/>
            <w:vAlign w:val="center"/>
          </w:tcPr>
          <w:p w14:paraId="19AF5AE0">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1357" w:type="dxa"/>
            <w:vAlign w:val="center"/>
          </w:tcPr>
          <w:p w14:paraId="6D470369">
            <w:pPr>
              <w:spacing w:line="300" w:lineRule="exact"/>
              <w:rPr>
                <w:rFonts w:hint="eastAsia" w:ascii="仿宋" w:hAnsi="仿宋" w:eastAsia="仿宋" w:cs="仿宋"/>
                <w:color w:val="auto"/>
                <w:sz w:val="24"/>
                <w:szCs w:val="24"/>
                <w:highlight w:val="none"/>
              </w:rPr>
            </w:pPr>
          </w:p>
        </w:tc>
        <w:tc>
          <w:tcPr>
            <w:tcW w:w="717" w:type="dxa"/>
            <w:vAlign w:val="center"/>
          </w:tcPr>
          <w:p w14:paraId="0CFD52B5">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492" w:type="dxa"/>
            <w:vAlign w:val="center"/>
          </w:tcPr>
          <w:p w14:paraId="662FFF66">
            <w:pPr>
              <w:spacing w:line="300" w:lineRule="exact"/>
              <w:rPr>
                <w:rFonts w:hint="eastAsia" w:ascii="仿宋" w:hAnsi="仿宋" w:eastAsia="仿宋" w:cs="仿宋"/>
                <w:color w:val="auto"/>
                <w:sz w:val="24"/>
                <w:szCs w:val="24"/>
                <w:highlight w:val="none"/>
              </w:rPr>
            </w:pPr>
          </w:p>
        </w:tc>
      </w:tr>
      <w:tr w14:paraId="1D6F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065" w:type="dxa"/>
            <w:vAlign w:val="center"/>
          </w:tcPr>
          <w:p w14:paraId="1C44A7A4">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w:t>
            </w:r>
          </w:p>
        </w:tc>
        <w:tc>
          <w:tcPr>
            <w:tcW w:w="1123" w:type="dxa"/>
            <w:vAlign w:val="center"/>
          </w:tcPr>
          <w:p w14:paraId="2A24B60D">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880" w:type="dxa"/>
            <w:vAlign w:val="center"/>
          </w:tcPr>
          <w:p w14:paraId="0E7279E3">
            <w:pPr>
              <w:spacing w:line="300" w:lineRule="exact"/>
              <w:rPr>
                <w:rFonts w:hint="eastAsia" w:ascii="仿宋" w:hAnsi="仿宋" w:eastAsia="仿宋" w:cs="仿宋"/>
                <w:color w:val="auto"/>
                <w:sz w:val="24"/>
                <w:szCs w:val="24"/>
                <w:highlight w:val="none"/>
              </w:rPr>
            </w:pPr>
          </w:p>
        </w:tc>
        <w:tc>
          <w:tcPr>
            <w:tcW w:w="1306" w:type="dxa"/>
            <w:gridSpan w:val="2"/>
            <w:vAlign w:val="center"/>
          </w:tcPr>
          <w:p w14:paraId="66E39CBA">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1357" w:type="dxa"/>
            <w:vAlign w:val="center"/>
          </w:tcPr>
          <w:p w14:paraId="0679E02A">
            <w:pPr>
              <w:spacing w:line="300" w:lineRule="exact"/>
              <w:rPr>
                <w:rFonts w:hint="eastAsia" w:ascii="仿宋" w:hAnsi="仿宋" w:eastAsia="仿宋" w:cs="仿宋"/>
                <w:color w:val="auto"/>
                <w:sz w:val="24"/>
                <w:szCs w:val="24"/>
                <w:highlight w:val="none"/>
              </w:rPr>
            </w:pPr>
          </w:p>
        </w:tc>
        <w:tc>
          <w:tcPr>
            <w:tcW w:w="717" w:type="dxa"/>
            <w:vAlign w:val="center"/>
          </w:tcPr>
          <w:p w14:paraId="6D28355B">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492" w:type="dxa"/>
            <w:vAlign w:val="center"/>
          </w:tcPr>
          <w:p w14:paraId="36017FCE">
            <w:pPr>
              <w:spacing w:line="300" w:lineRule="exact"/>
              <w:rPr>
                <w:rFonts w:hint="eastAsia" w:ascii="仿宋" w:hAnsi="仿宋" w:eastAsia="仿宋" w:cs="仿宋"/>
                <w:color w:val="auto"/>
                <w:sz w:val="24"/>
                <w:szCs w:val="24"/>
                <w:highlight w:val="none"/>
              </w:rPr>
            </w:pPr>
          </w:p>
        </w:tc>
      </w:tr>
      <w:tr w14:paraId="6616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065" w:type="dxa"/>
            <w:vAlign w:val="center"/>
          </w:tcPr>
          <w:p w14:paraId="265A3099">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p>
        </w:tc>
        <w:tc>
          <w:tcPr>
            <w:tcW w:w="3003" w:type="dxa"/>
            <w:gridSpan w:val="2"/>
            <w:vAlign w:val="center"/>
          </w:tcPr>
          <w:p w14:paraId="57620705">
            <w:pPr>
              <w:spacing w:line="300" w:lineRule="exact"/>
              <w:rPr>
                <w:rFonts w:hint="eastAsia" w:ascii="仿宋" w:hAnsi="仿宋" w:eastAsia="仿宋" w:cs="仿宋"/>
                <w:color w:val="auto"/>
                <w:sz w:val="24"/>
                <w:szCs w:val="24"/>
                <w:highlight w:val="none"/>
              </w:rPr>
            </w:pPr>
          </w:p>
        </w:tc>
        <w:tc>
          <w:tcPr>
            <w:tcW w:w="4872" w:type="dxa"/>
            <w:gridSpan w:val="5"/>
            <w:vAlign w:val="center"/>
          </w:tcPr>
          <w:p w14:paraId="7CC4BB81">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员工总人数：</w:t>
            </w:r>
          </w:p>
        </w:tc>
      </w:tr>
      <w:tr w14:paraId="172C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065" w:type="dxa"/>
            <w:vAlign w:val="center"/>
          </w:tcPr>
          <w:p w14:paraId="3F9020C8">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企业资质等级</w:t>
            </w:r>
          </w:p>
        </w:tc>
        <w:tc>
          <w:tcPr>
            <w:tcW w:w="3003" w:type="dxa"/>
            <w:gridSpan w:val="2"/>
            <w:vAlign w:val="center"/>
          </w:tcPr>
          <w:p w14:paraId="0A7966B5">
            <w:pPr>
              <w:spacing w:line="300" w:lineRule="exact"/>
              <w:rPr>
                <w:rFonts w:hint="eastAsia" w:ascii="仿宋" w:hAnsi="仿宋" w:eastAsia="仿宋" w:cs="仿宋"/>
                <w:color w:val="auto"/>
                <w:sz w:val="24"/>
                <w:szCs w:val="24"/>
                <w:highlight w:val="none"/>
              </w:rPr>
            </w:pPr>
          </w:p>
        </w:tc>
        <w:tc>
          <w:tcPr>
            <w:tcW w:w="745" w:type="dxa"/>
            <w:vMerge w:val="restart"/>
            <w:vAlign w:val="center"/>
          </w:tcPr>
          <w:p w14:paraId="40BD2FDF">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tc>
        <w:tc>
          <w:tcPr>
            <w:tcW w:w="1918" w:type="dxa"/>
            <w:gridSpan w:val="2"/>
            <w:vAlign w:val="center"/>
          </w:tcPr>
          <w:p w14:paraId="271E8F74">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2209" w:type="dxa"/>
            <w:gridSpan w:val="2"/>
            <w:vAlign w:val="center"/>
          </w:tcPr>
          <w:p w14:paraId="7D12ED5D">
            <w:pPr>
              <w:spacing w:line="300" w:lineRule="exact"/>
              <w:rPr>
                <w:rFonts w:hint="eastAsia" w:ascii="仿宋" w:hAnsi="仿宋" w:eastAsia="仿宋" w:cs="仿宋"/>
                <w:color w:val="auto"/>
                <w:sz w:val="24"/>
                <w:szCs w:val="24"/>
                <w:highlight w:val="none"/>
              </w:rPr>
            </w:pPr>
          </w:p>
        </w:tc>
      </w:tr>
      <w:tr w14:paraId="403C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065" w:type="dxa"/>
            <w:vAlign w:val="center"/>
          </w:tcPr>
          <w:p w14:paraId="3C09AAE2">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营业执照号</w:t>
            </w:r>
          </w:p>
        </w:tc>
        <w:tc>
          <w:tcPr>
            <w:tcW w:w="3003" w:type="dxa"/>
            <w:gridSpan w:val="2"/>
            <w:vAlign w:val="center"/>
          </w:tcPr>
          <w:p w14:paraId="0EEBF708">
            <w:pPr>
              <w:spacing w:line="300" w:lineRule="exact"/>
              <w:rPr>
                <w:rFonts w:hint="eastAsia" w:ascii="仿宋" w:hAnsi="仿宋" w:eastAsia="仿宋" w:cs="仿宋"/>
                <w:color w:val="auto"/>
                <w:sz w:val="24"/>
                <w:szCs w:val="24"/>
                <w:highlight w:val="none"/>
              </w:rPr>
            </w:pPr>
          </w:p>
        </w:tc>
        <w:tc>
          <w:tcPr>
            <w:tcW w:w="745" w:type="dxa"/>
            <w:vMerge w:val="continue"/>
            <w:vAlign w:val="center"/>
          </w:tcPr>
          <w:p w14:paraId="4826E425">
            <w:pPr>
              <w:spacing w:line="300" w:lineRule="exact"/>
              <w:rPr>
                <w:rFonts w:hint="eastAsia" w:ascii="仿宋" w:hAnsi="仿宋" w:eastAsia="仿宋" w:cs="仿宋"/>
                <w:color w:val="auto"/>
                <w:sz w:val="24"/>
                <w:szCs w:val="24"/>
                <w:highlight w:val="none"/>
              </w:rPr>
            </w:pPr>
          </w:p>
        </w:tc>
        <w:tc>
          <w:tcPr>
            <w:tcW w:w="1918" w:type="dxa"/>
            <w:gridSpan w:val="2"/>
            <w:vAlign w:val="center"/>
          </w:tcPr>
          <w:p w14:paraId="2B83F843">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高级职称人员</w:t>
            </w:r>
          </w:p>
        </w:tc>
        <w:tc>
          <w:tcPr>
            <w:tcW w:w="2209" w:type="dxa"/>
            <w:gridSpan w:val="2"/>
            <w:vAlign w:val="center"/>
          </w:tcPr>
          <w:p w14:paraId="3ECB9E5F">
            <w:pPr>
              <w:spacing w:line="300" w:lineRule="exact"/>
              <w:rPr>
                <w:rFonts w:hint="eastAsia" w:ascii="仿宋" w:hAnsi="仿宋" w:eastAsia="仿宋" w:cs="仿宋"/>
                <w:color w:val="auto"/>
                <w:sz w:val="24"/>
                <w:szCs w:val="24"/>
                <w:highlight w:val="none"/>
              </w:rPr>
            </w:pPr>
          </w:p>
        </w:tc>
      </w:tr>
      <w:tr w14:paraId="584B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065" w:type="dxa"/>
            <w:vAlign w:val="center"/>
          </w:tcPr>
          <w:p w14:paraId="456023FC">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w:t>
            </w:r>
          </w:p>
        </w:tc>
        <w:tc>
          <w:tcPr>
            <w:tcW w:w="3003" w:type="dxa"/>
            <w:gridSpan w:val="2"/>
            <w:vAlign w:val="center"/>
          </w:tcPr>
          <w:p w14:paraId="3AE73081">
            <w:pPr>
              <w:spacing w:line="300" w:lineRule="exact"/>
              <w:rPr>
                <w:rFonts w:hint="eastAsia" w:ascii="仿宋" w:hAnsi="仿宋" w:eastAsia="仿宋" w:cs="仿宋"/>
                <w:color w:val="auto"/>
                <w:sz w:val="24"/>
                <w:szCs w:val="24"/>
                <w:highlight w:val="none"/>
              </w:rPr>
            </w:pPr>
          </w:p>
        </w:tc>
        <w:tc>
          <w:tcPr>
            <w:tcW w:w="745" w:type="dxa"/>
            <w:vMerge w:val="continue"/>
            <w:vAlign w:val="center"/>
          </w:tcPr>
          <w:p w14:paraId="0FB8C384">
            <w:pPr>
              <w:spacing w:line="300" w:lineRule="exact"/>
              <w:rPr>
                <w:rFonts w:hint="eastAsia" w:ascii="仿宋" w:hAnsi="仿宋" w:eastAsia="仿宋" w:cs="仿宋"/>
                <w:color w:val="auto"/>
                <w:sz w:val="24"/>
                <w:szCs w:val="24"/>
                <w:highlight w:val="none"/>
              </w:rPr>
            </w:pPr>
          </w:p>
        </w:tc>
        <w:tc>
          <w:tcPr>
            <w:tcW w:w="1918" w:type="dxa"/>
            <w:gridSpan w:val="2"/>
            <w:vAlign w:val="center"/>
          </w:tcPr>
          <w:p w14:paraId="1FE56EC3">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中级职称人员</w:t>
            </w:r>
          </w:p>
        </w:tc>
        <w:tc>
          <w:tcPr>
            <w:tcW w:w="2209" w:type="dxa"/>
            <w:gridSpan w:val="2"/>
            <w:vAlign w:val="center"/>
          </w:tcPr>
          <w:p w14:paraId="1BBCB9CF">
            <w:pPr>
              <w:spacing w:line="300" w:lineRule="exact"/>
              <w:rPr>
                <w:rFonts w:hint="eastAsia" w:ascii="仿宋" w:hAnsi="仿宋" w:eastAsia="仿宋" w:cs="仿宋"/>
                <w:color w:val="auto"/>
                <w:sz w:val="24"/>
                <w:szCs w:val="24"/>
                <w:highlight w:val="none"/>
              </w:rPr>
            </w:pPr>
          </w:p>
        </w:tc>
      </w:tr>
      <w:tr w14:paraId="202B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065" w:type="dxa"/>
            <w:vAlign w:val="center"/>
          </w:tcPr>
          <w:p w14:paraId="6AFEF72E">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003" w:type="dxa"/>
            <w:gridSpan w:val="2"/>
            <w:vAlign w:val="center"/>
          </w:tcPr>
          <w:p w14:paraId="7E5C1234">
            <w:pPr>
              <w:spacing w:line="300" w:lineRule="exact"/>
              <w:rPr>
                <w:rFonts w:hint="eastAsia" w:ascii="仿宋" w:hAnsi="仿宋" w:eastAsia="仿宋" w:cs="仿宋"/>
                <w:color w:val="auto"/>
                <w:sz w:val="24"/>
                <w:szCs w:val="24"/>
                <w:highlight w:val="none"/>
              </w:rPr>
            </w:pPr>
          </w:p>
        </w:tc>
        <w:tc>
          <w:tcPr>
            <w:tcW w:w="745" w:type="dxa"/>
            <w:vMerge w:val="continue"/>
            <w:vAlign w:val="center"/>
          </w:tcPr>
          <w:p w14:paraId="199A69AA">
            <w:pPr>
              <w:spacing w:line="300" w:lineRule="exact"/>
              <w:rPr>
                <w:rFonts w:hint="eastAsia" w:ascii="仿宋" w:hAnsi="仿宋" w:eastAsia="仿宋" w:cs="仿宋"/>
                <w:color w:val="auto"/>
                <w:sz w:val="24"/>
                <w:szCs w:val="24"/>
                <w:highlight w:val="none"/>
              </w:rPr>
            </w:pPr>
          </w:p>
        </w:tc>
        <w:tc>
          <w:tcPr>
            <w:tcW w:w="1918" w:type="dxa"/>
            <w:gridSpan w:val="2"/>
            <w:vAlign w:val="center"/>
          </w:tcPr>
          <w:p w14:paraId="547F2933">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初级职称人员</w:t>
            </w:r>
          </w:p>
        </w:tc>
        <w:tc>
          <w:tcPr>
            <w:tcW w:w="2209" w:type="dxa"/>
            <w:gridSpan w:val="2"/>
            <w:vAlign w:val="center"/>
          </w:tcPr>
          <w:p w14:paraId="5E008CBC">
            <w:pPr>
              <w:spacing w:line="300" w:lineRule="exact"/>
              <w:rPr>
                <w:rFonts w:hint="eastAsia" w:ascii="仿宋" w:hAnsi="仿宋" w:eastAsia="仿宋" w:cs="仿宋"/>
                <w:color w:val="auto"/>
                <w:sz w:val="24"/>
                <w:szCs w:val="24"/>
                <w:highlight w:val="none"/>
              </w:rPr>
            </w:pPr>
          </w:p>
        </w:tc>
      </w:tr>
      <w:tr w14:paraId="124F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065" w:type="dxa"/>
            <w:vAlign w:val="center"/>
          </w:tcPr>
          <w:p w14:paraId="3E19EDFF">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c>
          <w:tcPr>
            <w:tcW w:w="3003" w:type="dxa"/>
            <w:gridSpan w:val="2"/>
            <w:vAlign w:val="center"/>
          </w:tcPr>
          <w:p w14:paraId="5A155902">
            <w:pPr>
              <w:spacing w:line="300" w:lineRule="exact"/>
              <w:rPr>
                <w:rFonts w:hint="eastAsia" w:ascii="仿宋" w:hAnsi="仿宋" w:eastAsia="仿宋" w:cs="仿宋"/>
                <w:color w:val="auto"/>
                <w:sz w:val="24"/>
                <w:szCs w:val="24"/>
                <w:highlight w:val="none"/>
              </w:rPr>
            </w:pPr>
          </w:p>
        </w:tc>
        <w:tc>
          <w:tcPr>
            <w:tcW w:w="745" w:type="dxa"/>
            <w:vMerge w:val="continue"/>
            <w:vAlign w:val="center"/>
          </w:tcPr>
          <w:p w14:paraId="1B2F854A">
            <w:pPr>
              <w:spacing w:line="300" w:lineRule="exact"/>
              <w:rPr>
                <w:rFonts w:hint="eastAsia" w:ascii="仿宋" w:hAnsi="仿宋" w:eastAsia="仿宋" w:cs="仿宋"/>
                <w:color w:val="auto"/>
                <w:sz w:val="24"/>
                <w:szCs w:val="24"/>
                <w:highlight w:val="none"/>
              </w:rPr>
            </w:pPr>
          </w:p>
        </w:tc>
        <w:tc>
          <w:tcPr>
            <w:tcW w:w="1918" w:type="dxa"/>
            <w:gridSpan w:val="2"/>
            <w:vAlign w:val="center"/>
          </w:tcPr>
          <w:p w14:paraId="12BD5D8B">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技工</w:t>
            </w:r>
          </w:p>
        </w:tc>
        <w:tc>
          <w:tcPr>
            <w:tcW w:w="2209" w:type="dxa"/>
            <w:gridSpan w:val="2"/>
            <w:vAlign w:val="center"/>
          </w:tcPr>
          <w:p w14:paraId="783CD6B9">
            <w:pPr>
              <w:spacing w:line="300" w:lineRule="exact"/>
              <w:rPr>
                <w:rFonts w:hint="eastAsia" w:ascii="仿宋" w:hAnsi="仿宋" w:eastAsia="仿宋" w:cs="仿宋"/>
                <w:color w:val="auto"/>
                <w:sz w:val="24"/>
                <w:szCs w:val="24"/>
                <w:highlight w:val="none"/>
              </w:rPr>
            </w:pPr>
          </w:p>
        </w:tc>
      </w:tr>
      <w:tr w14:paraId="36F3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2065" w:type="dxa"/>
            <w:vAlign w:val="center"/>
          </w:tcPr>
          <w:p w14:paraId="310DB144">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经营范围备注</w:t>
            </w:r>
          </w:p>
        </w:tc>
        <w:tc>
          <w:tcPr>
            <w:tcW w:w="7875" w:type="dxa"/>
            <w:gridSpan w:val="7"/>
            <w:vAlign w:val="center"/>
          </w:tcPr>
          <w:p w14:paraId="7BFCA18C">
            <w:pPr>
              <w:spacing w:line="300" w:lineRule="exact"/>
              <w:ind w:firstLine="480" w:firstLineChars="200"/>
              <w:rPr>
                <w:rFonts w:hint="eastAsia" w:ascii="仿宋" w:hAnsi="仿宋" w:eastAsia="仿宋" w:cs="仿宋"/>
                <w:color w:val="auto"/>
                <w:sz w:val="24"/>
                <w:szCs w:val="24"/>
                <w:highlight w:val="none"/>
              </w:rPr>
            </w:pPr>
          </w:p>
        </w:tc>
      </w:tr>
    </w:tbl>
    <w:p w14:paraId="05D82C67">
      <w:pPr>
        <w:spacing w:line="360" w:lineRule="auto"/>
        <w:jc w:val="left"/>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r>
        <w:rPr>
          <w:rFonts w:hint="eastAsia" w:ascii="仿宋" w:hAnsi="仿宋" w:eastAsia="仿宋" w:cs="仿宋"/>
          <w:color w:val="auto"/>
          <w:sz w:val="24"/>
          <w:szCs w:val="24"/>
          <w:highlight w:val="none"/>
        </w:rPr>
        <w:t>后附：企业营业执照、资质证书、安全生产许可证、开户许可证等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认为有必要提供的证明材料复印件盖公章</w:t>
      </w:r>
    </w:p>
    <w:p w14:paraId="6650CFBF">
      <w:pPr>
        <w:spacing w:line="360" w:lineRule="auto"/>
        <w:jc w:val="both"/>
        <w:outlineLvl w:val="2"/>
        <w:rPr>
          <w:rFonts w:hint="eastAsia" w:ascii="仿宋" w:hAnsi="仿宋" w:eastAsia="仿宋" w:cs="仿宋"/>
          <w:b/>
          <w:color w:val="auto"/>
          <w:sz w:val="24"/>
          <w:highlight w:val="none"/>
          <w:lang w:eastAsia="zh-CN"/>
        </w:rPr>
        <w:sectPr>
          <w:pgSz w:w="11849" w:h="16781"/>
          <w:pgMar w:top="1134" w:right="1134" w:bottom="1134" w:left="1417" w:header="850" w:footer="692" w:gutter="0"/>
          <w:pgNumType w:fmt="decimal"/>
          <w:cols w:space="720" w:num="1"/>
          <w:titlePg/>
          <w:rtlGutter w:val="0"/>
          <w:docGrid w:type="lines" w:linePitch="316" w:charSpace="0"/>
        </w:sectPr>
      </w:pPr>
      <w:bookmarkStart w:id="172" w:name="_Toc7599"/>
      <w:bookmarkStart w:id="173" w:name="_Toc24462"/>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二</w:t>
      </w:r>
      <w:r>
        <w:rPr>
          <w:rFonts w:hint="eastAsia" w:ascii="仿宋" w:hAnsi="仿宋" w:eastAsia="仿宋" w:cs="仿宋"/>
          <w:b/>
          <w:color w:val="auto"/>
          <w:sz w:val="24"/>
          <w:highlight w:val="none"/>
          <w:lang w:eastAsia="zh-CN"/>
        </w:rPr>
        <w:t>）具有良好的商业信誉和健全的财务会计制度</w:t>
      </w:r>
      <w:bookmarkEnd w:id="172"/>
      <w:bookmarkEnd w:id="173"/>
    </w:p>
    <w:p w14:paraId="5B46198A">
      <w:pPr>
        <w:spacing w:line="360" w:lineRule="auto"/>
        <w:jc w:val="both"/>
        <w:outlineLvl w:val="2"/>
        <w:rPr>
          <w:rFonts w:hint="eastAsia" w:ascii="仿宋" w:hAnsi="仿宋" w:eastAsia="仿宋" w:cs="仿宋"/>
          <w:b/>
          <w:color w:val="auto"/>
          <w:sz w:val="24"/>
          <w:highlight w:val="none"/>
          <w:lang w:eastAsia="zh-CN"/>
        </w:rPr>
        <w:sectPr>
          <w:pgSz w:w="11849" w:h="16781"/>
          <w:pgMar w:top="1134" w:right="1134" w:bottom="1134" w:left="1417" w:header="850" w:footer="692" w:gutter="0"/>
          <w:pgNumType w:fmt="decimal"/>
          <w:cols w:space="720" w:num="1"/>
          <w:titlePg/>
          <w:rtlGutter w:val="0"/>
          <w:docGrid w:type="lines" w:linePitch="316" w:charSpace="0"/>
        </w:sectPr>
      </w:pPr>
      <w:bookmarkStart w:id="174" w:name="_Toc8017"/>
      <w:bookmarkStart w:id="175" w:name="_Toc4972"/>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lang w:eastAsia="zh-CN"/>
        </w:rPr>
        <w:t>）具有依法缴纳税收和社会保障资金的良好记录</w:t>
      </w:r>
      <w:bookmarkEnd w:id="174"/>
      <w:bookmarkEnd w:id="175"/>
    </w:p>
    <w:p w14:paraId="1086031F">
      <w:pPr>
        <w:spacing w:line="360" w:lineRule="auto"/>
        <w:jc w:val="both"/>
        <w:outlineLvl w:val="2"/>
        <w:rPr>
          <w:rFonts w:hint="eastAsia" w:ascii="仿宋" w:hAnsi="仿宋" w:eastAsia="仿宋" w:cs="仿宋"/>
          <w:b/>
          <w:color w:val="auto"/>
          <w:sz w:val="24"/>
          <w:highlight w:val="none"/>
          <w:lang w:eastAsia="zh-CN"/>
        </w:rPr>
      </w:pPr>
      <w:bookmarkStart w:id="176" w:name="_Toc31753"/>
      <w:bookmarkStart w:id="177" w:name="_Toc2403"/>
      <w:r>
        <w:rPr>
          <w:rFonts w:hint="eastAsia" w:ascii="仿宋" w:hAnsi="仿宋" w:eastAsia="仿宋" w:cs="仿宋"/>
          <w:b/>
          <w:color w:val="auto"/>
          <w:sz w:val="24"/>
          <w:highlight w:val="none"/>
          <w:lang w:eastAsia="zh-CN"/>
        </w:rPr>
        <w:t>承诺函①</w:t>
      </w:r>
      <w:bookmarkEnd w:id="176"/>
      <w:bookmarkEnd w:id="177"/>
    </w:p>
    <w:p w14:paraId="7907DBF1">
      <w:pPr>
        <w:adjustRightInd w:val="0"/>
        <w:snapToGrid w:val="0"/>
        <w:ind w:left="2656" w:firstLine="498" w:firstLineChars="200"/>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4"/>
          <w:sz w:val="24"/>
          <w:szCs w:val="24"/>
          <w:highlight w:val="none"/>
          <w:lang w:eastAsia="zh-CN"/>
        </w:rPr>
        <w:t>资格条件承诺函</w:t>
      </w:r>
    </w:p>
    <w:p w14:paraId="358F543D">
      <w:pPr>
        <w:adjustRightInd w:val="0"/>
        <w:snapToGrid w:val="0"/>
        <w:ind w:firstLine="480" w:firstLineChars="200"/>
        <w:rPr>
          <w:rFonts w:hint="eastAsia" w:ascii="仿宋" w:hAnsi="仿宋" w:eastAsia="仿宋" w:cs="仿宋"/>
          <w:color w:val="auto"/>
          <w:sz w:val="24"/>
          <w:szCs w:val="24"/>
          <w:highlight w:val="none"/>
          <w:lang w:eastAsia="zh-CN"/>
        </w:rPr>
      </w:pPr>
    </w:p>
    <w:p w14:paraId="1799C232">
      <w:pPr>
        <w:adjustRightInd w:val="0"/>
        <w:snapToGrid w:val="0"/>
        <w:ind w:firstLine="480" w:firstLineChars="200"/>
        <w:rPr>
          <w:rFonts w:hint="eastAsia" w:ascii="仿宋" w:hAnsi="仿宋" w:eastAsia="仿宋" w:cs="仿宋"/>
          <w:color w:val="auto"/>
          <w:sz w:val="24"/>
          <w:szCs w:val="24"/>
          <w:highlight w:val="none"/>
          <w:lang w:eastAsia="zh-CN"/>
        </w:rPr>
      </w:pPr>
    </w:p>
    <w:p w14:paraId="1DA22A39">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致 ： </w:t>
      </w:r>
      <w:r>
        <w:rPr>
          <w:rFonts w:hint="eastAsia" w:ascii="仿宋" w:hAnsi="仿宋" w:eastAsia="仿宋" w:cs="仿宋"/>
          <w:color w:val="auto"/>
          <w:sz w:val="24"/>
          <w:szCs w:val="24"/>
          <w:highlight w:val="none"/>
          <w:u w:val="single"/>
          <w:lang w:eastAsia="zh-CN"/>
        </w:rPr>
        <w:t xml:space="preserve">( 采 购 人 、 采 购 代 理 机 构 )  </w:t>
      </w:r>
      <w:r>
        <w:rPr>
          <w:rFonts w:hint="eastAsia" w:ascii="仿宋" w:hAnsi="仿宋" w:eastAsia="仿宋" w:cs="仿宋"/>
          <w:color w:val="auto"/>
          <w:sz w:val="24"/>
          <w:szCs w:val="24"/>
          <w:highlight w:val="none"/>
          <w:lang w:eastAsia="zh-CN"/>
        </w:rPr>
        <w:t xml:space="preserve"> :</w:t>
      </w:r>
    </w:p>
    <w:p w14:paraId="3FCC3DC7">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我单位(公司)参与</w:t>
      </w:r>
      <w:r>
        <w:rPr>
          <w:rFonts w:hint="eastAsia" w:ascii="仿宋" w:hAnsi="仿宋" w:eastAsia="仿宋" w:cs="仿宋"/>
          <w:color w:val="auto"/>
          <w:sz w:val="24"/>
          <w:szCs w:val="24"/>
          <w:highlight w:val="none"/>
          <w:u w:val="single"/>
          <w:lang w:eastAsia="zh-CN"/>
        </w:rPr>
        <w:t xml:space="preserve">    ( 采 购项目名称、项目编号 )</w:t>
      </w:r>
      <w:r>
        <w:rPr>
          <w:rFonts w:hint="eastAsia" w:ascii="仿宋" w:hAnsi="仿宋" w:eastAsia="仿宋" w:cs="仿宋"/>
          <w:color w:val="auto"/>
          <w:sz w:val="24"/>
          <w:szCs w:val="24"/>
          <w:highlight w:val="none"/>
          <w:lang w:eastAsia="zh-CN"/>
        </w:rPr>
        <w:t>采购项目的政府采购活动，现承诺如下：</w:t>
      </w:r>
    </w:p>
    <w:p w14:paraId="4CFCDA3E">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 具有良好的商业信誉和健全的财务会计制度；</w:t>
      </w:r>
    </w:p>
    <w:p w14:paraId="169BA330">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 具有依法缴纳税收的良好记录；</w:t>
      </w:r>
    </w:p>
    <w:p w14:paraId="73E85A9A">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3.具有依法缴纳社会保障金的良好记录。</w:t>
      </w:r>
    </w:p>
    <w:p w14:paraId="4E503C01">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我方在采购项目评审(评标)环节结束后，随时接受采 购人、采购代理机构的检查验证，配合提供相关证明材料，证明符合《中华人民共和国政府采购法》规定的供应商基本资格条件。</w:t>
      </w:r>
    </w:p>
    <w:p w14:paraId="33D74162">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我单位(公司)对上述承诺的真实性负责。如有虚假，将依法承担相应责任。</w:t>
      </w:r>
    </w:p>
    <w:p w14:paraId="43BDCD2D">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特此承诺。</w:t>
      </w:r>
    </w:p>
    <w:p w14:paraId="546BE26D">
      <w:pPr>
        <w:widowControl/>
        <w:topLinePunct/>
        <w:spacing w:line="360" w:lineRule="auto"/>
        <w:ind w:firstLine="480"/>
        <w:jc w:val="both"/>
        <w:rPr>
          <w:rFonts w:hint="eastAsia" w:ascii="仿宋" w:hAnsi="仿宋" w:eastAsia="仿宋" w:cs="仿宋"/>
          <w:color w:val="auto"/>
          <w:sz w:val="24"/>
          <w:szCs w:val="24"/>
          <w:highlight w:val="none"/>
          <w:lang w:eastAsia="zh-CN"/>
        </w:rPr>
      </w:pPr>
    </w:p>
    <w:p w14:paraId="50470DE0">
      <w:pPr>
        <w:spacing w:line="480" w:lineRule="auto"/>
        <w:ind w:firstLine="420" w:firstLineChars="0"/>
        <w:jc w:val="both"/>
        <w:rPr>
          <w:rFonts w:hint="eastAsia" w:ascii="仿宋" w:hAnsi="仿宋" w:eastAsia="仿宋" w:cs="仿宋"/>
          <w:color w:val="auto"/>
          <w:kern w:val="2"/>
          <w:sz w:val="24"/>
          <w:szCs w:val="24"/>
          <w:highlight w:val="none"/>
          <w:u w:val="single"/>
          <w:lang w:eastAsia="zh-CN"/>
        </w:rPr>
      </w:pPr>
      <w:r>
        <w:rPr>
          <w:rFonts w:hint="eastAsia" w:ascii="仿宋" w:hAnsi="仿宋" w:eastAsia="仿宋" w:cs="仿宋"/>
          <w:color w:val="auto"/>
          <w:kern w:val="2"/>
          <w:sz w:val="24"/>
          <w:szCs w:val="24"/>
          <w:highlight w:val="none"/>
          <w:lang w:eastAsia="zh-CN"/>
        </w:rPr>
        <w:t>投标人名称：</w:t>
      </w:r>
      <w:r>
        <w:rPr>
          <w:rFonts w:hint="eastAsia" w:ascii="仿宋" w:hAnsi="仿宋" w:eastAsia="仿宋" w:cs="仿宋"/>
          <w:color w:val="auto"/>
          <w:kern w:val="2"/>
          <w:sz w:val="24"/>
          <w:szCs w:val="24"/>
          <w:highlight w:val="none"/>
          <w:u w:val="single"/>
          <w:lang w:eastAsia="zh-CN"/>
        </w:rPr>
        <w:t xml:space="preserve">                       （公章）</w:t>
      </w:r>
    </w:p>
    <w:p w14:paraId="1C1058A5">
      <w:pPr>
        <w:spacing w:line="480" w:lineRule="auto"/>
        <w:ind w:firstLine="420" w:firstLineChars="0"/>
        <w:jc w:val="both"/>
        <w:rPr>
          <w:rFonts w:hint="eastAsia" w:ascii="仿宋" w:hAnsi="仿宋" w:eastAsia="仿宋" w:cs="仿宋"/>
          <w:color w:val="auto"/>
          <w:kern w:val="2"/>
          <w:sz w:val="24"/>
          <w:szCs w:val="24"/>
          <w:highlight w:val="none"/>
          <w:u w:val="single"/>
          <w:lang w:eastAsia="zh-CN"/>
        </w:rPr>
      </w:pPr>
      <w:r>
        <w:rPr>
          <w:rFonts w:hint="eastAsia" w:ascii="仿宋" w:hAnsi="仿宋" w:eastAsia="仿宋" w:cs="仿宋"/>
          <w:color w:val="auto"/>
          <w:kern w:val="2"/>
          <w:sz w:val="24"/>
          <w:szCs w:val="24"/>
          <w:highlight w:val="none"/>
          <w:lang w:eastAsia="zh-CN"/>
        </w:rPr>
        <w:t>法定代表人或授权代表</w:t>
      </w:r>
      <w:r>
        <w:rPr>
          <w:rFonts w:hint="eastAsia" w:ascii="仿宋" w:hAnsi="仿宋" w:eastAsia="仿宋" w:cs="仿宋"/>
          <w:color w:val="auto"/>
          <w:kern w:val="2"/>
          <w:sz w:val="24"/>
          <w:szCs w:val="24"/>
          <w:highlight w:val="none"/>
          <w:u w:val="single"/>
          <w:lang w:eastAsia="zh-CN"/>
        </w:rPr>
        <w:t>：                     （签字或盖章）</w:t>
      </w:r>
    </w:p>
    <w:p w14:paraId="63DE8E74">
      <w:pPr>
        <w:spacing w:line="480" w:lineRule="auto"/>
        <w:ind w:firstLine="420" w:firstLineChars="0"/>
        <w:jc w:val="both"/>
        <w:rPr>
          <w:rFonts w:hint="eastAsia" w:ascii="仿宋" w:hAnsi="仿宋" w:eastAsia="仿宋" w:cs="仿宋"/>
          <w:color w:val="auto"/>
          <w:kern w:val="2"/>
          <w:sz w:val="24"/>
          <w:szCs w:val="24"/>
          <w:highlight w:val="none"/>
          <w:u w:val="single"/>
          <w:lang w:eastAsia="zh-CN"/>
        </w:rPr>
      </w:pPr>
      <w:r>
        <w:rPr>
          <w:rFonts w:hint="eastAsia" w:ascii="仿宋" w:hAnsi="仿宋" w:eastAsia="仿宋" w:cs="仿宋"/>
          <w:color w:val="auto"/>
          <w:kern w:val="2"/>
          <w:sz w:val="24"/>
          <w:szCs w:val="24"/>
          <w:highlight w:val="none"/>
          <w:lang w:eastAsia="zh-CN"/>
        </w:rPr>
        <w:t>日期 ：</w:t>
      </w:r>
      <w:r>
        <w:rPr>
          <w:rFonts w:hint="eastAsia" w:ascii="仿宋" w:hAnsi="仿宋" w:eastAsia="仿宋" w:cs="仿宋"/>
          <w:color w:val="auto"/>
          <w:kern w:val="2"/>
          <w:sz w:val="24"/>
          <w:szCs w:val="24"/>
          <w:highlight w:val="none"/>
          <w:u w:val="single"/>
          <w:lang w:eastAsia="zh-CN"/>
        </w:rPr>
        <w:t xml:space="preserve">                                            </w:t>
      </w:r>
    </w:p>
    <w:p w14:paraId="19CCC424">
      <w:pPr>
        <w:spacing w:line="48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注：不适用信用承诺的情形：</w:t>
      </w:r>
    </w:p>
    <w:p w14:paraId="283AB11D">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1.被列入政府采购不良行为记录名单的，被禁止参加政府采购活动且尚在处罚有效期内的；</w:t>
      </w:r>
    </w:p>
    <w:p w14:paraId="1E39A26E">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2.被有关部门列入失信被执行人、联合惩戒对象、严重违法失信行为记录等情形的；</w:t>
      </w:r>
    </w:p>
    <w:p w14:paraId="53252E58">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3.其他法律法规规定的不适用于资格条件信用承诺的情。</w:t>
      </w:r>
    </w:p>
    <w:p w14:paraId="5E3791BE">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4.不适用于信用承诺的企业应按要求提供其他证明文件，以证明其资格符合磋商文件规定。</w:t>
      </w:r>
      <w:bookmarkStart w:id="178" w:name="_Toc29052"/>
    </w:p>
    <w:p w14:paraId="3CCAB889">
      <w:pPr>
        <w:widowControl/>
        <w:topLinePunct/>
        <w:spacing w:line="360" w:lineRule="auto"/>
        <w:ind w:firstLine="480"/>
        <w:jc w:val="both"/>
        <w:rPr>
          <w:rFonts w:hint="eastAsia" w:ascii="仿宋" w:hAnsi="仿宋" w:eastAsia="仿宋" w:cs="仿宋"/>
          <w:b/>
          <w:color w:val="auto"/>
          <w:sz w:val="24"/>
          <w:highlight w:val="none"/>
          <w:lang w:eastAsia="zh-CN"/>
        </w:rPr>
        <w:sectPr>
          <w:footerReference r:id="rId19" w:type="default"/>
          <w:pgSz w:w="11849" w:h="16781"/>
          <w:pgMar w:top="1134" w:right="1134" w:bottom="1134" w:left="1417" w:header="850" w:footer="692" w:gutter="0"/>
          <w:pgNumType w:fmt="decimal"/>
          <w:cols w:space="720" w:num="1"/>
          <w:titlePg/>
          <w:rtlGutter w:val="0"/>
          <w:docGrid w:type="lines" w:linePitch="316" w:charSpace="0"/>
        </w:sectPr>
      </w:pPr>
    </w:p>
    <w:p w14:paraId="61E59062">
      <w:pPr>
        <w:widowControl/>
        <w:topLinePunct/>
        <w:spacing w:line="360" w:lineRule="auto"/>
        <w:ind w:left="0" w:leftChars="0" w:firstLine="0" w:firstLineChars="0"/>
        <w:jc w:val="both"/>
        <w:outlineLvl w:val="2"/>
        <w:rPr>
          <w:rFonts w:hint="eastAsia" w:ascii="仿宋" w:hAnsi="仿宋" w:eastAsia="仿宋" w:cs="仿宋"/>
          <w:b/>
          <w:color w:val="auto"/>
          <w:sz w:val="24"/>
          <w:highlight w:val="none"/>
          <w:lang w:eastAsia="zh-CN"/>
        </w:rPr>
      </w:pPr>
      <w:bookmarkStart w:id="179" w:name="_Toc23288"/>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lang w:eastAsia="zh-CN"/>
        </w:rPr>
        <w:t>）声明②</w:t>
      </w:r>
      <w:bookmarkEnd w:id="178"/>
      <w:bookmarkEnd w:id="179"/>
    </w:p>
    <w:p w14:paraId="2B755BA1">
      <w:pPr>
        <w:widowControl/>
        <w:jc w:val="center"/>
        <w:rPr>
          <w:rFonts w:hint="eastAsia" w:ascii="仿宋" w:hAnsi="仿宋" w:eastAsia="仿宋" w:cs="仿宋"/>
          <w:b/>
          <w:bCs/>
          <w:color w:val="auto"/>
          <w:sz w:val="24"/>
          <w:szCs w:val="24"/>
          <w:highlight w:val="none"/>
          <w:lang w:eastAsia="zh-CN"/>
        </w:rPr>
      </w:pPr>
    </w:p>
    <w:p w14:paraId="3D404246">
      <w:pPr>
        <w:widowControl/>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具有履行合同所必需的设备和专业技术能力</w:t>
      </w:r>
    </w:p>
    <w:p w14:paraId="31BF8A3A">
      <w:pPr>
        <w:pStyle w:val="16"/>
        <w:rPr>
          <w:rFonts w:hint="eastAsia" w:ascii="仿宋" w:hAnsi="仿宋" w:eastAsia="仿宋" w:cs="仿宋"/>
          <w:b/>
          <w:bCs/>
          <w:color w:val="auto"/>
          <w:sz w:val="21"/>
          <w:szCs w:val="21"/>
          <w:highlight w:val="none"/>
          <w:lang w:eastAsia="zh-CN"/>
        </w:rPr>
      </w:pPr>
    </w:p>
    <w:p w14:paraId="013431ED">
      <w:pPr>
        <w:widowControl/>
        <w:spacing w:line="48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致：</w:t>
      </w:r>
      <w:r>
        <w:rPr>
          <w:rFonts w:hint="eastAsia" w:ascii="仿宋" w:hAnsi="仿宋" w:eastAsia="仿宋" w:cs="仿宋"/>
          <w:b/>
          <w:bCs/>
          <w:color w:val="auto"/>
          <w:sz w:val="24"/>
          <w:szCs w:val="24"/>
          <w:highlight w:val="none"/>
          <w:u w:val="single"/>
          <w:lang w:eastAsia="zh-CN"/>
        </w:rPr>
        <w:t>（采购人名称）</w:t>
      </w:r>
    </w:p>
    <w:p w14:paraId="0358ED84">
      <w:pPr>
        <w:widowControl/>
        <w:spacing w:line="48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我单位郑重声明：我公司</w:t>
      </w:r>
      <w:r>
        <w:rPr>
          <w:rFonts w:hint="eastAsia" w:ascii="仿宋" w:hAnsi="仿宋" w:eastAsia="仿宋" w:cs="仿宋"/>
          <w:b/>
          <w:bCs/>
          <w:color w:val="auto"/>
          <w:sz w:val="24"/>
          <w:szCs w:val="24"/>
          <w:highlight w:val="none"/>
          <w:lang w:eastAsia="zh-CN"/>
        </w:rPr>
        <w:t>具有履行合同所必需的设备和专业技术能力</w:t>
      </w:r>
      <w:r>
        <w:rPr>
          <w:rFonts w:hint="eastAsia" w:ascii="仿宋" w:hAnsi="仿宋" w:eastAsia="仿宋" w:cs="仿宋"/>
          <w:color w:val="auto"/>
          <w:sz w:val="24"/>
          <w:szCs w:val="24"/>
          <w:highlight w:val="none"/>
          <w:lang w:eastAsia="zh-CN"/>
        </w:rPr>
        <w:t>。</w:t>
      </w:r>
    </w:p>
    <w:p w14:paraId="6C75D633">
      <w:pPr>
        <w:widowControl/>
        <w:spacing w:line="48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我单位对上述声明的真实性负责。如有虚假，将依法承担相应责任。</w:t>
      </w:r>
    </w:p>
    <w:p w14:paraId="49FBD2FA">
      <w:pPr>
        <w:widowControl/>
        <w:spacing w:line="480" w:lineRule="auto"/>
        <w:rPr>
          <w:rFonts w:hint="eastAsia" w:ascii="仿宋" w:hAnsi="仿宋" w:eastAsia="仿宋" w:cs="仿宋"/>
          <w:color w:val="auto"/>
          <w:sz w:val="24"/>
          <w:szCs w:val="24"/>
          <w:highlight w:val="none"/>
          <w:lang w:eastAsia="zh-CN"/>
        </w:rPr>
      </w:pPr>
    </w:p>
    <w:p w14:paraId="6CB7227D">
      <w:pPr>
        <w:spacing w:line="480" w:lineRule="auto"/>
        <w:jc w:val="both"/>
        <w:rPr>
          <w:rFonts w:hint="eastAsia" w:ascii="仿宋" w:hAnsi="仿宋" w:eastAsia="仿宋" w:cs="仿宋"/>
          <w:color w:val="auto"/>
          <w:kern w:val="2"/>
          <w:sz w:val="24"/>
          <w:szCs w:val="24"/>
          <w:highlight w:val="none"/>
          <w:u w:val="single"/>
          <w:lang w:eastAsia="zh-CN"/>
        </w:rPr>
      </w:pPr>
      <w:bookmarkStart w:id="180" w:name="_Toc7968"/>
      <w:r>
        <w:rPr>
          <w:rFonts w:hint="eastAsia" w:ascii="仿宋" w:hAnsi="仿宋" w:eastAsia="仿宋" w:cs="仿宋"/>
          <w:color w:val="auto"/>
          <w:kern w:val="2"/>
          <w:sz w:val="24"/>
          <w:szCs w:val="24"/>
          <w:highlight w:val="none"/>
          <w:lang w:eastAsia="zh-CN"/>
        </w:rPr>
        <w:t>投标人名称：</w:t>
      </w:r>
      <w:r>
        <w:rPr>
          <w:rFonts w:hint="eastAsia" w:ascii="仿宋" w:hAnsi="仿宋" w:eastAsia="仿宋" w:cs="仿宋"/>
          <w:color w:val="auto"/>
          <w:kern w:val="2"/>
          <w:sz w:val="24"/>
          <w:szCs w:val="24"/>
          <w:highlight w:val="none"/>
          <w:u w:val="single"/>
          <w:lang w:eastAsia="zh-CN"/>
        </w:rPr>
        <w:t xml:space="preserve">                       （公章）</w:t>
      </w:r>
    </w:p>
    <w:p w14:paraId="2405DBF1">
      <w:pPr>
        <w:spacing w:line="480" w:lineRule="auto"/>
        <w:jc w:val="both"/>
        <w:rPr>
          <w:rFonts w:hint="eastAsia" w:ascii="仿宋" w:hAnsi="仿宋" w:eastAsia="仿宋" w:cs="仿宋"/>
          <w:color w:val="auto"/>
          <w:kern w:val="2"/>
          <w:sz w:val="24"/>
          <w:szCs w:val="24"/>
          <w:highlight w:val="none"/>
          <w:lang w:eastAsia="zh-CN"/>
        </w:rPr>
      </w:pPr>
    </w:p>
    <w:p w14:paraId="484F3456">
      <w:pPr>
        <w:spacing w:line="480" w:lineRule="auto"/>
        <w:jc w:val="both"/>
        <w:rPr>
          <w:rFonts w:hint="eastAsia" w:ascii="仿宋" w:hAnsi="仿宋" w:eastAsia="仿宋" w:cs="仿宋"/>
          <w:b/>
          <w:color w:val="auto"/>
          <w:sz w:val="24"/>
          <w:szCs w:val="24"/>
          <w:highlight w:val="none"/>
          <w:lang w:eastAsia="zh-CN"/>
        </w:rPr>
        <w:sectPr>
          <w:pgSz w:w="11849" w:h="16781"/>
          <w:pgMar w:top="1134" w:right="1134" w:bottom="1134" w:left="1417" w:header="850" w:footer="692" w:gutter="0"/>
          <w:pgNumType w:fmt="decimal"/>
          <w:cols w:space="720" w:num="1"/>
          <w:titlePg/>
          <w:rtlGutter w:val="0"/>
          <w:docGrid w:type="lines" w:linePitch="316" w:charSpace="0"/>
        </w:sectPr>
      </w:pPr>
      <w:r>
        <w:rPr>
          <w:rFonts w:hint="eastAsia" w:ascii="仿宋" w:hAnsi="仿宋" w:eastAsia="仿宋" w:cs="仿宋"/>
          <w:color w:val="auto"/>
          <w:kern w:val="2"/>
          <w:sz w:val="24"/>
          <w:szCs w:val="24"/>
          <w:highlight w:val="none"/>
          <w:lang w:eastAsia="zh-CN"/>
        </w:rPr>
        <w:t>日期 ：</w:t>
      </w:r>
      <w:r>
        <w:rPr>
          <w:rFonts w:hint="eastAsia" w:ascii="仿宋" w:hAnsi="仿宋" w:eastAsia="仿宋" w:cs="仿宋"/>
          <w:color w:val="auto"/>
          <w:kern w:val="2"/>
          <w:sz w:val="24"/>
          <w:szCs w:val="24"/>
          <w:highlight w:val="none"/>
          <w:u w:val="single"/>
          <w:lang w:eastAsia="zh-CN"/>
        </w:rPr>
        <w:t xml:space="preserve">                                            </w:t>
      </w:r>
    </w:p>
    <w:p w14:paraId="4D100100">
      <w:pPr>
        <w:jc w:val="both"/>
        <w:outlineLvl w:val="2"/>
        <w:rPr>
          <w:rFonts w:hint="eastAsia" w:ascii="仿宋" w:hAnsi="仿宋" w:eastAsia="仿宋" w:cs="仿宋"/>
          <w:b/>
          <w:color w:val="auto"/>
          <w:sz w:val="24"/>
          <w:highlight w:val="none"/>
          <w:lang w:eastAsia="zh-CN"/>
        </w:rPr>
      </w:pPr>
      <w:bookmarkStart w:id="181" w:name="_Toc20758"/>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lang w:eastAsia="zh-CN"/>
        </w:rPr>
        <w:t>）声明③</w:t>
      </w:r>
      <w:bookmarkEnd w:id="180"/>
      <w:bookmarkEnd w:id="181"/>
    </w:p>
    <w:p w14:paraId="3EADC9FF">
      <w:pPr>
        <w:widowControl/>
        <w:spacing w:line="360" w:lineRule="auto"/>
        <w:jc w:val="center"/>
        <w:rPr>
          <w:rFonts w:hint="eastAsia" w:ascii="仿宋" w:hAnsi="仿宋" w:eastAsia="仿宋" w:cs="仿宋"/>
          <w:b/>
          <w:bCs/>
          <w:color w:val="auto"/>
          <w:sz w:val="24"/>
          <w:szCs w:val="24"/>
          <w:highlight w:val="none"/>
          <w:lang w:eastAsia="zh-CN"/>
        </w:rPr>
      </w:pPr>
    </w:p>
    <w:p w14:paraId="1D87EBC4">
      <w:pPr>
        <w:widowControl/>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近三年内，投标人在经营活动中没有重大违法记录</w:t>
      </w:r>
    </w:p>
    <w:p w14:paraId="067C2928">
      <w:pPr>
        <w:widowControl/>
        <w:spacing w:line="360" w:lineRule="auto"/>
        <w:jc w:val="center"/>
        <w:rPr>
          <w:rFonts w:hint="eastAsia" w:ascii="仿宋" w:hAnsi="仿宋" w:eastAsia="仿宋" w:cs="仿宋"/>
          <w:b/>
          <w:bCs/>
          <w:color w:val="auto"/>
          <w:sz w:val="24"/>
          <w:szCs w:val="24"/>
          <w:highlight w:val="none"/>
          <w:lang w:eastAsia="zh-CN"/>
        </w:rPr>
      </w:pPr>
    </w:p>
    <w:p w14:paraId="78FC90EE">
      <w:pPr>
        <w:widowControl/>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参加本政府采购项目前 3 年内在经营活动中没有重大违法记录的书面声明函（格式）</w:t>
      </w:r>
    </w:p>
    <w:p w14:paraId="1A69E1E6">
      <w:pPr>
        <w:widowControl/>
        <w:spacing w:line="48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致：</w:t>
      </w:r>
      <w:r>
        <w:rPr>
          <w:rFonts w:hint="eastAsia" w:ascii="仿宋" w:hAnsi="仿宋" w:eastAsia="仿宋" w:cs="仿宋"/>
          <w:b/>
          <w:bCs/>
          <w:color w:val="auto"/>
          <w:sz w:val="24"/>
          <w:szCs w:val="24"/>
          <w:highlight w:val="none"/>
          <w:u w:val="single"/>
          <w:lang w:eastAsia="zh-CN"/>
        </w:rPr>
        <w:t>（采购人名称）</w:t>
      </w:r>
    </w:p>
    <w:p w14:paraId="62EDB474">
      <w:pPr>
        <w:widowControl/>
        <w:spacing w:line="48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我单位郑重声明：在本项目投标截止期前 3 年内，我单位在经营活动中没有重大违法记录（重大违法记录是指投标人因违法经营受到刑事处罚或责令停产停业、吊销许可证或者执照、较大数额罚款等行政处罚）。</w:t>
      </w:r>
    </w:p>
    <w:p w14:paraId="54EB5BF6">
      <w:pPr>
        <w:widowControl/>
        <w:spacing w:line="48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我单位对上述声明的真实性负责。如有虚假，将依法承担相应责任。</w:t>
      </w:r>
    </w:p>
    <w:p w14:paraId="78728D1B">
      <w:pPr>
        <w:widowControl/>
        <w:spacing w:line="480" w:lineRule="auto"/>
        <w:rPr>
          <w:rFonts w:hint="eastAsia" w:ascii="仿宋" w:hAnsi="仿宋" w:eastAsia="仿宋" w:cs="仿宋"/>
          <w:color w:val="auto"/>
          <w:sz w:val="24"/>
          <w:szCs w:val="24"/>
          <w:highlight w:val="none"/>
          <w:lang w:eastAsia="zh-CN"/>
        </w:rPr>
      </w:pPr>
    </w:p>
    <w:p w14:paraId="45537CBC">
      <w:pPr>
        <w:spacing w:line="480" w:lineRule="auto"/>
        <w:jc w:val="both"/>
        <w:rPr>
          <w:rFonts w:hint="eastAsia" w:ascii="仿宋" w:hAnsi="仿宋" w:eastAsia="仿宋" w:cs="仿宋"/>
          <w:color w:val="auto"/>
          <w:kern w:val="2"/>
          <w:sz w:val="24"/>
          <w:szCs w:val="24"/>
          <w:highlight w:val="none"/>
          <w:u w:val="single"/>
          <w:lang w:eastAsia="zh-CN"/>
        </w:rPr>
      </w:pPr>
      <w:r>
        <w:rPr>
          <w:rFonts w:hint="eastAsia" w:ascii="仿宋" w:hAnsi="仿宋" w:eastAsia="仿宋" w:cs="仿宋"/>
          <w:color w:val="auto"/>
          <w:kern w:val="2"/>
          <w:sz w:val="24"/>
          <w:szCs w:val="24"/>
          <w:highlight w:val="none"/>
          <w:lang w:eastAsia="zh-CN"/>
        </w:rPr>
        <w:t>投标人名称：</w:t>
      </w:r>
      <w:r>
        <w:rPr>
          <w:rFonts w:hint="eastAsia" w:ascii="仿宋" w:hAnsi="仿宋" w:eastAsia="仿宋" w:cs="仿宋"/>
          <w:color w:val="auto"/>
          <w:kern w:val="2"/>
          <w:sz w:val="24"/>
          <w:szCs w:val="24"/>
          <w:highlight w:val="none"/>
          <w:u w:val="single"/>
          <w:lang w:eastAsia="zh-CN"/>
        </w:rPr>
        <w:t xml:space="preserve">                       （公章）</w:t>
      </w:r>
    </w:p>
    <w:p w14:paraId="427BFF28">
      <w:pPr>
        <w:spacing w:line="480" w:lineRule="auto"/>
        <w:jc w:val="both"/>
        <w:rPr>
          <w:rFonts w:hint="eastAsia" w:ascii="仿宋" w:hAnsi="仿宋" w:eastAsia="仿宋" w:cs="仿宋"/>
          <w:color w:val="auto"/>
          <w:kern w:val="2"/>
          <w:sz w:val="24"/>
          <w:szCs w:val="24"/>
          <w:highlight w:val="none"/>
          <w:lang w:eastAsia="zh-CN"/>
        </w:rPr>
      </w:pPr>
    </w:p>
    <w:p w14:paraId="5D7E8EE2">
      <w:pPr>
        <w:spacing w:line="480" w:lineRule="auto"/>
        <w:jc w:val="both"/>
        <w:rPr>
          <w:rFonts w:hint="eastAsia" w:ascii="仿宋" w:hAnsi="仿宋" w:eastAsia="仿宋" w:cs="仿宋"/>
          <w:b/>
          <w:color w:val="auto"/>
          <w:sz w:val="24"/>
          <w:szCs w:val="24"/>
          <w:highlight w:val="none"/>
          <w:lang w:eastAsia="zh-CN"/>
        </w:rPr>
        <w:sectPr>
          <w:pgSz w:w="11849" w:h="16781"/>
          <w:pgMar w:top="1134" w:right="1134" w:bottom="1134" w:left="1417" w:header="850" w:footer="692" w:gutter="0"/>
          <w:pgNumType w:fmt="decimal"/>
          <w:cols w:space="720" w:num="1"/>
          <w:titlePg/>
          <w:rtlGutter w:val="0"/>
          <w:docGrid w:type="lines" w:linePitch="316" w:charSpace="0"/>
        </w:sectPr>
      </w:pPr>
      <w:r>
        <w:rPr>
          <w:rFonts w:hint="eastAsia" w:ascii="仿宋" w:hAnsi="仿宋" w:eastAsia="仿宋" w:cs="仿宋"/>
          <w:color w:val="auto"/>
          <w:kern w:val="2"/>
          <w:sz w:val="24"/>
          <w:szCs w:val="24"/>
          <w:highlight w:val="none"/>
          <w:lang w:eastAsia="zh-CN"/>
        </w:rPr>
        <w:t>日期 ：</w:t>
      </w:r>
      <w:r>
        <w:rPr>
          <w:rFonts w:hint="eastAsia" w:ascii="仿宋" w:hAnsi="仿宋" w:eastAsia="仿宋" w:cs="仿宋"/>
          <w:color w:val="auto"/>
          <w:kern w:val="2"/>
          <w:sz w:val="24"/>
          <w:szCs w:val="24"/>
          <w:highlight w:val="none"/>
          <w:u w:val="single"/>
          <w:lang w:eastAsia="zh-CN"/>
        </w:rPr>
        <w:t xml:space="preserve">                                            </w:t>
      </w:r>
    </w:p>
    <w:p w14:paraId="32DC917F">
      <w:pPr>
        <w:widowControl/>
        <w:spacing w:line="240" w:lineRule="auto"/>
        <w:jc w:val="both"/>
        <w:outlineLvl w:val="2"/>
        <w:rPr>
          <w:rFonts w:hint="eastAsia" w:ascii="仿宋" w:hAnsi="仿宋" w:eastAsia="仿宋" w:cs="仿宋"/>
          <w:b/>
          <w:bCs/>
          <w:color w:val="auto"/>
          <w:sz w:val="24"/>
          <w:szCs w:val="24"/>
          <w:highlight w:val="none"/>
          <w:lang w:eastAsia="zh-CN"/>
        </w:rPr>
      </w:pPr>
      <w:bookmarkStart w:id="182" w:name="_Toc8041"/>
      <w:bookmarkStart w:id="183" w:name="_Toc22679"/>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lang w:eastAsia="zh-CN"/>
        </w:rPr>
        <w:t>）声明④</w:t>
      </w:r>
      <w:bookmarkEnd w:id="182"/>
      <w:bookmarkEnd w:id="183"/>
    </w:p>
    <w:p w14:paraId="5EF1006F">
      <w:pPr>
        <w:widowControl/>
        <w:spacing w:line="360" w:lineRule="auto"/>
        <w:jc w:val="center"/>
        <w:rPr>
          <w:rFonts w:hint="eastAsia" w:ascii="仿宋" w:hAnsi="仿宋" w:eastAsia="仿宋" w:cs="仿宋"/>
          <w:b/>
          <w:bCs/>
          <w:color w:val="auto"/>
          <w:sz w:val="24"/>
          <w:szCs w:val="24"/>
          <w:highlight w:val="none"/>
          <w:lang w:eastAsia="zh-CN"/>
        </w:rPr>
      </w:pPr>
    </w:p>
    <w:p w14:paraId="678D73E6">
      <w:pPr>
        <w:widowControl/>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声明函（格式）</w:t>
      </w:r>
    </w:p>
    <w:p w14:paraId="30BA2F2E">
      <w:pPr>
        <w:spacing w:line="480" w:lineRule="auto"/>
        <w:jc w:val="both"/>
        <w:rPr>
          <w:rFonts w:hint="eastAsia" w:ascii="仿宋" w:hAnsi="仿宋" w:eastAsia="仿宋" w:cs="仿宋"/>
          <w:b/>
          <w:bCs/>
          <w:color w:val="auto"/>
          <w:kern w:val="2"/>
          <w:sz w:val="24"/>
          <w:szCs w:val="24"/>
          <w:highlight w:val="none"/>
          <w:lang w:eastAsia="zh-CN"/>
        </w:rPr>
      </w:pPr>
      <w:r>
        <w:rPr>
          <w:rFonts w:hint="eastAsia" w:ascii="仿宋" w:hAnsi="仿宋" w:eastAsia="仿宋" w:cs="仿宋"/>
          <w:b/>
          <w:bCs/>
          <w:color w:val="auto"/>
          <w:kern w:val="2"/>
          <w:sz w:val="24"/>
          <w:szCs w:val="24"/>
          <w:highlight w:val="none"/>
          <w:lang w:eastAsia="zh-CN"/>
        </w:rPr>
        <w:t>致：</w:t>
      </w:r>
      <w:r>
        <w:rPr>
          <w:rFonts w:hint="eastAsia" w:ascii="仿宋" w:hAnsi="仿宋" w:eastAsia="仿宋" w:cs="仿宋"/>
          <w:b/>
          <w:bCs/>
          <w:color w:val="auto"/>
          <w:kern w:val="2"/>
          <w:sz w:val="24"/>
          <w:szCs w:val="24"/>
          <w:highlight w:val="none"/>
          <w:u w:val="single"/>
          <w:lang w:eastAsia="zh-CN"/>
        </w:rPr>
        <w:t>（采购人名称）</w:t>
      </w:r>
    </w:p>
    <w:p w14:paraId="0BD13734">
      <w:pPr>
        <w:spacing w:line="480" w:lineRule="auto"/>
        <w:jc w:val="both"/>
        <w:rPr>
          <w:rFonts w:hint="eastAsia" w:ascii="仿宋" w:hAnsi="仿宋" w:eastAsia="仿宋" w:cs="仿宋"/>
          <w:color w:val="auto"/>
          <w:kern w:val="2"/>
          <w:sz w:val="24"/>
          <w:szCs w:val="24"/>
          <w:highlight w:val="none"/>
          <w:lang w:eastAsia="zh-CN"/>
        </w:rPr>
      </w:pPr>
      <w:r>
        <w:rPr>
          <w:rFonts w:hint="eastAsia" w:ascii="仿宋" w:hAnsi="仿宋" w:eastAsia="仿宋" w:cs="仿宋"/>
          <w:b/>
          <w:bCs/>
          <w:color w:val="auto"/>
          <w:kern w:val="2"/>
          <w:sz w:val="24"/>
          <w:szCs w:val="24"/>
          <w:highlight w:val="none"/>
          <w:lang w:eastAsia="zh-CN"/>
        </w:rPr>
        <w:t xml:space="preserve"> </w:t>
      </w:r>
    </w:p>
    <w:p w14:paraId="6D016ED7">
      <w:pPr>
        <w:spacing w:line="480" w:lineRule="auto"/>
        <w:ind w:firstLine="480" w:firstLineChars="200"/>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我单位郑重声明：与本单位负责人为同一人或者与本单位存在直接控股关系、管理关系的投标人未参与</w:t>
      </w:r>
      <w:r>
        <w:rPr>
          <w:rFonts w:hint="eastAsia" w:ascii="仿宋" w:hAnsi="仿宋" w:eastAsia="仿宋" w:cs="仿宋"/>
          <w:b/>
          <w:bCs/>
          <w:color w:val="auto"/>
          <w:kern w:val="2"/>
          <w:sz w:val="24"/>
          <w:szCs w:val="24"/>
          <w:highlight w:val="none"/>
          <w:u w:val="single"/>
          <w:lang w:eastAsia="zh-CN"/>
        </w:rPr>
        <w:t xml:space="preserve">                </w:t>
      </w:r>
      <w:r>
        <w:rPr>
          <w:rFonts w:hint="eastAsia" w:ascii="仿宋" w:hAnsi="仿宋" w:eastAsia="仿宋" w:cs="仿宋"/>
          <w:b/>
          <w:bCs/>
          <w:color w:val="auto"/>
          <w:kern w:val="2"/>
          <w:sz w:val="24"/>
          <w:szCs w:val="24"/>
          <w:highlight w:val="none"/>
          <w:lang w:eastAsia="zh-CN"/>
        </w:rPr>
        <w:t>(项目名称)</w:t>
      </w:r>
      <w:r>
        <w:rPr>
          <w:rFonts w:hint="eastAsia" w:ascii="仿宋" w:hAnsi="仿宋" w:eastAsia="仿宋" w:cs="仿宋"/>
          <w:color w:val="auto"/>
          <w:kern w:val="2"/>
          <w:sz w:val="24"/>
          <w:szCs w:val="24"/>
          <w:highlight w:val="none"/>
          <w:lang w:eastAsia="zh-CN"/>
        </w:rPr>
        <w:t xml:space="preserve"> 同一合同项下的投标。</w:t>
      </w:r>
    </w:p>
    <w:p w14:paraId="29ECBDE1">
      <w:pPr>
        <w:spacing w:line="480" w:lineRule="auto"/>
        <w:ind w:firstLine="240" w:firstLineChars="100"/>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我单位保证上述声明真实、有效、可查。</w:t>
      </w:r>
    </w:p>
    <w:p w14:paraId="64F1BA97">
      <w:pPr>
        <w:spacing w:line="480" w:lineRule="auto"/>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特此声明。</w:t>
      </w:r>
    </w:p>
    <w:p w14:paraId="799B6275">
      <w:pPr>
        <w:spacing w:line="480" w:lineRule="auto"/>
        <w:jc w:val="both"/>
        <w:rPr>
          <w:rFonts w:hint="eastAsia" w:ascii="仿宋" w:hAnsi="仿宋" w:eastAsia="仿宋" w:cs="仿宋"/>
          <w:color w:val="auto"/>
          <w:kern w:val="2"/>
          <w:sz w:val="24"/>
          <w:szCs w:val="24"/>
          <w:highlight w:val="none"/>
          <w:u w:val="single"/>
          <w:lang w:eastAsia="zh-CN"/>
        </w:rPr>
      </w:pPr>
    </w:p>
    <w:p w14:paraId="4A56273F">
      <w:pPr>
        <w:spacing w:line="480" w:lineRule="auto"/>
        <w:jc w:val="both"/>
        <w:rPr>
          <w:rFonts w:hint="eastAsia" w:ascii="仿宋" w:hAnsi="仿宋" w:eastAsia="仿宋" w:cs="仿宋"/>
          <w:color w:val="auto"/>
          <w:kern w:val="2"/>
          <w:sz w:val="24"/>
          <w:szCs w:val="24"/>
          <w:highlight w:val="none"/>
          <w:u w:val="single"/>
          <w:lang w:eastAsia="zh-CN"/>
        </w:rPr>
      </w:pPr>
      <w:r>
        <w:rPr>
          <w:rFonts w:hint="eastAsia" w:ascii="仿宋" w:hAnsi="仿宋" w:eastAsia="仿宋" w:cs="仿宋"/>
          <w:color w:val="auto"/>
          <w:kern w:val="2"/>
          <w:sz w:val="24"/>
          <w:szCs w:val="24"/>
          <w:highlight w:val="none"/>
          <w:lang w:eastAsia="zh-CN"/>
        </w:rPr>
        <w:t>投标人名称：</w:t>
      </w:r>
      <w:r>
        <w:rPr>
          <w:rFonts w:hint="eastAsia" w:ascii="仿宋" w:hAnsi="仿宋" w:eastAsia="仿宋" w:cs="仿宋"/>
          <w:color w:val="auto"/>
          <w:kern w:val="2"/>
          <w:sz w:val="24"/>
          <w:szCs w:val="24"/>
          <w:highlight w:val="none"/>
          <w:u w:val="single"/>
          <w:lang w:eastAsia="zh-CN"/>
        </w:rPr>
        <w:t xml:space="preserve">                       （公章）</w:t>
      </w:r>
    </w:p>
    <w:p w14:paraId="5B7C5642">
      <w:pPr>
        <w:spacing w:line="480" w:lineRule="auto"/>
        <w:jc w:val="both"/>
        <w:rPr>
          <w:rFonts w:hint="eastAsia" w:ascii="仿宋" w:hAnsi="仿宋" w:eastAsia="仿宋" w:cs="仿宋"/>
          <w:color w:val="auto"/>
          <w:kern w:val="2"/>
          <w:sz w:val="24"/>
          <w:szCs w:val="24"/>
          <w:highlight w:val="none"/>
          <w:lang w:eastAsia="zh-CN"/>
        </w:rPr>
      </w:pPr>
    </w:p>
    <w:p w14:paraId="0E820FA6">
      <w:pPr>
        <w:spacing w:line="480" w:lineRule="auto"/>
        <w:jc w:val="both"/>
        <w:rPr>
          <w:rFonts w:hint="eastAsia" w:ascii="仿宋" w:hAnsi="仿宋" w:eastAsia="仿宋" w:cs="仿宋"/>
          <w:b/>
          <w:color w:val="auto"/>
          <w:sz w:val="24"/>
          <w:szCs w:val="24"/>
          <w:highlight w:val="none"/>
          <w:lang w:eastAsia="zh-CN"/>
        </w:rPr>
        <w:sectPr>
          <w:pgSz w:w="11849" w:h="16781"/>
          <w:pgMar w:top="1134" w:right="1134" w:bottom="1134" w:left="1417" w:header="850" w:footer="692" w:gutter="0"/>
          <w:pgNumType w:fmt="decimal"/>
          <w:cols w:space="720" w:num="1"/>
          <w:titlePg/>
          <w:rtlGutter w:val="0"/>
          <w:docGrid w:type="lines" w:linePitch="316" w:charSpace="0"/>
        </w:sectPr>
      </w:pPr>
      <w:r>
        <w:rPr>
          <w:rFonts w:hint="eastAsia" w:ascii="仿宋" w:hAnsi="仿宋" w:eastAsia="仿宋" w:cs="仿宋"/>
          <w:color w:val="auto"/>
          <w:kern w:val="2"/>
          <w:sz w:val="24"/>
          <w:szCs w:val="24"/>
          <w:highlight w:val="none"/>
          <w:lang w:eastAsia="zh-CN"/>
        </w:rPr>
        <w:t>日期 ：</w:t>
      </w:r>
      <w:r>
        <w:rPr>
          <w:rFonts w:hint="eastAsia" w:ascii="仿宋" w:hAnsi="仿宋" w:eastAsia="仿宋" w:cs="仿宋"/>
          <w:color w:val="auto"/>
          <w:kern w:val="2"/>
          <w:sz w:val="24"/>
          <w:szCs w:val="24"/>
          <w:highlight w:val="none"/>
          <w:u w:val="single"/>
          <w:lang w:eastAsia="zh-CN"/>
        </w:rPr>
        <w:t xml:space="preserve">                                            </w:t>
      </w:r>
    </w:p>
    <w:p w14:paraId="5D355E37">
      <w:pPr>
        <w:spacing w:line="240" w:lineRule="auto"/>
        <w:jc w:val="both"/>
        <w:outlineLvl w:val="2"/>
        <w:rPr>
          <w:rFonts w:hint="eastAsia" w:ascii="仿宋" w:hAnsi="仿宋" w:eastAsia="仿宋" w:cs="仿宋"/>
          <w:b/>
          <w:color w:val="auto"/>
          <w:sz w:val="24"/>
          <w:highlight w:val="none"/>
          <w:lang w:eastAsia="zh-CN"/>
        </w:rPr>
      </w:pPr>
      <w:bookmarkStart w:id="184" w:name="_Toc18555"/>
      <w:bookmarkStart w:id="185" w:name="_Toc9753"/>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lang w:eastAsia="zh-CN"/>
        </w:rPr>
        <w:t>）声明⑤</w:t>
      </w:r>
      <w:bookmarkEnd w:id="184"/>
      <w:bookmarkEnd w:id="185"/>
    </w:p>
    <w:p w14:paraId="091EB9DC">
      <w:pPr>
        <w:widowControl/>
        <w:spacing w:line="360" w:lineRule="auto"/>
        <w:jc w:val="center"/>
        <w:rPr>
          <w:rFonts w:hint="eastAsia" w:ascii="仿宋" w:hAnsi="仿宋" w:eastAsia="仿宋" w:cs="仿宋"/>
          <w:b/>
          <w:bCs/>
          <w:color w:val="auto"/>
          <w:sz w:val="24"/>
          <w:szCs w:val="24"/>
          <w:highlight w:val="none"/>
          <w:lang w:eastAsia="zh-CN"/>
        </w:rPr>
      </w:pPr>
    </w:p>
    <w:p w14:paraId="2DE4C2EE">
      <w:pPr>
        <w:widowControl/>
        <w:spacing w:line="360" w:lineRule="auto"/>
        <w:jc w:val="center"/>
        <w:rPr>
          <w:rFonts w:hint="eastAsia" w:ascii="仿宋" w:hAnsi="仿宋" w:eastAsia="仿宋" w:cs="仿宋"/>
          <w:color w:val="auto"/>
          <w:kern w:val="2"/>
          <w:sz w:val="21"/>
          <w:szCs w:val="21"/>
          <w:highlight w:val="none"/>
          <w:lang w:eastAsia="zh-CN"/>
        </w:rPr>
      </w:pPr>
      <w:r>
        <w:rPr>
          <w:rFonts w:hint="eastAsia" w:ascii="仿宋" w:hAnsi="仿宋" w:eastAsia="仿宋" w:cs="仿宋"/>
          <w:b/>
          <w:bCs/>
          <w:color w:val="auto"/>
          <w:sz w:val="24"/>
          <w:szCs w:val="24"/>
          <w:highlight w:val="none"/>
          <w:lang w:eastAsia="zh-CN"/>
        </w:rPr>
        <w:t>投标人为本采购项目的前期工作未提供过服务的书面声明函（格式）</w:t>
      </w:r>
    </w:p>
    <w:p w14:paraId="0DAAF218">
      <w:pPr>
        <w:spacing w:line="480" w:lineRule="auto"/>
        <w:jc w:val="both"/>
        <w:rPr>
          <w:rFonts w:hint="eastAsia" w:ascii="仿宋" w:hAnsi="仿宋" w:eastAsia="仿宋" w:cs="仿宋"/>
          <w:b/>
          <w:bCs/>
          <w:color w:val="auto"/>
          <w:kern w:val="2"/>
          <w:sz w:val="24"/>
          <w:szCs w:val="24"/>
          <w:highlight w:val="none"/>
          <w:lang w:eastAsia="zh-CN"/>
        </w:rPr>
      </w:pPr>
      <w:r>
        <w:rPr>
          <w:rFonts w:hint="eastAsia" w:ascii="仿宋" w:hAnsi="仿宋" w:eastAsia="仿宋" w:cs="仿宋"/>
          <w:b/>
          <w:bCs/>
          <w:color w:val="auto"/>
          <w:kern w:val="2"/>
          <w:sz w:val="24"/>
          <w:szCs w:val="24"/>
          <w:highlight w:val="none"/>
          <w:lang w:eastAsia="zh-CN"/>
        </w:rPr>
        <w:t>致：</w:t>
      </w:r>
      <w:r>
        <w:rPr>
          <w:rFonts w:hint="eastAsia" w:ascii="仿宋" w:hAnsi="仿宋" w:eastAsia="仿宋" w:cs="仿宋"/>
          <w:b/>
          <w:bCs/>
          <w:color w:val="auto"/>
          <w:kern w:val="2"/>
          <w:sz w:val="24"/>
          <w:szCs w:val="24"/>
          <w:highlight w:val="none"/>
          <w:u w:val="single"/>
          <w:lang w:eastAsia="zh-CN"/>
        </w:rPr>
        <w:t>（采购人名称）</w:t>
      </w:r>
    </w:p>
    <w:p w14:paraId="2E0B2E9F">
      <w:pPr>
        <w:spacing w:line="480" w:lineRule="auto"/>
        <w:ind w:firstLine="480" w:firstLineChars="200"/>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我单位郑重声明：关于（</w:t>
      </w:r>
      <w:r>
        <w:rPr>
          <w:rFonts w:hint="eastAsia" w:ascii="仿宋" w:hAnsi="仿宋" w:eastAsia="仿宋" w:cs="仿宋"/>
          <w:b/>
          <w:bCs/>
          <w:color w:val="auto"/>
          <w:kern w:val="2"/>
          <w:sz w:val="24"/>
          <w:szCs w:val="24"/>
          <w:highlight w:val="none"/>
          <w:u w:val="single"/>
          <w:lang w:eastAsia="zh-CN"/>
        </w:rPr>
        <w:t>项目名称</w:t>
      </w:r>
      <w:r>
        <w:rPr>
          <w:rFonts w:hint="eastAsia" w:ascii="仿宋" w:hAnsi="仿宋" w:eastAsia="仿宋" w:cs="仿宋"/>
          <w:color w:val="auto"/>
          <w:kern w:val="2"/>
          <w:sz w:val="24"/>
          <w:szCs w:val="24"/>
          <w:highlight w:val="none"/>
          <w:lang w:eastAsia="zh-CN"/>
        </w:rPr>
        <w:t>）项目，本单位不属于为本项目提供过整体设计、规范编制或者项目管理、监理、检测等服务的单位或其附属机构。</w:t>
      </w:r>
    </w:p>
    <w:p w14:paraId="4649FC7C">
      <w:pPr>
        <w:spacing w:line="480" w:lineRule="auto"/>
        <w:ind w:firstLine="480" w:firstLineChars="200"/>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我单位保证上述声明真实、有效、可查。</w:t>
      </w:r>
    </w:p>
    <w:p w14:paraId="7DA57024">
      <w:pPr>
        <w:spacing w:line="480" w:lineRule="auto"/>
        <w:ind w:firstLine="480" w:firstLineChars="200"/>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特此声明。</w:t>
      </w:r>
    </w:p>
    <w:p w14:paraId="778EF832">
      <w:pPr>
        <w:spacing w:line="480" w:lineRule="auto"/>
        <w:jc w:val="both"/>
        <w:rPr>
          <w:rFonts w:hint="eastAsia" w:ascii="仿宋" w:hAnsi="仿宋" w:eastAsia="仿宋" w:cs="仿宋"/>
          <w:color w:val="auto"/>
          <w:kern w:val="2"/>
          <w:sz w:val="24"/>
          <w:szCs w:val="24"/>
          <w:highlight w:val="none"/>
          <w:lang w:eastAsia="zh-CN"/>
        </w:rPr>
      </w:pPr>
    </w:p>
    <w:p w14:paraId="12A35276">
      <w:pPr>
        <w:spacing w:line="480" w:lineRule="auto"/>
        <w:jc w:val="both"/>
        <w:rPr>
          <w:rFonts w:hint="eastAsia" w:ascii="仿宋" w:hAnsi="仿宋" w:eastAsia="仿宋" w:cs="仿宋"/>
          <w:color w:val="auto"/>
          <w:kern w:val="2"/>
          <w:sz w:val="24"/>
          <w:szCs w:val="24"/>
          <w:highlight w:val="none"/>
          <w:lang w:eastAsia="zh-CN"/>
        </w:rPr>
      </w:pPr>
    </w:p>
    <w:p w14:paraId="10D84E1E">
      <w:pPr>
        <w:spacing w:line="480" w:lineRule="auto"/>
        <w:jc w:val="both"/>
        <w:rPr>
          <w:rFonts w:hint="eastAsia" w:ascii="仿宋" w:hAnsi="仿宋" w:eastAsia="仿宋" w:cs="仿宋"/>
          <w:color w:val="auto"/>
          <w:kern w:val="2"/>
          <w:sz w:val="24"/>
          <w:szCs w:val="24"/>
          <w:highlight w:val="none"/>
          <w:lang w:eastAsia="zh-CN"/>
        </w:rPr>
      </w:pPr>
    </w:p>
    <w:p w14:paraId="76C9AF79">
      <w:pPr>
        <w:spacing w:line="480" w:lineRule="auto"/>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投标人名称：</w:t>
      </w:r>
      <w:r>
        <w:rPr>
          <w:rFonts w:hint="eastAsia" w:ascii="仿宋" w:hAnsi="仿宋" w:eastAsia="仿宋" w:cs="仿宋"/>
          <w:color w:val="auto"/>
          <w:kern w:val="2"/>
          <w:sz w:val="24"/>
          <w:szCs w:val="24"/>
          <w:highlight w:val="none"/>
          <w:u w:val="single"/>
          <w:lang w:eastAsia="zh-CN"/>
        </w:rPr>
        <w:t xml:space="preserve">                   </w:t>
      </w:r>
      <w:r>
        <w:rPr>
          <w:rFonts w:hint="eastAsia" w:ascii="仿宋" w:hAnsi="仿宋" w:eastAsia="仿宋" w:cs="仿宋"/>
          <w:color w:val="auto"/>
          <w:kern w:val="2"/>
          <w:sz w:val="24"/>
          <w:szCs w:val="24"/>
          <w:highlight w:val="none"/>
          <w:lang w:eastAsia="zh-CN"/>
        </w:rPr>
        <w:t>（公章）</w:t>
      </w:r>
    </w:p>
    <w:p w14:paraId="75920D6F">
      <w:pPr>
        <w:spacing w:line="480" w:lineRule="auto"/>
        <w:jc w:val="both"/>
        <w:rPr>
          <w:rFonts w:hint="eastAsia" w:ascii="仿宋" w:hAnsi="仿宋" w:eastAsia="仿宋" w:cs="仿宋"/>
          <w:color w:val="auto"/>
          <w:kern w:val="2"/>
          <w:sz w:val="24"/>
          <w:szCs w:val="24"/>
          <w:highlight w:val="none"/>
          <w:lang w:eastAsia="zh-CN"/>
        </w:rPr>
      </w:pPr>
    </w:p>
    <w:p w14:paraId="1AE9DBE0">
      <w:pPr>
        <w:spacing w:line="480" w:lineRule="auto"/>
        <w:jc w:val="both"/>
        <w:rPr>
          <w:rFonts w:hint="eastAsia" w:ascii="仿宋" w:hAnsi="仿宋" w:eastAsia="仿宋" w:cs="仿宋"/>
          <w:b/>
          <w:color w:val="auto"/>
          <w:sz w:val="24"/>
          <w:szCs w:val="24"/>
          <w:highlight w:val="none"/>
          <w:lang w:eastAsia="zh-CN"/>
        </w:rPr>
        <w:sectPr>
          <w:pgSz w:w="11849" w:h="16781"/>
          <w:pgMar w:top="1134" w:right="1134" w:bottom="1134" w:left="1417" w:header="850" w:footer="692" w:gutter="0"/>
          <w:pgNumType w:fmt="decimal"/>
          <w:cols w:space="720" w:num="1"/>
          <w:titlePg/>
          <w:rtlGutter w:val="0"/>
          <w:docGrid w:type="lines" w:linePitch="316" w:charSpace="0"/>
        </w:sectPr>
      </w:pPr>
      <w:r>
        <w:rPr>
          <w:rFonts w:hint="eastAsia" w:ascii="仿宋" w:hAnsi="仿宋" w:eastAsia="仿宋" w:cs="仿宋"/>
          <w:color w:val="auto"/>
          <w:kern w:val="2"/>
          <w:sz w:val="24"/>
          <w:szCs w:val="24"/>
          <w:highlight w:val="none"/>
          <w:lang w:eastAsia="zh-CN"/>
        </w:rPr>
        <w:t>日期：</w:t>
      </w:r>
      <w:r>
        <w:rPr>
          <w:rFonts w:hint="eastAsia" w:ascii="仿宋" w:hAnsi="仿宋" w:eastAsia="仿宋" w:cs="仿宋"/>
          <w:color w:val="auto"/>
          <w:kern w:val="2"/>
          <w:sz w:val="24"/>
          <w:szCs w:val="24"/>
          <w:highlight w:val="none"/>
          <w:u w:val="single"/>
          <w:lang w:eastAsia="zh-CN"/>
        </w:rPr>
        <w:t xml:space="preserve">                                  </w:t>
      </w:r>
    </w:p>
    <w:p w14:paraId="4DC22437">
      <w:pPr>
        <w:outlineLvl w:val="2"/>
        <w:rPr>
          <w:rFonts w:hint="eastAsia" w:ascii="仿宋" w:hAnsi="仿宋" w:eastAsia="仿宋" w:cs="仿宋"/>
          <w:b/>
          <w:color w:val="auto"/>
          <w:sz w:val="24"/>
          <w:highlight w:val="none"/>
          <w:lang w:val="en-US" w:eastAsia="zh-CN"/>
        </w:rPr>
      </w:pPr>
      <w:bookmarkStart w:id="186" w:name="_Toc29185"/>
      <w:bookmarkStart w:id="187" w:name="_Toc8867"/>
      <w:r>
        <w:rPr>
          <w:rFonts w:hint="eastAsia" w:ascii="仿宋" w:hAnsi="仿宋" w:eastAsia="仿宋" w:cs="仿宋"/>
          <w:b/>
          <w:color w:val="auto"/>
          <w:sz w:val="24"/>
          <w:highlight w:val="none"/>
          <w:lang w:val="en-US" w:eastAsia="zh-CN"/>
        </w:rPr>
        <w:t>（八）符合性、响应性承诺书</w:t>
      </w:r>
      <w:bookmarkEnd w:id="186"/>
      <w:bookmarkEnd w:id="187"/>
    </w:p>
    <w:p w14:paraId="65B2FEA3">
      <w:pPr>
        <w:widowControl/>
        <w:spacing w:line="480" w:lineRule="auto"/>
        <w:rPr>
          <w:rFonts w:hint="eastAsia" w:ascii="仿宋" w:hAnsi="仿宋" w:eastAsia="仿宋" w:cs="仿宋"/>
          <w:b/>
          <w:bCs/>
          <w:color w:val="auto"/>
          <w:sz w:val="21"/>
          <w:szCs w:val="21"/>
          <w:highlight w:val="none"/>
          <w:lang w:eastAsia="zh-CN"/>
        </w:rPr>
      </w:pPr>
    </w:p>
    <w:p w14:paraId="659662BF">
      <w:pPr>
        <w:widowControl/>
        <w:spacing w:line="48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致：</w:t>
      </w:r>
      <w:r>
        <w:rPr>
          <w:rFonts w:hint="eastAsia" w:ascii="仿宋" w:hAnsi="仿宋" w:eastAsia="仿宋" w:cs="仿宋"/>
          <w:b/>
          <w:bCs/>
          <w:color w:val="auto"/>
          <w:sz w:val="24"/>
          <w:szCs w:val="24"/>
          <w:highlight w:val="none"/>
          <w:u w:val="single"/>
          <w:lang w:eastAsia="zh-CN"/>
        </w:rPr>
        <w:t>（采购人名称）</w:t>
      </w:r>
    </w:p>
    <w:p w14:paraId="78CF15D5">
      <w:pPr>
        <w:widowControl/>
        <w:spacing w:line="480" w:lineRule="auto"/>
        <w:ind w:firstLine="480" w:firstLineChars="200"/>
        <w:rPr>
          <w:rFonts w:hint="eastAsia" w:ascii="仿宋" w:hAnsi="仿宋" w:eastAsia="仿宋" w:cs="仿宋"/>
          <w:color w:val="auto"/>
          <w:sz w:val="24"/>
          <w:szCs w:val="24"/>
          <w:highlight w:val="none"/>
          <w:lang w:eastAsia="zh-CN"/>
        </w:rPr>
      </w:pPr>
    </w:p>
    <w:p w14:paraId="2D9FF57A">
      <w:pPr>
        <w:widowControl/>
        <w:spacing w:line="48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我单位郑重声明：我公司响应磋商文件所有条款，符合磋商文件所有要求。</w:t>
      </w:r>
    </w:p>
    <w:p w14:paraId="5DCF7FCC">
      <w:pPr>
        <w:widowControl/>
        <w:spacing w:line="48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我单位对上述声明的真实性负责。如有虚假，将依法承担相应责任。</w:t>
      </w:r>
    </w:p>
    <w:p w14:paraId="61D54749">
      <w:pPr>
        <w:widowControl/>
        <w:spacing w:line="480" w:lineRule="auto"/>
        <w:rPr>
          <w:rFonts w:hint="eastAsia" w:ascii="仿宋" w:hAnsi="仿宋" w:eastAsia="仿宋" w:cs="仿宋"/>
          <w:color w:val="auto"/>
          <w:sz w:val="24"/>
          <w:szCs w:val="24"/>
          <w:highlight w:val="none"/>
          <w:lang w:eastAsia="zh-CN"/>
        </w:rPr>
      </w:pPr>
    </w:p>
    <w:p w14:paraId="65C192F7">
      <w:pPr>
        <w:widowControl/>
        <w:spacing w:line="480" w:lineRule="auto"/>
        <w:rPr>
          <w:rFonts w:hint="eastAsia" w:ascii="仿宋" w:hAnsi="仿宋" w:eastAsia="仿宋" w:cs="仿宋"/>
          <w:color w:val="auto"/>
          <w:sz w:val="24"/>
          <w:szCs w:val="24"/>
          <w:highlight w:val="none"/>
          <w:lang w:eastAsia="zh-CN"/>
        </w:rPr>
      </w:pPr>
    </w:p>
    <w:p w14:paraId="0519923E">
      <w:pPr>
        <w:widowControl/>
        <w:spacing w:line="480" w:lineRule="auto"/>
        <w:rPr>
          <w:rFonts w:hint="eastAsia" w:ascii="仿宋" w:hAnsi="仿宋" w:eastAsia="仿宋" w:cs="仿宋"/>
          <w:color w:val="auto"/>
          <w:sz w:val="24"/>
          <w:szCs w:val="24"/>
          <w:highlight w:val="none"/>
          <w:lang w:eastAsia="zh-CN"/>
        </w:rPr>
      </w:pPr>
    </w:p>
    <w:p w14:paraId="6D8ED8ED">
      <w:pPr>
        <w:widowControl/>
        <w:spacing w:line="480" w:lineRule="auto"/>
        <w:rPr>
          <w:rFonts w:hint="eastAsia" w:ascii="仿宋" w:hAnsi="仿宋" w:eastAsia="仿宋" w:cs="仿宋"/>
          <w:color w:val="auto"/>
          <w:sz w:val="24"/>
          <w:szCs w:val="24"/>
          <w:highlight w:val="none"/>
          <w:lang w:eastAsia="zh-CN"/>
        </w:rPr>
      </w:pPr>
    </w:p>
    <w:p w14:paraId="6B823721">
      <w:pPr>
        <w:spacing w:line="480" w:lineRule="auto"/>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投标人名称：</w:t>
      </w:r>
      <w:r>
        <w:rPr>
          <w:rFonts w:hint="eastAsia" w:ascii="仿宋" w:hAnsi="仿宋" w:eastAsia="仿宋" w:cs="仿宋"/>
          <w:color w:val="auto"/>
          <w:kern w:val="2"/>
          <w:sz w:val="24"/>
          <w:szCs w:val="24"/>
          <w:highlight w:val="none"/>
          <w:u w:val="single"/>
          <w:lang w:eastAsia="zh-CN"/>
        </w:rPr>
        <w:t xml:space="preserve">                   </w:t>
      </w:r>
      <w:r>
        <w:rPr>
          <w:rFonts w:hint="eastAsia" w:ascii="仿宋" w:hAnsi="仿宋" w:eastAsia="仿宋" w:cs="仿宋"/>
          <w:color w:val="auto"/>
          <w:kern w:val="2"/>
          <w:sz w:val="24"/>
          <w:szCs w:val="24"/>
          <w:highlight w:val="none"/>
          <w:lang w:eastAsia="zh-CN"/>
        </w:rPr>
        <w:t>（公章）</w:t>
      </w:r>
    </w:p>
    <w:p w14:paraId="7956373E">
      <w:pPr>
        <w:spacing w:line="480" w:lineRule="auto"/>
        <w:jc w:val="both"/>
        <w:rPr>
          <w:rFonts w:hint="eastAsia" w:ascii="仿宋" w:hAnsi="仿宋" w:eastAsia="仿宋" w:cs="仿宋"/>
          <w:color w:val="auto"/>
          <w:kern w:val="2"/>
          <w:sz w:val="24"/>
          <w:szCs w:val="24"/>
          <w:highlight w:val="none"/>
          <w:lang w:eastAsia="zh-CN"/>
        </w:rPr>
      </w:pPr>
    </w:p>
    <w:p w14:paraId="460DD089">
      <w:pPr>
        <w:spacing w:line="480" w:lineRule="auto"/>
        <w:jc w:val="both"/>
        <w:rPr>
          <w:rFonts w:hint="eastAsia" w:ascii="仿宋" w:hAnsi="仿宋" w:eastAsia="仿宋" w:cs="仿宋"/>
          <w:b/>
          <w:color w:val="auto"/>
          <w:sz w:val="24"/>
          <w:szCs w:val="24"/>
          <w:highlight w:val="none"/>
          <w:lang w:eastAsia="zh-CN"/>
        </w:rPr>
        <w:sectPr>
          <w:pgSz w:w="11849" w:h="16781"/>
          <w:pgMar w:top="1134" w:right="1134" w:bottom="1134" w:left="1417" w:header="850" w:footer="692" w:gutter="0"/>
          <w:pgNumType w:fmt="decimal"/>
          <w:cols w:space="720" w:num="1"/>
          <w:titlePg/>
          <w:rtlGutter w:val="0"/>
          <w:docGrid w:type="lines" w:linePitch="316" w:charSpace="0"/>
        </w:sectPr>
      </w:pPr>
      <w:r>
        <w:rPr>
          <w:rFonts w:hint="eastAsia" w:ascii="仿宋" w:hAnsi="仿宋" w:eastAsia="仿宋" w:cs="仿宋"/>
          <w:color w:val="auto"/>
          <w:kern w:val="2"/>
          <w:sz w:val="24"/>
          <w:szCs w:val="24"/>
          <w:highlight w:val="none"/>
          <w:lang w:eastAsia="zh-CN"/>
        </w:rPr>
        <w:t>日期：</w:t>
      </w:r>
      <w:r>
        <w:rPr>
          <w:rFonts w:hint="eastAsia" w:ascii="仿宋" w:hAnsi="仿宋" w:eastAsia="仿宋" w:cs="仿宋"/>
          <w:color w:val="auto"/>
          <w:kern w:val="2"/>
          <w:sz w:val="24"/>
          <w:szCs w:val="24"/>
          <w:highlight w:val="none"/>
          <w:u w:val="single"/>
          <w:lang w:eastAsia="zh-CN"/>
        </w:rPr>
        <w:t xml:space="preserve">                                  </w:t>
      </w:r>
    </w:p>
    <w:p w14:paraId="552BAA45">
      <w:pPr>
        <w:pStyle w:val="4"/>
        <w:outlineLvl w:val="2"/>
        <w:rPr>
          <w:rFonts w:hint="eastAsia" w:ascii="仿宋" w:hAnsi="仿宋" w:eastAsia="仿宋" w:cs="仿宋"/>
          <w:color w:val="auto"/>
          <w:szCs w:val="28"/>
          <w:highlight w:val="none"/>
        </w:rPr>
      </w:pPr>
      <w:bookmarkStart w:id="188" w:name="_Toc3989"/>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九</w:t>
      </w:r>
      <w:r>
        <w:rPr>
          <w:rFonts w:hint="eastAsia" w:ascii="仿宋" w:hAnsi="仿宋" w:eastAsia="仿宋" w:cs="仿宋"/>
          <w:color w:val="auto"/>
          <w:szCs w:val="28"/>
          <w:highlight w:val="none"/>
        </w:rPr>
        <w:t>）近年完成的类似项目情况表</w:t>
      </w:r>
      <w:r>
        <w:rPr>
          <w:rFonts w:hint="eastAsia" w:ascii="仿宋" w:hAnsi="仿宋" w:eastAsia="仿宋" w:cs="仿宋"/>
          <w:color w:val="auto"/>
          <w:szCs w:val="28"/>
          <w:highlight w:val="none"/>
        </w:rPr>
        <w:footnoteReference w:id="0"/>
      </w:r>
      <w:bookmarkEnd w:id="188"/>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82"/>
      </w:tblGrid>
      <w:tr w14:paraId="2544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50DB7FAE">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6582" w:type="dxa"/>
            <w:tcBorders>
              <w:top w:val="outset" w:color="auto" w:sz="6" w:space="0"/>
              <w:left w:val="outset" w:color="auto" w:sz="6" w:space="0"/>
              <w:bottom w:val="outset" w:color="auto" w:sz="6" w:space="0"/>
              <w:right w:val="outset" w:color="auto" w:sz="6" w:space="0"/>
            </w:tcBorders>
            <w:vAlign w:val="center"/>
          </w:tcPr>
          <w:p w14:paraId="45B93DEC">
            <w:pPr>
              <w:spacing w:line="300" w:lineRule="exact"/>
              <w:ind w:left="-10" w:leftChars="-5" w:firstLine="2" w:firstLineChars="1"/>
              <w:rPr>
                <w:rFonts w:hint="eastAsia" w:ascii="仿宋" w:hAnsi="仿宋" w:eastAsia="仿宋" w:cs="仿宋"/>
                <w:color w:val="auto"/>
                <w:sz w:val="24"/>
                <w:szCs w:val="24"/>
                <w:highlight w:val="none"/>
              </w:rPr>
            </w:pPr>
          </w:p>
        </w:tc>
      </w:tr>
      <w:tr w14:paraId="45966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23C85BAC">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项目所在地</w:t>
            </w:r>
          </w:p>
        </w:tc>
        <w:tc>
          <w:tcPr>
            <w:tcW w:w="6582" w:type="dxa"/>
            <w:tcBorders>
              <w:top w:val="outset" w:color="auto" w:sz="6" w:space="0"/>
              <w:left w:val="outset" w:color="auto" w:sz="6" w:space="0"/>
              <w:bottom w:val="outset" w:color="auto" w:sz="6" w:space="0"/>
              <w:right w:val="outset" w:color="auto" w:sz="6" w:space="0"/>
            </w:tcBorders>
            <w:vAlign w:val="center"/>
          </w:tcPr>
          <w:p w14:paraId="5405C61D">
            <w:pPr>
              <w:spacing w:line="300" w:lineRule="exact"/>
              <w:ind w:left="-10" w:leftChars="-5" w:firstLine="2" w:firstLineChars="1"/>
              <w:rPr>
                <w:rFonts w:hint="eastAsia" w:ascii="仿宋" w:hAnsi="仿宋" w:eastAsia="仿宋" w:cs="仿宋"/>
                <w:color w:val="auto"/>
                <w:sz w:val="24"/>
                <w:szCs w:val="24"/>
                <w:highlight w:val="none"/>
              </w:rPr>
            </w:pPr>
          </w:p>
        </w:tc>
      </w:tr>
      <w:tr w14:paraId="3A2A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2646242E">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发包人名称</w:t>
            </w:r>
          </w:p>
        </w:tc>
        <w:tc>
          <w:tcPr>
            <w:tcW w:w="6582" w:type="dxa"/>
            <w:tcBorders>
              <w:top w:val="outset" w:color="auto" w:sz="6" w:space="0"/>
              <w:left w:val="outset" w:color="auto" w:sz="6" w:space="0"/>
              <w:bottom w:val="outset" w:color="auto" w:sz="6" w:space="0"/>
              <w:right w:val="outset" w:color="auto" w:sz="6" w:space="0"/>
            </w:tcBorders>
            <w:vAlign w:val="center"/>
          </w:tcPr>
          <w:p w14:paraId="661B3CEE">
            <w:pPr>
              <w:spacing w:line="300" w:lineRule="exact"/>
              <w:ind w:left="-10" w:leftChars="-5" w:firstLine="2" w:firstLineChars="1"/>
              <w:rPr>
                <w:rFonts w:hint="eastAsia" w:ascii="仿宋" w:hAnsi="仿宋" w:eastAsia="仿宋" w:cs="仿宋"/>
                <w:color w:val="auto"/>
                <w:sz w:val="24"/>
                <w:szCs w:val="24"/>
                <w:highlight w:val="none"/>
              </w:rPr>
            </w:pPr>
          </w:p>
        </w:tc>
      </w:tr>
      <w:tr w14:paraId="0F3D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396F553C">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发包人地址</w:t>
            </w:r>
          </w:p>
        </w:tc>
        <w:tc>
          <w:tcPr>
            <w:tcW w:w="6582" w:type="dxa"/>
            <w:tcBorders>
              <w:top w:val="outset" w:color="auto" w:sz="6" w:space="0"/>
              <w:left w:val="outset" w:color="auto" w:sz="6" w:space="0"/>
              <w:bottom w:val="outset" w:color="auto" w:sz="6" w:space="0"/>
              <w:right w:val="outset" w:color="auto" w:sz="6" w:space="0"/>
            </w:tcBorders>
            <w:vAlign w:val="center"/>
          </w:tcPr>
          <w:p w14:paraId="50A8B216">
            <w:pPr>
              <w:spacing w:line="300" w:lineRule="exact"/>
              <w:ind w:left="-10" w:leftChars="-5" w:firstLine="2" w:firstLineChars="1"/>
              <w:rPr>
                <w:rFonts w:hint="eastAsia" w:ascii="仿宋" w:hAnsi="仿宋" w:eastAsia="仿宋" w:cs="仿宋"/>
                <w:color w:val="auto"/>
                <w:sz w:val="24"/>
                <w:szCs w:val="24"/>
                <w:highlight w:val="none"/>
              </w:rPr>
            </w:pPr>
          </w:p>
        </w:tc>
      </w:tr>
      <w:tr w14:paraId="48CC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37F76B04">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发包人电话</w:t>
            </w:r>
          </w:p>
        </w:tc>
        <w:tc>
          <w:tcPr>
            <w:tcW w:w="6582" w:type="dxa"/>
            <w:tcBorders>
              <w:top w:val="outset" w:color="auto" w:sz="6" w:space="0"/>
              <w:left w:val="outset" w:color="auto" w:sz="6" w:space="0"/>
              <w:bottom w:val="outset" w:color="auto" w:sz="6" w:space="0"/>
              <w:right w:val="outset" w:color="auto" w:sz="6" w:space="0"/>
            </w:tcBorders>
            <w:vAlign w:val="center"/>
          </w:tcPr>
          <w:p w14:paraId="46626321">
            <w:pPr>
              <w:spacing w:line="300" w:lineRule="exact"/>
              <w:ind w:left="-10" w:leftChars="-5" w:firstLine="2" w:firstLineChars="1"/>
              <w:rPr>
                <w:rFonts w:hint="eastAsia" w:ascii="仿宋" w:hAnsi="仿宋" w:eastAsia="仿宋" w:cs="仿宋"/>
                <w:color w:val="auto"/>
                <w:sz w:val="24"/>
                <w:szCs w:val="24"/>
                <w:highlight w:val="none"/>
              </w:rPr>
            </w:pPr>
          </w:p>
        </w:tc>
      </w:tr>
      <w:tr w14:paraId="3C95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1A69E27E">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合同价格</w:t>
            </w:r>
          </w:p>
        </w:tc>
        <w:tc>
          <w:tcPr>
            <w:tcW w:w="6582" w:type="dxa"/>
            <w:tcBorders>
              <w:top w:val="outset" w:color="auto" w:sz="6" w:space="0"/>
              <w:left w:val="outset" w:color="auto" w:sz="6" w:space="0"/>
              <w:bottom w:val="outset" w:color="auto" w:sz="6" w:space="0"/>
              <w:right w:val="outset" w:color="auto" w:sz="6" w:space="0"/>
            </w:tcBorders>
            <w:vAlign w:val="center"/>
          </w:tcPr>
          <w:p w14:paraId="33798420">
            <w:pPr>
              <w:spacing w:line="300" w:lineRule="exact"/>
              <w:ind w:left="-10" w:leftChars="-5" w:firstLine="2" w:firstLineChars="1"/>
              <w:rPr>
                <w:rFonts w:hint="eastAsia" w:ascii="仿宋" w:hAnsi="仿宋" w:eastAsia="仿宋" w:cs="仿宋"/>
                <w:color w:val="auto"/>
                <w:sz w:val="24"/>
                <w:szCs w:val="24"/>
                <w:highlight w:val="none"/>
              </w:rPr>
            </w:pPr>
          </w:p>
        </w:tc>
      </w:tr>
      <w:tr w14:paraId="7C32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73621706">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开工日期</w:t>
            </w:r>
          </w:p>
        </w:tc>
        <w:tc>
          <w:tcPr>
            <w:tcW w:w="6582" w:type="dxa"/>
            <w:tcBorders>
              <w:top w:val="outset" w:color="auto" w:sz="6" w:space="0"/>
              <w:left w:val="outset" w:color="auto" w:sz="6" w:space="0"/>
              <w:bottom w:val="outset" w:color="auto" w:sz="6" w:space="0"/>
              <w:right w:val="outset" w:color="auto" w:sz="6" w:space="0"/>
            </w:tcBorders>
            <w:vAlign w:val="center"/>
          </w:tcPr>
          <w:p w14:paraId="4CD720E7">
            <w:pPr>
              <w:spacing w:line="300" w:lineRule="exact"/>
              <w:ind w:left="-10" w:leftChars="-5" w:firstLine="2" w:firstLineChars="1"/>
              <w:rPr>
                <w:rFonts w:hint="eastAsia" w:ascii="仿宋" w:hAnsi="仿宋" w:eastAsia="仿宋" w:cs="仿宋"/>
                <w:color w:val="auto"/>
                <w:sz w:val="24"/>
                <w:szCs w:val="24"/>
                <w:highlight w:val="none"/>
              </w:rPr>
            </w:pPr>
          </w:p>
        </w:tc>
      </w:tr>
      <w:tr w14:paraId="4616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204A6D35">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竣工日期</w:t>
            </w:r>
          </w:p>
        </w:tc>
        <w:tc>
          <w:tcPr>
            <w:tcW w:w="6582" w:type="dxa"/>
            <w:tcBorders>
              <w:top w:val="outset" w:color="auto" w:sz="6" w:space="0"/>
              <w:left w:val="outset" w:color="auto" w:sz="6" w:space="0"/>
              <w:bottom w:val="outset" w:color="auto" w:sz="6" w:space="0"/>
              <w:right w:val="outset" w:color="auto" w:sz="6" w:space="0"/>
            </w:tcBorders>
            <w:vAlign w:val="center"/>
          </w:tcPr>
          <w:p w14:paraId="7600C2D9">
            <w:pPr>
              <w:spacing w:line="300" w:lineRule="exact"/>
              <w:ind w:left="-10" w:leftChars="-5" w:firstLine="2" w:firstLineChars="1"/>
              <w:rPr>
                <w:rFonts w:hint="eastAsia" w:ascii="仿宋" w:hAnsi="仿宋" w:eastAsia="仿宋" w:cs="仿宋"/>
                <w:color w:val="auto"/>
                <w:sz w:val="24"/>
                <w:szCs w:val="24"/>
                <w:highlight w:val="none"/>
              </w:rPr>
            </w:pPr>
          </w:p>
        </w:tc>
      </w:tr>
      <w:tr w14:paraId="0523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237EEC4B">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承担的工作</w:t>
            </w:r>
          </w:p>
        </w:tc>
        <w:tc>
          <w:tcPr>
            <w:tcW w:w="6582" w:type="dxa"/>
            <w:tcBorders>
              <w:top w:val="outset" w:color="auto" w:sz="6" w:space="0"/>
              <w:left w:val="outset" w:color="auto" w:sz="6" w:space="0"/>
              <w:bottom w:val="outset" w:color="auto" w:sz="6" w:space="0"/>
              <w:right w:val="outset" w:color="auto" w:sz="6" w:space="0"/>
            </w:tcBorders>
            <w:vAlign w:val="center"/>
          </w:tcPr>
          <w:p w14:paraId="62B646D2">
            <w:pPr>
              <w:spacing w:line="300" w:lineRule="exact"/>
              <w:ind w:left="-10" w:leftChars="-5" w:firstLine="2" w:firstLineChars="1"/>
              <w:rPr>
                <w:rFonts w:hint="eastAsia" w:ascii="仿宋" w:hAnsi="仿宋" w:eastAsia="仿宋" w:cs="仿宋"/>
                <w:color w:val="auto"/>
                <w:sz w:val="24"/>
                <w:szCs w:val="24"/>
                <w:highlight w:val="none"/>
              </w:rPr>
            </w:pPr>
          </w:p>
        </w:tc>
      </w:tr>
      <w:tr w14:paraId="6357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1ED524DC">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w:t>
            </w:r>
          </w:p>
        </w:tc>
        <w:tc>
          <w:tcPr>
            <w:tcW w:w="6582" w:type="dxa"/>
            <w:tcBorders>
              <w:top w:val="outset" w:color="auto" w:sz="6" w:space="0"/>
              <w:left w:val="outset" w:color="auto" w:sz="6" w:space="0"/>
              <w:bottom w:val="outset" w:color="auto" w:sz="6" w:space="0"/>
              <w:right w:val="outset" w:color="auto" w:sz="6" w:space="0"/>
            </w:tcBorders>
            <w:vAlign w:val="center"/>
          </w:tcPr>
          <w:p w14:paraId="4F17A9BD">
            <w:pPr>
              <w:spacing w:line="300" w:lineRule="exact"/>
              <w:ind w:left="-10" w:leftChars="-5" w:firstLine="2" w:firstLineChars="1"/>
              <w:rPr>
                <w:rFonts w:hint="eastAsia" w:ascii="仿宋" w:hAnsi="仿宋" w:eastAsia="仿宋" w:cs="仿宋"/>
                <w:color w:val="auto"/>
                <w:sz w:val="24"/>
                <w:szCs w:val="24"/>
                <w:highlight w:val="none"/>
              </w:rPr>
            </w:pPr>
          </w:p>
        </w:tc>
      </w:tr>
      <w:tr w14:paraId="1438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63EE8D4E">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6582" w:type="dxa"/>
            <w:tcBorders>
              <w:top w:val="outset" w:color="auto" w:sz="6" w:space="0"/>
              <w:left w:val="outset" w:color="auto" w:sz="6" w:space="0"/>
              <w:bottom w:val="outset" w:color="auto" w:sz="6" w:space="0"/>
              <w:right w:val="outset" w:color="auto" w:sz="6" w:space="0"/>
            </w:tcBorders>
            <w:vAlign w:val="center"/>
          </w:tcPr>
          <w:p w14:paraId="31503D8F">
            <w:pPr>
              <w:spacing w:line="300" w:lineRule="exact"/>
              <w:ind w:left="-10" w:leftChars="-5" w:firstLine="2" w:firstLineChars="1"/>
              <w:rPr>
                <w:rFonts w:hint="eastAsia" w:ascii="仿宋" w:hAnsi="仿宋" w:eastAsia="仿宋" w:cs="仿宋"/>
                <w:color w:val="auto"/>
                <w:sz w:val="24"/>
                <w:szCs w:val="24"/>
                <w:highlight w:val="none"/>
              </w:rPr>
            </w:pPr>
          </w:p>
        </w:tc>
      </w:tr>
      <w:tr w14:paraId="756F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7AF0D3AE">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w:t>
            </w:r>
          </w:p>
        </w:tc>
        <w:tc>
          <w:tcPr>
            <w:tcW w:w="6582" w:type="dxa"/>
            <w:tcBorders>
              <w:top w:val="outset" w:color="auto" w:sz="6" w:space="0"/>
              <w:left w:val="outset" w:color="auto" w:sz="6" w:space="0"/>
              <w:bottom w:val="outset" w:color="auto" w:sz="6" w:space="0"/>
              <w:right w:val="outset" w:color="auto" w:sz="6" w:space="0"/>
            </w:tcBorders>
            <w:vAlign w:val="center"/>
          </w:tcPr>
          <w:p w14:paraId="1E70324A">
            <w:pPr>
              <w:spacing w:line="300" w:lineRule="exact"/>
              <w:ind w:left="-10" w:leftChars="-5" w:firstLine="2" w:firstLineChars="1"/>
              <w:rPr>
                <w:rFonts w:hint="eastAsia" w:ascii="仿宋" w:hAnsi="仿宋" w:eastAsia="仿宋" w:cs="仿宋"/>
                <w:color w:val="auto"/>
                <w:sz w:val="24"/>
                <w:szCs w:val="24"/>
                <w:highlight w:val="none"/>
              </w:rPr>
            </w:pPr>
          </w:p>
        </w:tc>
      </w:tr>
      <w:tr w14:paraId="627E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2C94F924">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总监理工程师及电话</w:t>
            </w:r>
          </w:p>
        </w:tc>
        <w:tc>
          <w:tcPr>
            <w:tcW w:w="6582" w:type="dxa"/>
            <w:tcBorders>
              <w:top w:val="outset" w:color="auto" w:sz="6" w:space="0"/>
              <w:left w:val="outset" w:color="auto" w:sz="6" w:space="0"/>
              <w:bottom w:val="outset" w:color="auto" w:sz="6" w:space="0"/>
              <w:right w:val="outset" w:color="auto" w:sz="6" w:space="0"/>
            </w:tcBorders>
            <w:vAlign w:val="center"/>
          </w:tcPr>
          <w:p w14:paraId="1B0CE2B1">
            <w:pPr>
              <w:spacing w:line="300" w:lineRule="exact"/>
              <w:ind w:left="-10" w:leftChars="-5" w:firstLine="2" w:firstLineChars="1"/>
              <w:rPr>
                <w:rFonts w:hint="eastAsia" w:ascii="仿宋" w:hAnsi="仿宋" w:eastAsia="仿宋" w:cs="仿宋"/>
                <w:color w:val="auto"/>
                <w:sz w:val="24"/>
                <w:szCs w:val="24"/>
                <w:highlight w:val="none"/>
              </w:rPr>
            </w:pPr>
          </w:p>
        </w:tc>
      </w:tr>
      <w:tr w14:paraId="60AE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2526" w:type="dxa"/>
            <w:tcBorders>
              <w:top w:val="outset" w:color="auto" w:sz="6" w:space="0"/>
              <w:left w:val="outset" w:color="auto" w:sz="6" w:space="0"/>
              <w:bottom w:val="outset" w:color="auto" w:sz="6" w:space="0"/>
              <w:right w:val="outset" w:color="auto" w:sz="6" w:space="0"/>
            </w:tcBorders>
            <w:vAlign w:val="center"/>
          </w:tcPr>
          <w:p w14:paraId="6F45AB08">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项目描述</w:t>
            </w:r>
          </w:p>
        </w:tc>
        <w:tc>
          <w:tcPr>
            <w:tcW w:w="6582" w:type="dxa"/>
            <w:tcBorders>
              <w:top w:val="outset" w:color="auto" w:sz="6" w:space="0"/>
              <w:left w:val="outset" w:color="auto" w:sz="6" w:space="0"/>
              <w:bottom w:val="outset" w:color="auto" w:sz="6" w:space="0"/>
              <w:right w:val="outset" w:color="auto" w:sz="6" w:space="0"/>
            </w:tcBorders>
            <w:vAlign w:val="center"/>
          </w:tcPr>
          <w:p w14:paraId="7B4806BF">
            <w:pPr>
              <w:spacing w:line="300" w:lineRule="exact"/>
              <w:ind w:left="-10" w:leftChars="-5" w:firstLine="2" w:firstLineChars="1"/>
              <w:rPr>
                <w:rFonts w:hint="eastAsia" w:ascii="仿宋" w:hAnsi="仿宋" w:eastAsia="仿宋" w:cs="仿宋"/>
                <w:color w:val="auto"/>
                <w:sz w:val="24"/>
                <w:szCs w:val="24"/>
                <w:highlight w:val="none"/>
              </w:rPr>
            </w:pPr>
          </w:p>
        </w:tc>
      </w:tr>
      <w:tr w14:paraId="72AC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26" w:type="dxa"/>
            <w:tcBorders>
              <w:top w:val="outset" w:color="auto" w:sz="6" w:space="0"/>
              <w:left w:val="outset" w:color="auto" w:sz="6" w:space="0"/>
              <w:bottom w:val="outset" w:color="auto" w:sz="6" w:space="0"/>
              <w:right w:val="outset" w:color="auto" w:sz="6" w:space="0"/>
            </w:tcBorders>
            <w:vAlign w:val="center"/>
          </w:tcPr>
          <w:p w14:paraId="0B8394C8">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6582" w:type="dxa"/>
            <w:tcBorders>
              <w:top w:val="outset" w:color="auto" w:sz="6" w:space="0"/>
              <w:left w:val="outset" w:color="auto" w:sz="6" w:space="0"/>
              <w:bottom w:val="outset" w:color="auto" w:sz="6" w:space="0"/>
              <w:right w:val="outset" w:color="auto" w:sz="6" w:space="0"/>
            </w:tcBorders>
            <w:vAlign w:val="center"/>
          </w:tcPr>
          <w:p w14:paraId="490DF10D">
            <w:pPr>
              <w:spacing w:line="300" w:lineRule="exact"/>
              <w:ind w:left="-13" w:leftChars="-6"/>
              <w:rPr>
                <w:rFonts w:hint="eastAsia" w:ascii="仿宋" w:hAnsi="仿宋" w:eastAsia="仿宋" w:cs="仿宋"/>
                <w:color w:val="auto"/>
                <w:sz w:val="24"/>
                <w:szCs w:val="24"/>
                <w:highlight w:val="none"/>
              </w:rPr>
            </w:pPr>
          </w:p>
        </w:tc>
      </w:tr>
    </w:tbl>
    <w:p w14:paraId="1DF0F219">
      <w:pPr>
        <w:spacing w:line="360" w:lineRule="auto"/>
        <w:jc w:val="left"/>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r>
        <w:rPr>
          <w:rFonts w:hint="eastAsia" w:ascii="仿宋" w:hAnsi="仿宋" w:eastAsia="仿宋" w:cs="仿宋"/>
          <w:color w:val="auto"/>
          <w:sz w:val="24"/>
          <w:szCs w:val="24"/>
          <w:highlight w:val="none"/>
        </w:rPr>
        <w:t>后附：施工合同或中标通知书复印件</w:t>
      </w:r>
      <w:r>
        <w:rPr>
          <w:rFonts w:hint="eastAsia" w:ascii="仿宋" w:hAnsi="仿宋" w:eastAsia="仿宋" w:cs="仿宋"/>
          <w:color w:val="auto"/>
          <w:sz w:val="24"/>
          <w:szCs w:val="24"/>
          <w:highlight w:val="none"/>
          <w:lang w:val="en-US" w:eastAsia="zh-CN"/>
        </w:rPr>
        <w:t>或协议或竣工验收材料</w:t>
      </w:r>
      <w:r>
        <w:rPr>
          <w:rFonts w:hint="eastAsia" w:ascii="仿宋" w:hAnsi="仿宋" w:eastAsia="仿宋" w:cs="仿宋"/>
          <w:color w:val="auto"/>
          <w:sz w:val="24"/>
          <w:szCs w:val="24"/>
          <w:highlight w:val="none"/>
        </w:rPr>
        <w:t>加盖单位公章。</w:t>
      </w:r>
    </w:p>
    <w:p w14:paraId="35FFACBB">
      <w:pPr>
        <w:pStyle w:val="4"/>
        <w:outlineLvl w:val="2"/>
        <w:rPr>
          <w:rFonts w:hint="eastAsia" w:ascii="仿宋" w:hAnsi="仿宋" w:eastAsia="仿宋" w:cs="仿宋"/>
          <w:color w:val="auto"/>
          <w:szCs w:val="28"/>
          <w:highlight w:val="none"/>
        </w:rPr>
      </w:pPr>
      <w:bookmarkStart w:id="189" w:name="_Toc3938"/>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十</w:t>
      </w:r>
      <w:r>
        <w:rPr>
          <w:rFonts w:hint="eastAsia" w:ascii="仿宋" w:hAnsi="仿宋" w:eastAsia="仿宋" w:cs="仿宋"/>
          <w:color w:val="auto"/>
          <w:szCs w:val="28"/>
          <w:highlight w:val="none"/>
        </w:rPr>
        <w:t>）正在施工的和新承接的项目情况表</w:t>
      </w:r>
      <w:r>
        <w:rPr>
          <w:rStyle w:val="44"/>
          <w:rFonts w:hint="eastAsia" w:ascii="仿宋" w:hAnsi="仿宋" w:eastAsia="仿宋" w:cs="仿宋"/>
          <w:color w:val="auto"/>
          <w:szCs w:val="28"/>
          <w:highlight w:val="none"/>
        </w:rPr>
        <w:footnoteReference w:id="1"/>
      </w:r>
      <w:bookmarkEnd w:id="189"/>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4"/>
        <w:gridCol w:w="5935"/>
      </w:tblGrid>
      <w:tr w14:paraId="2493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594" w:type="dxa"/>
            <w:vAlign w:val="center"/>
          </w:tcPr>
          <w:p w14:paraId="1137A692">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5935" w:type="dxa"/>
            <w:vAlign w:val="center"/>
          </w:tcPr>
          <w:p w14:paraId="268C61F5">
            <w:pPr>
              <w:spacing w:line="300" w:lineRule="exact"/>
              <w:rPr>
                <w:rFonts w:hint="eastAsia" w:ascii="仿宋" w:hAnsi="仿宋" w:eastAsia="仿宋" w:cs="仿宋"/>
                <w:color w:val="auto"/>
                <w:sz w:val="24"/>
                <w:szCs w:val="24"/>
                <w:highlight w:val="none"/>
              </w:rPr>
            </w:pPr>
          </w:p>
        </w:tc>
      </w:tr>
      <w:tr w14:paraId="243C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746FD9AC">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项目所在地</w:t>
            </w:r>
          </w:p>
        </w:tc>
        <w:tc>
          <w:tcPr>
            <w:tcW w:w="5935" w:type="dxa"/>
            <w:vAlign w:val="center"/>
          </w:tcPr>
          <w:p w14:paraId="2EBEBAE2">
            <w:pPr>
              <w:spacing w:line="300" w:lineRule="exact"/>
              <w:rPr>
                <w:rFonts w:hint="eastAsia" w:ascii="仿宋" w:hAnsi="仿宋" w:eastAsia="仿宋" w:cs="仿宋"/>
                <w:color w:val="auto"/>
                <w:sz w:val="24"/>
                <w:szCs w:val="24"/>
                <w:highlight w:val="none"/>
              </w:rPr>
            </w:pPr>
          </w:p>
        </w:tc>
      </w:tr>
      <w:tr w14:paraId="42C4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594" w:type="dxa"/>
            <w:vAlign w:val="center"/>
          </w:tcPr>
          <w:p w14:paraId="152ED1D2">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发包人名称</w:t>
            </w:r>
          </w:p>
        </w:tc>
        <w:tc>
          <w:tcPr>
            <w:tcW w:w="5935" w:type="dxa"/>
            <w:vAlign w:val="center"/>
          </w:tcPr>
          <w:p w14:paraId="768DD44C">
            <w:pPr>
              <w:spacing w:line="300" w:lineRule="exact"/>
              <w:rPr>
                <w:rFonts w:hint="eastAsia" w:ascii="仿宋" w:hAnsi="仿宋" w:eastAsia="仿宋" w:cs="仿宋"/>
                <w:color w:val="auto"/>
                <w:sz w:val="24"/>
                <w:szCs w:val="24"/>
                <w:highlight w:val="none"/>
              </w:rPr>
            </w:pPr>
          </w:p>
        </w:tc>
      </w:tr>
      <w:tr w14:paraId="63FB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0AAF3282">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发包人地址</w:t>
            </w:r>
          </w:p>
        </w:tc>
        <w:tc>
          <w:tcPr>
            <w:tcW w:w="5935" w:type="dxa"/>
            <w:vAlign w:val="center"/>
          </w:tcPr>
          <w:p w14:paraId="199B89BA">
            <w:pPr>
              <w:spacing w:line="300" w:lineRule="exact"/>
              <w:rPr>
                <w:rFonts w:hint="eastAsia" w:ascii="仿宋" w:hAnsi="仿宋" w:eastAsia="仿宋" w:cs="仿宋"/>
                <w:color w:val="auto"/>
                <w:sz w:val="24"/>
                <w:szCs w:val="24"/>
                <w:highlight w:val="none"/>
              </w:rPr>
            </w:pPr>
          </w:p>
        </w:tc>
      </w:tr>
      <w:tr w14:paraId="44DA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4CD434A8">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发包人电话</w:t>
            </w:r>
          </w:p>
        </w:tc>
        <w:tc>
          <w:tcPr>
            <w:tcW w:w="5935" w:type="dxa"/>
            <w:vAlign w:val="center"/>
          </w:tcPr>
          <w:p w14:paraId="4D920283">
            <w:pPr>
              <w:spacing w:line="300" w:lineRule="exact"/>
              <w:rPr>
                <w:rFonts w:hint="eastAsia" w:ascii="仿宋" w:hAnsi="仿宋" w:eastAsia="仿宋" w:cs="仿宋"/>
                <w:color w:val="auto"/>
                <w:sz w:val="24"/>
                <w:szCs w:val="24"/>
                <w:highlight w:val="none"/>
              </w:rPr>
            </w:pPr>
          </w:p>
        </w:tc>
      </w:tr>
      <w:tr w14:paraId="47E9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594" w:type="dxa"/>
            <w:vAlign w:val="center"/>
          </w:tcPr>
          <w:p w14:paraId="14C36853">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签约合同价</w:t>
            </w:r>
          </w:p>
        </w:tc>
        <w:tc>
          <w:tcPr>
            <w:tcW w:w="5935" w:type="dxa"/>
            <w:vAlign w:val="center"/>
          </w:tcPr>
          <w:p w14:paraId="0A4F7A84">
            <w:pPr>
              <w:spacing w:line="300" w:lineRule="exact"/>
              <w:rPr>
                <w:rFonts w:hint="eastAsia" w:ascii="仿宋" w:hAnsi="仿宋" w:eastAsia="仿宋" w:cs="仿宋"/>
                <w:color w:val="auto"/>
                <w:sz w:val="24"/>
                <w:szCs w:val="24"/>
                <w:highlight w:val="none"/>
              </w:rPr>
            </w:pPr>
          </w:p>
        </w:tc>
      </w:tr>
      <w:tr w14:paraId="54F8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43D27B0A">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开工日期</w:t>
            </w:r>
          </w:p>
        </w:tc>
        <w:tc>
          <w:tcPr>
            <w:tcW w:w="5935" w:type="dxa"/>
            <w:vAlign w:val="center"/>
          </w:tcPr>
          <w:p w14:paraId="7C520841">
            <w:pPr>
              <w:spacing w:line="300" w:lineRule="exact"/>
              <w:rPr>
                <w:rFonts w:hint="eastAsia" w:ascii="仿宋" w:hAnsi="仿宋" w:eastAsia="仿宋" w:cs="仿宋"/>
                <w:color w:val="auto"/>
                <w:sz w:val="24"/>
                <w:szCs w:val="24"/>
                <w:highlight w:val="none"/>
              </w:rPr>
            </w:pPr>
          </w:p>
        </w:tc>
      </w:tr>
      <w:tr w14:paraId="28FF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594" w:type="dxa"/>
            <w:vAlign w:val="center"/>
          </w:tcPr>
          <w:p w14:paraId="7621F745">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计划竣工日期</w:t>
            </w:r>
          </w:p>
        </w:tc>
        <w:tc>
          <w:tcPr>
            <w:tcW w:w="5935" w:type="dxa"/>
            <w:vAlign w:val="center"/>
          </w:tcPr>
          <w:p w14:paraId="002FC92E">
            <w:pPr>
              <w:spacing w:line="300" w:lineRule="exact"/>
              <w:rPr>
                <w:rFonts w:hint="eastAsia" w:ascii="仿宋" w:hAnsi="仿宋" w:eastAsia="仿宋" w:cs="仿宋"/>
                <w:color w:val="auto"/>
                <w:sz w:val="24"/>
                <w:szCs w:val="24"/>
                <w:highlight w:val="none"/>
              </w:rPr>
            </w:pPr>
          </w:p>
        </w:tc>
      </w:tr>
      <w:tr w14:paraId="3A0E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5EB2343F">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承担的工作</w:t>
            </w:r>
          </w:p>
        </w:tc>
        <w:tc>
          <w:tcPr>
            <w:tcW w:w="5935" w:type="dxa"/>
            <w:vAlign w:val="center"/>
          </w:tcPr>
          <w:p w14:paraId="27719C09">
            <w:pPr>
              <w:spacing w:line="300" w:lineRule="exact"/>
              <w:rPr>
                <w:rFonts w:hint="eastAsia" w:ascii="仿宋" w:hAnsi="仿宋" w:eastAsia="仿宋" w:cs="仿宋"/>
                <w:color w:val="auto"/>
                <w:sz w:val="24"/>
                <w:szCs w:val="24"/>
                <w:highlight w:val="none"/>
              </w:rPr>
            </w:pPr>
          </w:p>
        </w:tc>
      </w:tr>
      <w:tr w14:paraId="08B7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389A8D10">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w:t>
            </w:r>
          </w:p>
        </w:tc>
        <w:tc>
          <w:tcPr>
            <w:tcW w:w="5935" w:type="dxa"/>
            <w:vAlign w:val="center"/>
          </w:tcPr>
          <w:p w14:paraId="549166F2">
            <w:pPr>
              <w:spacing w:line="300" w:lineRule="exact"/>
              <w:rPr>
                <w:rFonts w:hint="eastAsia" w:ascii="仿宋" w:hAnsi="仿宋" w:eastAsia="仿宋" w:cs="仿宋"/>
                <w:color w:val="auto"/>
                <w:sz w:val="24"/>
                <w:szCs w:val="24"/>
                <w:highlight w:val="none"/>
              </w:rPr>
            </w:pPr>
          </w:p>
        </w:tc>
      </w:tr>
      <w:tr w14:paraId="1184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594" w:type="dxa"/>
            <w:vAlign w:val="center"/>
          </w:tcPr>
          <w:p w14:paraId="1D905EED">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5935" w:type="dxa"/>
            <w:vAlign w:val="center"/>
          </w:tcPr>
          <w:p w14:paraId="567DCE1E">
            <w:pPr>
              <w:spacing w:line="300" w:lineRule="exact"/>
              <w:rPr>
                <w:rFonts w:hint="eastAsia" w:ascii="仿宋" w:hAnsi="仿宋" w:eastAsia="仿宋" w:cs="仿宋"/>
                <w:color w:val="auto"/>
                <w:sz w:val="24"/>
                <w:szCs w:val="24"/>
                <w:highlight w:val="none"/>
              </w:rPr>
            </w:pPr>
          </w:p>
        </w:tc>
      </w:tr>
      <w:tr w14:paraId="322F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03B8FCFC">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w:t>
            </w:r>
          </w:p>
        </w:tc>
        <w:tc>
          <w:tcPr>
            <w:tcW w:w="5935" w:type="dxa"/>
            <w:vAlign w:val="center"/>
          </w:tcPr>
          <w:p w14:paraId="4FAF2D7C">
            <w:pPr>
              <w:spacing w:line="300" w:lineRule="exact"/>
              <w:rPr>
                <w:rFonts w:hint="eastAsia" w:ascii="仿宋" w:hAnsi="仿宋" w:eastAsia="仿宋" w:cs="仿宋"/>
                <w:color w:val="auto"/>
                <w:sz w:val="24"/>
                <w:szCs w:val="24"/>
                <w:highlight w:val="none"/>
              </w:rPr>
            </w:pPr>
          </w:p>
        </w:tc>
      </w:tr>
      <w:tr w14:paraId="3794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6C82B797">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总监理工程师及电话</w:t>
            </w:r>
          </w:p>
        </w:tc>
        <w:tc>
          <w:tcPr>
            <w:tcW w:w="5935" w:type="dxa"/>
            <w:vAlign w:val="center"/>
          </w:tcPr>
          <w:p w14:paraId="0AC71372">
            <w:pPr>
              <w:spacing w:line="300" w:lineRule="exact"/>
              <w:rPr>
                <w:rFonts w:hint="eastAsia" w:ascii="仿宋" w:hAnsi="仿宋" w:eastAsia="仿宋" w:cs="仿宋"/>
                <w:color w:val="auto"/>
                <w:sz w:val="24"/>
                <w:szCs w:val="24"/>
                <w:highlight w:val="none"/>
              </w:rPr>
            </w:pPr>
          </w:p>
        </w:tc>
      </w:tr>
      <w:tr w14:paraId="3A05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3594" w:type="dxa"/>
            <w:vAlign w:val="center"/>
          </w:tcPr>
          <w:p w14:paraId="1DC3B9E2">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项目描述</w:t>
            </w:r>
          </w:p>
        </w:tc>
        <w:tc>
          <w:tcPr>
            <w:tcW w:w="5935" w:type="dxa"/>
            <w:vAlign w:val="center"/>
          </w:tcPr>
          <w:p w14:paraId="7EEAAD07">
            <w:pPr>
              <w:spacing w:line="300" w:lineRule="exact"/>
              <w:ind w:firstLine="480" w:firstLineChars="200"/>
              <w:rPr>
                <w:rFonts w:hint="eastAsia" w:ascii="仿宋" w:hAnsi="仿宋" w:eastAsia="仿宋" w:cs="仿宋"/>
                <w:color w:val="auto"/>
                <w:sz w:val="24"/>
                <w:szCs w:val="24"/>
                <w:highlight w:val="none"/>
              </w:rPr>
            </w:pPr>
          </w:p>
        </w:tc>
      </w:tr>
      <w:tr w14:paraId="26F7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594" w:type="dxa"/>
            <w:vAlign w:val="center"/>
          </w:tcPr>
          <w:p w14:paraId="76DFCE77">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5935" w:type="dxa"/>
            <w:vAlign w:val="center"/>
          </w:tcPr>
          <w:p w14:paraId="70AAAAEC">
            <w:pPr>
              <w:spacing w:line="300" w:lineRule="exact"/>
              <w:rPr>
                <w:rFonts w:hint="eastAsia" w:ascii="仿宋" w:hAnsi="仿宋" w:eastAsia="仿宋" w:cs="仿宋"/>
                <w:color w:val="auto"/>
                <w:sz w:val="24"/>
                <w:szCs w:val="24"/>
                <w:highlight w:val="none"/>
              </w:rPr>
            </w:pPr>
          </w:p>
        </w:tc>
      </w:tr>
    </w:tbl>
    <w:p w14:paraId="59B24E7E">
      <w:pPr>
        <w:spacing w:line="360" w:lineRule="auto"/>
        <w:jc w:val="left"/>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r>
        <w:rPr>
          <w:rFonts w:hint="eastAsia" w:ascii="仿宋" w:hAnsi="仿宋" w:eastAsia="仿宋" w:cs="仿宋"/>
          <w:color w:val="auto"/>
          <w:sz w:val="24"/>
          <w:szCs w:val="24"/>
          <w:highlight w:val="none"/>
        </w:rPr>
        <w:t>后附：施工合同或中标通知书复印件</w:t>
      </w:r>
      <w:r>
        <w:rPr>
          <w:rFonts w:hint="eastAsia" w:ascii="仿宋" w:hAnsi="仿宋" w:eastAsia="仿宋" w:cs="仿宋"/>
          <w:color w:val="auto"/>
          <w:sz w:val="24"/>
          <w:szCs w:val="24"/>
          <w:highlight w:val="none"/>
          <w:lang w:val="en-US" w:eastAsia="zh-CN"/>
        </w:rPr>
        <w:t>或协议或竣工验收材料</w:t>
      </w:r>
      <w:r>
        <w:rPr>
          <w:rFonts w:hint="eastAsia" w:ascii="仿宋" w:hAnsi="仿宋" w:eastAsia="仿宋" w:cs="仿宋"/>
          <w:color w:val="auto"/>
          <w:sz w:val="24"/>
          <w:szCs w:val="24"/>
          <w:highlight w:val="none"/>
        </w:rPr>
        <w:t>加盖单位公章。</w:t>
      </w:r>
    </w:p>
    <w:p w14:paraId="5B06D1F2">
      <w:pPr>
        <w:pStyle w:val="3"/>
        <w:outlineLvl w:val="1"/>
        <w:rPr>
          <w:rFonts w:hint="eastAsia" w:ascii="仿宋" w:hAnsi="仿宋" w:eastAsia="仿宋" w:cs="仿宋"/>
          <w:color w:val="auto"/>
          <w:szCs w:val="32"/>
          <w:highlight w:val="none"/>
          <w:lang w:eastAsia="zh-CN"/>
        </w:rPr>
      </w:pPr>
      <w:bookmarkStart w:id="190" w:name="_Toc382396580"/>
      <w:bookmarkStart w:id="191" w:name="_Toc32286"/>
      <w:bookmarkStart w:id="192" w:name="_Toc15115"/>
      <w:bookmarkStart w:id="193" w:name="_Toc685"/>
      <w:bookmarkStart w:id="194" w:name="_Toc12556"/>
      <w:bookmarkStart w:id="195" w:name="_Toc184635148"/>
      <w:r>
        <w:rPr>
          <w:rFonts w:hint="eastAsia" w:ascii="仿宋" w:hAnsi="仿宋" w:eastAsia="仿宋" w:cs="仿宋"/>
          <w:color w:val="auto"/>
          <w:szCs w:val="32"/>
          <w:highlight w:val="none"/>
          <w:lang w:eastAsia="zh-CN"/>
        </w:rPr>
        <w:t>十、其他材料</w:t>
      </w:r>
      <w:bookmarkEnd w:id="190"/>
      <w:bookmarkEnd w:id="191"/>
      <w:bookmarkEnd w:id="192"/>
      <w:bookmarkEnd w:id="193"/>
      <w:bookmarkEnd w:id="194"/>
      <w:bookmarkEnd w:id="195"/>
    </w:p>
    <w:p w14:paraId="207C3B75">
      <w:pPr>
        <w:numPr>
          <w:ilvl w:val="0"/>
          <w:numId w:val="0"/>
        </w:numPr>
        <w:autoSpaceDE w:val="0"/>
        <w:autoSpaceDN w:val="0"/>
        <w:adjustRightInd w:val="0"/>
        <w:spacing w:line="6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磋商文件中要求提交的其他证明材料或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认为有必要提供的其他证明材料。（格式自拟）</w:t>
      </w:r>
    </w:p>
    <w:p w14:paraId="327B426E">
      <w:pPr>
        <w:autoSpaceDE w:val="0"/>
        <w:autoSpaceDN w:val="0"/>
        <w:adjustRightInd w:val="0"/>
        <w:spacing w:line="600" w:lineRule="exact"/>
        <w:rPr>
          <w:rFonts w:hint="eastAsia" w:ascii="仿宋" w:hAnsi="仿宋" w:eastAsia="仿宋" w:cs="仿宋"/>
          <w:color w:val="auto"/>
          <w:sz w:val="24"/>
          <w:szCs w:val="24"/>
          <w:highlight w:val="none"/>
        </w:rPr>
        <w:sectPr>
          <w:pgSz w:w="11850" w:h="16783"/>
          <w:pgMar w:top="1440" w:right="1080" w:bottom="1440" w:left="1080" w:header="720" w:footer="720" w:gutter="0"/>
          <w:pgNumType w:fmt="decimal"/>
          <w:cols w:space="720" w:num="1"/>
        </w:sectPr>
      </w:pPr>
    </w:p>
    <w:p w14:paraId="62F160EB">
      <w:pPr>
        <w:pStyle w:val="30"/>
        <w:numPr>
          <w:ilvl w:val="0"/>
          <w:numId w:val="0"/>
        </w:numPr>
        <w:ind w:leftChars="0"/>
        <w:outlineLvl w:val="3"/>
        <w:rPr>
          <w:rFonts w:hint="eastAsia" w:ascii="仿宋" w:hAnsi="仿宋" w:eastAsia="仿宋" w:cs="仿宋"/>
          <w:color w:val="auto"/>
          <w:sz w:val="28"/>
          <w:szCs w:val="32"/>
          <w:highlight w:val="none"/>
          <w:lang w:val="en-US" w:eastAsia="zh-CN"/>
        </w:rPr>
      </w:pPr>
      <w:r>
        <w:rPr>
          <w:rFonts w:hint="eastAsia" w:ascii="仿宋" w:hAnsi="仿宋" w:eastAsia="仿宋" w:cs="仿宋"/>
          <w:color w:val="auto"/>
          <w:sz w:val="28"/>
          <w:szCs w:val="32"/>
          <w:highlight w:val="none"/>
          <w:lang w:val="en-US" w:eastAsia="zh-CN"/>
        </w:rPr>
        <w:t>1、优惠条件</w:t>
      </w:r>
    </w:p>
    <w:p w14:paraId="00AC5564">
      <w:pPr>
        <w:pStyle w:val="30"/>
        <w:numPr>
          <w:ilvl w:val="0"/>
          <w:numId w:val="0"/>
        </w:numPr>
        <w:ind w:leftChars="0"/>
        <w:outlineLvl w:val="9"/>
        <w:rPr>
          <w:rFonts w:hint="eastAsia" w:ascii="仿宋" w:hAnsi="仿宋" w:eastAsia="仿宋" w:cs="仿宋"/>
          <w:color w:val="auto"/>
          <w:highlight w:val="none"/>
          <w:lang w:val="en-US" w:eastAsia="zh-CN"/>
        </w:rPr>
      </w:pPr>
    </w:p>
    <w:p w14:paraId="446E1682">
      <w:pPr>
        <w:pStyle w:val="30"/>
        <w:numPr>
          <w:ilvl w:val="0"/>
          <w:numId w:val="0"/>
        </w:numPr>
        <w:ind w:leftChars="0"/>
        <w:outlineLvl w:val="3"/>
        <w:rPr>
          <w:rFonts w:hint="eastAsia" w:ascii="仿宋" w:hAnsi="仿宋" w:eastAsia="仿宋" w:cs="仿宋"/>
          <w:color w:val="auto"/>
          <w:sz w:val="28"/>
          <w:szCs w:val="32"/>
          <w:highlight w:val="none"/>
          <w:lang w:val="en-US" w:eastAsia="zh-CN"/>
        </w:rPr>
      </w:pPr>
      <w:r>
        <w:rPr>
          <w:rFonts w:hint="eastAsia" w:ascii="仿宋" w:hAnsi="仿宋" w:eastAsia="仿宋" w:cs="仿宋"/>
          <w:color w:val="auto"/>
          <w:sz w:val="28"/>
          <w:szCs w:val="32"/>
          <w:highlight w:val="none"/>
          <w:lang w:val="en-US" w:eastAsia="zh-CN"/>
        </w:rPr>
        <w:t>2、服务承诺</w:t>
      </w:r>
    </w:p>
    <w:p w14:paraId="6E23BBDD">
      <w:pPr>
        <w:spacing w:line="290" w:lineRule="exact"/>
        <w:ind w:firstLine="480" w:firstLineChars="200"/>
        <w:rPr>
          <w:rFonts w:hint="eastAsia" w:ascii="仿宋" w:hAnsi="仿宋" w:eastAsia="仿宋" w:cs="仿宋"/>
          <w:color w:val="auto"/>
          <w:sz w:val="24"/>
          <w:szCs w:val="24"/>
          <w:highlight w:val="none"/>
        </w:rPr>
      </w:pPr>
    </w:p>
    <w:p w14:paraId="6963DF1B">
      <w:pPr>
        <w:spacing w:line="290" w:lineRule="exact"/>
        <w:rPr>
          <w:rFonts w:hint="eastAsia" w:ascii="仿宋" w:hAnsi="仿宋" w:eastAsia="仿宋" w:cs="仿宋"/>
          <w:color w:val="auto"/>
          <w:sz w:val="24"/>
          <w:szCs w:val="24"/>
          <w:highlight w:val="none"/>
        </w:rPr>
      </w:pPr>
    </w:p>
    <w:p w14:paraId="7AA721DF">
      <w:pPr>
        <w:jc w:val="center"/>
        <w:rPr>
          <w:rFonts w:hint="eastAsia" w:ascii="仿宋" w:hAnsi="仿宋" w:eastAsia="仿宋" w:cs="仿宋"/>
          <w:bCs/>
          <w:color w:val="auto"/>
          <w:sz w:val="24"/>
          <w:szCs w:val="24"/>
          <w:highlight w:val="none"/>
          <w:lang w:val="zh-CN"/>
        </w:rPr>
      </w:pPr>
    </w:p>
    <w:p w14:paraId="58E47635">
      <w:pPr>
        <w:rPr>
          <w:rFonts w:hint="eastAsia" w:ascii="仿宋" w:hAnsi="仿宋" w:eastAsia="仿宋" w:cs="仿宋"/>
          <w:color w:val="auto"/>
          <w:highlight w:val="none"/>
          <w:lang w:eastAsia="zh-CN"/>
        </w:rPr>
        <w:sectPr>
          <w:pgSz w:w="11850" w:h="16783"/>
          <w:pgMar w:top="1440" w:right="1080" w:bottom="1440" w:left="1080" w:header="720" w:footer="720" w:gutter="0"/>
          <w:pgNumType w:fmt="decimal"/>
          <w:cols w:space="720" w:num="1"/>
        </w:sectPr>
      </w:pPr>
    </w:p>
    <w:p w14:paraId="2161430D">
      <w:pPr>
        <w:pStyle w:val="30"/>
        <w:ind w:left="0" w:leftChars="0" w:firstLine="0" w:firstLineChars="0"/>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附</w:t>
      </w:r>
      <w:r>
        <w:rPr>
          <w:rFonts w:hint="eastAsia" w:ascii="仿宋" w:hAnsi="仿宋" w:eastAsia="仿宋" w:cs="仿宋"/>
          <w:color w:val="auto"/>
          <w:sz w:val="24"/>
          <w:szCs w:val="24"/>
          <w:highlight w:val="none"/>
          <w:lang w:val="en-US" w:eastAsia="zh-CN"/>
        </w:rPr>
        <w:t>1、中小企业声明函</w:t>
      </w:r>
    </w:p>
    <w:p w14:paraId="22812988">
      <w:pPr>
        <w:snapToGrid/>
        <w:spacing w:before="0" w:beforeAutospacing="0" w:after="0" w:afterAutospacing="0" w:line="240" w:lineRule="auto"/>
        <w:jc w:val="center"/>
        <w:textAlignment w:val="baseline"/>
        <w:rPr>
          <w:rFonts w:hint="eastAsia" w:ascii="仿宋" w:hAnsi="仿宋" w:eastAsia="仿宋" w:cs="仿宋"/>
          <w:b/>
          <w:bCs/>
          <w:i w:val="0"/>
          <w:caps w:val="0"/>
          <w:color w:val="auto"/>
          <w:spacing w:val="0"/>
          <w:w w:val="100"/>
          <w:sz w:val="32"/>
          <w:szCs w:val="32"/>
          <w:highlight w:val="none"/>
          <w:lang w:eastAsia="zh-CN"/>
        </w:rPr>
      </w:pPr>
      <w:r>
        <w:rPr>
          <w:rFonts w:hint="eastAsia" w:ascii="仿宋" w:hAnsi="仿宋" w:eastAsia="仿宋" w:cs="仿宋"/>
          <w:b/>
          <w:bCs/>
          <w:i w:val="0"/>
          <w:caps w:val="0"/>
          <w:color w:val="auto"/>
          <w:spacing w:val="0"/>
          <w:w w:val="100"/>
          <w:sz w:val="32"/>
          <w:szCs w:val="32"/>
          <w:highlight w:val="none"/>
          <w:lang w:eastAsia="zh-CN"/>
        </w:rPr>
        <w:t>中小企业声明函</w:t>
      </w:r>
    </w:p>
    <w:p w14:paraId="3FFBFC2E">
      <w:pPr>
        <w:pStyle w:val="12"/>
        <w:snapToGrid/>
        <w:spacing w:before="0" w:beforeAutospacing="0" w:after="120" w:afterAutospacing="0" w:line="360" w:lineRule="auto"/>
        <w:ind w:left="0" w:right="0" w:firstLine="420" w:firstLineChars="200"/>
        <w:jc w:val="both"/>
        <w:textAlignment w:val="baseline"/>
        <w:rPr>
          <w:rFonts w:hint="eastAsia" w:ascii="仿宋" w:hAnsi="仿宋" w:eastAsia="仿宋" w:cs="仿宋"/>
          <w:b w:val="0"/>
          <w:i w:val="0"/>
          <w:caps w:val="0"/>
          <w:color w:val="auto"/>
          <w:spacing w:val="0"/>
          <w:w w:val="100"/>
          <w:sz w:val="21"/>
          <w:highlight w:val="none"/>
        </w:rPr>
      </w:pPr>
    </w:p>
    <w:p w14:paraId="457745E4">
      <w:pPr>
        <w:pStyle w:val="12"/>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80" w:firstLineChars="20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本公司（联合体）郑重声明，根据《政府采购促进中小企业发展管理办法》（财库﹝2020﹞46号）的规定，本公司（联合体）参加</w:t>
      </w:r>
      <w:r>
        <w:rPr>
          <w:rFonts w:hint="eastAsia" w:ascii="仿宋" w:hAnsi="仿宋" w:eastAsia="仿宋" w:cs="仿宋"/>
          <w:b w:val="0"/>
          <w:i/>
          <w:caps w:val="0"/>
          <w:color w:val="auto"/>
          <w:spacing w:val="0"/>
          <w:w w:val="100"/>
          <w:sz w:val="24"/>
          <w:szCs w:val="24"/>
          <w:highlight w:val="none"/>
          <w:u w:val="single" w:color="000000"/>
        </w:rPr>
        <w:t>（单位名称）</w:t>
      </w:r>
      <w:r>
        <w:rPr>
          <w:rFonts w:hint="eastAsia" w:ascii="仿宋" w:hAnsi="仿宋" w:eastAsia="仿宋" w:cs="仿宋"/>
          <w:b w:val="0"/>
          <w:i w:val="0"/>
          <w:caps w:val="0"/>
          <w:color w:val="auto"/>
          <w:spacing w:val="0"/>
          <w:w w:val="100"/>
          <w:sz w:val="24"/>
          <w:szCs w:val="24"/>
          <w:highlight w:val="none"/>
        </w:rPr>
        <w:t>的</w:t>
      </w:r>
      <w:r>
        <w:rPr>
          <w:rFonts w:hint="eastAsia" w:ascii="仿宋" w:hAnsi="仿宋" w:eastAsia="仿宋" w:cs="仿宋"/>
          <w:b w:val="0"/>
          <w:i/>
          <w:caps w:val="0"/>
          <w:color w:val="auto"/>
          <w:spacing w:val="0"/>
          <w:w w:val="100"/>
          <w:sz w:val="24"/>
          <w:szCs w:val="24"/>
          <w:highlight w:val="none"/>
          <w:u w:val="single" w:color="000000"/>
        </w:rPr>
        <w:t>（项目名称）</w:t>
      </w:r>
      <w:r>
        <w:rPr>
          <w:rFonts w:hint="eastAsia" w:ascii="仿宋" w:hAnsi="仿宋" w:eastAsia="仿宋" w:cs="仿宋"/>
          <w:b w:val="0"/>
          <w:i w:val="0"/>
          <w:caps w:val="0"/>
          <w:color w:val="auto"/>
          <w:spacing w:val="0"/>
          <w:w w:val="100"/>
          <w:sz w:val="24"/>
          <w:szCs w:val="24"/>
          <w:highlight w:val="none"/>
        </w:rPr>
        <w:t>采购活动，</w:t>
      </w:r>
      <w:r>
        <w:rPr>
          <w:rFonts w:hint="eastAsia" w:ascii="仿宋" w:hAnsi="仿宋" w:eastAsia="仿宋" w:cs="仿宋"/>
          <w:b w:val="0"/>
          <w:i w:val="0"/>
          <w:caps w:val="0"/>
          <w:color w:val="auto"/>
          <w:spacing w:val="0"/>
          <w:w w:val="100"/>
          <w:sz w:val="24"/>
          <w:szCs w:val="24"/>
          <w:highlight w:val="none"/>
          <w:lang w:val="en-US" w:eastAsia="zh-CN"/>
        </w:rPr>
        <w:t>工程的施工单位全部为符合政策要求的中小企业</w:t>
      </w:r>
      <w:r>
        <w:rPr>
          <w:rFonts w:hint="eastAsia" w:ascii="仿宋" w:hAnsi="仿宋" w:eastAsia="仿宋" w:cs="仿宋"/>
          <w:b w:val="0"/>
          <w:i w:val="0"/>
          <w:caps w:val="0"/>
          <w:color w:val="auto"/>
          <w:spacing w:val="0"/>
          <w:w w:val="100"/>
          <w:sz w:val="24"/>
          <w:szCs w:val="24"/>
          <w:highlight w:val="none"/>
          <w:lang w:eastAsia="zh-CN"/>
        </w:rPr>
        <w:t>（</w:t>
      </w:r>
      <w:r>
        <w:rPr>
          <w:rFonts w:hint="eastAsia" w:ascii="仿宋" w:hAnsi="仿宋" w:eastAsia="仿宋" w:cs="仿宋"/>
          <w:b w:val="0"/>
          <w:i w:val="0"/>
          <w:caps w:val="0"/>
          <w:color w:val="auto"/>
          <w:spacing w:val="0"/>
          <w:w w:val="100"/>
          <w:sz w:val="24"/>
          <w:szCs w:val="24"/>
          <w:highlight w:val="none"/>
          <w:lang w:val="en-US" w:eastAsia="zh-CN"/>
        </w:rPr>
        <w:t>或者：</w:t>
      </w:r>
      <w:r>
        <w:rPr>
          <w:rFonts w:hint="eastAsia" w:ascii="仿宋" w:hAnsi="仿宋" w:eastAsia="仿宋" w:cs="仿宋"/>
          <w:b w:val="0"/>
          <w:i w:val="0"/>
          <w:caps w:val="0"/>
          <w:color w:val="auto"/>
          <w:spacing w:val="0"/>
          <w:w w:val="100"/>
          <w:sz w:val="24"/>
          <w:szCs w:val="24"/>
          <w:highlight w:val="none"/>
        </w:rPr>
        <w:t>服务全部由符合政策要求的中小企业承接</w:t>
      </w:r>
      <w:r>
        <w:rPr>
          <w:rFonts w:hint="eastAsia" w:ascii="仿宋" w:hAnsi="仿宋" w:eastAsia="仿宋" w:cs="仿宋"/>
          <w:b w:val="0"/>
          <w:i w:val="0"/>
          <w:caps w:val="0"/>
          <w:color w:val="auto"/>
          <w:spacing w:val="0"/>
          <w:w w:val="100"/>
          <w:sz w:val="24"/>
          <w:szCs w:val="24"/>
          <w:highlight w:val="none"/>
          <w:lang w:eastAsia="zh-CN"/>
        </w:rPr>
        <w:t>）</w:t>
      </w:r>
      <w:r>
        <w:rPr>
          <w:rFonts w:hint="eastAsia" w:ascii="仿宋" w:hAnsi="仿宋" w:eastAsia="仿宋" w:cs="仿宋"/>
          <w:b w:val="0"/>
          <w:i w:val="0"/>
          <w:caps w:val="0"/>
          <w:color w:val="auto"/>
          <w:spacing w:val="0"/>
          <w:w w:val="100"/>
          <w:sz w:val="24"/>
          <w:szCs w:val="24"/>
          <w:highlight w:val="none"/>
        </w:rPr>
        <w:t>。相关企业（含联合体中的中小企业、签订分包意向协议的中小企业）的具体情况如下：</w:t>
      </w:r>
    </w:p>
    <w:p w14:paraId="2CBD5CA3">
      <w:pPr>
        <w:pStyle w:val="51"/>
        <w:keepNext w:val="0"/>
        <w:keepLines w:val="0"/>
        <w:pageBreakBefore w:val="0"/>
        <w:widowControl w:val="0"/>
        <w:tabs>
          <w:tab w:val="left" w:pos="1106"/>
          <w:tab w:val="left" w:pos="2847"/>
          <w:tab w:val="left" w:pos="4971"/>
        </w:tabs>
        <w:kinsoku/>
        <w:wordWrap/>
        <w:overflowPunct/>
        <w:topLinePunct w:val="0"/>
        <w:autoSpaceDE/>
        <w:autoSpaceDN/>
        <w:bidi w:val="0"/>
        <w:adjustRightInd/>
        <w:snapToGrid w:val="0"/>
        <w:spacing w:before="0" w:beforeAutospacing="0" w:afterAutospacing="0" w:line="480" w:lineRule="auto"/>
        <w:ind w:left="0" w:leftChars="0" w:right="0" w:firstLine="480" w:firstLineChars="20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caps w:val="0"/>
          <w:color w:val="auto"/>
          <w:spacing w:val="0"/>
          <w:w w:val="100"/>
          <w:sz w:val="24"/>
          <w:szCs w:val="24"/>
          <w:highlight w:val="none"/>
          <w:lang w:val="en-US" w:eastAsia="zh-CN"/>
        </w:rPr>
        <w:t>1.</w:t>
      </w:r>
      <w:r>
        <w:rPr>
          <w:rFonts w:hint="eastAsia" w:ascii="仿宋" w:hAnsi="仿宋" w:eastAsia="仿宋" w:cs="仿宋"/>
          <w:b w:val="0"/>
          <w:i/>
          <w:caps w:val="0"/>
          <w:color w:val="auto"/>
          <w:spacing w:val="0"/>
          <w:w w:val="100"/>
          <w:sz w:val="24"/>
          <w:szCs w:val="24"/>
          <w:highlight w:val="none"/>
        </w:rPr>
        <w:t>（</w:t>
      </w:r>
      <w:r>
        <w:rPr>
          <w:rFonts w:hint="eastAsia" w:ascii="仿宋" w:hAnsi="仿宋" w:eastAsia="仿宋" w:cs="仿宋"/>
          <w:b w:val="0"/>
          <w:i/>
          <w:caps w:val="0"/>
          <w:color w:val="auto"/>
          <w:spacing w:val="0"/>
          <w:w w:val="100"/>
          <w:sz w:val="24"/>
          <w:szCs w:val="24"/>
          <w:highlight w:val="none"/>
          <w:u w:val="single"/>
          <w:lang w:eastAsia="zh-CN"/>
        </w:rPr>
        <w:t>2025年万顺乡土城村村屯道路建设项目</w:t>
      </w:r>
      <w:r>
        <w:rPr>
          <w:rFonts w:hint="eastAsia" w:ascii="仿宋" w:hAnsi="仿宋" w:eastAsia="仿宋" w:cs="仿宋"/>
          <w:b w:val="0"/>
          <w:i/>
          <w:caps w:val="0"/>
          <w:color w:val="auto"/>
          <w:spacing w:val="0"/>
          <w:w w:val="100"/>
          <w:sz w:val="24"/>
          <w:szCs w:val="24"/>
          <w:highlight w:val="none"/>
          <w:u w:val="single" w:color="000000"/>
        </w:rPr>
        <w:t>）</w:t>
      </w:r>
      <w:r>
        <w:rPr>
          <w:rFonts w:hint="eastAsia" w:ascii="仿宋" w:hAnsi="仿宋" w:eastAsia="仿宋" w:cs="仿宋"/>
          <w:b w:val="0"/>
          <w:i w:val="0"/>
          <w:caps w:val="0"/>
          <w:color w:val="auto"/>
          <w:spacing w:val="0"/>
          <w:w w:val="100"/>
          <w:sz w:val="24"/>
          <w:szCs w:val="24"/>
          <w:highlight w:val="none"/>
        </w:rPr>
        <w:t>，属于</w:t>
      </w:r>
      <w:r>
        <w:rPr>
          <w:rFonts w:hint="eastAsia" w:ascii="仿宋" w:hAnsi="仿宋" w:eastAsia="仿宋" w:cs="仿宋"/>
          <w:b w:val="0"/>
          <w:i/>
          <w:caps w:val="0"/>
          <w:color w:val="auto"/>
          <w:spacing w:val="0"/>
          <w:w w:val="100"/>
          <w:sz w:val="24"/>
          <w:szCs w:val="24"/>
          <w:highlight w:val="none"/>
          <w:u w:val="single" w:color="000000"/>
        </w:rPr>
        <w:t>（</w:t>
      </w:r>
      <w:r>
        <w:rPr>
          <w:rFonts w:hint="eastAsia" w:ascii="仿宋" w:hAnsi="仿宋" w:eastAsia="仿宋" w:cs="仿宋"/>
          <w:b w:val="0"/>
          <w:i/>
          <w:caps w:val="0"/>
          <w:color w:val="auto"/>
          <w:spacing w:val="0"/>
          <w:w w:val="100"/>
          <w:sz w:val="24"/>
          <w:szCs w:val="24"/>
          <w:highlight w:val="none"/>
          <w:u w:val="single" w:color="000000"/>
          <w:lang w:eastAsia="zh-CN"/>
        </w:rPr>
        <w:t>建筑业</w:t>
      </w:r>
      <w:r>
        <w:rPr>
          <w:rFonts w:hint="eastAsia" w:ascii="仿宋" w:hAnsi="仿宋" w:eastAsia="仿宋" w:cs="仿宋"/>
          <w:b w:val="0"/>
          <w:i/>
          <w:caps w:val="0"/>
          <w:color w:val="auto"/>
          <w:spacing w:val="0"/>
          <w:w w:val="100"/>
          <w:sz w:val="24"/>
          <w:szCs w:val="24"/>
          <w:highlight w:val="none"/>
          <w:u w:val="single" w:color="000000"/>
        </w:rPr>
        <w:t>）</w:t>
      </w:r>
      <w:r>
        <w:rPr>
          <w:rFonts w:hint="eastAsia" w:ascii="仿宋" w:hAnsi="仿宋" w:eastAsia="仿宋" w:cs="仿宋"/>
          <w:b w:val="0"/>
          <w:i w:val="0"/>
          <w:caps w:val="0"/>
          <w:color w:val="auto"/>
          <w:spacing w:val="0"/>
          <w:w w:val="100"/>
          <w:sz w:val="24"/>
          <w:szCs w:val="24"/>
          <w:highlight w:val="none"/>
        </w:rPr>
        <w:t>行业；承</w:t>
      </w:r>
      <w:r>
        <w:rPr>
          <w:rFonts w:hint="eastAsia" w:ascii="仿宋" w:hAnsi="仿宋" w:eastAsia="仿宋" w:cs="仿宋"/>
          <w:b w:val="0"/>
          <w:i w:val="0"/>
          <w:caps w:val="0"/>
          <w:color w:val="auto"/>
          <w:spacing w:val="0"/>
          <w:w w:val="100"/>
          <w:sz w:val="24"/>
          <w:szCs w:val="24"/>
          <w:highlight w:val="none"/>
          <w:lang w:val="en-US" w:eastAsia="zh-CN"/>
        </w:rPr>
        <w:t>建</w:t>
      </w:r>
      <w:r>
        <w:rPr>
          <w:rFonts w:hint="eastAsia" w:ascii="仿宋" w:hAnsi="仿宋" w:eastAsia="仿宋" w:cs="仿宋"/>
          <w:b w:val="0"/>
          <w:i w:val="0"/>
          <w:caps w:val="0"/>
          <w:color w:val="auto"/>
          <w:spacing w:val="0"/>
          <w:w w:val="100"/>
          <w:sz w:val="24"/>
          <w:szCs w:val="24"/>
          <w:highlight w:val="none"/>
        </w:rPr>
        <w:t>（</w:t>
      </w:r>
      <w:r>
        <w:rPr>
          <w:rFonts w:hint="eastAsia" w:ascii="仿宋" w:hAnsi="仿宋" w:eastAsia="仿宋" w:cs="仿宋"/>
          <w:b w:val="0"/>
          <w:i w:val="0"/>
          <w:caps w:val="0"/>
          <w:color w:val="auto"/>
          <w:spacing w:val="0"/>
          <w:w w:val="100"/>
          <w:sz w:val="24"/>
          <w:szCs w:val="24"/>
          <w:highlight w:val="none"/>
          <w:lang w:val="en-US" w:eastAsia="zh-CN"/>
        </w:rPr>
        <w:t>承接</w:t>
      </w:r>
      <w:r>
        <w:rPr>
          <w:rFonts w:hint="eastAsia" w:ascii="仿宋" w:hAnsi="仿宋" w:eastAsia="仿宋" w:cs="仿宋"/>
          <w:b w:val="0"/>
          <w:i w:val="0"/>
          <w:caps w:val="0"/>
          <w:color w:val="auto"/>
          <w:spacing w:val="0"/>
          <w:w w:val="100"/>
          <w:sz w:val="24"/>
          <w:szCs w:val="24"/>
          <w:highlight w:val="none"/>
        </w:rPr>
        <w:t>）企业为</w:t>
      </w:r>
      <w:r>
        <w:rPr>
          <w:rFonts w:hint="eastAsia" w:ascii="仿宋" w:hAnsi="仿宋" w:eastAsia="仿宋" w:cs="仿宋"/>
          <w:b w:val="0"/>
          <w:i/>
          <w:caps w:val="0"/>
          <w:color w:val="auto"/>
          <w:spacing w:val="0"/>
          <w:w w:val="100"/>
          <w:sz w:val="24"/>
          <w:szCs w:val="24"/>
          <w:highlight w:val="none"/>
          <w:u w:val="single" w:color="000000"/>
        </w:rPr>
        <w:t>（企业名称）</w:t>
      </w:r>
      <w:r>
        <w:rPr>
          <w:rFonts w:hint="eastAsia" w:ascii="仿宋" w:hAnsi="仿宋" w:eastAsia="仿宋" w:cs="仿宋"/>
          <w:b w:val="0"/>
          <w:i w:val="0"/>
          <w:caps w:val="0"/>
          <w:color w:val="auto"/>
          <w:spacing w:val="0"/>
          <w:w w:val="100"/>
          <w:sz w:val="24"/>
          <w:szCs w:val="24"/>
          <w:highlight w:val="none"/>
        </w:rPr>
        <w:t>，从业人员</w:t>
      </w:r>
      <w:r>
        <w:rPr>
          <w:rFonts w:hint="eastAsia" w:ascii="仿宋" w:hAnsi="仿宋" w:eastAsia="仿宋" w:cs="仿宋"/>
          <w:b w:val="0"/>
          <w:i w:val="0"/>
          <w:caps w:val="0"/>
          <w:color w:val="auto"/>
          <w:spacing w:val="0"/>
          <w:w w:val="100"/>
          <w:sz w:val="24"/>
          <w:szCs w:val="24"/>
          <w:highlight w:val="none"/>
          <w:u w:val="single" w:color="000000"/>
        </w:rPr>
        <w:tab/>
      </w:r>
      <w:r>
        <w:rPr>
          <w:rFonts w:hint="eastAsia" w:ascii="仿宋" w:hAnsi="仿宋" w:eastAsia="仿宋" w:cs="仿宋"/>
          <w:b w:val="0"/>
          <w:i w:val="0"/>
          <w:caps w:val="0"/>
          <w:color w:val="auto"/>
          <w:spacing w:val="0"/>
          <w:w w:val="100"/>
          <w:sz w:val="24"/>
          <w:szCs w:val="24"/>
          <w:highlight w:val="none"/>
        </w:rPr>
        <w:t>人，营业收入为</w:t>
      </w:r>
      <w:r>
        <w:rPr>
          <w:rFonts w:hint="eastAsia" w:ascii="仿宋" w:hAnsi="仿宋" w:eastAsia="仿宋" w:cs="仿宋"/>
          <w:b w:val="0"/>
          <w:i w:val="0"/>
          <w:caps w:val="0"/>
          <w:color w:val="auto"/>
          <w:spacing w:val="0"/>
          <w:w w:val="100"/>
          <w:sz w:val="24"/>
          <w:szCs w:val="24"/>
          <w:highlight w:val="none"/>
          <w:u w:val="single" w:color="000000"/>
        </w:rPr>
        <w:tab/>
      </w:r>
      <w:r>
        <w:rPr>
          <w:rFonts w:hint="eastAsia" w:ascii="仿宋" w:hAnsi="仿宋" w:eastAsia="仿宋" w:cs="仿宋"/>
          <w:b w:val="0"/>
          <w:i w:val="0"/>
          <w:caps w:val="0"/>
          <w:color w:val="auto"/>
          <w:spacing w:val="0"/>
          <w:w w:val="100"/>
          <w:sz w:val="24"/>
          <w:szCs w:val="24"/>
          <w:highlight w:val="none"/>
        </w:rPr>
        <w:t>万元，资产总额为</w:t>
      </w:r>
      <w:r>
        <w:rPr>
          <w:rFonts w:hint="eastAsia" w:ascii="仿宋" w:hAnsi="仿宋" w:eastAsia="仿宋" w:cs="仿宋"/>
          <w:b w:val="0"/>
          <w:i w:val="0"/>
          <w:caps w:val="0"/>
          <w:color w:val="auto"/>
          <w:spacing w:val="0"/>
          <w:w w:val="100"/>
          <w:sz w:val="24"/>
          <w:szCs w:val="24"/>
          <w:highlight w:val="none"/>
          <w:u w:val="single" w:color="000000"/>
        </w:rPr>
        <w:tab/>
      </w:r>
      <w:r>
        <w:rPr>
          <w:rFonts w:hint="eastAsia" w:ascii="仿宋" w:hAnsi="仿宋" w:eastAsia="仿宋" w:cs="仿宋"/>
          <w:b w:val="0"/>
          <w:i w:val="0"/>
          <w:caps w:val="0"/>
          <w:color w:val="auto"/>
          <w:spacing w:val="0"/>
          <w:w w:val="100"/>
          <w:sz w:val="24"/>
          <w:szCs w:val="24"/>
          <w:highlight w:val="none"/>
          <w:u w:val="single" w:color="000000"/>
          <w:lang w:val="en-US" w:eastAsia="zh-CN"/>
        </w:rPr>
        <w:t xml:space="preserve">  </w:t>
      </w:r>
      <w:r>
        <w:rPr>
          <w:rFonts w:hint="eastAsia" w:ascii="仿宋" w:hAnsi="仿宋" w:eastAsia="仿宋" w:cs="仿宋"/>
          <w:b w:val="0"/>
          <w:i w:val="0"/>
          <w:caps w:val="0"/>
          <w:color w:val="auto"/>
          <w:spacing w:val="0"/>
          <w:w w:val="100"/>
          <w:sz w:val="24"/>
          <w:szCs w:val="24"/>
          <w:highlight w:val="none"/>
        </w:rPr>
        <w:t>万元</w:t>
      </w:r>
      <w:r>
        <w:rPr>
          <w:rFonts w:hint="eastAsia" w:ascii="仿宋" w:hAnsi="仿宋" w:eastAsia="仿宋" w:cs="仿宋"/>
          <w:b w:val="0"/>
          <w:i w:val="0"/>
          <w:caps w:val="0"/>
          <w:color w:val="auto"/>
          <w:spacing w:val="0"/>
          <w:w w:val="100"/>
          <w:sz w:val="24"/>
          <w:szCs w:val="24"/>
          <w:highlight w:val="none"/>
          <w:vertAlign w:val="superscript"/>
          <w:lang w:val="en-US" w:eastAsia="zh-CN"/>
        </w:rPr>
        <w:t>2</w:t>
      </w:r>
      <w:r>
        <w:rPr>
          <w:rFonts w:hint="eastAsia" w:ascii="仿宋" w:hAnsi="仿宋" w:eastAsia="仿宋" w:cs="仿宋"/>
          <w:b w:val="0"/>
          <w:i w:val="0"/>
          <w:caps w:val="0"/>
          <w:color w:val="auto"/>
          <w:spacing w:val="0"/>
          <w:w w:val="100"/>
          <w:sz w:val="24"/>
          <w:szCs w:val="24"/>
          <w:highlight w:val="none"/>
        </w:rPr>
        <w:t>，属于</w:t>
      </w:r>
      <w:r>
        <w:rPr>
          <w:rFonts w:hint="eastAsia" w:ascii="仿宋" w:hAnsi="仿宋" w:eastAsia="仿宋" w:cs="仿宋"/>
          <w:b w:val="0"/>
          <w:i/>
          <w:caps w:val="0"/>
          <w:color w:val="auto"/>
          <w:spacing w:val="0"/>
          <w:w w:val="100"/>
          <w:sz w:val="24"/>
          <w:szCs w:val="24"/>
          <w:highlight w:val="none"/>
          <w:u w:val="single" w:color="000000"/>
        </w:rPr>
        <w:t>（中型企业、小</w:t>
      </w:r>
      <w:r>
        <w:rPr>
          <w:rFonts w:hint="eastAsia" w:ascii="仿宋" w:hAnsi="仿宋" w:eastAsia="仿宋" w:cs="仿宋"/>
          <w:b w:val="0"/>
          <w:i w:val="0"/>
          <w:caps w:val="0"/>
          <w:color w:val="auto"/>
          <w:spacing w:val="0"/>
          <w:w w:val="100"/>
          <w:sz w:val="24"/>
          <w:szCs w:val="24"/>
          <w:highlight w:val="none"/>
          <w:u w:val="single" w:color="000000"/>
        </w:rPr>
        <w:t>型企业、微型企业）</w:t>
      </w:r>
      <w:r>
        <w:rPr>
          <w:rFonts w:hint="eastAsia" w:ascii="仿宋" w:hAnsi="仿宋" w:eastAsia="仿宋" w:cs="仿宋"/>
          <w:b w:val="0"/>
          <w:i w:val="0"/>
          <w:caps w:val="0"/>
          <w:color w:val="auto"/>
          <w:spacing w:val="0"/>
          <w:w w:val="100"/>
          <w:sz w:val="24"/>
          <w:szCs w:val="24"/>
          <w:highlight w:val="none"/>
        </w:rPr>
        <w:t>；</w:t>
      </w:r>
    </w:p>
    <w:p w14:paraId="2EFF8837">
      <w:pPr>
        <w:pStyle w:val="12"/>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80" w:firstLineChars="20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以上企业，不属于大企业的分支机构，不存在控股股东为大企业的情形，也不存在与大企业的负责人为同一人的情形。</w:t>
      </w:r>
    </w:p>
    <w:p w14:paraId="0ACC58B7">
      <w:pPr>
        <w:pStyle w:val="12"/>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80" w:firstLineChars="20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本企业对上述声明内容的真实性负责。如有虚假，将依法承担相应责任。</w:t>
      </w:r>
    </w:p>
    <w:p w14:paraId="4A8E2EEB">
      <w:pPr>
        <w:pStyle w:val="12"/>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80" w:firstLineChars="20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企业名称（盖章）：</w:t>
      </w:r>
    </w:p>
    <w:p w14:paraId="5CD67246">
      <w:pPr>
        <w:pStyle w:val="12"/>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80" w:firstLineChars="20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日期：</w:t>
      </w:r>
    </w:p>
    <w:p w14:paraId="59CF9C4F">
      <w:pPr>
        <w:pStyle w:val="12"/>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82" w:firstLineChars="200"/>
        <w:jc w:val="both"/>
        <w:textAlignment w:val="baseline"/>
        <w:rPr>
          <w:rFonts w:hint="eastAsia" w:ascii="仿宋" w:hAnsi="仿宋" w:eastAsia="仿宋" w:cs="仿宋"/>
          <w:b/>
          <w:i w:val="0"/>
          <w:caps w:val="0"/>
          <w:color w:val="auto"/>
          <w:spacing w:val="0"/>
          <w:w w:val="100"/>
          <w:sz w:val="24"/>
          <w:szCs w:val="24"/>
          <w:highlight w:val="none"/>
        </w:rPr>
      </w:pPr>
      <w:r>
        <w:rPr>
          <w:rFonts w:hint="eastAsia" w:ascii="仿宋" w:hAnsi="仿宋" w:eastAsia="仿宋" w:cs="仿宋"/>
          <w:b/>
          <w:i w:val="0"/>
          <w:caps w:val="0"/>
          <w:color w:val="auto"/>
          <w:spacing w:val="0"/>
          <w:w w:val="100"/>
          <w:sz w:val="24"/>
          <w:szCs w:val="24"/>
          <w:highlight w:val="none"/>
        </w:rPr>
        <w:t>注：从业人员、营业收入、资产总额填报上一年度数据，无上一年度数据的新成立企业可不填报。</w:t>
      </w:r>
    </w:p>
    <w:p w14:paraId="2EC9BFDD">
      <w:pPr>
        <w:adjustRightInd w:val="0"/>
        <w:snapToGrid w:val="0"/>
        <w:spacing w:line="360" w:lineRule="auto"/>
        <w:ind w:firstLine="480" w:firstLineChars="200"/>
        <w:rPr>
          <w:rFonts w:hint="eastAsia" w:ascii="仿宋" w:hAnsi="仿宋" w:eastAsia="仿宋" w:cs="仿宋"/>
          <w:bCs/>
          <w:color w:val="auto"/>
          <w:sz w:val="24"/>
          <w:szCs w:val="24"/>
          <w:highlight w:val="none"/>
        </w:rPr>
      </w:pPr>
    </w:p>
    <w:p w14:paraId="19616BCB">
      <w:pPr>
        <w:autoSpaceDE w:val="0"/>
        <w:autoSpaceDN w:val="0"/>
        <w:adjustRightInd w:val="0"/>
        <w:spacing w:line="600" w:lineRule="exact"/>
        <w:rPr>
          <w:rFonts w:hint="eastAsia" w:ascii="仿宋" w:hAnsi="仿宋" w:eastAsia="仿宋" w:cs="仿宋"/>
          <w:b/>
          <w:bCs/>
          <w:color w:val="auto"/>
          <w:sz w:val="24"/>
          <w:szCs w:val="24"/>
          <w:highlight w:val="none"/>
        </w:rPr>
        <w:sectPr>
          <w:pgSz w:w="11850" w:h="16783"/>
          <w:pgMar w:top="1440" w:right="1080" w:bottom="1440" w:left="1080" w:header="720" w:footer="720" w:gutter="0"/>
          <w:pgNumType w:fmt="decimal"/>
          <w:cols w:space="720" w:num="1"/>
        </w:sectPr>
      </w:pPr>
    </w:p>
    <w:p w14:paraId="4F95C9C2">
      <w:pPr>
        <w:pStyle w:val="30"/>
        <w:ind w:left="0" w:leftChars="0" w:firstLine="0" w:firstLineChars="0"/>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附2 残疾人福利性单位声明</w:t>
      </w:r>
    </w:p>
    <w:p w14:paraId="1E10E8D2">
      <w:pPr>
        <w:spacing w:line="588" w:lineRule="exact"/>
        <w:jc w:val="center"/>
        <w:rPr>
          <w:rFonts w:hint="eastAsia" w:ascii="仿宋" w:hAnsi="仿宋" w:eastAsia="仿宋" w:cs="仿宋"/>
          <w:b/>
          <w:color w:val="auto"/>
          <w:spacing w:val="6"/>
          <w:sz w:val="32"/>
          <w:szCs w:val="32"/>
          <w:highlight w:val="none"/>
        </w:rPr>
      </w:pPr>
      <w:bookmarkStart w:id="196" w:name="OLE_LINK13"/>
      <w:bookmarkStart w:id="197" w:name="OLE_LINK14"/>
      <w:r>
        <w:rPr>
          <w:rFonts w:hint="eastAsia" w:ascii="仿宋" w:hAnsi="仿宋" w:eastAsia="仿宋" w:cs="仿宋"/>
          <w:b/>
          <w:color w:val="auto"/>
          <w:spacing w:val="6"/>
          <w:sz w:val="32"/>
          <w:szCs w:val="32"/>
          <w:highlight w:val="none"/>
        </w:rPr>
        <w:t>残疾人福利性单位声明函</w:t>
      </w:r>
    </w:p>
    <w:bookmarkEnd w:id="196"/>
    <w:bookmarkEnd w:id="197"/>
    <w:p w14:paraId="6A4C4FD4">
      <w:pPr>
        <w:jc w:val="center"/>
        <w:rPr>
          <w:rFonts w:hint="eastAsia" w:ascii="仿宋" w:hAnsi="仿宋" w:eastAsia="仿宋" w:cs="仿宋"/>
          <w:color w:val="auto"/>
          <w:szCs w:val="21"/>
          <w:highlight w:val="none"/>
          <w:u w:val="single"/>
        </w:rPr>
      </w:pPr>
    </w:p>
    <w:p w14:paraId="70DBE123">
      <w:pPr>
        <w:jc w:val="cente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【不属于残疾人福利性单位的无需填写】</w:t>
      </w:r>
    </w:p>
    <w:p w14:paraId="10D30F25">
      <w:pPr>
        <w:spacing w:line="588" w:lineRule="exact"/>
        <w:rPr>
          <w:rFonts w:hint="eastAsia" w:ascii="仿宋" w:hAnsi="仿宋" w:eastAsia="仿宋" w:cs="仿宋"/>
          <w:b/>
          <w:color w:val="auto"/>
          <w:spacing w:val="6"/>
          <w:sz w:val="24"/>
          <w:szCs w:val="24"/>
          <w:highlight w:val="none"/>
        </w:rPr>
      </w:pPr>
    </w:p>
    <w:p w14:paraId="6F59FA6A">
      <w:pPr>
        <w:spacing w:line="588"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 141</w:t>
      </w:r>
      <w:r>
        <w:rPr>
          <w:rFonts w:hint="eastAsia" w:ascii="仿宋" w:hAnsi="仿宋" w:eastAsia="仿宋" w:cs="仿宋"/>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330CFAB">
      <w:pPr>
        <w:spacing w:line="588"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6B0E6F5A">
      <w:pPr>
        <w:spacing w:line="588" w:lineRule="exact"/>
        <w:ind w:firstLine="504" w:firstLineChars="200"/>
        <w:rPr>
          <w:rFonts w:hint="eastAsia" w:ascii="仿宋" w:hAnsi="仿宋" w:eastAsia="仿宋" w:cs="仿宋"/>
          <w:color w:val="auto"/>
          <w:spacing w:val="6"/>
          <w:sz w:val="24"/>
          <w:szCs w:val="24"/>
          <w:highlight w:val="none"/>
        </w:rPr>
      </w:pPr>
    </w:p>
    <w:p w14:paraId="3CEB9324">
      <w:pPr>
        <w:spacing w:line="588" w:lineRule="exact"/>
        <w:ind w:firstLine="504" w:firstLineChars="200"/>
        <w:rPr>
          <w:rFonts w:hint="eastAsia" w:ascii="仿宋" w:hAnsi="仿宋" w:eastAsia="仿宋" w:cs="仿宋"/>
          <w:color w:val="auto"/>
          <w:spacing w:val="6"/>
          <w:sz w:val="24"/>
          <w:szCs w:val="24"/>
          <w:highlight w:val="none"/>
        </w:rPr>
      </w:pPr>
    </w:p>
    <w:p w14:paraId="1065D2F8">
      <w:pPr>
        <w:tabs>
          <w:tab w:val="left" w:pos="4860"/>
        </w:tabs>
        <w:spacing w:line="588" w:lineRule="exact"/>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w:t>
      </w:r>
      <w:bookmarkStart w:id="198" w:name="_Toc16061_WPSOffice_Level1"/>
      <w:r>
        <w:rPr>
          <w:rFonts w:hint="eastAsia" w:ascii="仿宋" w:hAnsi="仿宋" w:eastAsia="仿宋" w:cs="仿宋"/>
          <w:color w:val="auto"/>
          <w:spacing w:val="6"/>
          <w:sz w:val="24"/>
          <w:szCs w:val="24"/>
          <w:highlight w:val="none"/>
        </w:rPr>
        <w:t>单位名称（盖章）：</w:t>
      </w:r>
      <w:bookmarkEnd w:id="198"/>
    </w:p>
    <w:p w14:paraId="483BACCA">
      <w:pPr>
        <w:tabs>
          <w:tab w:val="left" w:pos="4860"/>
        </w:tabs>
        <w:spacing w:line="588" w:lineRule="exact"/>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w:t>
      </w:r>
      <w:bookmarkStart w:id="199" w:name="_Toc32569_WPSOffice_Level1"/>
      <w:r>
        <w:rPr>
          <w:rFonts w:hint="eastAsia" w:ascii="仿宋" w:hAnsi="仿宋" w:eastAsia="仿宋" w:cs="仿宋"/>
          <w:color w:val="auto"/>
          <w:spacing w:val="6"/>
          <w:sz w:val="24"/>
          <w:szCs w:val="24"/>
          <w:highlight w:val="none"/>
        </w:rPr>
        <w:t>日  期：</w:t>
      </w:r>
      <w:bookmarkEnd w:id="199"/>
    </w:p>
    <w:p w14:paraId="6917A5C9">
      <w:pPr>
        <w:pStyle w:val="3"/>
        <w:rPr>
          <w:rFonts w:hint="eastAsia" w:ascii="仿宋" w:hAnsi="仿宋" w:eastAsia="仿宋" w:cs="仿宋"/>
          <w:color w:val="auto"/>
          <w:sz w:val="24"/>
          <w:szCs w:val="24"/>
          <w:highlight w:val="none"/>
        </w:rPr>
        <w:sectPr>
          <w:pgSz w:w="11850" w:h="16783"/>
          <w:pgMar w:top="1440" w:right="1080" w:bottom="1440" w:left="1080" w:header="720" w:footer="720" w:gutter="0"/>
          <w:pgNumType w:fmt="decimal"/>
          <w:cols w:space="720" w:num="1"/>
        </w:sectPr>
      </w:pPr>
    </w:p>
    <w:p w14:paraId="1CF56B8E">
      <w:pPr>
        <w:pStyle w:val="30"/>
        <w:ind w:left="0" w:leftChars="0" w:firstLine="0" w:firstLineChars="0"/>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附3 监狱企业的证明文件</w:t>
      </w:r>
    </w:p>
    <w:p w14:paraId="6E5C1ED7">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0"/>
          <w:highlight w:val="none"/>
        </w:rPr>
      </w:pPr>
    </w:p>
    <w:p w14:paraId="61F591D0">
      <w:pPr>
        <w:snapToGrid/>
        <w:spacing w:before="312" w:beforeAutospacing="0" w:after="312" w:afterAutospacing="0" w:line="360" w:lineRule="auto"/>
        <w:jc w:val="center"/>
        <w:textAlignment w:val="baseline"/>
        <w:rPr>
          <w:rFonts w:hint="eastAsia" w:ascii="仿宋" w:hAnsi="仿宋" w:eastAsia="仿宋" w:cs="仿宋"/>
          <w:b/>
          <w:i w:val="0"/>
          <w:caps w:val="0"/>
          <w:color w:val="auto"/>
          <w:spacing w:val="20"/>
          <w:w w:val="100"/>
          <w:sz w:val="30"/>
          <w:szCs w:val="30"/>
          <w:highlight w:val="none"/>
        </w:rPr>
      </w:pPr>
      <w:r>
        <w:rPr>
          <w:rFonts w:hint="eastAsia" w:ascii="仿宋" w:hAnsi="仿宋" w:eastAsia="仿宋" w:cs="仿宋"/>
          <w:b/>
          <w:i w:val="0"/>
          <w:caps w:val="0"/>
          <w:color w:val="auto"/>
          <w:spacing w:val="20"/>
          <w:w w:val="100"/>
          <w:sz w:val="30"/>
          <w:szCs w:val="30"/>
          <w:highlight w:val="none"/>
        </w:rPr>
        <w:t>（如适用填写，不适用无须填写）</w:t>
      </w:r>
    </w:p>
    <w:p w14:paraId="015EF321">
      <w:pPr>
        <w:snapToGrid/>
        <w:spacing w:before="312" w:beforeAutospacing="0" w:after="312" w:afterAutospacing="0" w:line="360" w:lineRule="auto"/>
        <w:jc w:val="center"/>
        <w:textAlignment w:val="baseline"/>
        <w:rPr>
          <w:rFonts w:hint="eastAsia" w:ascii="仿宋" w:hAnsi="仿宋" w:eastAsia="仿宋" w:cs="仿宋"/>
          <w:b/>
          <w:i w:val="0"/>
          <w:caps w:val="0"/>
          <w:color w:val="auto"/>
          <w:spacing w:val="20"/>
          <w:w w:val="100"/>
          <w:sz w:val="30"/>
          <w:szCs w:val="30"/>
          <w:highlight w:val="none"/>
        </w:rPr>
      </w:pPr>
      <w:r>
        <w:rPr>
          <w:rFonts w:hint="eastAsia" w:ascii="仿宋" w:hAnsi="仿宋" w:eastAsia="仿宋" w:cs="仿宋"/>
          <w:b/>
          <w:i w:val="0"/>
          <w:caps w:val="0"/>
          <w:color w:val="auto"/>
          <w:spacing w:val="20"/>
          <w:w w:val="100"/>
          <w:sz w:val="30"/>
          <w:szCs w:val="30"/>
          <w:highlight w:val="none"/>
        </w:rPr>
        <w:t>监狱企业的证明文件</w:t>
      </w:r>
    </w:p>
    <w:p w14:paraId="006B5E74">
      <w:pPr>
        <w:snapToGrid/>
        <w:spacing w:before="0" w:beforeAutospacing="0" w:after="0" w:afterAutospacing="0" w:line="360" w:lineRule="auto"/>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bCs/>
          <w:i w:val="0"/>
          <w:caps w:val="0"/>
          <w:color w:val="auto"/>
          <w:spacing w:val="0"/>
          <w:w w:val="100"/>
          <w:sz w:val="24"/>
          <w:szCs w:val="24"/>
          <w:highlight w:val="none"/>
        </w:rPr>
        <w:t>说明：监狱企业参加政府采购活动时，应当提供由省级以上监狱管理局、戒毒管理局（含新疆生产建设兵团）出具的属于监狱企业的证明文件并加盖单位公章。</w:t>
      </w:r>
    </w:p>
    <w:p w14:paraId="47A33946">
      <w:pPr>
        <w:rPr>
          <w:rFonts w:hint="eastAsia" w:ascii="仿宋" w:hAnsi="仿宋" w:eastAsia="仿宋" w:cs="仿宋"/>
          <w:color w:val="auto"/>
          <w:highlight w:val="none"/>
        </w:rPr>
        <w:sectPr>
          <w:pgSz w:w="11850" w:h="16783"/>
          <w:pgMar w:top="1440" w:right="1080" w:bottom="1440" w:left="1080" w:header="720" w:footer="720" w:gutter="0"/>
          <w:pgNumType w:fmt="decimal"/>
          <w:cols w:space="720" w:num="1"/>
        </w:sectPr>
      </w:pPr>
    </w:p>
    <w:p w14:paraId="310F63F4">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eastAsia="zh-CN"/>
        </w:rPr>
        <w:t>最终</w:t>
      </w:r>
      <w:r>
        <w:rPr>
          <w:rFonts w:hint="eastAsia" w:ascii="仿宋" w:hAnsi="仿宋" w:eastAsia="仿宋" w:cs="仿宋"/>
          <w:b/>
          <w:color w:val="auto"/>
          <w:sz w:val="36"/>
          <w:szCs w:val="36"/>
          <w:highlight w:val="none"/>
        </w:rPr>
        <w:t>报价表</w:t>
      </w:r>
    </w:p>
    <w:p w14:paraId="5EC9B082">
      <w:pPr>
        <w:snapToGrid w:val="0"/>
        <w:spacing w:line="360" w:lineRule="auto"/>
        <w:rPr>
          <w:rFonts w:hint="eastAsia" w:ascii="仿宋" w:hAnsi="仿宋" w:eastAsia="仿宋" w:cs="仿宋"/>
          <w:color w:val="auto"/>
          <w:szCs w:val="21"/>
          <w:highlight w:val="none"/>
          <w:lang w:bidi="ar"/>
        </w:rPr>
      </w:pPr>
    </w:p>
    <w:p w14:paraId="73185DE4">
      <w:pPr>
        <w:jc w:val="center"/>
        <w:outlineLvl w:val="9"/>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初步评审通过后，由磋商小组开启二次报价，供应商按“政采云”平台要求进行填写</w:t>
      </w:r>
      <w:r>
        <w:rPr>
          <w:rFonts w:hint="eastAsia" w:ascii="仿宋" w:hAnsi="仿宋" w:eastAsia="仿宋" w:cs="仿宋"/>
          <w:color w:val="auto"/>
          <w:highlight w:val="none"/>
          <w:lang w:eastAsia="zh-CN"/>
        </w:rPr>
        <w:t>）</w:t>
      </w:r>
    </w:p>
    <w:bookmarkEnd w:id="200"/>
    <w:sectPr>
      <w:footerReference r:id="rId20" w:type="default"/>
      <w:pgSz w:w="11906" w:h="16838"/>
      <w:pgMar w:top="1440" w:right="1080" w:bottom="1440" w:left="108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Sans Serif;Arial">
    <w:altName w:val="Segoe Print"/>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9DC40">
    <w:pPr>
      <w:pStyle w:val="20"/>
      <w:framePr w:wrap="around" w:vAnchor="text" w:hAnchor="margin" w:xAlign="center" w:y="1"/>
      <w:rPr>
        <w:rStyle w:val="34"/>
      </w:rPr>
    </w:pPr>
    <w:r>
      <w:fldChar w:fldCharType="begin"/>
    </w:r>
    <w:r>
      <w:rPr>
        <w:rStyle w:val="34"/>
      </w:rPr>
      <w:instrText xml:space="preserve">PAGE  </w:instrText>
    </w:r>
    <w:r>
      <w:fldChar w:fldCharType="separate"/>
    </w:r>
    <w:r>
      <w:rPr>
        <w:rStyle w:val="34"/>
      </w:rPr>
      <w:t>52</w:t>
    </w:r>
    <w:r>
      <w:fldChar w:fldCharType="end"/>
    </w:r>
  </w:p>
  <w:p w14:paraId="62B8B639">
    <w:pPr>
      <w:pStyle w:val="2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2A2EA">
    <w:pPr>
      <w:pStyle w:val="12"/>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56FBD">
                          <w:pPr>
                            <w:pStyle w:val="20"/>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FA56FBD">
                    <w:pPr>
                      <w:pStyle w:val="20"/>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8E99C">
    <w:pPr>
      <w:pStyle w:val="20"/>
      <w:framePr w:wrap="around" w:vAnchor="text" w:hAnchor="margin" w:xAlign="center" w:yAlign="top"/>
    </w:pPr>
    <w:r>
      <w:fldChar w:fldCharType="begin"/>
    </w:r>
    <w:r>
      <w:rPr>
        <w:rStyle w:val="34"/>
      </w:rPr>
      <w:instrText xml:space="preserve"> PAGE  </w:instrText>
    </w:r>
    <w:r>
      <w:fldChar w:fldCharType="separate"/>
    </w:r>
    <w:r>
      <w:rPr>
        <w:rStyle w:val="34"/>
      </w:rPr>
      <w:t>1</w:t>
    </w:r>
    <w:r>
      <w:fldChar w:fldCharType="end"/>
    </w:r>
  </w:p>
  <w:p w14:paraId="55A46060">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170A3">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7D00A">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1B7D00A">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0B9C0">
    <w:pPr>
      <w:pStyle w:val="12"/>
      <w:spacing w:line="14" w:lineRule="auto"/>
      <w:rPr>
        <w:sz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54E28">
                          <w:pPr>
                            <w:pStyle w:val="2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C454E28">
                    <w:pPr>
                      <w:pStyle w:val="2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4E803">
    <w:pPr>
      <w:pStyle w:val="12"/>
      <w:spacing w:line="14" w:lineRule="auto"/>
      <w:rPr>
        <w:sz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A2C96">
                          <w:pPr>
                            <w:pStyle w:val="2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8AA2C96">
                    <w:pPr>
                      <w:pStyle w:val="2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F65C5">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F5987">
                          <w:pPr>
                            <w:pStyle w:val="2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BBF5987">
                    <w:pPr>
                      <w:pStyle w:val="2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0228C">
    <w:pPr>
      <w:pStyle w:val="20"/>
      <w:framePr w:wrap="around" w:vAnchor="text" w:hAnchor="margin" w:xAlign="center" w:y="1"/>
      <w:rPr>
        <w:rStyle w:val="34"/>
      </w:rPr>
    </w:pPr>
    <w:r>
      <w:fldChar w:fldCharType="begin"/>
    </w:r>
    <w:r>
      <w:rPr>
        <w:rStyle w:val="34"/>
      </w:rPr>
      <w:instrText xml:space="preserve">PAGE  </w:instrText>
    </w:r>
    <w:r>
      <w:fldChar w:fldCharType="separate"/>
    </w:r>
    <w:r>
      <w:rPr>
        <w:rStyle w:val="34"/>
      </w:rPr>
      <w:t>1</w:t>
    </w:r>
    <w:r>
      <w:fldChar w:fldCharType="end"/>
    </w:r>
  </w:p>
  <w:p w14:paraId="3952E346">
    <w:pPr>
      <w:pStyle w:val="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75C89">
    <w:pPr>
      <w:pStyle w:val="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28089">
    <w:pPr>
      <w:spacing w:line="183" w:lineRule="auto"/>
      <w:rPr>
        <w:sz w:val="27"/>
        <w:szCs w:val="27"/>
      </w:rPr>
    </w:pPr>
    <w:r>
      <w:rPr>
        <w:sz w:val="2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5F41B">
                          <w:pPr>
                            <w:pStyle w:val="20"/>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DB5F41B">
                    <w:pPr>
                      <w:pStyle w:val="20"/>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footnote>
  <w:footnote w:type="continuationSeparator" w:id="5">
    <w:p/>
  </w:footnote>
  <w:footnote w:id="0">
    <w:p w14:paraId="1EA590BC">
      <w:pPr>
        <w:pStyle w:val="23"/>
        <w:snapToGrid w:val="0"/>
        <w:jc w:val="left"/>
      </w:pPr>
    </w:p>
  </w:footnote>
  <w:footnote w:id="1">
    <w:p w14:paraId="08388443">
      <w:pPr>
        <w:pStyle w:val="23"/>
        <w:snapToGrid w:val="0"/>
        <w:jc w:val="lef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C9F27">
    <w:pPr>
      <w:pStyle w:val="21"/>
      <w:pBdr>
        <w:bottom w:val="none" w:color="auto" w:sz="0" w:space="0"/>
      </w:pBdr>
      <w:tabs>
        <w:tab w:val="left" w:pos="6730"/>
      </w:tabs>
      <w:jc w:val="left"/>
      <w:rPr>
        <w:rFonts w:hint="eastAsia" w:ascii="黑体" w:hAnsi="黑体" w:eastAsia="黑体" w:cs="黑体"/>
        <w:lang w:eastAsia="zh-CN"/>
      </w:rPr>
    </w:pPr>
    <w:r>
      <w:rPr>
        <w:rFonts w:hint="eastAsia" w:ascii="黑体" w:hAnsi="黑体" w:eastAsia="黑体" w:cs="黑体"/>
        <w:lang w:eastAsia="zh-CN"/>
      </w:rPr>
      <w:tab/>
    </w:r>
    <w:r>
      <w:rPr>
        <w:rFonts w:hint="eastAsia" w:ascii="黑体" w:hAnsi="黑体" w:eastAsia="黑体" w:cs="黑体"/>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01120">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09C85">
    <w:pPr>
      <w:pStyle w:val="21"/>
      <w:pBdr>
        <w:bottom w:val="double" w:color="auto" w:sz="8" w:space="1"/>
      </w:pBdr>
      <w:wordWrap w:val="0"/>
      <w:jc w:val="right"/>
    </w:pPr>
    <w:r>
      <w:rPr>
        <w:rFonts w:hint="eastAsia" w:ascii="微软雅黑" w:hAnsi="微软雅黑" w:eastAsia="微软雅黑" w:cs="微软雅黑"/>
        <w:b/>
        <w:bCs/>
        <w:sz w:val="21"/>
        <w:szCs w:val="21"/>
      </w:rPr>
      <w:drawing>
        <wp:anchor distT="0" distB="0" distL="114300" distR="114300" simplePos="0" relativeHeight="251659264" behindDoc="1" locked="0" layoutInCell="1" allowOverlap="1">
          <wp:simplePos x="0" y="0"/>
          <wp:positionH relativeFrom="column">
            <wp:posOffset>5547995</wp:posOffset>
          </wp:positionH>
          <wp:positionV relativeFrom="paragraph">
            <wp:posOffset>-338455</wp:posOffset>
          </wp:positionV>
          <wp:extent cx="734695" cy="734695"/>
          <wp:effectExtent l="0" t="0" r="8255" b="8255"/>
          <wp:wrapNone/>
          <wp:docPr id="1" name="图片 1" descr="422592285242252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22592285242252554"/>
                  <pic:cNvPicPr>
                    <a:picLocks noChangeAspect="1"/>
                  </pic:cNvPicPr>
                </pic:nvPicPr>
                <pic:blipFill>
                  <a:blip r:embed="rId1"/>
                  <a:stretch>
                    <a:fillRect/>
                  </a:stretch>
                </pic:blipFill>
                <pic:spPr>
                  <a:xfrm>
                    <a:off x="0" y="0"/>
                    <a:ext cx="734695" cy="734695"/>
                  </a:xfrm>
                  <a:prstGeom prst="rect">
                    <a:avLst/>
                  </a:prstGeom>
                  <a:noFill/>
                  <a:ln w="9525">
                    <a:noFill/>
                  </a:ln>
                </pic:spPr>
              </pic:pic>
            </a:graphicData>
          </a:graphic>
        </wp:anchor>
      </w:drawing>
    </w:r>
    <w:r>
      <w:rPr>
        <w:rFonts w:hint="eastAsia" w:ascii="微软雅黑" w:hAnsi="微软雅黑" w:eastAsia="微软雅黑" w:cs="微软雅黑"/>
        <w:b/>
        <w:bCs/>
        <w:sz w:val="21"/>
        <w:szCs w:val="21"/>
        <w:lang w:eastAsia="zh-CN"/>
      </w:rPr>
      <w:t>农安县万顺乡人民政府</w:t>
    </w:r>
    <w:r>
      <w:rPr>
        <w:rFonts w:hint="eastAsia" w:ascii="微软雅黑" w:hAnsi="微软雅黑" w:eastAsia="微软雅黑" w:cs="微软雅黑"/>
        <w:b/>
        <w:bCs/>
        <w:sz w:val="21"/>
        <w:szCs w:val="21"/>
      </w:rPr>
      <w:t xml:space="preserve">--磋商文件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14235">
    <w:pPr>
      <w:pStyle w:val="21"/>
      <w:pBdr>
        <w:bottom w:val="none" w:color="auto" w:sz="0" w:space="0"/>
      </w:pBdr>
      <w:jc w:val="right"/>
      <w:rPr>
        <w:rFonts w:hint="eastAsia" w:ascii="黑体" w:hAnsi="黑体" w:eastAsia="黑体" w:cs="黑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EC465">
    <w:pPr>
      <w:pStyle w:val="21"/>
      <w:framePr w:wrap="around" w:vAnchor="text" w:hAnchor="margin" w:xAlign="right" w:y="1"/>
      <w:rPr>
        <w:rStyle w:val="34"/>
      </w:rPr>
    </w:pPr>
    <w:r>
      <w:fldChar w:fldCharType="begin"/>
    </w:r>
    <w:r>
      <w:rPr>
        <w:rStyle w:val="34"/>
      </w:rPr>
      <w:instrText xml:space="preserve">PAGE  </w:instrText>
    </w:r>
    <w:r>
      <w:fldChar w:fldCharType="end"/>
    </w:r>
  </w:p>
  <w:p w14:paraId="557EA162">
    <w:pPr>
      <w:pStyle w:val="21"/>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4EB96">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multilevel"/>
    <w:tmpl w:val="B0F1ACD9"/>
    <w:lvl w:ilvl="0" w:tentative="0">
      <w:start w:val="7"/>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1750" w:hanging="632"/>
      </w:pPr>
      <w:rPr>
        <w:rFonts w:hint="default" w:ascii="宋体" w:hAnsi="宋体" w:eastAsia="宋体" w:cs="宋体"/>
        <w:w w:val="100"/>
        <w:sz w:val="21"/>
        <w:szCs w:val="21"/>
        <w:lang w:val="zh-CN" w:eastAsia="zh-CN" w:bidi="zh-CN"/>
      </w:rPr>
    </w:lvl>
    <w:lvl w:ilvl="3" w:tentative="0">
      <w:start w:val="0"/>
      <w:numFmt w:val="bullet"/>
      <w:lvlText w:val="•"/>
      <w:lvlJc w:val="left"/>
      <w:pPr>
        <w:ind w:left="2883" w:hanging="632"/>
      </w:pPr>
      <w:rPr>
        <w:rFonts w:hint="default"/>
        <w:lang w:val="zh-CN" w:eastAsia="zh-CN" w:bidi="zh-CN"/>
      </w:rPr>
    </w:lvl>
    <w:lvl w:ilvl="4" w:tentative="0">
      <w:start w:val="0"/>
      <w:numFmt w:val="bullet"/>
      <w:lvlText w:val="•"/>
      <w:lvlJc w:val="left"/>
      <w:pPr>
        <w:ind w:left="4006" w:hanging="632"/>
      </w:pPr>
      <w:rPr>
        <w:rFonts w:hint="default"/>
        <w:lang w:val="zh-CN" w:eastAsia="zh-CN" w:bidi="zh-CN"/>
      </w:rPr>
    </w:lvl>
    <w:lvl w:ilvl="5" w:tentative="0">
      <w:start w:val="0"/>
      <w:numFmt w:val="bullet"/>
      <w:lvlText w:val="•"/>
      <w:lvlJc w:val="left"/>
      <w:pPr>
        <w:ind w:left="5129" w:hanging="632"/>
      </w:pPr>
      <w:rPr>
        <w:rFonts w:hint="default"/>
        <w:lang w:val="zh-CN" w:eastAsia="zh-CN" w:bidi="zh-CN"/>
      </w:rPr>
    </w:lvl>
    <w:lvl w:ilvl="6" w:tentative="0">
      <w:start w:val="0"/>
      <w:numFmt w:val="bullet"/>
      <w:lvlText w:val="•"/>
      <w:lvlJc w:val="left"/>
      <w:pPr>
        <w:ind w:left="6253" w:hanging="632"/>
      </w:pPr>
      <w:rPr>
        <w:rFonts w:hint="default"/>
        <w:lang w:val="zh-CN" w:eastAsia="zh-CN" w:bidi="zh-CN"/>
      </w:rPr>
    </w:lvl>
    <w:lvl w:ilvl="7" w:tentative="0">
      <w:start w:val="0"/>
      <w:numFmt w:val="bullet"/>
      <w:lvlText w:val="•"/>
      <w:lvlJc w:val="left"/>
      <w:pPr>
        <w:ind w:left="7376" w:hanging="632"/>
      </w:pPr>
      <w:rPr>
        <w:rFonts w:hint="default"/>
        <w:lang w:val="zh-CN" w:eastAsia="zh-CN" w:bidi="zh-CN"/>
      </w:rPr>
    </w:lvl>
    <w:lvl w:ilvl="8" w:tentative="0">
      <w:start w:val="0"/>
      <w:numFmt w:val="bullet"/>
      <w:lvlText w:val="•"/>
      <w:lvlJc w:val="left"/>
      <w:pPr>
        <w:ind w:left="8499" w:hanging="632"/>
      </w:pPr>
      <w:rPr>
        <w:rFonts w:hint="default"/>
        <w:lang w:val="zh-CN" w:eastAsia="zh-CN" w:bidi="zh-CN"/>
      </w:rPr>
    </w:lvl>
  </w:abstractNum>
  <w:abstractNum w:abstractNumId="1">
    <w:nsid w:val="BE923771"/>
    <w:multiLevelType w:val="multilevel"/>
    <w:tmpl w:val="BE923771"/>
    <w:lvl w:ilvl="0" w:tentative="0">
      <w:start w:val="9"/>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0"/>
      <w:numFmt w:val="bullet"/>
      <w:lvlText w:val="•"/>
      <w:lvlJc w:val="left"/>
      <w:pPr>
        <w:ind w:left="3381" w:hanging="423"/>
      </w:pPr>
      <w:rPr>
        <w:rFonts w:hint="default"/>
        <w:lang w:val="zh-CN" w:eastAsia="zh-CN" w:bidi="zh-CN"/>
      </w:rPr>
    </w:lvl>
    <w:lvl w:ilvl="3" w:tentative="0">
      <w:start w:val="0"/>
      <w:numFmt w:val="bullet"/>
      <w:lvlText w:val="•"/>
      <w:lvlJc w:val="left"/>
      <w:pPr>
        <w:ind w:left="4301" w:hanging="423"/>
      </w:pPr>
      <w:rPr>
        <w:rFonts w:hint="default"/>
        <w:lang w:val="zh-CN" w:eastAsia="zh-CN" w:bidi="zh-CN"/>
      </w:rPr>
    </w:lvl>
    <w:lvl w:ilvl="4" w:tentative="0">
      <w:start w:val="0"/>
      <w:numFmt w:val="bullet"/>
      <w:lvlText w:val="•"/>
      <w:lvlJc w:val="left"/>
      <w:pPr>
        <w:ind w:left="5222" w:hanging="423"/>
      </w:pPr>
      <w:rPr>
        <w:rFonts w:hint="default"/>
        <w:lang w:val="zh-CN" w:eastAsia="zh-CN" w:bidi="zh-CN"/>
      </w:rPr>
    </w:lvl>
    <w:lvl w:ilvl="5" w:tentative="0">
      <w:start w:val="0"/>
      <w:numFmt w:val="bullet"/>
      <w:lvlText w:val="•"/>
      <w:lvlJc w:val="left"/>
      <w:pPr>
        <w:ind w:left="6143" w:hanging="423"/>
      </w:pPr>
      <w:rPr>
        <w:rFonts w:hint="default"/>
        <w:lang w:val="zh-CN" w:eastAsia="zh-CN" w:bidi="zh-CN"/>
      </w:rPr>
    </w:lvl>
    <w:lvl w:ilvl="6" w:tentative="0">
      <w:start w:val="0"/>
      <w:numFmt w:val="bullet"/>
      <w:lvlText w:val="•"/>
      <w:lvlJc w:val="left"/>
      <w:pPr>
        <w:ind w:left="7063" w:hanging="423"/>
      </w:pPr>
      <w:rPr>
        <w:rFonts w:hint="default"/>
        <w:lang w:val="zh-CN" w:eastAsia="zh-CN" w:bidi="zh-CN"/>
      </w:rPr>
    </w:lvl>
    <w:lvl w:ilvl="7" w:tentative="0">
      <w:start w:val="0"/>
      <w:numFmt w:val="bullet"/>
      <w:lvlText w:val="•"/>
      <w:lvlJc w:val="left"/>
      <w:pPr>
        <w:ind w:left="7984" w:hanging="423"/>
      </w:pPr>
      <w:rPr>
        <w:rFonts w:hint="default"/>
        <w:lang w:val="zh-CN" w:eastAsia="zh-CN" w:bidi="zh-CN"/>
      </w:rPr>
    </w:lvl>
    <w:lvl w:ilvl="8" w:tentative="0">
      <w:start w:val="0"/>
      <w:numFmt w:val="bullet"/>
      <w:lvlText w:val="•"/>
      <w:lvlJc w:val="left"/>
      <w:pPr>
        <w:ind w:left="8905" w:hanging="423"/>
      </w:pPr>
      <w:rPr>
        <w:rFonts w:hint="default"/>
        <w:lang w:val="zh-CN" w:eastAsia="zh-CN" w:bidi="zh-CN"/>
      </w:rPr>
    </w:lvl>
  </w:abstractNum>
  <w:abstractNum w:abstractNumId="2">
    <w:nsid w:val="C8879AEF"/>
    <w:multiLevelType w:val="multilevel"/>
    <w:tmpl w:val="C8879AEF"/>
    <w:lvl w:ilvl="0" w:tentative="0">
      <w:start w:val="1"/>
      <w:numFmt w:val="decimal"/>
      <w:lvlText w:val="（%1）"/>
      <w:lvlJc w:val="left"/>
      <w:pPr>
        <w:ind w:left="164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0" w:hanging="529"/>
      </w:pPr>
      <w:rPr>
        <w:rFonts w:hint="default"/>
        <w:lang w:val="zh-CN" w:eastAsia="zh-CN" w:bidi="zh-CN"/>
      </w:rPr>
    </w:lvl>
    <w:lvl w:ilvl="2" w:tentative="0">
      <w:start w:val="0"/>
      <w:numFmt w:val="bullet"/>
      <w:lvlText w:val="•"/>
      <w:lvlJc w:val="left"/>
      <w:pPr>
        <w:ind w:left="3461" w:hanging="529"/>
      </w:pPr>
      <w:rPr>
        <w:rFonts w:hint="default"/>
        <w:lang w:val="zh-CN" w:eastAsia="zh-CN" w:bidi="zh-CN"/>
      </w:rPr>
    </w:lvl>
    <w:lvl w:ilvl="3" w:tentative="0">
      <w:start w:val="0"/>
      <w:numFmt w:val="bullet"/>
      <w:lvlText w:val="•"/>
      <w:lvlJc w:val="left"/>
      <w:pPr>
        <w:ind w:left="4371" w:hanging="529"/>
      </w:pPr>
      <w:rPr>
        <w:rFonts w:hint="default"/>
        <w:lang w:val="zh-CN" w:eastAsia="zh-CN" w:bidi="zh-CN"/>
      </w:rPr>
    </w:lvl>
    <w:lvl w:ilvl="4" w:tentative="0">
      <w:start w:val="0"/>
      <w:numFmt w:val="bullet"/>
      <w:lvlText w:val="•"/>
      <w:lvlJc w:val="left"/>
      <w:pPr>
        <w:ind w:left="5282" w:hanging="529"/>
      </w:pPr>
      <w:rPr>
        <w:rFonts w:hint="default"/>
        <w:lang w:val="zh-CN" w:eastAsia="zh-CN" w:bidi="zh-CN"/>
      </w:rPr>
    </w:lvl>
    <w:lvl w:ilvl="5" w:tentative="0">
      <w:start w:val="0"/>
      <w:numFmt w:val="bullet"/>
      <w:lvlText w:val="•"/>
      <w:lvlJc w:val="left"/>
      <w:pPr>
        <w:ind w:left="6193" w:hanging="529"/>
      </w:pPr>
      <w:rPr>
        <w:rFonts w:hint="default"/>
        <w:lang w:val="zh-CN" w:eastAsia="zh-CN" w:bidi="zh-CN"/>
      </w:rPr>
    </w:lvl>
    <w:lvl w:ilvl="6" w:tentative="0">
      <w:start w:val="0"/>
      <w:numFmt w:val="bullet"/>
      <w:lvlText w:val="•"/>
      <w:lvlJc w:val="left"/>
      <w:pPr>
        <w:ind w:left="7103" w:hanging="529"/>
      </w:pPr>
      <w:rPr>
        <w:rFonts w:hint="default"/>
        <w:lang w:val="zh-CN" w:eastAsia="zh-CN" w:bidi="zh-CN"/>
      </w:rPr>
    </w:lvl>
    <w:lvl w:ilvl="7" w:tentative="0">
      <w:start w:val="0"/>
      <w:numFmt w:val="bullet"/>
      <w:lvlText w:val="•"/>
      <w:lvlJc w:val="left"/>
      <w:pPr>
        <w:ind w:left="8014" w:hanging="529"/>
      </w:pPr>
      <w:rPr>
        <w:rFonts w:hint="default"/>
        <w:lang w:val="zh-CN" w:eastAsia="zh-CN" w:bidi="zh-CN"/>
      </w:rPr>
    </w:lvl>
    <w:lvl w:ilvl="8" w:tentative="0">
      <w:start w:val="0"/>
      <w:numFmt w:val="bullet"/>
      <w:lvlText w:val="•"/>
      <w:lvlJc w:val="left"/>
      <w:pPr>
        <w:ind w:left="8925" w:hanging="529"/>
      </w:pPr>
      <w:rPr>
        <w:rFonts w:hint="default"/>
        <w:lang w:val="zh-CN" w:eastAsia="zh-CN" w:bidi="zh-CN"/>
      </w:rPr>
    </w:lvl>
  </w:abstractNum>
  <w:abstractNum w:abstractNumId="3">
    <w:nsid w:val="DCBA6B53"/>
    <w:multiLevelType w:val="multilevel"/>
    <w:tmpl w:val="DCBA6B53"/>
    <w:lvl w:ilvl="0" w:tentative="0">
      <w:start w:val="3"/>
      <w:numFmt w:val="decimal"/>
      <w:lvlText w:val="%1"/>
      <w:lvlJc w:val="left"/>
      <w:pPr>
        <w:ind w:left="1118" w:hanging="610"/>
      </w:pPr>
      <w:rPr>
        <w:rFonts w:hint="default"/>
        <w:lang w:val="zh-CN" w:eastAsia="zh-CN" w:bidi="zh-CN"/>
      </w:rPr>
    </w:lvl>
    <w:lvl w:ilvl="1" w:tentative="0">
      <w:start w:val="1"/>
      <w:numFmt w:val="decimal"/>
      <w:lvlText w:val="%1.%2"/>
      <w:lvlJc w:val="left"/>
      <w:pPr>
        <w:ind w:left="1118" w:hanging="610"/>
      </w:pPr>
      <w:rPr>
        <w:rFonts w:hint="default"/>
        <w:lang w:val="zh-CN" w:eastAsia="zh-CN" w:bidi="zh-CN"/>
      </w:rPr>
    </w:lvl>
    <w:lvl w:ilvl="2" w:tentative="0">
      <w:start w:val="1"/>
      <w:numFmt w:val="decimal"/>
      <w:lvlText w:val="%1.%2.%3"/>
      <w:lvlJc w:val="left"/>
      <w:pPr>
        <w:ind w:left="1118" w:hanging="610"/>
      </w:pPr>
      <w:rPr>
        <w:rFonts w:hint="default" w:ascii="宋体" w:hAnsi="宋体" w:eastAsia="宋体" w:cs="宋体"/>
        <w:spacing w:val="0"/>
        <w:w w:val="100"/>
        <w:sz w:val="21"/>
        <w:szCs w:val="21"/>
        <w:lang w:val="zh-CN" w:eastAsia="zh-CN" w:bidi="zh-CN"/>
      </w:rPr>
    </w:lvl>
    <w:lvl w:ilvl="3" w:tentative="0">
      <w:start w:val="0"/>
      <w:numFmt w:val="bullet"/>
      <w:lvlText w:val="•"/>
      <w:lvlJc w:val="left"/>
      <w:pPr>
        <w:ind w:left="4007" w:hanging="610"/>
      </w:pPr>
      <w:rPr>
        <w:rFonts w:hint="default"/>
        <w:lang w:val="zh-CN" w:eastAsia="zh-CN" w:bidi="zh-CN"/>
      </w:rPr>
    </w:lvl>
    <w:lvl w:ilvl="4" w:tentative="0">
      <w:start w:val="0"/>
      <w:numFmt w:val="bullet"/>
      <w:lvlText w:val="•"/>
      <w:lvlJc w:val="left"/>
      <w:pPr>
        <w:ind w:left="4970" w:hanging="610"/>
      </w:pPr>
      <w:rPr>
        <w:rFonts w:hint="default"/>
        <w:lang w:val="zh-CN" w:eastAsia="zh-CN" w:bidi="zh-CN"/>
      </w:rPr>
    </w:lvl>
    <w:lvl w:ilvl="5" w:tentative="0">
      <w:start w:val="0"/>
      <w:numFmt w:val="bullet"/>
      <w:lvlText w:val="•"/>
      <w:lvlJc w:val="left"/>
      <w:pPr>
        <w:ind w:left="5933" w:hanging="610"/>
      </w:pPr>
      <w:rPr>
        <w:rFonts w:hint="default"/>
        <w:lang w:val="zh-CN" w:eastAsia="zh-CN" w:bidi="zh-CN"/>
      </w:rPr>
    </w:lvl>
    <w:lvl w:ilvl="6" w:tentative="0">
      <w:start w:val="0"/>
      <w:numFmt w:val="bullet"/>
      <w:lvlText w:val="•"/>
      <w:lvlJc w:val="left"/>
      <w:pPr>
        <w:ind w:left="6895" w:hanging="610"/>
      </w:pPr>
      <w:rPr>
        <w:rFonts w:hint="default"/>
        <w:lang w:val="zh-CN" w:eastAsia="zh-CN" w:bidi="zh-CN"/>
      </w:rPr>
    </w:lvl>
    <w:lvl w:ilvl="7" w:tentative="0">
      <w:start w:val="0"/>
      <w:numFmt w:val="bullet"/>
      <w:lvlText w:val="•"/>
      <w:lvlJc w:val="left"/>
      <w:pPr>
        <w:ind w:left="7858" w:hanging="610"/>
      </w:pPr>
      <w:rPr>
        <w:rFonts w:hint="default"/>
        <w:lang w:val="zh-CN" w:eastAsia="zh-CN" w:bidi="zh-CN"/>
      </w:rPr>
    </w:lvl>
    <w:lvl w:ilvl="8" w:tentative="0">
      <w:start w:val="0"/>
      <w:numFmt w:val="bullet"/>
      <w:lvlText w:val="•"/>
      <w:lvlJc w:val="left"/>
      <w:pPr>
        <w:ind w:left="8821" w:hanging="610"/>
      </w:pPr>
      <w:rPr>
        <w:rFonts w:hint="default"/>
        <w:lang w:val="zh-CN" w:eastAsia="zh-CN" w:bidi="zh-CN"/>
      </w:rPr>
    </w:lvl>
  </w:abstractNum>
  <w:abstractNum w:abstractNumId="4">
    <w:nsid w:val="F4B5D9F5"/>
    <w:multiLevelType w:val="multilevel"/>
    <w:tmpl w:val="F4B5D9F5"/>
    <w:lvl w:ilvl="0" w:tentative="0">
      <w:start w:val="2"/>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698" w:hanging="579"/>
      </w:pPr>
      <w:rPr>
        <w:rFonts w:hint="default" w:ascii="宋体" w:hAnsi="宋体" w:eastAsia="宋体" w:cs="宋体"/>
        <w:w w:val="100"/>
        <w:sz w:val="21"/>
        <w:szCs w:val="21"/>
        <w:lang w:val="zh-CN" w:eastAsia="zh-CN" w:bidi="zh-CN"/>
      </w:rPr>
    </w:lvl>
    <w:lvl w:ilvl="3" w:tentative="0">
      <w:start w:val="0"/>
      <w:numFmt w:val="bullet"/>
      <w:lvlText w:val="•"/>
      <w:lvlJc w:val="left"/>
      <w:pPr>
        <w:ind w:left="3585" w:hanging="579"/>
      </w:pPr>
      <w:rPr>
        <w:rFonts w:hint="default"/>
        <w:lang w:val="zh-CN" w:eastAsia="zh-CN" w:bidi="zh-CN"/>
      </w:rPr>
    </w:lvl>
    <w:lvl w:ilvl="4" w:tentative="0">
      <w:start w:val="0"/>
      <w:numFmt w:val="bullet"/>
      <w:lvlText w:val="•"/>
      <w:lvlJc w:val="left"/>
      <w:pPr>
        <w:ind w:left="4608" w:hanging="579"/>
      </w:pPr>
      <w:rPr>
        <w:rFonts w:hint="default"/>
        <w:lang w:val="zh-CN" w:eastAsia="zh-CN" w:bidi="zh-CN"/>
      </w:rPr>
    </w:lvl>
    <w:lvl w:ilvl="5" w:tentative="0">
      <w:start w:val="0"/>
      <w:numFmt w:val="bullet"/>
      <w:lvlText w:val="•"/>
      <w:lvlJc w:val="left"/>
      <w:pPr>
        <w:ind w:left="5631" w:hanging="579"/>
      </w:pPr>
      <w:rPr>
        <w:rFonts w:hint="default"/>
        <w:lang w:val="zh-CN" w:eastAsia="zh-CN" w:bidi="zh-CN"/>
      </w:rPr>
    </w:lvl>
    <w:lvl w:ilvl="6" w:tentative="0">
      <w:start w:val="0"/>
      <w:numFmt w:val="bullet"/>
      <w:lvlText w:val="•"/>
      <w:lvlJc w:val="left"/>
      <w:pPr>
        <w:ind w:left="6654" w:hanging="579"/>
      </w:pPr>
      <w:rPr>
        <w:rFonts w:hint="default"/>
        <w:lang w:val="zh-CN" w:eastAsia="zh-CN" w:bidi="zh-CN"/>
      </w:rPr>
    </w:lvl>
    <w:lvl w:ilvl="7" w:tentative="0">
      <w:start w:val="0"/>
      <w:numFmt w:val="bullet"/>
      <w:lvlText w:val="•"/>
      <w:lvlJc w:val="left"/>
      <w:pPr>
        <w:ind w:left="7677" w:hanging="579"/>
      </w:pPr>
      <w:rPr>
        <w:rFonts w:hint="default"/>
        <w:lang w:val="zh-CN" w:eastAsia="zh-CN" w:bidi="zh-CN"/>
      </w:rPr>
    </w:lvl>
    <w:lvl w:ilvl="8" w:tentative="0">
      <w:start w:val="0"/>
      <w:numFmt w:val="bullet"/>
      <w:lvlText w:val="•"/>
      <w:lvlJc w:val="left"/>
      <w:pPr>
        <w:ind w:left="8700" w:hanging="579"/>
      </w:pPr>
      <w:rPr>
        <w:rFonts w:hint="default"/>
        <w:lang w:val="zh-CN" w:eastAsia="zh-CN" w:bidi="zh-CN"/>
      </w:rPr>
    </w:lvl>
  </w:abstractNum>
  <w:abstractNum w:abstractNumId="5">
    <w:nsid w:val="0E640482"/>
    <w:multiLevelType w:val="multilevel"/>
    <w:tmpl w:val="0E640482"/>
    <w:lvl w:ilvl="0" w:tentative="0">
      <w:start w:val="5"/>
      <w:numFmt w:val="decimal"/>
      <w:lvlText w:val="%1"/>
      <w:lvlJc w:val="left"/>
      <w:pPr>
        <w:ind w:left="1490" w:hanging="370"/>
      </w:pPr>
      <w:rPr>
        <w:rFonts w:hint="default"/>
        <w:lang w:val="zh-CN" w:eastAsia="zh-CN" w:bidi="zh-CN"/>
      </w:rPr>
    </w:lvl>
    <w:lvl w:ilvl="1" w:tentative="0">
      <w:start w:val="1"/>
      <w:numFmt w:val="decimal"/>
      <w:lvlText w:val="%1.%2"/>
      <w:lvlJc w:val="left"/>
      <w:pPr>
        <w:ind w:left="1490" w:hanging="370"/>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1750" w:hanging="632"/>
      </w:pPr>
      <w:rPr>
        <w:rFonts w:hint="default" w:ascii="宋体" w:hAnsi="宋体" w:eastAsia="宋体" w:cs="宋体"/>
        <w:w w:val="100"/>
        <w:sz w:val="21"/>
        <w:szCs w:val="21"/>
        <w:lang w:val="zh-CN" w:eastAsia="zh-CN" w:bidi="zh-CN"/>
      </w:rPr>
    </w:lvl>
    <w:lvl w:ilvl="3" w:tentative="0">
      <w:start w:val="0"/>
      <w:numFmt w:val="bullet"/>
      <w:lvlText w:val="•"/>
      <w:lvlJc w:val="left"/>
      <w:pPr>
        <w:ind w:left="3756" w:hanging="632"/>
      </w:pPr>
      <w:rPr>
        <w:rFonts w:hint="default"/>
        <w:lang w:val="zh-CN" w:eastAsia="zh-CN" w:bidi="zh-CN"/>
      </w:rPr>
    </w:lvl>
    <w:lvl w:ilvl="4" w:tentative="0">
      <w:start w:val="0"/>
      <w:numFmt w:val="bullet"/>
      <w:lvlText w:val="•"/>
      <w:lvlJc w:val="left"/>
      <w:pPr>
        <w:ind w:left="4755" w:hanging="632"/>
      </w:pPr>
      <w:rPr>
        <w:rFonts w:hint="default"/>
        <w:lang w:val="zh-CN" w:eastAsia="zh-CN" w:bidi="zh-CN"/>
      </w:rPr>
    </w:lvl>
    <w:lvl w:ilvl="5" w:tentative="0">
      <w:start w:val="0"/>
      <w:numFmt w:val="bullet"/>
      <w:lvlText w:val="•"/>
      <w:lvlJc w:val="left"/>
      <w:pPr>
        <w:ind w:left="5753" w:hanging="632"/>
      </w:pPr>
      <w:rPr>
        <w:rFonts w:hint="default"/>
        <w:lang w:val="zh-CN" w:eastAsia="zh-CN" w:bidi="zh-CN"/>
      </w:rPr>
    </w:lvl>
    <w:lvl w:ilvl="6" w:tentative="0">
      <w:start w:val="0"/>
      <w:numFmt w:val="bullet"/>
      <w:lvlText w:val="•"/>
      <w:lvlJc w:val="left"/>
      <w:pPr>
        <w:ind w:left="6752" w:hanging="632"/>
      </w:pPr>
      <w:rPr>
        <w:rFonts w:hint="default"/>
        <w:lang w:val="zh-CN" w:eastAsia="zh-CN" w:bidi="zh-CN"/>
      </w:rPr>
    </w:lvl>
    <w:lvl w:ilvl="7" w:tentative="0">
      <w:start w:val="0"/>
      <w:numFmt w:val="bullet"/>
      <w:lvlText w:val="•"/>
      <w:lvlJc w:val="left"/>
      <w:pPr>
        <w:ind w:left="7750" w:hanging="632"/>
      </w:pPr>
      <w:rPr>
        <w:rFonts w:hint="default"/>
        <w:lang w:val="zh-CN" w:eastAsia="zh-CN" w:bidi="zh-CN"/>
      </w:rPr>
    </w:lvl>
    <w:lvl w:ilvl="8" w:tentative="0">
      <w:start w:val="0"/>
      <w:numFmt w:val="bullet"/>
      <w:lvlText w:val="•"/>
      <w:lvlJc w:val="left"/>
      <w:pPr>
        <w:ind w:left="8749" w:hanging="632"/>
      </w:pPr>
      <w:rPr>
        <w:rFonts w:hint="default"/>
        <w:lang w:val="zh-CN" w:eastAsia="zh-CN" w:bidi="zh-CN"/>
      </w:rPr>
    </w:lvl>
  </w:abstractNum>
  <w:abstractNum w:abstractNumId="6">
    <w:nsid w:val="242CD88B"/>
    <w:multiLevelType w:val="multilevel"/>
    <w:tmpl w:val="242CD88B"/>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7">
    <w:nsid w:val="2470EC97"/>
    <w:multiLevelType w:val="multilevel"/>
    <w:tmpl w:val="2470EC97"/>
    <w:lvl w:ilvl="0" w:tentative="0">
      <w:start w:val="3"/>
      <w:numFmt w:val="decimal"/>
      <w:lvlText w:val="%1"/>
      <w:lvlJc w:val="left"/>
      <w:pPr>
        <w:ind w:left="1598" w:hanging="454"/>
      </w:pPr>
      <w:rPr>
        <w:rFonts w:hint="default"/>
        <w:lang w:val="zh-CN" w:eastAsia="zh-CN" w:bidi="zh-CN"/>
      </w:rPr>
    </w:lvl>
    <w:lvl w:ilvl="1" w:tentative="0">
      <w:start w:val="1"/>
      <w:numFmt w:val="decimal"/>
      <w:lvlText w:val="%1.%2"/>
      <w:lvlJc w:val="left"/>
      <w:pPr>
        <w:ind w:left="1598" w:hanging="454"/>
      </w:pPr>
      <w:rPr>
        <w:rFonts w:hint="default" w:ascii="宋体" w:hAnsi="宋体" w:eastAsia="宋体" w:cs="宋体"/>
        <w:b/>
        <w:bCs/>
        <w:spacing w:val="0"/>
        <w:w w:val="99"/>
        <w:sz w:val="21"/>
        <w:szCs w:val="21"/>
        <w:lang w:val="zh-CN" w:eastAsia="zh-CN" w:bidi="zh-CN"/>
      </w:rPr>
    </w:lvl>
    <w:lvl w:ilvl="2" w:tentative="0">
      <w:start w:val="1"/>
      <w:numFmt w:val="decimal"/>
      <w:lvlText w:val="%1.%2.%3"/>
      <w:lvlJc w:val="left"/>
      <w:pPr>
        <w:ind w:left="1805" w:hanging="663"/>
      </w:pPr>
      <w:rPr>
        <w:rFonts w:hint="default" w:ascii="宋体" w:hAnsi="宋体" w:eastAsia="宋体" w:cs="宋体"/>
        <w:spacing w:val="0"/>
        <w:w w:val="100"/>
        <w:sz w:val="21"/>
        <w:szCs w:val="21"/>
        <w:lang w:val="zh-CN" w:eastAsia="zh-CN" w:bidi="zh-CN"/>
      </w:rPr>
    </w:lvl>
    <w:lvl w:ilvl="3" w:tentative="0">
      <w:start w:val="0"/>
      <w:numFmt w:val="bullet"/>
      <w:lvlText w:val="•"/>
      <w:lvlJc w:val="left"/>
      <w:pPr>
        <w:ind w:left="1800" w:hanging="663"/>
      </w:pPr>
      <w:rPr>
        <w:rFonts w:hint="default"/>
        <w:lang w:val="zh-CN" w:eastAsia="zh-CN" w:bidi="zh-CN"/>
      </w:rPr>
    </w:lvl>
    <w:lvl w:ilvl="4" w:tentative="0">
      <w:start w:val="0"/>
      <w:numFmt w:val="bullet"/>
      <w:lvlText w:val="•"/>
      <w:lvlJc w:val="left"/>
      <w:pPr>
        <w:ind w:left="3078" w:hanging="663"/>
      </w:pPr>
      <w:rPr>
        <w:rFonts w:hint="default"/>
        <w:lang w:val="zh-CN" w:eastAsia="zh-CN" w:bidi="zh-CN"/>
      </w:rPr>
    </w:lvl>
    <w:lvl w:ilvl="5" w:tentative="0">
      <w:start w:val="0"/>
      <w:numFmt w:val="bullet"/>
      <w:lvlText w:val="•"/>
      <w:lvlJc w:val="left"/>
      <w:pPr>
        <w:ind w:left="4356" w:hanging="663"/>
      </w:pPr>
      <w:rPr>
        <w:rFonts w:hint="default"/>
        <w:lang w:val="zh-CN" w:eastAsia="zh-CN" w:bidi="zh-CN"/>
      </w:rPr>
    </w:lvl>
    <w:lvl w:ilvl="6" w:tentative="0">
      <w:start w:val="0"/>
      <w:numFmt w:val="bullet"/>
      <w:lvlText w:val="•"/>
      <w:lvlJc w:val="left"/>
      <w:pPr>
        <w:ind w:left="5634" w:hanging="663"/>
      </w:pPr>
      <w:rPr>
        <w:rFonts w:hint="default"/>
        <w:lang w:val="zh-CN" w:eastAsia="zh-CN" w:bidi="zh-CN"/>
      </w:rPr>
    </w:lvl>
    <w:lvl w:ilvl="7" w:tentative="0">
      <w:start w:val="0"/>
      <w:numFmt w:val="bullet"/>
      <w:lvlText w:val="•"/>
      <w:lvlJc w:val="left"/>
      <w:pPr>
        <w:ind w:left="6912" w:hanging="663"/>
      </w:pPr>
      <w:rPr>
        <w:rFonts w:hint="default"/>
        <w:lang w:val="zh-CN" w:eastAsia="zh-CN" w:bidi="zh-CN"/>
      </w:rPr>
    </w:lvl>
    <w:lvl w:ilvl="8" w:tentative="0">
      <w:start w:val="0"/>
      <w:numFmt w:val="bullet"/>
      <w:lvlText w:val="•"/>
      <w:lvlJc w:val="left"/>
      <w:pPr>
        <w:ind w:left="8190" w:hanging="663"/>
      </w:pPr>
      <w:rPr>
        <w:rFonts w:hint="default"/>
        <w:lang w:val="zh-CN" w:eastAsia="zh-CN" w:bidi="zh-CN"/>
      </w:rPr>
    </w:lvl>
  </w:abstractNum>
  <w:abstractNum w:abstractNumId="8">
    <w:nsid w:val="46A08BB8"/>
    <w:multiLevelType w:val="multilevel"/>
    <w:tmpl w:val="46A08BB8"/>
    <w:lvl w:ilvl="0" w:tentative="0">
      <w:start w:val="6"/>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698" w:hanging="632"/>
      </w:pPr>
      <w:rPr>
        <w:rFonts w:hint="default" w:ascii="宋体" w:hAnsi="宋体" w:eastAsia="宋体" w:cs="宋体"/>
        <w:w w:val="100"/>
        <w:sz w:val="21"/>
        <w:szCs w:val="21"/>
        <w:lang w:val="zh-CN" w:eastAsia="zh-CN" w:bidi="zh-CN"/>
      </w:rPr>
    </w:lvl>
    <w:lvl w:ilvl="3" w:tentative="0">
      <w:start w:val="1"/>
      <w:numFmt w:val="decimal"/>
      <w:lvlText w:val="%1.%2.%3.%4"/>
      <w:lvlJc w:val="left"/>
      <w:pPr>
        <w:ind w:left="1908" w:hanging="790"/>
      </w:pPr>
      <w:rPr>
        <w:rFonts w:hint="default" w:ascii="宋体" w:hAnsi="宋体" w:eastAsia="宋体" w:cs="宋体"/>
        <w:spacing w:val="-3"/>
        <w:w w:val="100"/>
        <w:sz w:val="21"/>
        <w:szCs w:val="21"/>
        <w:lang w:val="zh-CN" w:eastAsia="zh-CN" w:bidi="zh-CN"/>
      </w:rPr>
    </w:lvl>
    <w:lvl w:ilvl="4" w:tentative="0">
      <w:start w:val="0"/>
      <w:numFmt w:val="bullet"/>
      <w:lvlText w:val="•"/>
      <w:lvlJc w:val="left"/>
      <w:pPr>
        <w:ind w:left="1900" w:hanging="790"/>
      </w:pPr>
      <w:rPr>
        <w:rFonts w:hint="default"/>
        <w:lang w:val="zh-CN" w:eastAsia="zh-CN" w:bidi="zh-CN"/>
      </w:rPr>
    </w:lvl>
    <w:lvl w:ilvl="5" w:tentative="0">
      <w:start w:val="0"/>
      <w:numFmt w:val="bullet"/>
      <w:lvlText w:val="•"/>
      <w:lvlJc w:val="left"/>
      <w:pPr>
        <w:ind w:left="3374" w:hanging="790"/>
      </w:pPr>
      <w:rPr>
        <w:rFonts w:hint="default"/>
        <w:lang w:val="zh-CN" w:eastAsia="zh-CN" w:bidi="zh-CN"/>
      </w:rPr>
    </w:lvl>
    <w:lvl w:ilvl="6" w:tentative="0">
      <w:start w:val="0"/>
      <w:numFmt w:val="bullet"/>
      <w:lvlText w:val="•"/>
      <w:lvlJc w:val="left"/>
      <w:pPr>
        <w:ind w:left="4848" w:hanging="790"/>
      </w:pPr>
      <w:rPr>
        <w:rFonts w:hint="default"/>
        <w:lang w:val="zh-CN" w:eastAsia="zh-CN" w:bidi="zh-CN"/>
      </w:rPr>
    </w:lvl>
    <w:lvl w:ilvl="7" w:tentative="0">
      <w:start w:val="0"/>
      <w:numFmt w:val="bullet"/>
      <w:lvlText w:val="•"/>
      <w:lvlJc w:val="left"/>
      <w:pPr>
        <w:ind w:left="6323" w:hanging="790"/>
      </w:pPr>
      <w:rPr>
        <w:rFonts w:hint="default"/>
        <w:lang w:val="zh-CN" w:eastAsia="zh-CN" w:bidi="zh-CN"/>
      </w:rPr>
    </w:lvl>
    <w:lvl w:ilvl="8" w:tentative="0">
      <w:start w:val="0"/>
      <w:numFmt w:val="bullet"/>
      <w:lvlText w:val="•"/>
      <w:lvlJc w:val="left"/>
      <w:pPr>
        <w:ind w:left="7797" w:hanging="790"/>
      </w:pPr>
      <w:rPr>
        <w:rFonts w:hint="default"/>
        <w:lang w:val="zh-CN" w:eastAsia="zh-CN" w:bidi="zh-CN"/>
      </w:rPr>
    </w:lvl>
  </w:abstractNum>
  <w:abstractNum w:abstractNumId="9">
    <w:nsid w:val="4C1BAE26"/>
    <w:multiLevelType w:val="multilevel"/>
    <w:tmpl w:val="4C1BAE26"/>
    <w:lvl w:ilvl="0" w:tentative="0">
      <w:start w:val="1"/>
      <w:numFmt w:val="decimal"/>
      <w:lvlText w:val="(%1)"/>
      <w:lvlJc w:val="left"/>
      <w:pPr>
        <w:ind w:left="1541" w:hanging="423"/>
      </w:pPr>
      <w:rPr>
        <w:rFonts w:hint="default" w:ascii="宋体" w:hAnsi="宋体" w:eastAsia="宋体" w:cs="宋体"/>
        <w:w w:val="100"/>
        <w:sz w:val="21"/>
        <w:szCs w:val="21"/>
        <w:lang w:val="zh-CN" w:eastAsia="zh-CN" w:bidi="zh-CN"/>
      </w:rPr>
    </w:lvl>
    <w:lvl w:ilvl="1" w:tentative="0">
      <w:start w:val="0"/>
      <w:numFmt w:val="bullet"/>
      <w:lvlText w:val="•"/>
      <w:lvlJc w:val="left"/>
      <w:pPr>
        <w:ind w:left="2460" w:hanging="423"/>
      </w:pPr>
      <w:rPr>
        <w:rFonts w:hint="default"/>
        <w:lang w:val="zh-CN" w:eastAsia="zh-CN" w:bidi="zh-CN"/>
      </w:rPr>
    </w:lvl>
    <w:lvl w:ilvl="2" w:tentative="0">
      <w:start w:val="0"/>
      <w:numFmt w:val="bullet"/>
      <w:lvlText w:val="•"/>
      <w:lvlJc w:val="left"/>
      <w:pPr>
        <w:ind w:left="3381" w:hanging="423"/>
      </w:pPr>
      <w:rPr>
        <w:rFonts w:hint="default"/>
        <w:lang w:val="zh-CN" w:eastAsia="zh-CN" w:bidi="zh-CN"/>
      </w:rPr>
    </w:lvl>
    <w:lvl w:ilvl="3" w:tentative="0">
      <w:start w:val="0"/>
      <w:numFmt w:val="bullet"/>
      <w:lvlText w:val="•"/>
      <w:lvlJc w:val="left"/>
      <w:pPr>
        <w:ind w:left="4301" w:hanging="423"/>
      </w:pPr>
      <w:rPr>
        <w:rFonts w:hint="default"/>
        <w:lang w:val="zh-CN" w:eastAsia="zh-CN" w:bidi="zh-CN"/>
      </w:rPr>
    </w:lvl>
    <w:lvl w:ilvl="4" w:tentative="0">
      <w:start w:val="0"/>
      <w:numFmt w:val="bullet"/>
      <w:lvlText w:val="•"/>
      <w:lvlJc w:val="left"/>
      <w:pPr>
        <w:ind w:left="5222" w:hanging="423"/>
      </w:pPr>
      <w:rPr>
        <w:rFonts w:hint="default"/>
        <w:lang w:val="zh-CN" w:eastAsia="zh-CN" w:bidi="zh-CN"/>
      </w:rPr>
    </w:lvl>
    <w:lvl w:ilvl="5" w:tentative="0">
      <w:start w:val="0"/>
      <w:numFmt w:val="bullet"/>
      <w:lvlText w:val="•"/>
      <w:lvlJc w:val="left"/>
      <w:pPr>
        <w:ind w:left="6143" w:hanging="423"/>
      </w:pPr>
      <w:rPr>
        <w:rFonts w:hint="default"/>
        <w:lang w:val="zh-CN" w:eastAsia="zh-CN" w:bidi="zh-CN"/>
      </w:rPr>
    </w:lvl>
    <w:lvl w:ilvl="6" w:tentative="0">
      <w:start w:val="0"/>
      <w:numFmt w:val="bullet"/>
      <w:lvlText w:val="•"/>
      <w:lvlJc w:val="left"/>
      <w:pPr>
        <w:ind w:left="7063" w:hanging="423"/>
      </w:pPr>
      <w:rPr>
        <w:rFonts w:hint="default"/>
        <w:lang w:val="zh-CN" w:eastAsia="zh-CN" w:bidi="zh-CN"/>
      </w:rPr>
    </w:lvl>
    <w:lvl w:ilvl="7" w:tentative="0">
      <w:start w:val="0"/>
      <w:numFmt w:val="bullet"/>
      <w:lvlText w:val="•"/>
      <w:lvlJc w:val="left"/>
      <w:pPr>
        <w:ind w:left="7984" w:hanging="423"/>
      </w:pPr>
      <w:rPr>
        <w:rFonts w:hint="default"/>
        <w:lang w:val="zh-CN" w:eastAsia="zh-CN" w:bidi="zh-CN"/>
      </w:rPr>
    </w:lvl>
    <w:lvl w:ilvl="8" w:tentative="0">
      <w:start w:val="0"/>
      <w:numFmt w:val="bullet"/>
      <w:lvlText w:val="•"/>
      <w:lvlJc w:val="left"/>
      <w:pPr>
        <w:ind w:left="8905" w:hanging="423"/>
      </w:pPr>
      <w:rPr>
        <w:rFonts w:hint="default"/>
        <w:lang w:val="zh-CN" w:eastAsia="zh-CN" w:bidi="zh-CN"/>
      </w:rPr>
    </w:lvl>
  </w:abstractNum>
  <w:abstractNum w:abstractNumId="10">
    <w:nsid w:val="4D4DC07F"/>
    <w:multiLevelType w:val="multilevel"/>
    <w:tmpl w:val="4D4DC07F"/>
    <w:lvl w:ilvl="0" w:tentative="0">
      <w:start w:val="1"/>
      <w:numFmt w:val="decimal"/>
      <w:lvlText w:val="（%1）"/>
      <w:lvlJc w:val="left"/>
      <w:pPr>
        <w:ind w:left="164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0" w:hanging="529"/>
      </w:pPr>
      <w:rPr>
        <w:rFonts w:hint="default"/>
        <w:lang w:val="zh-CN" w:eastAsia="zh-CN" w:bidi="zh-CN"/>
      </w:rPr>
    </w:lvl>
    <w:lvl w:ilvl="2" w:tentative="0">
      <w:start w:val="0"/>
      <w:numFmt w:val="bullet"/>
      <w:lvlText w:val="•"/>
      <w:lvlJc w:val="left"/>
      <w:pPr>
        <w:ind w:left="3461" w:hanging="529"/>
      </w:pPr>
      <w:rPr>
        <w:rFonts w:hint="default"/>
        <w:lang w:val="zh-CN" w:eastAsia="zh-CN" w:bidi="zh-CN"/>
      </w:rPr>
    </w:lvl>
    <w:lvl w:ilvl="3" w:tentative="0">
      <w:start w:val="0"/>
      <w:numFmt w:val="bullet"/>
      <w:lvlText w:val="•"/>
      <w:lvlJc w:val="left"/>
      <w:pPr>
        <w:ind w:left="4371" w:hanging="529"/>
      </w:pPr>
      <w:rPr>
        <w:rFonts w:hint="default"/>
        <w:lang w:val="zh-CN" w:eastAsia="zh-CN" w:bidi="zh-CN"/>
      </w:rPr>
    </w:lvl>
    <w:lvl w:ilvl="4" w:tentative="0">
      <w:start w:val="0"/>
      <w:numFmt w:val="bullet"/>
      <w:lvlText w:val="•"/>
      <w:lvlJc w:val="left"/>
      <w:pPr>
        <w:ind w:left="5282" w:hanging="529"/>
      </w:pPr>
      <w:rPr>
        <w:rFonts w:hint="default"/>
        <w:lang w:val="zh-CN" w:eastAsia="zh-CN" w:bidi="zh-CN"/>
      </w:rPr>
    </w:lvl>
    <w:lvl w:ilvl="5" w:tentative="0">
      <w:start w:val="0"/>
      <w:numFmt w:val="bullet"/>
      <w:lvlText w:val="•"/>
      <w:lvlJc w:val="left"/>
      <w:pPr>
        <w:ind w:left="6193" w:hanging="529"/>
      </w:pPr>
      <w:rPr>
        <w:rFonts w:hint="default"/>
        <w:lang w:val="zh-CN" w:eastAsia="zh-CN" w:bidi="zh-CN"/>
      </w:rPr>
    </w:lvl>
    <w:lvl w:ilvl="6" w:tentative="0">
      <w:start w:val="0"/>
      <w:numFmt w:val="bullet"/>
      <w:lvlText w:val="•"/>
      <w:lvlJc w:val="left"/>
      <w:pPr>
        <w:ind w:left="7103" w:hanging="529"/>
      </w:pPr>
      <w:rPr>
        <w:rFonts w:hint="default"/>
        <w:lang w:val="zh-CN" w:eastAsia="zh-CN" w:bidi="zh-CN"/>
      </w:rPr>
    </w:lvl>
    <w:lvl w:ilvl="7" w:tentative="0">
      <w:start w:val="0"/>
      <w:numFmt w:val="bullet"/>
      <w:lvlText w:val="•"/>
      <w:lvlJc w:val="left"/>
      <w:pPr>
        <w:ind w:left="8014" w:hanging="529"/>
      </w:pPr>
      <w:rPr>
        <w:rFonts w:hint="default"/>
        <w:lang w:val="zh-CN" w:eastAsia="zh-CN" w:bidi="zh-CN"/>
      </w:rPr>
    </w:lvl>
    <w:lvl w:ilvl="8" w:tentative="0">
      <w:start w:val="0"/>
      <w:numFmt w:val="bullet"/>
      <w:lvlText w:val="•"/>
      <w:lvlJc w:val="left"/>
      <w:pPr>
        <w:ind w:left="8925" w:hanging="529"/>
      </w:pPr>
      <w:rPr>
        <w:rFonts w:hint="default"/>
        <w:lang w:val="zh-CN" w:eastAsia="zh-CN" w:bidi="zh-CN"/>
      </w:rPr>
    </w:lvl>
  </w:abstractNum>
  <w:abstractNum w:abstractNumId="11">
    <w:nsid w:val="507238F1"/>
    <w:multiLevelType w:val="singleLevel"/>
    <w:tmpl w:val="507238F1"/>
    <w:lvl w:ilvl="0" w:tentative="0">
      <w:start w:val="1"/>
      <w:numFmt w:val="chineseCounting"/>
      <w:suff w:val="space"/>
      <w:lvlText w:val="第%1章"/>
      <w:lvlJc w:val="left"/>
      <w:rPr>
        <w:rFonts w:hint="eastAsia"/>
      </w:rPr>
    </w:lvl>
  </w:abstractNum>
  <w:abstractNum w:abstractNumId="12">
    <w:nsid w:val="5A241D34"/>
    <w:multiLevelType w:val="multilevel"/>
    <w:tmpl w:val="5A241D34"/>
    <w:lvl w:ilvl="0" w:tentative="0">
      <w:start w:val="1"/>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698" w:hanging="579"/>
      </w:pPr>
      <w:rPr>
        <w:rFonts w:hint="default" w:ascii="宋体" w:hAnsi="宋体" w:eastAsia="宋体" w:cs="宋体"/>
        <w:w w:val="100"/>
        <w:sz w:val="21"/>
        <w:szCs w:val="21"/>
        <w:lang w:val="zh-CN" w:eastAsia="zh-CN" w:bidi="zh-CN"/>
      </w:rPr>
    </w:lvl>
    <w:lvl w:ilvl="3" w:tentative="0">
      <w:start w:val="0"/>
      <w:numFmt w:val="bullet"/>
      <w:lvlText w:val="•"/>
      <w:lvlJc w:val="left"/>
      <w:pPr>
        <w:ind w:left="1760" w:hanging="579"/>
      </w:pPr>
      <w:rPr>
        <w:rFonts w:hint="default"/>
        <w:lang w:val="zh-CN" w:eastAsia="zh-CN" w:bidi="zh-CN"/>
      </w:rPr>
    </w:lvl>
    <w:lvl w:ilvl="4" w:tentative="0">
      <w:start w:val="0"/>
      <w:numFmt w:val="bullet"/>
      <w:lvlText w:val="•"/>
      <w:lvlJc w:val="left"/>
      <w:pPr>
        <w:ind w:left="1860" w:hanging="579"/>
      </w:pPr>
      <w:rPr>
        <w:rFonts w:hint="default"/>
        <w:lang w:val="zh-CN" w:eastAsia="zh-CN" w:bidi="zh-CN"/>
      </w:rPr>
    </w:lvl>
    <w:lvl w:ilvl="5" w:tentative="0">
      <w:start w:val="0"/>
      <w:numFmt w:val="bullet"/>
      <w:lvlText w:val="•"/>
      <w:lvlJc w:val="left"/>
      <w:pPr>
        <w:ind w:left="3341" w:hanging="579"/>
      </w:pPr>
      <w:rPr>
        <w:rFonts w:hint="default"/>
        <w:lang w:val="zh-CN" w:eastAsia="zh-CN" w:bidi="zh-CN"/>
      </w:rPr>
    </w:lvl>
    <w:lvl w:ilvl="6" w:tentative="0">
      <w:start w:val="0"/>
      <w:numFmt w:val="bullet"/>
      <w:lvlText w:val="•"/>
      <w:lvlJc w:val="left"/>
      <w:pPr>
        <w:ind w:left="4822" w:hanging="579"/>
      </w:pPr>
      <w:rPr>
        <w:rFonts w:hint="default"/>
        <w:lang w:val="zh-CN" w:eastAsia="zh-CN" w:bidi="zh-CN"/>
      </w:rPr>
    </w:lvl>
    <w:lvl w:ilvl="7" w:tentative="0">
      <w:start w:val="0"/>
      <w:numFmt w:val="bullet"/>
      <w:lvlText w:val="•"/>
      <w:lvlJc w:val="left"/>
      <w:pPr>
        <w:ind w:left="6303" w:hanging="579"/>
      </w:pPr>
      <w:rPr>
        <w:rFonts w:hint="default"/>
        <w:lang w:val="zh-CN" w:eastAsia="zh-CN" w:bidi="zh-CN"/>
      </w:rPr>
    </w:lvl>
    <w:lvl w:ilvl="8" w:tentative="0">
      <w:start w:val="0"/>
      <w:numFmt w:val="bullet"/>
      <w:lvlText w:val="•"/>
      <w:lvlJc w:val="left"/>
      <w:pPr>
        <w:ind w:left="7784" w:hanging="579"/>
      </w:pPr>
      <w:rPr>
        <w:rFonts w:hint="default"/>
        <w:lang w:val="zh-CN" w:eastAsia="zh-CN" w:bidi="zh-CN"/>
      </w:rPr>
    </w:lvl>
  </w:abstractNum>
  <w:abstractNum w:abstractNumId="13">
    <w:nsid w:val="60382F6E"/>
    <w:multiLevelType w:val="multilevel"/>
    <w:tmpl w:val="60382F6E"/>
    <w:lvl w:ilvl="0" w:tentative="0">
      <w:start w:val="4"/>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1697" w:hanging="579"/>
      </w:pPr>
      <w:rPr>
        <w:rFonts w:hint="default" w:ascii="宋体" w:hAnsi="宋体" w:eastAsia="宋体" w:cs="宋体"/>
        <w:w w:val="100"/>
        <w:sz w:val="21"/>
        <w:szCs w:val="21"/>
        <w:lang w:val="zh-CN" w:eastAsia="zh-CN" w:bidi="zh-CN"/>
      </w:rPr>
    </w:lvl>
    <w:lvl w:ilvl="3" w:tentative="0">
      <w:start w:val="0"/>
      <w:numFmt w:val="bullet"/>
      <w:lvlText w:val="•"/>
      <w:lvlJc w:val="left"/>
      <w:pPr>
        <w:ind w:left="1760" w:hanging="579"/>
      </w:pPr>
      <w:rPr>
        <w:rFonts w:hint="default"/>
        <w:lang w:val="zh-CN" w:eastAsia="zh-CN" w:bidi="zh-CN"/>
      </w:rPr>
    </w:lvl>
    <w:lvl w:ilvl="4" w:tentative="0">
      <w:start w:val="0"/>
      <w:numFmt w:val="bullet"/>
      <w:lvlText w:val="•"/>
      <w:lvlJc w:val="left"/>
      <w:pPr>
        <w:ind w:left="3043" w:hanging="579"/>
      </w:pPr>
      <w:rPr>
        <w:rFonts w:hint="default"/>
        <w:lang w:val="zh-CN" w:eastAsia="zh-CN" w:bidi="zh-CN"/>
      </w:rPr>
    </w:lvl>
    <w:lvl w:ilvl="5" w:tentative="0">
      <w:start w:val="0"/>
      <w:numFmt w:val="bullet"/>
      <w:lvlText w:val="•"/>
      <w:lvlJc w:val="left"/>
      <w:pPr>
        <w:ind w:left="4327" w:hanging="579"/>
      </w:pPr>
      <w:rPr>
        <w:rFonts w:hint="default"/>
        <w:lang w:val="zh-CN" w:eastAsia="zh-CN" w:bidi="zh-CN"/>
      </w:rPr>
    </w:lvl>
    <w:lvl w:ilvl="6" w:tentative="0">
      <w:start w:val="0"/>
      <w:numFmt w:val="bullet"/>
      <w:lvlText w:val="•"/>
      <w:lvlJc w:val="left"/>
      <w:pPr>
        <w:ind w:left="5611" w:hanging="579"/>
      </w:pPr>
      <w:rPr>
        <w:rFonts w:hint="default"/>
        <w:lang w:val="zh-CN" w:eastAsia="zh-CN" w:bidi="zh-CN"/>
      </w:rPr>
    </w:lvl>
    <w:lvl w:ilvl="7" w:tentative="0">
      <w:start w:val="0"/>
      <w:numFmt w:val="bullet"/>
      <w:lvlText w:val="•"/>
      <w:lvlJc w:val="left"/>
      <w:pPr>
        <w:ind w:left="6895" w:hanging="579"/>
      </w:pPr>
      <w:rPr>
        <w:rFonts w:hint="default"/>
        <w:lang w:val="zh-CN" w:eastAsia="zh-CN" w:bidi="zh-CN"/>
      </w:rPr>
    </w:lvl>
    <w:lvl w:ilvl="8" w:tentative="0">
      <w:start w:val="0"/>
      <w:numFmt w:val="bullet"/>
      <w:lvlText w:val="•"/>
      <w:lvlJc w:val="left"/>
      <w:pPr>
        <w:ind w:left="8178" w:hanging="579"/>
      </w:pPr>
      <w:rPr>
        <w:rFonts w:hint="default"/>
        <w:lang w:val="zh-CN" w:eastAsia="zh-CN" w:bidi="zh-CN"/>
      </w:rPr>
    </w:lvl>
  </w:abstractNum>
  <w:abstractNum w:abstractNumId="14">
    <w:nsid w:val="77ECEA79"/>
    <w:multiLevelType w:val="multilevel"/>
    <w:tmpl w:val="77ECEA79"/>
    <w:lvl w:ilvl="0" w:tentative="0">
      <w:start w:val="1"/>
      <w:numFmt w:val="decimal"/>
      <w:lvlText w:val="（%1）"/>
      <w:lvlJc w:val="left"/>
      <w:pPr>
        <w:ind w:left="164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0" w:hanging="529"/>
      </w:pPr>
      <w:rPr>
        <w:rFonts w:hint="default"/>
        <w:lang w:val="zh-CN" w:eastAsia="zh-CN" w:bidi="zh-CN"/>
      </w:rPr>
    </w:lvl>
    <w:lvl w:ilvl="2" w:tentative="0">
      <w:start w:val="0"/>
      <w:numFmt w:val="bullet"/>
      <w:lvlText w:val="•"/>
      <w:lvlJc w:val="left"/>
      <w:pPr>
        <w:ind w:left="3461" w:hanging="529"/>
      </w:pPr>
      <w:rPr>
        <w:rFonts w:hint="default"/>
        <w:lang w:val="zh-CN" w:eastAsia="zh-CN" w:bidi="zh-CN"/>
      </w:rPr>
    </w:lvl>
    <w:lvl w:ilvl="3" w:tentative="0">
      <w:start w:val="0"/>
      <w:numFmt w:val="bullet"/>
      <w:lvlText w:val="•"/>
      <w:lvlJc w:val="left"/>
      <w:pPr>
        <w:ind w:left="4371" w:hanging="529"/>
      </w:pPr>
      <w:rPr>
        <w:rFonts w:hint="default"/>
        <w:lang w:val="zh-CN" w:eastAsia="zh-CN" w:bidi="zh-CN"/>
      </w:rPr>
    </w:lvl>
    <w:lvl w:ilvl="4" w:tentative="0">
      <w:start w:val="0"/>
      <w:numFmt w:val="bullet"/>
      <w:lvlText w:val="•"/>
      <w:lvlJc w:val="left"/>
      <w:pPr>
        <w:ind w:left="5282" w:hanging="529"/>
      </w:pPr>
      <w:rPr>
        <w:rFonts w:hint="default"/>
        <w:lang w:val="zh-CN" w:eastAsia="zh-CN" w:bidi="zh-CN"/>
      </w:rPr>
    </w:lvl>
    <w:lvl w:ilvl="5" w:tentative="0">
      <w:start w:val="0"/>
      <w:numFmt w:val="bullet"/>
      <w:lvlText w:val="•"/>
      <w:lvlJc w:val="left"/>
      <w:pPr>
        <w:ind w:left="6193" w:hanging="529"/>
      </w:pPr>
      <w:rPr>
        <w:rFonts w:hint="default"/>
        <w:lang w:val="zh-CN" w:eastAsia="zh-CN" w:bidi="zh-CN"/>
      </w:rPr>
    </w:lvl>
    <w:lvl w:ilvl="6" w:tentative="0">
      <w:start w:val="0"/>
      <w:numFmt w:val="bullet"/>
      <w:lvlText w:val="•"/>
      <w:lvlJc w:val="left"/>
      <w:pPr>
        <w:ind w:left="7103" w:hanging="529"/>
      </w:pPr>
      <w:rPr>
        <w:rFonts w:hint="default"/>
        <w:lang w:val="zh-CN" w:eastAsia="zh-CN" w:bidi="zh-CN"/>
      </w:rPr>
    </w:lvl>
    <w:lvl w:ilvl="7" w:tentative="0">
      <w:start w:val="0"/>
      <w:numFmt w:val="bullet"/>
      <w:lvlText w:val="•"/>
      <w:lvlJc w:val="left"/>
      <w:pPr>
        <w:ind w:left="8014" w:hanging="529"/>
      </w:pPr>
      <w:rPr>
        <w:rFonts w:hint="default"/>
        <w:lang w:val="zh-CN" w:eastAsia="zh-CN" w:bidi="zh-CN"/>
      </w:rPr>
    </w:lvl>
    <w:lvl w:ilvl="8" w:tentative="0">
      <w:start w:val="0"/>
      <w:numFmt w:val="bullet"/>
      <w:lvlText w:val="•"/>
      <w:lvlJc w:val="left"/>
      <w:pPr>
        <w:ind w:left="8925" w:hanging="529"/>
      </w:pPr>
      <w:rPr>
        <w:rFonts w:hint="default"/>
        <w:lang w:val="zh-CN" w:eastAsia="zh-CN" w:bidi="zh-CN"/>
      </w:rPr>
    </w:lvl>
  </w:abstractNum>
  <w:abstractNum w:abstractNumId="15">
    <w:nsid w:val="7C246926"/>
    <w:multiLevelType w:val="multilevel"/>
    <w:tmpl w:val="7C246926"/>
    <w:lvl w:ilvl="0" w:tentative="0">
      <w:start w:val="8"/>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0"/>
      <w:numFmt w:val="bullet"/>
      <w:lvlText w:val="•"/>
      <w:lvlJc w:val="left"/>
      <w:pPr>
        <w:ind w:left="3381" w:hanging="423"/>
      </w:pPr>
      <w:rPr>
        <w:rFonts w:hint="default"/>
        <w:lang w:val="zh-CN" w:eastAsia="zh-CN" w:bidi="zh-CN"/>
      </w:rPr>
    </w:lvl>
    <w:lvl w:ilvl="3" w:tentative="0">
      <w:start w:val="0"/>
      <w:numFmt w:val="bullet"/>
      <w:lvlText w:val="•"/>
      <w:lvlJc w:val="left"/>
      <w:pPr>
        <w:ind w:left="4301" w:hanging="423"/>
      </w:pPr>
      <w:rPr>
        <w:rFonts w:hint="default"/>
        <w:lang w:val="zh-CN" w:eastAsia="zh-CN" w:bidi="zh-CN"/>
      </w:rPr>
    </w:lvl>
    <w:lvl w:ilvl="4" w:tentative="0">
      <w:start w:val="0"/>
      <w:numFmt w:val="bullet"/>
      <w:lvlText w:val="•"/>
      <w:lvlJc w:val="left"/>
      <w:pPr>
        <w:ind w:left="5222" w:hanging="423"/>
      </w:pPr>
      <w:rPr>
        <w:rFonts w:hint="default"/>
        <w:lang w:val="zh-CN" w:eastAsia="zh-CN" w:bidi="zh-CN"/>
      </w:rPr>
    </w:lvl>
    <w:lvl w:ilvl="5" w:tentative="0">
      <w:start w:val="0"/>
      <w:numFmt w:val="bullet"/>
      <w:lvlText w:val="•"/>
      <w:lvlJc w:val="left"/>
      <w:pPr>
        <w:ind w:left="6143" w:hanging="423"/>
      </w:pPr>
      <w:rPr>
        <w:rFonts w:hint="default"/>
        <w:lang w:val="zh-CN" w:eastAsia="zh-CN" w:bidi="zh-CN"/>
      </w:rPr>
    </w:lvl>
    <w:lvl w:ilvl="6" w:tentative="0">
      <w:start w:val="0"/>
      <w:numFmt w:val="bullet"/>
      <w:lvlText w:val="•"/>
      <w:lvlJc w:val="left"/>
      <w:pPr>
        <w:ind w:left="7063" w:hanging="423"/>
      </w:pPr>
      <w:rPr>
        <w:rFonts w:hint="default"/>
        <w:lang w:val="zh-CN" w:eastAsia="zh-CN" w:bidi="zh-CN"/>
      </w:rPr>
    </w:lvl>
    <w:lvl w:ilvl="7" w:tentative="0">
      <w:start w:val="0"/>
      <w:numFmt w:val="bullet"/>
      <w:lvlText w:val="•"/>
      <w:lvlJc w:val="left"/>
      <w:pPr>
        <w:ind w:left="7984" w:hanging="423"/>
      </w:pPr>
      <w:rPr>
        <w:rFonts w:hint="default"/>
        <w:lang w:val="zh-CN" w:eastAsia="zh-CN" w:bidi="zh-CN"/>
      </w:rPr>
    </w:lvl>
    <w:lvl w:ilvl="8" w:tentative="0">
      <w:start w:val="0"/>
      <w:numFmt w:val="bullet"/>
      <w:lvlText w:val="•"/>
      <w:lvlJc w:val="left"/>
      <w:pPr>
        <w:ind w:left="8905" w:hanging="423"/>
      </w:pPr>
      <w:rPr>
        <w:rFonts w:hint="default"/>
        <w:lang w:val="zh-CN" w:eastAsia="zh-CN" w:bidi="zh-CN"/>
      </w:rPr>
    </w:lvl>
  </w:abstractNum>
  <w:num w:numId="1">
    <w:abstractNumId w:val="6"/>
  </w:num>
  <w:num w:numId="2">
    <w:abstractNumId w:val="12"/>
  </w:num>
  <w:num w:numId="3">
    <w:abstractNumId w:val="2"/>
  </w:num>
  <w:num w:numId="4">
    <w:abstractNumId w:val="10"/>
  </w:num>
  <w:num w:numId="5">
    <w:abstractNumId w:val="4"/>
  </w:num>
  <w:num w:numId="6">
    <w:abstractNumId w:val="11"/>
  </w:num>
  <w:num w:numId="7">
    <w:abstractNumId w:val="7"/>
  </w:num>
  <w:num w:numId="8">
    <w:abstractNumId w:val="3"/>
  </w:num>
  <w:num w:numId="9">
    <w:abstractNumId w:val="9"/>
  </w:num>
  <w:num w:numId="10">
    <w:abstractNumId w:val="13"/>
  </w:num>
  <w:num w:numId="11">
    <w:abstractNumId w:val="5"/>
  </w:num>
  <w:num w:numId="12">
    <w:abstractNumId w:val="8"/>
  </w:num>
  <w:num w:numId="13">
    <w:abstractNumId w:val="0"/>
  </w:num>
  <w:num w:numId="14">
    <w:abstractNumId w:val="15"/>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kZjZmOTdkN2JmOWI2MjU1MDFhZDczYWQ3MjY3YzAifQ=="/>
  </w:docVars>
  <w:rsids>
    <w:rsidRoot w:val="5D3C1C25"/>
    <w:rsid w:val="00033864"/>
    <w:rsid w:val="000844A4"/>
    <w:rsid w:val="000E7C56"/>
    <w:rsid w:val="00125038"/>
    <w:rsid w:val="00153BEA"/>
    <w:rsid w:val="0017382A"/>
    <w:rsid w:val="001F0C7B"/>
    <w:rsid w:val="00233256"/>
    <w:rsid w:val="002409F5"/>
    <w:rsid w:val="002B4C0B"/>
    <w:rsid w:val="002C113D"/>
    <w:rsid w:val="002D2930"/>
    <w:rsid w:val="0031318F"/>
    <w:rsid w:val="00327360"/>
    <w:rsid w:val="003341E2"/>
    <w:rsid w:val="0038454E"/>
    <w:rsid w:val="003A340D"/>
    <w:rsid w:val="003B75A3"/>
    <w:rsid w:val="00402136"/>
    <w:rsid w:val="00412B35"/>
    <w:rsid w:val="00476DA7"/>
    <w:rsid w:val="0047793D"/>
    <w:rsid w:val="00491094"/>
    <w:rsid w:val="004930DE"/>
    <w:rsid w:val="004B4708"/>
    <w:rsid w:val="00534968"/>
    <w:rsid w:val="005906BE"/>
    <w:rsid w:val="005911DE"/>
    <w:rsid w:val="005D2732"/>
    <w:rsid w:val="005E0AA6"/>
    <w:rsid w:val="005E1751"/>
    <w:rsid w:val="00612A92"/>
    <w:rsid w:val="006158BC"/>
    <w:rsid w:val="00647F7D"/>
    <w:rsid w:val="0069016A"/>
    <w:rsid w:val="006F7CA0"/>
    <w:rsid w:val="0078143C"/>
    <w:rsid w:val="007E1E11"/>
    <w:rsid w:val="008073E5"/>
    <w:rsid w:val="0085173B"/>
    <w:rsid w:val="00854F56"/>
    <w:rsid w:val="00857342"/>
    <w:rsid w:val="00870773"/>
    <w:rsid w:val="008B0B71"/>
    <w:rsid w:val="008C4C62"/>
    <w:rsid w:val="0091441F"/>
    <w:rsid w:val="00921383"/>
    <w:rsid w:val="009768E6"/>
    <w:rsid w:val="009B4AF4"/>
    <w:rsid w:val="009C0C79"/>
    <w:rsid w:val="00AC32F7"/>
    <w:rsid w:val="00AD2147"/>
    <w:rsid w:val="00AE1977"/>
    <w:rsid w:val="00AF1302"/>
    <w:rsid w:val="00B00C32"/>
    <w:rsid w:val="00B07892"/>
    <w:rsid w:val="00B209C7"/>
    <w:rsid w:val="00BB3477"/>
    <w:rsid w:val="00BE6F7B"/>
    <w:rsid w:val="00BF73BA"/>
    <w:rsid w:val="00C327C7"/>
    <w:rsid w:val="00C930F7"/>
    <w:rsid w:val="00DA497C"/>
    <w:rsid w:val="00DD2260"/>
    <w:rsid w:val="00F63D8D"/>
    <w:rsid w:val="00F847DA"/>
    <w:rsid w:val="00FF2508"/>
    <w:rsid w:val="01043F8A"/>
    <w:rsid w:val="011459EF"/>
    <w:rsid w:val="0170579C"/>
    <w:rsid w:val="018B0DAC"/>
    <w:rsid w:val="018F16EE"/>
    <w:rsid w:val="01A3073B"/>
    <w:rsid w:val="01AD0A5B"/>
    <w:rsid w:val="01F802B7"/>
    <w:rsid w:val="01FC1F6B"/>
    <w:rsid w:val="01FE2EF3"/>
    <w:rsid w:val="02222CAB"/>
    <w:rsid w:val="022B2D01"/>
    <w:rsid w:val="02477318"/>
    <w:rsid w:val="027F6AB2"/>
    <w:rsid w:val="029E5B29"/>
    <w:rsid w:val="02A62291"/>
    <w:rsid w:val="02A639E3"/>
    <w:rsid w:val="03A47137"/>
    <w:rsid w:val="03E04274"/>
    <w:rsid w:val="04041910"/>
    <w:rsid w:val="042C265E"/>
    <w:rsid w:val="042F497A"/>
    <w:rsid w:val="045A0E4E"/>
    <w:rsid w:val="04617E4D"/>
    <w:rsid w:val="046576E0"/>
    <w:rsid w:val="047949CB"/>
    <w:rsid w:val="047F2D99"/>
    <w:rsid w:val="04822A7D"/>
    <w:rsid w:val="04B121DD"/>
    <w:rsid w:val="04BC6AA9"/>
    <w:rsid w:val="04D03790"/>
    <w:rsid w:val="05850883"/>
    <w:rsid w:val="05886703"/>
    <w:rsid w:val="05B049C2"/>
    <w:rsid w:val="05ED10C5"/>
    <w:rsid w:val="061E73DF"/>
    <w:rsid w:val="065B5C4B"/>
    <w:rsid w:val="067368D6"/>
    <w:rsid w:val="068220F2"/>
    <w:rsid w:val="06C70B10"/>
    <w:rsid w:val="06CB524F"/>
    <w:rsid w:val="06D81CEE"/>
    <w:rsid w:val="07623DAB"/>
    <w:rsid w:val="077C0E83"/>
    <w:rsid w:val="077F7ED4"/>
    <w:rsid w:val="078A03D3"/>
    <w:rsid w:val="078C006A"/>
    <w:rsid w:val="07AF4BDF"/>
    <w:rsid w:val="07C5140B"/>
    <w:rsid w:val="07CC53F8"/>
    <w:rsid w:val="0837394D"/>
    <w:rsid w:val="085133EF"/>
    <w:rsid w:val="088506AC"/>
    <w:rsid w:val="08931CE3"/>
    <w:rsid w:val="08937159"/>
    <w:rsid w:val="0895702F"/>
    <w:rsid w:val="08BD083D"/>
    <w:rsid w:val="08DC4C5E"/>
    <w:rsid w:val="0911374A"/>
    <w:rsid w:val="0932602D"/>
    <w:rsid w:val="09897638"/>
    <w:rsid w:val="0997064E"/>
    <w:rsid w:val="09B16017"/>
    <w:rsid w:val="09C3279C"/>
    <w:rsid w:val="09E87C00"/>
    <w:rsid w:val="0A14667A"/>
    <w:rsid w:val="0A154BBB"/>
    <w:rsid w:val="0A5C69B4"/>
    <w:rsid w:val="0A655241"/>
    <w:rsid w:val="0A656024"/>
    <w:rsid w:val="0A99092D"/>
    <w:rsid w:val="0A9B6453"/>
    <w:rsid w:val="0AA73FEB"/>
    <w:rsid w:val="0ACA4B2C"/>
    <w:rsid w:val="0AD06965"/>
    <w:rsid w:val="0AE67429"/>
    <w:rsid w:val="0AF97E9C"/>
    <w:rsid w:val="0B0B5912"/>
    <w:rsid w:val="0B372D1F"/>
    <w:rsid w:val="0B480490"/>
    <w:rsid w:val="0B5A1D05"/>
    <w:rsid w:val="0BE9062E"/>
    <w:rsid w:val="0BF12882"/>
    <w:rsid w:val="0C191078"/>
    <w:rsid w:val="0C7602E0"/>
    <w:rsid w:val="0C8748EC"/>
    <w:rsid w:val="0C924B96"/>
    <w:rsid w:val="0D2C61F5"/>
    <w:rsid w:val="0D4B7857"/>
    <w:rsid w:val="0D6B4803"/>
    <w:rsid w:val="0D6F3932"/>
    <w:rsid w:val="0D736CAA"/>
    <w:rsid w:val="0D935B07"/>
    <w:rsid w:val="0D9A76F7"/>
    <w:rsid w:val="0DED128D"/>
    <w:rsid w:val="0E057E8B"/>
    <w:rsid w:val="0E1F3B7E"/>
    <w:rsid w:val="0E2350DD"/>
    <w:rsid w:val="0E2D4A2B"/>
    <w:rsid w:val="0E5D3BCD"/>
    <w:rsid w:val="0E6B25E0"/>
    <w:rsid w:val="0EDD42A1"/>
    <w:rsid w:val="0EDE26BA"/>
    <w:rsid w:val="0F0142C0"/>
    <w:rsid w:val="0F07789F"/>
    <w:rsid w:val="0F2E27F4"/>
    <w:rsid w:val="0F4A28B7"/>
    <w:rsid w:val="0F4E7F38"/>
    <w:rsid w:val="0F70754D"/>
    <w:rsid w:val="0FA253C6"/>
    <w:rsid w:val="0FCC42D5"/>
    <w:rsid w:val="10235FA8"/>
    <w:rsid w:val="10283467"/>
    <w:rsid w:val="1029345F"/>
    <w:rsid w:val="102D6EF8"/>
    <w:rsid w:val="103C0757"/>
    <w:rsid w:val="10502832"/>
    <w:rsid w:val="10521CAA"/>
    <w:rsid w:val="10AE220A"/>
    <w:rsid w:val="10C140E6"/>
    <w:rsid w:val="10C55789"/>
    <w:rsid w:val="10E341AD"/>
    <w:rsid w:val="10EF1D3F"/>
    <w:rsid w:val="113D64B6"/>
    <w:rsid w:val="11664425"/>
    <w:rsid w:val="116C5ACF"/>
    <w:rsid w:val="11B80C24"/>
    <w:rsid w:val="11E7049D"/>
    <w:rsid w:val="11F23DC1"/>
    <w:rsid w:val="121A72D7"/>
    <w:rsid w:val="129A0B48"/>
    <w:rsid w:val="12A15015"/>
    <w:rsid w:val="12A72B1B"/>
    <w:rsid w:val="12A87B78"/>
    <w:rsid w:val="12B23F2D"/>
    <w:rsid w:val="12EA71CA"/>
    <w:rsid w:val="12FB7214"/>
    <w:rsid w:val="13051255"/>
    <w:rsid w:val="130F60A2"/>
    <w:rsid w:val="130F6FFB"/>
    <w:rsid w:val="137B2E55"/>
    <w:rsid w:val="13E30DA4"/>
    <w:rsid w:val="13F405E7"/>
    <w:rsid w:val="14066997"/>
    <w:rsid w:val="145631F5"/>
    <w:rsid w:val="145A112D"/>
    <w:rsid w:val="146752B8"/>
    <w:rsid w:val="14756AA5"/>
    <w:rsid w:val="14796F39"/>
    <w:rsid w:val="147B72C7"/>
    <w:rsid w:val="14A33C22"/>
    <w:rsid w:val="150F1F18"/>
    <w:rsid w:val="15714D67"/>
    <w:rsid w:val="157D20CE"/>
    <w:rsid w:val="15B87CB7"/>
    <w:rsid w:val="15BD7FFD"/>
    <w:rsid w:val="15C21175"/>
    <w:rsid w:val="15E323CB"/>
    <w:rsid w:val="161812A0"/>
    <w:rsid w:val="162403A9"/>
    <w:rsid w:val="166640D8"/>
    <w:rsid w:val="16A56315"/>
    <w:rsid w:val="16A7753E"/>
    <w:rsid w:val="16AB3714"/>
    <w:rsid w:val="16B94DAF"/>
    <w:rsid w:val="172123D6"/>
    <w:rsid w:val="17A5417B"/>
    <w:rsid w:val="17CF3B34"/>
    <w:rsid w:val="17E5754F"/>
    <w:rsid w:val="17ED041F"/>
    <w:rsid w:val="17FD7783"/>
    <w:rsid w:val="18013D6F"/>
    <w:rsid w:val="18033FBC"/>
    <w:rsid w:val="180968B5"/>
    <w:rsid w:val="181B1700"/>
    <w:rsid w:val="18413ED4"/>
    <w:rsid w:val="18432D74"/>
    <w:rsid w:val="18483D4A"/>
    <w:rsid w:val="184B14B9"/>
    <w:rsid w:val="18763E8D"/>
    <w:rsid w:val="18AF2275"/>
    <w:rsid w:val="18C1390E"/>
    <w:rsid w:val="19204742"/>
    <w:rsid w:val="19341571"/>
    <w:rsid w:val="198A6BFB"/>
    <w:rsid w:val="19BC5E74"/>
    <w:rsid w:val="1A017FB8"/>
    <w:rsid w:val="1A2A5235"/>
    <w:rsid w:val="1A6C5F9E"/>
    <w:rsid w:val="1A954629"/>
    <w:rsid w:val="1A9721E2"/>
    <w:rsid w:val="1A9D3795"/>
    <w:rsid w:val="1ABF08C1"/>
    <w:rsid w:val="1ACD5143"/>
    <w:rsid w:val="1AD0039B"/>
    <w:rsid w:val="1ADF459A"/>
    <w:rsid w:val="1AF057B4"/>
    <w:rsid w:val="1AF433CA"/>
    <w:rsid w:val="1B0010E2"/>
    <w:rsid w:val="1B0B13D3"/>
    <w:rsid w:val="1B125322"/>
    <w:rsid w:val="1B3B735E"/>
    <w:rsid w:val="1B453F95"/>
    <w:rsid w:val="1B527002"/>
    <w:rsid w:val="1B534396"/>
    <w:rsid w:val="1B610821"/>
    <w:rsid w:val="1B6259B1"/>
    <w:rsid w:val="1C001FD3"/>
    <w:rsid w:val="1C0025BA"/>
    <w:rsid w:val="1C180F75"/>
    <w:rsid w:val="1C3130D1"/>
    <w:rsid w:val="1C4E5645"/>
    <w:rsid w:val="1C525C01"/>
    <w:rsid w:val="1CB0381F"/>
    <w:rsid w:val="1CD27612"/>
    <w:rsid w:val="1D0F3F70"/>
    <w:rsid w:val="1D3B7376"/>
    <w:rsid w:val="1D4C3652"/>
    <w:rsid w:val="1D5C1A72"/>
    <w:rsid w:val="1D5D1061"/>
    <w:rsid w:val="1D603D0E"/>
    <w:rsid w:val="1DB25B36"/>
    <w:rsid w:val="1DDA6E3B"/>
    <w:rsid w:val="1DE27A9B"/>
    <w:rsid w:val="1E062EF9"/>
    <w:rsid w:val="1E5B0BFD"/>
    <w:rsid w:val="1E6B3AD5"/>
    <w:rsid w:val="1E6B485C"/>
    <w:rsid w:val="1E744ECE"/>
    <w:rsid w:val="1E866D89"/>
    <w:rsid w:val="1EB82DE9"/>
    <w:rsid w:val="1EC33379"/>
    <w:rsid w:val="1EE41797"/>
    <w:rsid w:val="1EE63F52"/>
    <w:rsid w:val="1F036097"/>
    <w:rsid w:val="1F5D502D"/>
    <w:rsid w:val="1F784B5D"/>
    <w:rsid w:val="1F97071C"/>
    <w:rsid w:val="1FA4400A"/>
    <w:rsid w:val="1FD30694"/>
    <w:rsid w:val="1FEE422D"/>
    <w:rsid w:val="20287200"/>
    <w:rsid w:val="20377715"/>
    <w:rsid w:val="204430CA"/>
    <w:rsid w:val="2071675E"/>
    <w:rsid w:val="20BF2CF5"/>
    <w:rsid w:val="20E5145A"/>
    <w:rsid w:val="210668C5"/>
    <w:rsid w:val="21115269"/>
    <w:rsid w:val="21163440"/>
    <w:rsid w:val="211F4451"/>
    <w:rsid w:val="212E0D3F"/>
    <w:rsid w:val="21885769"/>
    <w:rsid w:val="21A60871"/>
    <w:rsid w:val="21D40771"/>
    <w:rsid w:val="21E86BE4"/>
    <w:rsid w:val="221950F4"/>
    <w:rsid w:val="22354D32"/>
    <w:rsid w:val="224325F7"/>
    <w:rsid w:val="228578C0"/>
    <w:rsid w:val="22942FEF"/>
    <w:rsid w:val="22D41B5C"/>
    <w:rsid w:val="22EA70C8"/>
    <w:rsid w:val="22EB329F"/>
    <w:rsid w:val="22F904F4"/>
    <w:rsid w:val="23003ECC"/>
    <w:rsid w:val="231160B0"/>
    <w:rsid w:val="23383611"/>
    <w:rsid w:val="23410F88"/>
    <w:rsid w:val="235A65D4"/>
    <w:rsid w:val="236279FF"/>
    <w:rsid w:val="237B176D"/>
    <w:rsid w:val="237C0DA4"/>
    <w:rsid w:val="23A90D6C"/>
    <w:rsid w:val="23C70B8D"/>
    <w:rsid w:val="24142190"/>
    <w:rsid w:val="244530C4"/>
    <w:rsid w:val="24BC7B22"/>
    <w:rsid w:val="24CB7AAA"/>
    <w:rsid w:val="24EC7AFC"/>
    <w:rsid w:val="251037E6"/>
    <w:rsid w:val="25166985"/>
    <w:rsid w:val="25190E06"/>
    <w:rsid w:val="25657932"/>
    <w:rsid w:val="258059DB"/>
    <w:rsid w:val="25D24FC7"/>
    <w:rsid w:val="25D97BAB"/>
    <w:rsid w:val="25DF6071"/>
    <w:rsid w:val="26267231"/>
    <w:rsid w:val="26284BE7"/>
    <w:rsid w:val="262D10DA"/>
    <w:rsid w:val="265C2AE3"/>
    <w:rsid w:val="266876DA"/>
    <w:rsid w:val="26B92AF4"/>
    <w:rsid w:val="26FC1A9D"/>
    <w:rsid w:val="27003979"/>
    <w:rsid w:val="275163C0"/>
    <w:rsid w:val="275B7EA8"/>
    <w:rsid w:val="277C4B13"/>
    <w:rsid w:val="279E4C87"/>
    <w:rsid w:val="27D510E9"/>
    <w:rsid w:val="27E631F4"/>
    <w:rsid w:val="2805217F"/>
    <w:rsid w:val="28340955"/>
    <w:rsid w:val="28591B56"/>
    <w:rsid w:val="28701C3F"/>
    <w:rsid w:val="287E4F92"/>
    <w:rsid w:val="287F6623"/>
    <w:rsid w:val="28AB79FB"/>
    <w:rsid w:val="28C1391A"/>
    <w:rsid w:val="28E42828"/>
    <w:rsid w:val="28F200CC"/>
    <w:rsid w:val="291867FE"/>
    <w:rsid w:val="293B7F93"/>
    <w:rsid w:val="29683A91"/>
    <w:rsid w:val="297E7AAC"/>
    <w:rsid w:val="29EB0427"/>
    <w:rsid w:val="2A17015C"/>
    <w:rsid w:val="2A351DCE"/>
    <w:rsid w:val="2A5E7E2D"/>
    <w:rsid w:val="2A6B1A3E"/>
    <w:rsid w:val="2A8F290F"/>
    <w:rsid w:val="2ACB6489"/>
    <w:rsid w:val="2AE1011D"/>
    <w:rsid w:val="2AE72014"/>
    <w:rsid w:val="2B1B25CC"/>
    <w:rsid w:val="2B232D3C"/>
    <w:rsid w:val="2B370ECB"/>
    <w:rsid w:val="2B3B08D7"/>
    <w:rsid w:val="2B4106D8"/>
    <w:rsid w:val="2B446088"/>
    <w:rsid w:val="2B4F58E9"/>
    <w:rsid w:val="2B5301FE"/>
    <w:rsid w:val="2B602555"/>
    <w:rsid w:val="2BBB52B6"/>
    <w:rsid w:val="2BD8128F"/>
    <w:rsid w:val="2BDC7779"/>
    <w:rsid w:val="2C0053B3"/>
    <w:rsid w:val="2C126355"/>
    <w:rsid w:val="2C213A3D"/>
    <w:rsid w:val="2C267E1B"/>
    <w:rsid w:val="2C3A0924"/>
    <w:rsid w:val="2C4C04FD"/>
    <w:rsid w:val="2C816721"/>
    <w:rsid w:val="2CBD5E20"/>
    <w:rsid w:val="2CE743BF"/>
    <w:rsid w:val="2D656112"/>
    <w:rsid w:val="2DF823FE"/>
    <w:rsid w:val="2E0F337C"/>
    <w:rsid w:val="2E4E51E3"/>
    <w:rsid w:val="2E8F7F79"/>
    <w:rsid w:val="2EDD58B7"/>
    <w:rsid w:val="2EE54FAD"/>
    <w:rsid w:val="2F1226EF"/>
    <w:rsid w:val="2F370591"/>
    <w:rsid w:val="2F4E2342"/>
    <w:rsid w:val="2FA372B0"/>
    <w:rsid w:val="2FA379D4"/>
    <w:rsid w:val="30001021"/>
    <w:rsid w:val="300246FB"/>
    <w:rsid w:val="300A1F90"/>
    <w:rsid w:val="303650ED"/>
    <w:rsid w:val="30715AC5"/>
    <w:rsid w:val="307B178A"/>
    <w:rsid w:val="30A27C8C"/>
    <w:rsid w:val="30DD2B3D"/>
    <w:rsid w:val="30E97745"/>
    <w:rsid w:val="30FE03AA"/>
    <w:rsid w:val="3108615A"/>
    <w:rsid w:val="31157AC3"/>
    <w:rsid w:val="312206F4"/>
    <w:rsid w:val="312B41D4"/>
    <w:rsid w:val="313A6AED"/>
    <w:rsid w:val="3160596F"/>
    <w:rsid w:val="31634333"/>
    <w:rsid w:val="31C83722"/>
    <w:rsid w:val="31DB090A"/>
    <w:rsid w:val="31DF6B8A"/>
    <w:rsid w:val="31F35861"/>
    <w:rsid w:val="31F5162C"/>
    <w:rsid w:val="3203237E"/>
    <w:rsid w:val="32133C80"/>
    <w:rsid w:val="322A4F14"/>
    <w:rsid w:val="326353E8"/>
    <w:rsid w:val="32886237"/>
    <w:rsid w:val="32912D98"/>
    <w:rsid w:val="329A7195"/>
    <w:rsid w:val="32DE76C4"/>
    <w:rsid w:val="32F85F09"/>
    <w:rsid w:val="331777ED"/>
    <w:rsid w:val="332F5ADE"/>
    <w:rsid w:val="33787382"/>
    <w:rsid w:val="33977850"/>
    <w:rsid w:val="33C37322"/>
    <w:rsid w:val="33DF1AAE"/>
    <w:rsid w:val="34036258"/>
    <w:rsid w:val="34253FE3"/>
    <w:rsid w:val="342E0004"/>
    <w:rsid w:val="343E1A7A"/>
    <w:rsid w:val="34434464"/>
    <w:rsid w:val="34484BF8"/>
    <w:rsid w:val="345B1D64"/>
    <w:rsid w:val="34666A21"/>
    <w:rsid w:val="34EC009F"/>
    <w:rsid w:val="354642E9"/>
    <w:rsid w:val="354A3A66"/>
    <w:rsid w:val="357A569D"/>
    <w:rsid w:val="35945DE1"/>
    <w:rsid w:val="35AB75E3"/>
    <w:rsid w:val="35E75CDE"/>
    <w:rsid w:val="35ED5A5B"/>
    <w:rsid w:val="36145188"/>
    <w:rsid w:val="362D4ADA"/>
    <w:rsid w:val="368D5C2E"/>
    <w:rsid w:val="36A023A0"/>
    <w:rsid w:val="36DF54A2"/>
    <w:rsid w:val="36E001D7"/>
    <w:rsid w:val="371B5F2F"/>
    <w:rsid w:val="373A660A"/>
    <w:rsid w:val="37BE100C"/>
    <w:rsid w:val="37EC46B1"/>
    <w:rsid w:val="37F449CB"/>
    <w:rsid w:val="37F91C46"/>
    <w:rsid w:val="383C09C6"/>
    <w:rsid w:val="383E5CD8"/>
    <w:rsid w:val="384A6C3F"/>
    <w:rsid w:val="38530A4C"/>
    <w:rsid w:val="38954198"/>
    <w:rsid w:val="38B247E4"/>
    <w:rsid w:val="38CC3F24"/>
    <w:rsid w:val="39044271"/>
    <w:rsid w:val="39495F88"/>
    <w:rsid w:val="39F74718"/>
    <w:rsid w:val="3A036485"/>
    <w:rsid w:val="3A2D1343"/>
    <w:rsid w:val="3A5C6EB6"/>
    <w:rsid w:val="3A6E7548"/>
    <w:rsid w:val="3AA33AFD"/>
    <w:rsid w:val="3AE63920"/>
    <w:rsid w:val="3AE7387A"/>
    <w:rsid w:val="3AF24DD9"/>
    <w:rsid w:val="3B0B7708"/>
    <w:rsid w:val="3B0C46CF"/>
    <w:rsid w:val="3B140C85"/>
    <w:rsid w:val="3B53035A"/>
    <w:rsid w:val="3B6379AA"/>
    <w:rsid w:val="3B743982"/>
    <w:rsid w:val="3BEA5133"/>
    <w:rsid w:val="3C047A4D"/>
    <w:rsid w:val="3C223952"/>
    <w:rsid w:val="3CA120F2"/>
    <w:rsid w:val="3CAA05F4"/>
    <w:rsid w:val="3CCC6202"/>
    <w:rsid w:val="3CE24597"/>
    <w:rsid w:val="3CEC364C"/>
    <w:rsid w:val="3CF629FB"/>
    <w:rsid w:val="3D054AAD"/>
    <w:rsid w:val="3D26606D"/>
    <w:rsid w:val="3D713BAE"/>
    <w:rsid w:val="3DB65294"/>
    <w:rsid w:val="3DB930FB"/>
    <w:rsid w:val="3DC373DD"/>
    <w:rsid w:val="3DC83D54"/>
    <w:rsid w:val="3DC900EC"/>
    <w:rsid w:val="3DD1395F"/>
    <w:rsid w:val="3DEE0CE7"/>
    <w:rsid w:val="3DEE24DE"/>
    <w:rsid w:val="3E057C97"/>
    <w:rsid w:val="3E174EC3"/>
    <w:rsid w:val="3E3378D1"/>
    <w:rsid w:val="3E792460"/>
    <w:rsid w:val="3E834424"/>
    <w:rsid w:val="3E8606E5"/>
    <w:rsid w:val="3E9A1ED7"/>
    <w:rsid w:val="3EC61B9F"/>
    <w:rsid w:val="3EC81238"/>
    <w:rsid w:val="3F035D9A"/>
    <w:rsid w:val="3F1D444F"/>
    <w:rsid w:val="3F204B9E"/>
    <w:rsid w:val="3F24318A"/>
    <w:rsid w:val="3F544789"/>
    <w:rsid w:val="3F641E44"/>
    <w:rsid w:val="3F7C5277"/>
    <w:rsid w:val="3F9D30E0"/>
    <w:rsid w:val="3FDA4F9A"/>
    <w:rsid w:val="400E2C48"/>
    <w:rsid w:val="400F4C6A"/>
    <w:rsid w:val="401217A0"/>
    <w:rsid w:val="40310822"/>
    <w:rsid w:val="40340C49"/>
    <w:rsid w:val="40346545"/>
    <w:rsid w:val="403B74FF"/>
    <w:rsid w:val="404C567C"/>
    <w:rsid w:val="404D7506"/>
    <w:rsid w:val="407E7726"/>
    <w:rsid w:val="40CE48A0"/>
    <w:rsid w:val="40FB1897"/>
    <w:rsid w:val="41106359"/>
    <w:rsid w:val="4175609D"/>
    <w:rsid w:val="418F1FA7"/>
    <w:rsid w:val="41DC62C1"/>
    <w:rsid w:val="41DE544A"/>
    <w:rsid w:val="41DF00E0"/>
    <w:rsid w:val="41F56C71"/>
    <w:rsid w:val="422C4DEC"/>
    <w:rsid w:val="429D1E53"/>
    <w:rsid w:val="42DC36E1"/>
    <w:rsid w:val="42DE1690"/>
    <w:rsid w:val="43003087"/>
    <w:rsid w:val="432F5C4D"/>
    <w:rsid w:val="439E0787"/>
    <w:rsid w:val="43AA7417"/>
    <w:rsid w:val="43CC4DA1"/>
    <w:rsid w:val="44031453"/>
    <w:rsid w:val="44273565"/>
    <w:rsid w:val="443D58AA"/>
    <w:rsid w:val="44525197"/>
    <w:rsid w:val="44662FEC"/>
    <w:rsid w:val="447C5627"/>
    <w:rsid w:val="448572BB"/>
    <w:rsid w:val="44A17A7F"/>
    <w:rsid w:val="44AB4BE5"/>
    <w:rsid w:val="44B32686"/>
    <w:rsid w:val="44BD42D5"/>
    <w:rsid w:val="44FD11A6"/>
    <w:rsid w:val="450B1A2F"/>
    <w:rsid w:val="453E4DD6"/>
    <w:rsid w:val="454F1D39"/>
    <w:rsid w:val="45675DE9"/>
    <w:rsid w:val="45715A81"/>
    <w:rsid w:val="46091651"/>
    <w:rsid w:val="460E6501"/>
    <w:rsid w:val="463E49BE"/>
    <w:rsid w:val="468B3FE8"/>
    <w:rsid w:val="46B06807"/>
    <w:rsid w:val="46B34FBD"/>
    <w:rsid w:val="46CD1CB3"/>
    <w:rsid w:val="470D0153"/>
    <w:rsid w:val="471F495D"/>
    <w:rsid w:val="47431429"/>
    <w:rsid w:val="475A6773"/>
    <w:rsid w:val="475C345C"/>
    <w:rsid w:val="47944278"/>
    <w:rsid w:val="47B440D5"/>
    <w:rsid w:val="47F01CA2"/>
    <w:rsid w:val="47F9242E"/>
    <w:rsid w:val="481D5A9C"/>
    <w:rsid w:val="482A2FE2"/>
    <w:rsid w:val="48B416F7"/>
    <w:rsid w:val="48DB0182"/>
    <w:rsid w:val="48DD2830"/>
    <w:rsid w:val="48E8704E"/>
    <w:rsid w:val="48ED6F66"/>
    <w:rsid w:val="48FA6D11"/>
    <w:rsid w:val="49025314"/>
    <w:rsid w:val="4907292A"/>
    <w:rsid w:val="49792CCC"/>
    <w:rsid w:val="499F167E"/>
    <w:rsid w:val="49EA64D4"/>
    <w:rsid w:val="4A142192"/>
    <w:rsid w:val="4A4D0C8A"/>
    <w:rsid w:val="4A6368C6"/>
    <w:rsid w:val="4A6C7929"/>
    <w:rsid w:val="4AB316C2"/>
    <w:rsid w:val="4AB8212E"/>
    <w:rsid w:val="4ABE6A00"/>
    <w:rsid w:val="4AE23A24"/>
    <w:rsid w:val="4AF14BCD"/>
    <w:rsid w:val="4B21049A"/>
    <w:rsid w:val="4B223576"/>
    <w:rsid w:val="4B364AE0"/>
    <w:rsid w:val="4B642CA7"/>
    <w:rsid w:val="4B9122B4"/>
    <w:rsid w:val="4C2E4522"/>
    <w:rsid w:val="4C3222A5"/>
    <w:rsid w:val="4C4F26E4"/>
    <w:rsid w:val="4C8F2C1A"/>
    <w:rsid w:val="4C9269AF"/>
    <w:rsid w:val="4C9727E9"/>
    <w:rsid w:val="4C9A4A62"/>
    <w:rsid w:val="4CB16E35"/>
    <w:rsid w:val="4CC12DA8"/>
    <w:rsid w:val="4CF1531E"/>
    <w:rsid w:val="4CFB3921"/>
    <w:rsid w:val="4D0C5663"/>
    <w:rsid w:val="4D3961C3"/>
    <w:rsid w:val="4DED1332"/>
    <w:rsid w:val="4DF44A1E"/>
    <w:rsid w:val="4E2B0E69"/>
    <w:rsid w:val="4E46667C"/>
    <w:rsid w:val="4E4C1829"/>
    <w:rsid w:val="4E51029F"/>
    <w:rsid w:val="4E702843"/>
    <w:rsid w:val="4F231216"/>
    <w:rsid w:val="4F3014F0"/>
    <w:rsid w:val="4F730F3A"/>
    <w:rsid w:val="4F781E8C"/>
    <w:rsid w:val="4FC630D9"/>
    <w:rsid w:val="4FD81D51"/>
    <w:rsid w:val="4FFD000A"/>
    <w:rsid w:val="5015592D"/>
    <w:rsid w:val="501D5247"/>
    <w:rsid w:val="50547B58"/>
    <w:rsid w:val="507D6C91"/>
    <w:rsid w:val="508A55B2"/>
    <w:rsid w:val="508E4603"/>
    <w:rsid w:val="509567D7"/>
    <w:rsid w:val="50A81AB3"/>
    <w:rsid w:val="50B31369"/>
    <w:rsid w:val="50BF55B1"/>
    <w:rsid w:val="50DE6650"/>
    <w:rsid w:val="50E315C3"/>
    <w:rsid w:val="50F00AC6"/>
    <w:rsid w:val="50FA4079"/>
    <w:rsid w:val="50FC32DA"/>
    <w:rsid w:val="5102356A"/>
    <w:rsid w:val="510B56EB"/>
    <w:rsid w:val="511A50B4"/>
    <w:rsid w:val="511C31E0"/>
    <w:rsid w:val="51241D00"/>
    <w:rsid w:val="51503E3E"/>
    <w:rsid w:val="515D61BE"/>
    <w:rsid w:val="516C21AF"/>
    <w:rsid w:val="51856043"/>
    <w:rsid w:val="51994A43"/>
    <w:rsid w:val="51B01DB1"/>
    <w:rsid w:val="52050683"/>
    <w:rsid w:val="524B7C19"/>
    <w:rsid w:val="525A3ACB"/>
    <w:rsid w:val="527C4F76"/>
    <w:rsid w:val="528818DA"/>
    <w:rsid w:val="52A620C0"/>
    <w:rsid w:val="52D753D2"/>
    <w:rsid w:val="52DD3021"/>
    <w:rsid w:val="52E4315A"/>
    <w:rsid w:val="52F12B07"/>
    <w:rsid w:val="533B6238"/>
    <w:rsid w:val="534757D7"/>
    <w:rsid w:val="53611783"/>
    <w:rsid w:val="536F4BFA"/>
    <w:rsid w:val="539502D3"/>
    <w:rsid w:val="539636EE"/>
    <w:rsid w:val="53AC13AA"/>
    <w:rsid w:val="53C441A7"/>
    <w:rsid w:val="53D14F4E"/>
    <w:rsid w:val="53E64F0C"/>
    <w:rsid w:val="544912BE"/>
    <w:rsid w:val="5475166C"/>
    <w:rsid w:val="54937BFF"/>
    <w:rsid w:val="54C33BA9"/>
    <w:rsid w:val="54C811C0"/>
    <w:rsid w:val="55186F5E"/>
    <w:rsid w:val="551F5819"/>
    <w:rsid w:val="55255AD8"/>
    <w:rsid w:val="55356658"/>
    <w:rsid w:val="55CB540B"/>
    <w:rsid w:val="55E356AB"/>
    <w:rsid w:val="55E572F2"/>
    <w:rsid w:val="55FC1C85"/>
    <w:rsid w:val="56215531"/>
    <w:rsid w:val="56280B45"/>
    <w:rsid w:val="562A5257"/>
    <w:rsid w:val="564105EA"/>
    <w:rsid w:val="5645019F"/>
    <w:rsid w:val="56595538"/>
    <w:rsid w:val="57086E27"/>
    <w:rsid w:val="574E1328"/>
    <w:rsid w:val="57553F52"/>
    <w:rsid w:val="57677350"/>
    <w:rsid w:val="58200DBF"/>
    <w:rsid w:val="58287F4C"/>
    <w:rsid w:val="5830598C"/>
    <w:rsid w:val="584274DB"/>
    <w:rsid w:val="588D2487"/>
    <w:rsid w:val="590F38F8"/>
    <w:rsid w:val="594A3A1A"/>
    <w:rsid w:val="59963A48"/>
    <w:rsid w:val="59A06665"/>
    <w:rsid w:val="59A10F73"/>
    <w:rsid w:val="5A2275C4"/>
    <w:rsid w:val="5A533C21"/>
    <w:rsid w:val="5AB75F5E"/>
    <w:rsid w:val="5AD22D98"/>
    <w:rsid w:val="5AF90BB1"/>
    <w:rsid w:val="5B090844"/>
    <w:rsid w:val="5B276C80"/>
    <w:rsid w:val="5B2F3A82"/>
    <w:rsid w:val="5BAB70BC"/>
    <w:rsid w:val="5BB22BCA"/>
    <w:rsid w:val="5BC31BCA"/>
    <w:rsid w:val="5BDD6953"/>
    <w:rsid w:val="5BE91621"/>
    <w:rsid w:val="5BF21D77"/>
    <w:rsid w:val="5C0A4BB5"/>
    <w:rsid w:val="5C0D7A7E"/>
    <w:rsid w:val="5C11169E"/>
    <w:rsid w:val="5C2A125B"/>
    <w:rsid w:val="5C6379FB"/>
    <w:rsid w:val="5C882039"/>
    <w:rsid w:val="5CAC11E6"/>
    <w:rsid w:val="5CDB687E"/>
    <w:rsid w:val="5D3C1C25"/>
    <w:rsid w:val="5D8B325F"/>
    <w:rsid w:val="5E690CAF"/>
    <w:rsid w:val="5EAC1B52"/>
    <w:rsid w:val="5EC11774"/>
    <w:rsid w:val="5EE412EC"/>
    <w:rsid w:val="5EE4753E"/>
    <w:rsid w:val="5F725A0A"/>
    <w:rsid w:val="5F8108E9"/>
    <w:rsid w:val="5F8361FF"/>
    <w:rsid w:val="600B4FBD"/>
    <w:rsid w:val="605D2E1B"/>
    <w:rsid w:val="605E61E3"/>
    <w:rsid w:val="606E5A0D"/>
    <w:rsid w:val="607A4915"/>
    <w:rsid w:val="609133E5"/>
    <w:rsid w:val="60BC76D3"/>
    <w:rsid w:val="60F26373"/>
    <w:rsid w:val="61045019"/>
    <w:rsid w:val="610C198B"/>
    <w:rsid w:val="611B5F9E"/>
    <w:rsid w:val="6121449D"/>
    <w:rsid w:val="61412A26"/>
    <w:rsid w:val="6152637D"/>
    <w:rsid w:val="615379DD"/>
    <w:rsid w:val="616436A0"/>
    <w:rsid w:val="61705A0E"/>
    <w:rsid w:val="617169D6"/>
    <w:rsid w:val="61812D8F"/>
    <w:rsid w:val="618303FC"/>
    <w:rsid w:val="618943CD"/>
    <w:rsid w:val="61B50D1E"/>
    <w:rsid w:val="61E57855"/>
    <w:rsid w:val="62300626"/>
    <w:rsid w:val="623F6839"/>
    <w:rsid w:val="624E518E"/>
    <w:rsid w:val="62531B60"/>
    <w:rsid w:val="6278519F"/>
    <w:rsid w:val="62950201"/>
    <w:rsid w:val="629F56C4"/>
    <w:rsid w:val="62CC1739"/>
    <w:rsid w:val="62EC69C1"/>
    <w:rsid w:val="630278B8"/>
    <w:rsid w:val="631C3F6F"/>
    <w:rsid w:val="6338087F"/>
    <w:rsid w:val="63673829"/>
    <w:rsid w:val="63731178"/>
    <w:rsid w:val="63DC5122"/>
    <w:rsid w:val="640F6C6E"/>
    <w:rsid w:val="64324EF7"/>
    <w:rsid w:val="643C51C3"/>
    <w:rsid w:val="644A2B1B"/>
    <w:rsid w:val="646157DF"/>
    <w:rsid w:val="6465428E"/>
    <w:rsid w:val="64BC6AE4"/>
    <w:rsid w:val="64C7624D"/>
    <w:rsid w:val="64CD59D0"/>
    <w:rsid w:val="64D67929"/>
    <w:rsid w:val="64E255B3"/>
    <w:rsid w:val="650D43FC"/>
    <w:rsid w:val="6534432C"/>
    <w:rsid w:val="65BD1637"/>
    <w:rsid w:val="65E25E59"/>
    <w:rsid w:val="65E56A42"/>
    <w:rsid w:val="660A0A4E"/>
    <w:rsid w:val="66137AD4"/>
    <w:rsid w:val="66214BD4"/>
    <w:rsid w:val="664D09C1"/>
    <w:rsid w:val="66552ACF"/>
    <w:rsid w:val="669E0CA6"/>
    <w:rsid w:val="66A05FD0"/>
    <w:rsid w:val="66AA7BE4"/>
    <w:rsid w:val="66CC17E6"/>
    <w:rsid w:val="6732696D"/>
    <w:rsid w:val="67B112C8"/>
    <w:rsid w:val="67E277A5"/>
    <w:rsid w:val="67F67887"/>
    <w:rsid w:val="67F7525A"/>
    <w:rsid w:val="68183DB4"/>
    <w:rsid w:val="685829DA"/>
    <w:rsid w:val="688B1E3F"/>
    <w:rsid w:val="6891571C"/>
    <w:rsid w:val="68916A84"/>
    <w:rsid w:val="68CB1071"/>
    <w:rsid w:val="692E49A5"/>
    <w:rsid w:val="69581A19"/>
    <w:rsid w:val="69757AEE"/>
    <w:rsid w:val="697D5297"/>
    <w:rsid w:val="69942474"/>
    <w:rsid w:val="69953DA0"/>
    <w:rsid w:val="699F4A74"/>
    <w:rsid w:val="69F039A4"/>
    <w:rsid w:val="6A2627B9"/>
    <w:rsid w:val="6A2E3D63"/>
    <w:rsid w:val="6A436A18"/>
    <w:rsid w:val="6A6E5145"/>
    <w:rsid w:val="6A984624"/>
    <w:rsid w:val="6AC20675"/>
    <w:rsid w:val="6AD654B6"/>
    <w:rsid w:val="6AFE1987"/>
    <w:rsid w:val="6B517D1A"/>
    <w:rsid w:val="6B56531F"/>
    <w:rsid w:val="6BD34BC2"/>
    <w:rsid w:val="6C0A3105"/>
    <w:rsid w:val="6C27617A"/>
    <w:rsid w:val="6C3E50CB"/>
    <w:rsid w:val="6C68601B"/>
    <w:rsid w:val="6C9A6A5C"/>
    <w:rsid w:val="6CA74B6A"/>
    <w:rsid w:val="6CB720AE"/>
    <w:rsid w:val="6CC22541"/>
    <w:rsid w:val="6D006926"/>
    <w:rsid w:val="6DA6623C"/>
    <w:rsid w:val="6DBF3C3B"/>
    <w:rsid w:val="6DD66473"/>
    <w:rsid w:val="6DDF4FB6"/>
    <w:rsid w:val="6E0E3640"/>
    <w:rsid w:val="6E1B45FE"/>
    <w:rsid w:val="6E287AD5"/>
    <w:rsid w:val="6E2B3BC6"/>
    <w:rsid w:val="6E5F5F80"/>
    <w:rsid w:val="6EEF1D13"/>
    <w:rsid w:val="6EF12084"/>
    <w:rsid w:val="6F306DCB"/>
    <w:rsid w:val="6F383A6E"/>
    <w:rsid w:val="6F76706C"/>
    <w:rsid w:val="6FE72202"/>
    <w:rsid w:val="6FEC6252"/>
    <w:rsid w:val="6FF9789D"/>
    <w:rsid w:val="700B06D0"/>
    <w:rsid w:val="704020FA"/>
    <w:rsid w:val="70422779"/>
    <w:rsid w:val="704D3385"/>
    <w:rsid w:val="70820965"/>
    <w:rsid w:val="70D110A0"/>
    <w:rsid w:val="70E70ADA"/>
    <w:rsid w:val="70FF27F2"/>
    <w:rsid w:val="712D4484"/>
    <w:rsid w:val="719755A3"/>
    <w:rsid w:val="719F0871"/>
    <w:rsid w:val="71AE3400"/>
    <w:rsid w:val="71B46346"/>
    <w:rsid w:val="71B4725F"/>
    <w:rsid w:val="71D47071"/>
    <w:rsid w:val="71E4457D"/>
    <w:rsid w:val="722E6457"/>
    <w:rsid w:val="723E2050"/>
    <w:rsid w:val="72537BEF"/>
    <w:rsid w:val="72555DF5"/>
    <w:rsid w:val="725D7D89"/>
    <w:rsid w:val="72A921D9"/>
    <w:rsid w:val="72B1108D"/>
    <w:rsid w:val="72FC49FE"/>
    <w:rsid w:val="73337CF4"/>
    <w:rsid w:val="735E192B"/>
    <w:rsid w:val="739D4BFA"/>
    <w:rsid w:val="73A82490"/>
    <w:rsid w:val="73B607C0"/>
    <w:rsid w:val="73EF4563"/>
    <w:rsid w:val="73F23645"/>
    <w:rsid w:val="73F847EA"/>
    <w:rsid w:val="74291109"/>
    <w:rsid w:val="748C36C8"/>
    <w:rsid w:val="7491561A"/>
    <w:rsid w:val="74A72F3E"/>
    <w:rsid w:val="74C90910"/>
    <w:rsid w:val="74D041DB"/>
    <w:rsid w:val="74F87739"/>
    <w:rsid w:val="75817C14"/>
    <w:rsid w:val="758331B5"/>
    <w:rsid w:val="75B2639D"/>
    <w:rsid w:val="75B358C9"/>
    <w:rsid w:val="75B913AE"/>
    <w:rsid w:val="75C4732A"/>
    <w:rsid w:val="75E373AA"/>
    <w:rsid w:val="75E94CF3"/>
    <w:rsid w:val="76331F01"/>
    <w:rsid w:val="76366479"/>
    <w:rsid w:val="77065BEA"/>
    <w:rsid w:val="77640268"/>
    <w:rsid w:val="77C8173B"/>
    <w:rsid w:val="77C90C27"/>
    <w:rsid w:val="77CE42EC"/>
    <w:rsid w:val="77F02658"/>
    <w:rsid w:val="77F47FCB"/>
    <w:rsid w:val="782729D2"/>
    <w:rsid w:val="7829281A"/>
    <w:rsid w:val="78324A1E"/>
    <w:rsid w:val="783F175F"/>
    <w:rsid w:val="784A042E"/>
    <w:rsid w:val="785C062C"/>
    <w:rsid w:val="78746DE5"/>
    <w:rsid w:val="788117C5"/>
    <w:rsid w:val="78944C25"/>
    <w:rsid w:val="78F46178"/>
    <w:rsid w:val="790D6B45"/>
    <w:rsid w:val="79501600"/>
    <w:rsid w:val="79876FAE"/>
    <w:rsid w:val="798D6073"/>
    <w:rsid w:val="79C55C0C"/>
    <w:rsid w:val="7A020E76"/>
    <w:rsid w:val="7A561EC3"/>
    <w:rsid w:val="7A603663"/>
    <w:rsid w:val="7A672360"/>
    <w:rsid w:val="7A76274D"/>
    <w:rsid w:val="7A9819E6"/>
    <w:rsid w:val="7AA20232"/>
    <w:rsid w:val="7ACD2C78"/>
    <w:rsid w:val="7ACE736E"/>
    <w:rsid w:val="7AD149C3"/>
    <w:rsid w:val="7AE41241"/>
    <w:rsid w:val="7AE61325"/>
    <w:rsid w:val="7AFB0F55"/>
    <w:rsid w:val="7B643141"/>
    <w:rsid w:val="7BDA1BF3"/>
    <w:rsid w:val="7BDD3A11"/>
    <w:rsid w:val="7C046E41"/>
    <w:rsid w:val="7C4B4C94"/>
    <w:rsid w:val="7C7B03DD"/>
    <w:rsid w:val="7CAA64B9"/>
    <w:rsid w:val="7CB56699"/>
    <w:rsid w:val="7CD91987"/>
    <w:rsid w:val="7CE621D7"/>
    <w:rsid w:val="7D2126F4"/>
    <w:rsid w:val="7D5412BE"/>
    <w:rsid w:val="7D7F7FF2"/>
    <w:rsid w:val="7D8C7CE5"/>
    <w:rsid w:val="7D927C04"/>
    <w:rsid w:val="7D967369"/>
    <w:rsid w:val="7DB356C0"/>
    <w:rsid w:val="7DBC1487"/>
    <w:rsid w:val="7DC91DA1"/>
    <w:rsid w:val="7DEB57AE"/>
    <w:rsid w:val="7DED1BF0"/>
    <w:rsid w:val="7E0D5D31"/>
    <w:rsid w:val="7E86637E"/>
    <w:rsid w:val="7E874865"/>
    <w:rsid w:val="7E8F4C2F"/>
    <w:rsid w:val="7EC531C6"/>
    <w:rsid w:val="7EE527EB"/>
    <w:rsid w:val="7EE84CD3"/>
    <w:rsid w:val="7EF45551"/>
    <w:rsid w:val="7F2C7FCA"/>
    <w:rsid w:val="7F2E4F92"/>
    <w:rsid w:val="7F316E3A"/>
    <w:rsid w:val="7F854CE9"/>
    <w:rsid w:val="7FD35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8"/>
    <w:autoRedefine/>
    <w:qFormat/>
    <w:uiPriority w:val="0"/>
    <w:pPr>
      <w:keepNext/>
      <w:keepLines/>
      <w:adjustRightInd w:val="0"/>
      <w:snapToGrid w:val="0"/>
      <w:spacing w:line="360" w:lineRule="auto"/>
      <w:jc w:val="center"/>
      <w:outlineLvl w:val="0"/>
    </w:pPr>
    <w:rPr>
      <w:rFonts w:ascii="Calibri" w:hAnsi="Calibri" w:eastAsia="宋体" w:cs="Times New Roman"/>
      <w:b/>
      <w:kern w:val="44"/>
      <w:sz w:val="32"/>
    </w:rPr>
  </w:style>
  <w:style w:type="paragraph" w:styleId="3">
    <w:name w:val="heading 2"/>
    <w:basedOn w:val="1"/>
    <w:next w:val="1"/>
    <w:link w:val="49"/>
    <w:autoRedefine/>
    <w:unhideWhenUsed/>
    <w:qFormat/>
    <w:uiPriority w:val="0"/>
    <w:pPr>
      <w:keepNext/>
      <w:keepLines/>
      <w:adjustRightInd w:val="0"/>
      <w:snapToGrid w:val="0"/>
      <w:spacing w:line="360" w:lineRule="auto"/>
      <w:jc w:val="center"/>
      <w:outlineLvl w:val="1"/>
    </w:pPr>
    <w:rPr>
      <w:rFonts w:ascii="Arial" w:hAnsi="Arial" w:eastAsia="宋体" w:cs="Times New Roman"/>
      <w:b/>
      <w:sz w:val="28"/>
    </w:rPr>
  </w:style>
  <w:style w:type="paragraph" w:styleId="4">
    <w:name w:val="heading 3"/>
    <w:basedOn w:val="1"/>
    <w:next w:val="5"/>
    <w:link w:val="47"/>
    <w:autoRedefine/>
    <w:semiHidden/>
    <w:unhideWhenUsed/>
    <w:qFormat/>
    <w:uiPriority w:val="0"/>
    <w:pPr>
      <w:adjustRightInd w:val="0"/>
      <w:snapToGrid w:val="0"/>
      <w:spacing w:line="360" w:lineRule="auto"/>
      <w:jc w:val="center"/>
      <w:outlineLvl w:val="2"/>
    </w:pPr>
    <w:rPr>
      <w:rFonts w:ascii="宋体" w:hAnsi="宋体" w:eastAsia="宋体" w:cs="宋体"/>
      <w:b/>
      <w:sz w:val="28"/>
      <w:szCs w:val="28"/>
      <w:lang w:eastAsia="en-US"/>
    </w:rPr>
  </w:style>
  <w:style w:type="paragraph" w:styleId="6">
    <w:name w:val="heading 4"/>
    <w:basedOn w:val="1"/>
    <w:next w:val="1"/>
    <w:autoRedefine/>
    <w:semiHidden/>
    <w:unhideWhenUsed/>
    <w:qFormat/>
    <w:uiPriority w:val="0"/>
    <w:pPr>
      <w:keepNext/>
      <w:keepLines/>
      <w:adjustRightInd w:val="0"/>
      <w:snapToGrid w:val="0"/>
      <w:spacing w:line="360" w:lineRule="auto"/>
      <w:jc w:val="left"/>
      <w:outlineLvl w:val="3"/>
    </w:pPr>
    <w:rPr>
      <w:rFonts w:ascii="Arial" w:hAnsi="Arial" w:eastAsia="宋体" w:cs="Times New Roman"/>
      <w:sz w:val="24"/>
    </w:rPr>
  </w:style>
  <w:style w:type="paragraph" w:styleId="7">
    <w:name w:val="heading 6"/>
    <w:basedOn w:val="1"/>
    <w:next w:val="1"/>
    <w:autoRedefine/>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32">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11">
    <w:name w:val="index 5"/>
    <w:basedOn w:val="1"/>
    <w:next w:val="1"/>
    <w:autoRedefine/>
    <w:qFormat/>
    <w:uiPriority w:val="0"/>
    <w:pPr>
      <w:adjustRightInd w:val="0"/>
      <w:snapToGrid w:val="0"/>
      <w:spacing w:line="360" w:lineRule="auto"/>
      <w:jc w:val="center"/>
    </w:pPr>
    <w:rPr>
      <w:rFonts w:ascii="宋体" w:hAnsi="宋体" w:eastAsia="宋体" w:cs="宋体"/>
      <w:bCs/>
      <w:kern w:val="0"/>
      <w:sz w:val="21"/>
      <w:szCs w:val="21"/>
    </w:rPr>
  </w:style>
  <w:style w:type="paragraph" w:styleId="12">
    <w:name w:val="Body Text"/>
    <w:basedOn w:val="1"/>
    <w:next w:val="13"/>
    <w:autoRedefine/>
    <w:qFormat/>
    <w:uiPriority w:val="99"/>
    <w:rPr>
      <w:rFonts w:eastAsia="楷体_GB2312"/>
      <w:sz w:val="30"/>
      <w:szCs w:val="30"/>
    </w:rPr>
  </w:style>
  <w:style w:type="paragraph" w:customStyle="1" w:styleId="13">
    <w:name w:val="Default"/>
    <w:next w:val="14"/>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4">
    <w:name w:val="Date"/>
    <w:basedOn w:val="1"/>
    <w:next w:val="1"/>
    <w:autoRedefine/>
    <w:qFormat/>
    <w:uiPriority w:val="0"/>
    <w:rPr>
      <w:sz w:val="24"/>
      <w:szCs w:val="20"/>
    </w:rPr>
  </w:style>
  <w:style w:type="paragraph" w:styleId="15">
    <w:name w:val="Body Text Indent"/>
    <w:basedOn w:val="1"/>
    <w:autoRedefine/>
    <w:qFormat/>
    <w:uiPriority w:val="0"/>
    <w:pPr>
      <w:spacing w:after="120"/>
      <w:ind w:left="420" w:leftChars="200"/>
    </w:pPr>
  </w:style>
  <w:style w:type="paragraph" w:styleId="16">
    <w:name w:val="List 2"/>
    <w:basedOn w:val="1"/>
    <w:autoRedefine/>
    <w:qFormat/>
    <w:uiPriority w:val="0"/>
    <w:pPr>
      <w:widowControl w:val="0"/>
      <w:adjustRightInd w:val="0"/>
      <w:spacing w:line="360" w:lineRule="auto"/>
      <w:jc w:val="both"/>
      <w:textAlignment w:val="baseline"/>
    </w:pPr>
    <w:rPr>
      <w:sz w:val="24"/>
    </w:rPr>
  </w:style>
  <w:style w:type="paragraph" w:styleId="17">
    <w:name w:val="toc 3"/>
    <w:basedOn w:val="1"/>
    <w:next w:val="1"/>
    <w:autoRedefine/>
    <w:qFormat/>
    <w:uiPriority w:val="0"/>
    <w:pPr>
      <w:ind w:left="840" w:leftChars="400"/>
    </w:pPr>
  </w:style>
  <w:style w:type="paragraph" w:styleId="18">
    <w:name w:val="Plain Text"/>
    <w:basedOn w:val="1"/>
    <w:autoRedefine/>
    <w:qFormat/>
    <w:uiPriority w:val="0"/>
    <w:rPr>
      <w:rFonts w:ascii="宋体" w:hAnsi="Courier New"/>
    </w:rPr>
  </w:style>
  <w:style w:type="paragraph" w:styleId="19">
    <w:name w:val="Body Text Indent 2"/>
    <w:basedOn w:val="1"/>
    <w:autoRedefine/>
    <w:qFormat/>
    <w:uiPriority w:val="0"/>
    <w:pPr>
      <w:spacing w:after="120" w:afterLines="0" w:afterAutospacing="0" w:line="480" w:lineRule="auto"/>
      <w:ind w:left="420" w:leftChars="200"/>
    </w:pPr>
  </w:style>
  <w:style w:type="paragraph" w:styleId="20">
    <w:name w:val="footer"/>
    <w:basedOn w:val="1"/>
    <w:autoRedefine/>
    <w:qFormat/>
    <w:uiPriority w:val="0"/>
    <w:pPr>
      <w:tabs>
        <w:tab w:val="center" w:pos="4153"/>
        <w:tab w:val="right" w:pos="8306"/>
      </w:tabs>
      <w:snapToGrid w:val="0"/>
      <w:jc w:val="left"/>
    </w:pPr>
    <w:rPr>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autoRedefine/>
    <w:qFormat/>
    <w:uiPriority w:val="0"/>
  </w:style>
  <w:style w:type="paragraph" w:styleId="23">
    <w:name w:val="footnote text"/>
    <w:basedOn w:val="1"/>
    <w:autoRedefine/>
    <w:qFormat/>
    <w:uiPriority w:val="0"/>
    <w:pPr>
      <w:adjustRightInd w:val="0"/>
      <w:spacing w:line="312" w:lineRule="atLeast"/>
      <w:textAlignment w:val="baseline"/>
    </w:pPr>
    <w:rPr>
      <w:rFonts w:ascii="Times New Roman" w:hAnsi="Times New Roman" w:eastAsia="宋体" w:cs="Times New Roman"/>
      <w:sz w:val="18"/>
    </w:rPr>
  </w:style>
  <w:style w:type="paragraph" w:styleId="24">
    <w:name w:val="Body Text Indent 3"/>
    <w:basedOn w:val="1"/>
    <w:autoRedefine/>
    <w:qFormat/>
    <w:uiPriority w:val="0"/>
    <w:pPr>
      <w:overflowPunct w:val="0"/>
      <w:autoSpaceDE w:val="0"/>
      <w:autoSpaceDN w:val="0"/>
      <w:adjustRightInd w:val="0"/>
      <w:spacing w:line="360" w:lineRule="auto"/>
      <w:ind w:firstLine="540"/>
      <w:jc w:val="both"/>
      <w:textAlignment w:val="baseline"/>
    </w:pPr>
    <w:rPr>
      <w:rFonts w:ascii="宋体" w:hAnsi="MS Sans Serif"/>
      <w:color w:val="000000"/>
      <w:sz w:val="24"/>
    </w:rPr>
  </w:style>
  <w:style w:type="paragraph" w:styleId="25">
    <w:name w:val="toc 2"/>
    <w:basedOn w:val="1"/>
    <w:next w:val="1"/>
    <w:autoRedefine/>
    <w:qFormat/>
    <w:uiPriority w:val="0"/>
    <w:pPr>
      <w:ind w:left="420" w:leftChars="200"/>
    </w:pPr>
  </w:style>
  <w:style w:type="paragraph" w:styleId="26">
    <w:name w:val="Body Text 2"/>
    <w:basedOn w:val="1"/>
    <w:autoRedefine/>
    <w:qFormat/>
    <w:uiPriority w:val="0"/>
    <w:pPr>
      <w:spacing w:line="340" w:lineRule="exact"/>
      <w:jc w:val="center"/>
    </w:pPr>
    <w:rPr>
      <w:rFonts w:ascii="宋体" w:hAnsi="宋体"/>
      <w:bCs/>
      <w:color w:val="000000"/>
      <w:sz w:val="28"/>
    </w:rPr>
  </w:style>
  <w:style w:type="paragraph" w:styleId="27">
    <w:name w:val="Normal (Web)"/>
    <w:basedOn w:val="1"/>
    <w:autoRedefine/>
    <w:qFormat/>
    <w:uiPriority w:val="0"/>
    <w:pPr>
      <w:widowControl/>
      <w:spacing w:beforeAutospacing="1" w:afterAutospacing="1"/>
      <w:jc w:val="left"/>
    </w:pPr>
    <w:rPr>
      <w:rFonts w:hint="eastAsia" w:ascii="宋体" w:hAnsi="宋体"/>
      <w:kern w:val="0"/>
      <w:sz w:val="24"/>
    </w:rPr>
  </w:style>
  <w:style w:type="paragraph" w:styleId="28">
    <w:name w:val="Title"/>
    <w:basedOn w:val="1"/>
    <w:next w:val="1"/>
    <w:autoRedefine/>
    <w:qFormat/>
    <w:uiPriority w:val="0"/>
    <w:pPr>
      <w:spacing w:before="240" w:after="60"/>
      <w:jc w:val="center"/>
      <w:outlineLvl w:val="0"/>
    </w:pPr>
    <w:rPr>
      <w:rFonts w:ascii="Cambria" w:hAnsi="Cambria" w:cs="Times New Roman"/>
      <w:b/>
      <w:sz w:val="32"/>
      <w:szCs w:val="20"/>
    </w:rPr>
  </w:style>
  <w:style w:type="paragraph" w:styleId="29">
    <w:name w:val="Body Text First Indent"/>
    <w:basedOn w:val="12"/>
    <w:autoRedefine/>
    <w:qFormat/>
    <w:uiPriority w:val="0"/>
    <w:pPr>
      <w:spacing w:after="120" w:afterLines="0"/>
      <w:ind w:firstLine="420" w:firstLineChars="100"/>
    </w:pPr>
    <w:rPr>
      <w:rFonts w:eastAsia="宋体"/>
      <w:sz w:val="21"/>
      <w:szCs w:val="24"/>
    </w:rPr>
  </w:style>
  <w:style w:type="paragraph" w:styleId="30">
    <w:name w:val="Body Text First Indent 2"/>
    <w:basedOn w:val="15"/>
    <w:next w:val="1"/>
    <w:autoRedefine/>
    <w:qFormat/>
    <w:uiPriority w:val="0"/>
    <w:pPr>
      <w:ind w:firstLine="420" w:firstLineChars="200"/>
    </w:pPr>
  </w:style>
  <w:style w:type="character" w:styleId="33">
    <w:name w:val="Strong"/>
    <w:basedOn w:val="32"/>
    <w:autoRedefine/>
    <w:qFormat/>
    <w:uiPriority w:val="0"/>
  </w:style>
  <w:style w:type="character" w:styleId="34">
    <w:name w:val="page number"/>
    <w:basedOn w:val="32"/>
    <w:autoRedefine/>
    <w:qFormat/>
    <w:uiPriority w:val="0"/>
  </w:style>
  <w:style w:type="character" w:styleId="35">
    <w:name w:val="FollowedHyperlink"/>
    <w:basedOn w:val="32"/>
    <w:autoRedefine/>
    <w:qFormat/>
    <w:uiPriority w:val="0"/>
    <w:rPr>
      <w:color w:val="800080"/>
      <w:u w:val="none"/>
    </w:rPr>
  </w:style>
  <w:style w:type="character" w:styleId="36">
    <w:name w:val="Emphasis"/>
    <w:basedOn w:val="32"/>
    <w:autoRedefine/>
    <w:qFormat/>
    <w:uiPriority w:val="0"/>
    <w:rPr>
      <w:b/>
    </w:rPr>
  </w:style>
  <w:style w:type="character" w:styleId="37">
    <w:name w:val="HTML Definition"/>
    <w:basedOn w:val="32"/>
    <w:autoRedefine/>
    <w:qFormat/>
    <w:uiPriority w:val="0"/>
  </w:style>
  <w:style w:type="character" w:styleId="38">
    <w:name w:val="HTML Typewriter"/>
    <w:basedOn w:val="32"/>
    <w:autoRedefine/>
    <w:qFormat/>
    <w:uiPriority w:val="0"/>
    <w:rPr>
      <w:rFonts w:ascii="monospace" w:hAnsi="monospace" w:eastAsia="monospace" w:cs="monospace"/>
      <w:sz w:val="20"/>
    </w:rPr>
  </w:style>
  <w:style w:type="character" w:styleId="39">
    <w:name w:val="HTML Acronym"/>
    <w:basedOn w:val="32"/>
    <w:autoRedefine/>
    <w:qFormat/>
    <w:uiPriority w:val="0"/>
  </w:style>
  <w:style w:type="character" w:styleId="40">
    <w:name w:val="HTML Variable"/>
    <w:basedOn w:val="32"/>
    <w:autoRedefine/>
    <w:qFormat/>
    <w:uiPriority w:val="0"/>
  </w:style>
  <w:style w:type="character" w:styleId="41">
    <w:name w:val="Hyperlink"/>
    <w:basedOn w:val="32"/>
    <w:autoRedefine/>
    <w:qFormat/>
    <w:uiPriority w:val="0"/>
    <w:rPr>
      <w:color w:val="0000FF"/>
      <w:u w:val="none"/>
    </w:rPr>
  </w:style>
  <w:style w:type="character" w:styleId="42">
    <w:name w:val="HTML Code"/>
    <w:basedOn w:val="32"/>
    <w:autoRedefine/>
    <w:qFormat/>
    <w:uiPriority w:val="0"/>
    <w:rPr>
      <w:rFonts w:hint="default" w:ascii="monospace" w:hAnsi="monospace" w:eastAsia="monospace" w:cs="monospace"/>
      <w:sz w:val="20"/>
    </w:rPr>
  </w:style>
  <w:style w:type="character" w:styleId="43">
    <w:name w:val="HTML Cite"/>
    <w:basedOn w:val="32"/>
    <w:autoRedefine/>
    <w:qFormat/>
    <w:uiPriority w:val="0"/>
  </w:style>
  <w:style w:type="character" w:styleId="44">
    <w:name w:val="footnote reference"/>
    <w:autoRedefine/>
    <w:qFormat/>
    <w:uiPriority w:val="0"/>
    <w:rPr>
      <w:rFonts w:ascii="Times New Roman" w:hAnsi="Times New Roman" w:eastAsia="宋体" w:cs="Times New Roman"/>
      <w:vertAlign w:val="superscript"/>
    </w:rPr>
  </w:style>
  <w:style w:type="character" w:styleId="45">
    <w:name w:val="HTML Keyboard"/>
    <w:basedOn w:val="32"/>
    <w:autoRedefine/>
    <w:qFormat/>
    <w:uiPriority w:val="0"/>
    <w:rPr>
      <w:rFonts w:hint="default" w:ascii="monospace" w:hAnsi="monospace" w:eastAsia="monospace" w:cs="monospace"/>
      <w:sz w:val="20"/>
    </w:rPr>
  </w:style>
  <w:style w:type="character" w:styleId="46">
    <w:name w:val="HTML Sample"/>
    <w:basedOn w:val="32"/>
    <w:autoRedefine/>
    <w:qFormat/>
    <w:uiPriority w:val="0"/>
    <w:rPr>
      <w:rFonts w:hint="default" w:ascii="monospace" w:hAnsi="monospace" w:eastAsia="monospace" w:cs="monospace"/>
    </w:rPr>
  </w:style>
  <w:style w:type="character" w:customStyle="1" w:styleId="47">
    <w:name w:val="标题 3 字符"/>
    <w:link w:val="4"/>
    <w:autoRedefine/>
    <w:qFormat/>
    <w:uiPriority w:val="0"/>
    <w:rPr>
      <w:rFonts w:ascii="宋体" w:hAnsi="宋体" w:eastAsia="宋体" w:cs="宋体"/>
      <w:b/>
      <w:bCs/>
      <w:kern w:val="0"/>
      <w:sz w:val="28"/>
      <w:szCs w:val="22"/>
      <w:lang w:eastAsia="en-US"/>
    </w:rPr>
  </w:style>
  <w:style w:type="character" w:customStyle="1" w:styleId="48">
    <w:name w:val="标题 1 字符"/>
    <w:basedOn w:val="32"/>
    <w:link w:val="2"/>
    <w:autoRedefine/>
    <w:qFormat/>
    <w:uiPriority w:val="9"/>
    <w:rPr>
      <w:rFonts w:ascii="Calibri" w:hAnsi="Calibri" w:eastAsia="宋体" w:cs="Times New Roman"/>
      <w:b/>
      <w:bCs/>
      <w:kern w:val="44"/>
      <w:sz w:val="32"/>
      <w:szCs w:val="22"/>
      <w:lang w:eastAsia="en-US"/>
    </w:rPr>
  </w:style>
  <w:style w:type="character" w:customStyle="1" w:styleId="49">
    <w:name w:val="标题 2 字符"/>
    <w:basedOn w:val="32"/>
    <w:link w:val="3"/>
    <w:autoRedefine/>
    <w:semiHidden/>
    <w:qFormat/>
    <w:uiPriority w:val="9"/>
    <w:rPr>
      <w:rFonts w:ascii="Arial" w:hAnsi="Arial" w:eastAsia="宋体" w:cs="Times New Roman"/>
      <w:b/>
      <w:bCs/>
      <w:sz w:val="28"/>
      <w:szCs w:val="22"/>
      <w:lang w:val="zh-CN" w:eastAsia="en-US" w:bidi="zh-CN"/>
    </w:rPr>
  </w:style>
  <w:style w:type="paragraph" w:customStyle="1" w:styleId="50">
    <w:name w:val="Table Paragraph"/>
    <w:basedOn w:val="1"/>
    <w:autoRedefine/>
    <w:qFormat/>
    <w:uiPriority w:val="1"/>
    <w:rPr>
      <w:rFonts w:ascii="宋体" w:hAnsi="宋体" w:eastAsia="宋体" w:cs="宋体"/>
      <w:lang w:val="zh-CN" w:bidi="zh-CN"/>
    </w:rPr>
  </w:style>
  <w:style w:type="paragraph" w:styleId="51">
    <w:name w:val="List Paragraph"/>
    <w:basedOn w:val="1"/>
    <w:next w:val="1"/>
    <w:autoRedefine/>
    <w:qFormat/>
    <w:uiPriority w:val="1"/>
    <w:pPr>
      <w:ind w:left="698" w:firstLine="420"/>
    </w:pPr>
    <w:rPr>
      <w:rFonts w:ascii="宋体" w:hAnsi="宋体" w:eastAsia="宋体" w:cs="宋体"/>
      <w:lang w:val="zh-CN" w:bidi="zh-CN"/>
    </w:rPr>
  </w:style>
  <w:style w:type="character" w:customStyle="1" w:styleId="52">
    <w:name w:val="layui-layer-tabnow"/>
    <w:basedOn w:val="32"/>
    <w:autoRedefine/>
    <w:qFormat/>
    <w:uiPriority w:val="0"/>
    <w:rPr>
      <w:bdr w:val="single" w:color="CCCCCC" w:sz="6" w:space="0"/>
      <w:shd w:val="clear" w:fill="FFFFFF"/>
    </w:rPr>
  </w:style>
  <w:style w:type="character" w:customStyle="1" w:styleId="53">
    <w:name w:val="first-child"/>
    <w:basedOn w:val="32"/>
    <w:autoRedefine/>
    <w:qFormat/>
    <w:uiPriority w:val="0"/>
  </w:style>
  <w:style w:type="character" w:customStyle="1" w:styleId="54">
    <w:name w:val="mini-outputtext1"/>
    <w:basedOn w:val="32"/>
    <w:autoRedefine/>
    <w:qFormat/>
    <w:uiPriority w:val="0"/>
  </w:style>
  <w:style w:type="paragraph" w:customStyle="1" w:styleId="55">
    <w:name w:val="正文1"/>
    <w:next w:val="56"/>
    <w:autoRedefine/>
    <w:qFormat/>
    <w:uiPriority w:val="0"/>
    <w:pPr>
      <w:widowControl w:val="0"/>
      <w:suppressAutoHyphens w:val="0"/>
      <w:bidi w:val="0"/>
      <w:spacing w:beforeLines="0" w:beforeAutospacing="0" w:afterLines="0" w:afterAutospacing="0"/>
      <w:jc w:val="both"/>
    </w:pPr>
    <w:rPr>
      <w:rFonts w:ascii="Times New Roman" w:hAnsi="Times New Roman" w:eastAsia="宋体" w:cs="Times New Roman"/>
      <w:color w:val="auto"/>
      <w:kern w:val="2"/>
      <w:sz w:val="21"/>
      <w:szCs w:val="24"/>
      <w:lang w:val="en-US" w:eastAsia="zh-CN" w:bidi="ar-SA"/>
    </w:rPr>
  </w:style>
  <w:style w:type="paragraph" w:customStyle="1" w:styleId="56">
    <w:name w:val="正文缩进1"/>
    <w:basedOn w:val="55"/>
    <w:next w:val="55"/>
    <w:autoRedefine/>
    <w:qFormat/>
    <w:uiPriority w:val="0"/>
    <w:pPr>
      <w:widowControl/>
      <w:overflowPunct w:val="0"/>
      <w:spacing w:line="360" w:lineRule="auto"/>
      <w:ind w:firstLine="540"/>
      <w:textAlignment w:val="baseline"/>
    </w:pPr>
    <w:rPr>
      <w:rFonts w:ascii="宋体" w:hAnsi="宋体" w:cs="MS Sans Serif;Arial"/>
      <w:spacing w:val="12"/>
      <w:kern w:val="0"/>
      <w:sz w:val="24"/>
      <w:szCs w:val="20"/>
    </w:rPr>
  </w:style>
  <w:style w:type="paragraph" w:customStyle="1" w:styleId="57">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8">
    <w:name w:val="章节题目"/>
    <w:basedOn w:val="59"/>
    <w:next w:val="1"/>
    <w:autoRedefine/>
    <w:qFormat/>
    <w:uiPriority w:val="0"/>
    <w:pPr>
      <w:spacing w:before="720" w:after="400" w:line="540" w:lineRule="atLeast"/>
      <w:ind w:right="2160"/>
    </w:pPr>
    <w:rPr>
      <w:spacing w:val="-40"/>
      <w:sz w:val="60"/>
    </w:rPr>
  </w:style>
  <w:style w:type="paragraph" w:customStyle="1" w:styleId="59">
    <w:name w:val="基准标题"/>
    <w:basedOn w:val="1"/>
    <w:next w:val="12"/>
    <w:autoRedefine/>
    <w:qFormat/>
    <w:uiPriority w:val="0"/>
    <w:pPr>
      <w:keepNext/>
      <w:keepLines/>
      <w:spacing w:before="140" w:line="220" w:lineRule="atLeast"/>
    </w:pPr>
    <w:rPr>
      <w:rFonts w:ascii="Arial" w:hAnsi="Arial"/>
      <w:spacing w:val="-4"/>
      <w:kern w:val="28"/>
      <w:sz w:val="22"/>
    </w:rPr>
  </w:style>
  <w:style w:type="paragraph" w:customStyle="1" w:styleId="6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1">
    <w:name w:val="表格五号"/>
    <w:qFormat/>
    <w:uiPriority w:val="0"/>
    <w:pPr>
      <w:widowControl w:val="0"/>
      <w:spacing w:line="240" w:lineRule="auto"/>
      <w:ind w:firstLine="0" w:firstLineChars="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98</Pages>
  <Words>14807</Words>
  <Characters>15742</Characters>
  <Lines>688</Lines>
  <Paragraphs>857</Paragraphs>
  <TotalTime>11</TotalTime>
  <ScaleCrop>false</ScaleCrop>
  <LinksUpToDate>false</LinksUpToDate>
  <CharactersWithSpaces>15994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2020-05-25T08:13:00Z</dcterms:created>
  <dc:creator></dc:creator>
  <cp:lastModifiedBy>ZYJ</cp:lastModifiedBy>
  <dcterms:modified xsi:type="dcterms:W3CDTF">2025-06-19T04:58:00Z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393F320810E3488795E8804D2441146A_13</vt:lpwstr>
  </property>
  <property fmtid="{D5CDD505-2E9C-101B-9397-08002B2CF9AE}" pid="4" name="KSOTemplateDocerSaveRecord">
    <vt:lpwstr>eyJoZGlkIjoiNjVhODdmNGU5OTAxYzg4MDdkNzAxZTdlMDQ1MDI5MGMiLCJ1c2VySWQiOiIzMDg5NTc5NDUifQ==</vt:lpwstr>
  </property>
</Properties>
</file>