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2ECB2">
      <w:pPr>
        <w:jc w:val="center"/>
        <w:rPr>
          <w:rFonts w:hint="eastAsia" w:ascii="宋体" w:hAnsi="宋体" w:eastAsia="宋体" w:cs="宋体"/>
          <w:b/>
          <w:color w:val="auto"/>
          <w:sz w:val="48"/>
          <w:szCs w:val="48"/>
          <w:highlight w:val="none"/>
        </w:rPr>
      </w:pPr>
      <w:bookmarkStart w:id="0" w:name="_Toc296602400"/>
      <w:bookmarkStart w:id="1" w:name="_Toc247085669"/>
      <w:bookmarkStart w:id="2" w:name="_Toc479772481"/>
      <w:bookmarkStart w:id="3" w:name="_Toc246996898"/>
    </w:p>
    <w:p w14:paraId="4B6B6846">
      <w:pPr>
        <w:jc w:val="center"/>
        <w:rPr>
          <w:rFonts w:hint="eastAsia" w:ascii="宋体" w:hAnsi="宋体" w:eastAsia="宋体" w:cs="宋体"/>
          <w:color w:val="auto"/>
          <w:highlight w:val="none"/>
        </w:rPr>
      </w:pPr>
      <w:r>
        <w:rPr>
          <w:rFonts w:hint="eastAsia" w:hAnsi="宋体" w:cs="宋体"/>
          <w:b/>
          <w:color w:val="auto"/>
          <w:sz w:val="36"/>
          <w:szCs w:val="36"/>
          <w:highlight w:val="none"/>
          <w:lang w:eastAsia="zh-CN"/>
        </w:rPr>
        <w:t>长春市殡葬服务中心2025年清A区挡土墙修缮及墓穴项目</w:t>
      </w:r>
    </w:p>
    <w:p w14:paraId="18F15F6F">
      <w:pPr>
        <w:pStyle w:val="23"/>
        <w:jc w:val="both"/>
        <w:rPr>
          <w:rFonts w:hint="eastAsia" w:ascii="宋体" w:hAnsi="宋体" w:eastAsia="宋体" w:cs="宋体"/>
          <w:color w:val="auto"/>
          <w:highlight w:val="none"/>
        </w:rPr>
      </w:pPr>
    </w:p>
    <w:p w14:paraId="0D0AABED">
      <w:pPr>
        <w:jc w:val="center"/>
        <w:rPr>
          <w:rFonts w:hint="eastAsia" w:ascii="宋体" w:hAnsi="宋体" w:eastAsia="宋体" w:cs="宋体"/>
          <w:b/>
          <w:bCs/>
          <w:color w:val="auto"/>
          <w:sz w:val="84"/>
          <w:szCs w:val="72"/>
          <w:highlight w:val="none"/>
        </w:rPr>
      </w:pPr>
      <w:r>
        <w:rPr>
          <w:rFonts w:hint="eastAsia" w:ascii="宋体" w:hAnsi="宋体" w:eastAsia="宋体" w:cs="宋体"/>
          <w:b/>
          <w:bCs/>
          <w:color w:val="auto"/>
          <w:sz w:val="84"/>
          <w:szCs w:val="72"/>
          <w:highlight w:val="none"/>
        </w:rPr>
        <w:t>竞争性磋商文件</w:t>
      </w:r>
    </w:p>
    <w:p w14:paraId="7BA3EDCA">
      <w:pPr>
        <w:jc w:val="center"/>
        <w:rPr>
          <w:rFonts w:hint="eastAsia" w:ascii="宋体" w:hAnsi="宋体" w:eastAsia="宋体" w:cs="宋体"/>
          <w:b/>
          <w:color w:val="auto"/>
          <w:sz w:val="32"/>
          <w:szCs w:val="32"/>
          <w:highlight w:val="none"/>
        </w:rPr>
      </w:pPr>
    </w:p>
    <w:p w14:paraId="5EDFDE67">
      <w:pPr>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lang w:val="en-US" w:eastAsia="zh-CN"/>
        </w:rPr>
        <w:t>JM-2025-06-00687</w:t>
      </w:r>
    </w:p>
    <w:p w14:paraId="7CF50B80">
      <w:pPr>
        <w:rPr>
          <w:rFonts w:hint="eastAsia" w:ascii="宋体" w:hAnsi="宋体" w:eastAsia="宋体" w:cs="宋体"/>
          <w:color w:val="auto"/>
          <w:highlight w:val="none"/>
        </w:rPr>
      </w:pPr>
    </w:p>
    <w:p w14:paraId="0C3F6577">
      <w:pPr>
        <w:rPr>
          <w:rFonts w:hint="eastAsia" w:ascii="宋体" w:hAnsi="宋体" w:eastAsia="宋体" w:cs="宋体"/>
          <w:color w:val="auto"/>
          <w:highlight w:val="none"/>
        </w:rPr>
      </w:pPr>
    </w:p>
    <w:p w14:paraId="31636654">
      <w:pPr>
        <w:rPr>
          <w:rFonts w:hint="eastAsia" w:ascii="宋体" w:hAnsi="宋体" w:eastAsia="宋体" w:cs="宋体"/>
          <w:color w:val="auto"/>
          <w:highlight w:val="none"/>
        </w:rPr>
      </w:pPr>
    </w:p>
    <w:p w14:paraId="1185F715">
      <w:pPr>
        <w:pStyle w:val="23"/>
        <w:jc w:val="both"/>
        <w:rPr>
          <w:rFonts w:hint="eastAsia" w:ascii="宋体" w:hAnsi="宋体" w:eastAsia="宋体" w:cs="宋体"/>
          <w:color w:val="auto"/>
          <w:highlight w:val="none"/>
        </w:rPr>
      </w:pPr>
    </w:p>
    <w:p w14:paraId="18209987">
      <w:pPr>
        <w:pStyle w:val="23"/>
        <w:rPr>
          <w:rFonts w:hint="eastAsia" w:ascii="宋体" w:hAnsi="宋体" w:eastAsia="宋体" w:cs="宋体"/>
          <w:color w:val="auto"/>
          <w:highlight w:val="none"/>
        </w:rPr>
      </w:pPr>
    </w:p>
    <w:p w14:paraId="613867BB">
      <w:pPr>
        <w:spacing w:line="720" w:lineRule="auto"/>
        <w:jc w:val="both"/>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val="en-US" w:eastAsia="zh-CN"/>
        </w:rPr>
        <w:t>采购</w:t>
      </w:r>
      <w:r>
        <w:rPr>
          <w:rFonts w:hint="eastAsia" w:ascii="宋体" w:hAnsi="宋体" w:eastAsia="宋体" w:cs="宋体"/>
          <w:b/>
          <w:color w:val="auto"/>
          <w:sz w:val="36"/>
          <w:szCs w:val="36"/>
          <w:highlight w:val="none"/>
        </w:rPr>
        <w:t>人：</w:t>
      </w:r>
      <w:r>
        <w:rPr>
          <w:rFonts w:hint="eastAsia" w:hAnsi="宋体" w:cs="宋体"/>
          <w:b/>
          <w:color w:val="auto"/>
          <w:sz w:val="36"/>
          <w:szCs w:val="36"/>
          <w:highlight w:val="none"/>
          <w:lang w:eastAsia="zh-CN"/>
        </w:rPr>
        <w:t xml:space="preserve">长春市殡葬服务中心 </w:t>
      </w:r>
    </w:p>
    <w:p w14:paraId="25232C29">
      <w:pPr>
        <w:spacing w:line="720" w:lineRule="auto"/>
        <w:jc w:val="both"/>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val="en-US" w:eastAsia="zh-CN"/>
        </w:rPr>
        <w:t>采购</w:t>
      </w:r>
      <w:r>
        <w:rPr>
          <w:rFonts w:hint="eastAsia" w:ascii="宋体" w:hAnsi="宋体" w:eastAsia="宋体" w:cs="宋体"/>
          <w:b/>
          <w:color w:val="auto"/>
          <w:sz w:val="36"/>
          <w:szCs w:val="36"/>
          <w:highlight w:val="none"/>
        </w:rPr>
        <w:t>代理机构：</w:t>
      </w:r>
      <w:r>
        <w:rPr>
          <w:rFonts w:hint="eastAsia" w:hAnsi="宋体" w:cs="宋体"/>
          <w:b/>
          <w:color w:val="auto"/>
          <w:sz w:val="36"/>
          <w:szCs w:val="36"/>
          <w:highlight w:val="none"/>
          <w:lang w:eastAsia="zh-CN"/>
        </w:rPr>
        <w:t>吉林省吉亨项目管理有限公司</w:t>
      </w:r>
    </w:p>
    <w:p w14:paraId="7E0BF8FD">
      <w:pPr>
        <w:spacing w:line="720" w:lineRule="auto"/>
        <w:jc w:val="center"/>
        <w:rPr>
          <w:rFonts w:hint="eastAsia" w:ascii="宋体" w:hAnsi="宋体" w:eastAsia="宋体" w:cs="宋体"/>
          <w:b/>
          <w:color w:val="auto"/>
          <w:sz w:val="36"/>
          <w:szCs w:val="36"/>
          <w:highlight w:val="none"/>
          <w:lang w:val="en-US"/>
        </w:rPr>
        <w:sectPr>
          <w:headerReference r:id="rId4" w:type="first"/>
          <w:headerReference r:id="rId3" w:type="default"/>
          <w:footerReference r:id="rId5" w:type="default"/>
          <w:pgSz w:w="11906" w:h="16838"/>
          <w:pgMar w:top="1361" w:right="1361" w:bottom="1361" w:left="1361" w:header="624" w:footer="1020" w:gutter="113"/>
          <w:pgNumType w:fmt="upperRoman" w:start="1"/>
          <w:cols w:space="720" w:num="1"/>
          <w:titlePg/>
          <w:rtlGutter w:val="0"/>
          <w:docGrid w:type="lines" w:linePitch="316" w:charSpace="0"/>
        </w:sectPr>
      </w:pPr>
      <w:r>
        <w:rPr>
          <w:rFonts w:hint="eastAsia" w:ascii="宋体" w:hAnsi="宋体" w:eastAsia="宋体" w:cs="宋体"/>
          <w:b/>
          <w:color w:val="auto"/>
          <w:sz w:val="36"/>
          <w:szCs w:val="36"/>
          <w:highlight w:val="none"/>
          <w:lang w:val="en-US"/>
        </w:rPr>
        <w:t>202</w:t>
      </w:r>
      <w:r>
        <w:rPr>
          <w:rFonts w:hint="eastAsia" w:hAnsi="宋体" w:cs="宋体"/>
          <w:b/>
          <w:color w:val="auto"/>
          <w:sz w:val="36"/>
          <w:szCs w:val="36"/>
          <w:highlight w:val="none"/>
          <w:lang w:val="en-US" w:eastAsia="zh-CN"/>
        </w:rPr>
        <w:t>5</w:t>
      </w:r>
      <w:r>
        <w:rPr>
          <w:rFonts w:hint="eastAsia" w:ascii="宋体" w:hAnsi="宋体" w:eastAsia="宋体" w:cs="宋体"/>
          <w:b/>
          <w:color w:val="auto"/>
          <w:sz w:val="36"/>
          <w:szCs w:val="36"/>
          <w:highlight w:val="none"/>
          <w:lang w:val="en-US"/>
        </w:rPr>
        <w:t>年</w:t>
      </w:r>
      <w:r>
        <w:rPr>
          <w:rFonts w:hint="eastAsia" w:hAnsi="宋体" w:cs="宋体"/>
          <w:b/>
          <w:color w:val="auto"/>
          <w:sz w:val="36"/>
          <w:szCs w:val="36"/>
          <w:highlight w:val="none"/>
          <w:lang w:val="en-US" w:eastAsia="zh-CN"/>
        </w:rPr>
        <w:t>7</w:t>
      </w:r>
      <w:r>
        <w:rPr>
          <w:rFonts w:hint="eastAsia" w:ascii="宋体" w:hAnsi="宋体" w:eastAsia="宋体" w:cs="宋体"/>
          <w:b/>
          <w:color w:val="auto"/>
          <w:sz w:val="36"/>
          <w:szCs w:val="36"/>
          <w:highlight w:val="none"/>
          <w:lang w:val="en-US"/>
        </w:rPr>
        <w:t>月</w:t>
      </w:r>
    </w:p>
    <w:p w14:paraId="233599CD">
      <w:pPr>
        <w:spacing w:line="72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   录</w:t>
      </w:r>
      <w:bookmarkEnd w:id="0"/>
      <w:bookmarkEnd w:id="1"/>
      <w:bookmarkEnd w:id="2"/>
      <w:bookmarkEnd w:id="3"/>
    </w:p>
    <w:p w14:paraId="484DAAE3">
      <w:pPr>
        <w:pStyle w:val="19"/>
        <w:tabs>
          <w:tab w:val="right" w:leader="dot" w:pos="9185"/>
        </w:tabs>
        <w:spacing w:line="600" w:lineRule="auto"/>
        <w:rPr>
          <w:rFonts w:hint="eastAsia" w:ascii="宋体" w:hAnsi="宋体" w:eastAsia="宋体" w:cs="宋体"/>
          <w:b/>
          <w:bCs/>
          <w:color w:val="auto"/>
          <w:sz w:val="28"/>
          <w:szCs w:val="28"/>
          <w:highlight w:val="none"/>
        </w:rPr>
      </w:pPr>
      <w:bookmarkStart w:id="4" w:name="_Toc246996899"/>
      <w:bookmarkStart w:id="5" w:name="_Toc246996156"/>
      <w:bookmarkStart w:id="6" w:name="_Toc247085670"/>
      <w:r>
        <w:rPr>
          <w:rFonts w:hint="eastAsia" w:ascii="宋体" w:hAnsi="宋体" w:eastAsia="宋体" w:cs="宋体"/>
          <w:b/>
          <w:bCs/>
          <w:iCs/>
          <w:caps w:val="0"/>
          <w:color w:val="auto"/>
          <w:sz w:val="28"/>
          <w:szCs w:val="28"/>
          <w:highlight w:val="none"/>
        </w:rPr>
        <w:fldChar w:fldCharType="begin"/>
      </w:r>
      <w:r>
        <w:rPr>
          <w:rFonts w:hint="eastAsia" w:ascii="宋体" w:hAnsi="宋体" w:eastAsia="宋体" w:cs="宋体"/>
          <w:b/>
          <w:bCs/>
          <w:iCs/>
          <w:caps w:val="0"/>
          <w:color w:val="auto"/>
          <w:sz w:val="28"/>
          <w:szCs w:val="28"/>
          <w:highlight w:val="none"/>
        </w:rPr>
        <w:instrText xml:space="preserve"> TOC \o \h \z \u </w:instrText>
      </w:r>
      <w:r>
        <w:rPr>
          <w:rFonts w:hint="eastAsia" w:ascii="宋体" w:hAnsi="宋体" w:eastAsia="宋体" w:cs="宋体"/>
          <w:b/>
          <w:bCs/>
          <w:iCs/>
          <w:caps w:val="0"/>
          <w:color w:val="auto"/>
          <w:sz w:val="28"/>
          <w:szCs w:val="28"/>
          <w:highlight w:val="none"/>
        </w:rPr>
        <w:fldChar w:fldCharType="separate"/>
      </w:r>
      <w:r>
        <w:rPr>
          <w:rFonts w:hint="eastAsia" w:ascii="宋体" w:hAnsi="宋体" w:eastAsia="宋体" w:cs="宋体"/>
          <w:b/>
          <w:bCs/>
          <w:iCs/>
          <w:caps w:val="0"/>
          <w:color w:val="auto"/>
          <w:sz w:val="28"/>
          <w:szCs w:val="28"/>
          <w:highlight w:val="none"/>
        </w:rPr>
        <w:fldChar w:fldCharType="begin"/>
      </w:r>
      <w:r>
        <w:rPr>
          <w:rFonts w:hint="eastAsia" w:ascii="宋体" w:hAnsi="宋体" w:eastAsia="宋体" w:cs="宋体"/>
          <w:b/>
          <w:bCs/>
          <w:iCs/>
          <w:caps w:val="0"/>
          <w:color w:val="auto"/>
          <w:sz w:val="28"/>
          <w:szCs w:val="28"/>
          <w:highlight w:val="none"/>
        </w:rPr>
        <w:instrText xml:space="preserve"> HYPERLINK \l _Toc22155 </w:instrText>
      </w:r>
      <w:r>
        <w:rPr>
          <w:rFonts w:hint="eastAsia" w:ascii="宋体" w:hAnsi="宋体" w:eastAsia="宋体" w:cs="宋体"/>
          <w:b/>
          <w:bCs/>
          <w:iCs/>
          <w:caps w:val="0"/>
          <w:color w:val="auto"/>
          <w:sz w:val="28"/>
          <w:szCs w:val="28"/>
          <w:highlight w:val="none"/>
        </w:rPr>
        <w:fldChar w:fldCharType="separate"/>
      </w:r>
      <w:r>
        <w:rPr>
          <w:rFonts w:hint="eastAsia" w:ascii="宋体" w:hAnsi="宋体" w:eastAsia="宋体" w:cs="宋体"/>
          <w:b/>
          <w:bCs/>
          <w:color w:val="auto"/>
          <w:kern w:val="44"/>
          <w:sz w:val="28"/>
          <w:szCs w:val="28"/>
          <w:highlight w:val="none"/>
        </w:rPr>
        <w:t>第一章 竞争性磋商公告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iCs/>
          <w:caps w:val="0"/>
          <w:color w:val="auto"/>
          <w:sz w:val="28"/>
          <w:szCs w:val="28"/>
          <w:highlight w:val="none"/>
        </w:rPr>
        <w:fldChar w:fldCharType="end"/>
      </w:r>
    </w:p>
    <w:p w14:paraId="3E973A72">
      <w:pPr>
        <w:pStyle w:val="19"/>
        <w:tabs>
          <w:tab w:val="right" w:leader="dot" w:pos="9185"/>
        </w:tabs>
        <w:spacing w:line="600" w:lineRule="auto"/>
        <w:rPr>
          <w:rFonts w:hint="eastAsia" w:ascii="宋体" w:hAnsi="宋体" w:eastAsia="宋体" w:cs="宋体"/>
          <w:b/>
          <w:bCs/>
          <w:color w:val="auto"/>
          <w:sz w:val="28"/>
          <w:szCs w:val="28"/>
          <w:highlight w:val="none"/>
        </w:rPr>
      </w:pPr>
      <w:r>
        <w:rPr>
          <w:rFonts w:hint="eastAsia" w:ascii="宋体" w:hAnsi="宋体" w:eastAsia="宋体" w:cs="宋体"/>
          <w:b/>
          <w:bCs/>
          <w:iCs/>
          <w:caps w:val="0"/>
          <w:color w:val="auto"/>
          <w:sz w:val="28"/>
          <w:szCs w:val="28"/>
          <w:highlight w:val="none"/>
        </w:rPr>
        <w:fldChar w:fldCharType="begin"/>
      </w:r>
      <w:r>
        <w:rPr>
          <w:rFonts w:hint="eastAsia" w:ascii="宋体" w:hAnsi="宋体" w:eastAsia="宋体" w:cs="宋体"/>
          <w:b/>
          <w:bCs/>
          <w:iCs/>
          <w:caps w:val="0"/>
          <w:color w:val="auto"/>
          <w:sz w:val="28"/>
          <w:szCs w:val="28"/>
          <w:highlight w:val="none"/>
        </w:rPr>
        <w:instrText xml:space="preserve"> HYPERLINK \l _Toc26635 </w:instrText>
      </w:r>
      <w:r>
        <w:rPr>
          <w:rFonts w:hint="eastAsia" w:ascii="宋体" w:hAnsi="宋体" w:eastAsia="宋体" w:cs="宋体"/>
          <w:b/>
          <w:bCs/>
          <w:iCs/>
          <w:caps w:val="0"/>
          <w:color w:val="auto"/>
          <w:sz w:val="28"/>
          <w:szCs w:val="28"/>
          <w:highlight w:val="none"/>
        </w:rPr>
        <w:fldChar w:fldCharType="separate"/>
      </w:r>
      <w:r>
        <w:rPr>
          <w:rFonts w:hint="eastAsia" w:ascii="宋体" w:hAnsi="宋体" w:eastAsia="宋体" w:cs="宋体"/>
          <w:b/>
          <w:bCs/>
          <w:color w:val="auto"/>
          <w:sz w:val="28"/>
          <w:szCs w:val="28"/>
          <w:highlight w:val="none"/>
        </w:rPr>
        <w:t xml:space="preserve">第二章 </w:t>
      </w:r>
      <w:r>
        <w:rPr>
          <w:rFonts w:hint="eastAsia" w:ascii="宋体" w:hAnsi="宋体" w:eastAsia="宋体" w:cs="宋体"/>
          <w:b/>
          <w:bCs/>
          <w:color w:val="auto"/>
          <w:sz w:val="28"/>
          <w:szCs w:val="28"/>
          <w:highlight w:val="none"/>
          <w:lang w:eastAsia="zh-CN"/>
        </w:rPr>
        <w:t>供应商</w:t>
      </w:r>
      <w:r>
        <w:rPr>
          <w:rFonts w:hint="eastAsia" w:ascii="宋体" w:hAnsi="宋体" w:eastAsia="宋体" w:cs="宋体"/>
          <w:b/>
          <w:bCs/>
          <w:color w:val="auto"/>
          <w:sz w:val="28"/>
          <w:szCs w:val="28"/>
          <w:highlight w:val="none"/>
        </w:rPr>
        <w:t>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_Toc26635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iCs/>
          <w:caps w:val="0"/>
          <w:color w:val="auto"/>
          <w:sz w:val="28"/>
          <w:szCs w:val="28"/>
          <w:highlight w:val="none"/>
        </w:rPr>
        <w:fldChar w:fldCharType="end"/>
      </w:r>
    </w:p>
    <w:p w14:paraId="38A7A261">
      <w:pPr>
        <w:pStyle w:val="20"/>
        <w:tabs>
          <w:tab w:val="right" w:leader="dot" w:pos="9185"/>
        </w:tabs>
        <w:spacing w:line="600" w:lineRule="auto"/>
        <w:ind w:left="0" w:leftChars="0" w:firstLine="0" w:firstLineChars="0"/>
        <w:rPr>
          <w:rFonts w:hint="eastAsia" w:ascii="宋体" w:hAnsi="宋体" w:eastAsia="宋体" w:cs="宋体"/>
          <w:b/>
          <w:bCs/>
          <w:color w:val="auto"/>
          <w:sz w:val="28"/>
          <w:szCs w:val="28"/>
          <w:highlight w:val="none"/>
        </w:rPr>
      </w:pPr>
      <w:r>
        <w:rPr>
          <w:rFonts w:hint="eastAsia" w:ascii="宋体" w:hAnsi="宋体" w:eastAsia="宋体" w:cs="宋体"/>
          <w:b/>
          <w:bCs/>
          <w:iCs/>
          <w:caps/>
          <w:color w:val="auto"/>
          <w:sz w:val="28"/>
          <w:szCs w:val="28"/>
          <w:highlight w:val="none"/>
        </w:rPr>
        <w:fldChar w:fldCharType="begin"/>
      </w:r>
      <w:r>
        <w:rPr>
          <w:rFonts w:hint="eastAsia" w:ascii="宋体" w:hAnsi="宋体" w:eastAsia="宋体" w:cs="宋体"/>
          <w:b/>
          <w:bCs/>
          <w:iCs/>
          <w:caps/>
          <w:color w:val="auto"/>
          <w:sz w:val="28"/>
          <w:szCs w:val="28"/>
          <w:highlight w:val="none"/>
        </w:rPr>
        <w:instrText xml:space="preserve"> HYPERLINK \l _Toc22050 </w:instrText>
      </w:r>
      <w:r>
        <w:rPr>
          <w:rFonts w:hint="eastAsia" w:ascii="宋体" w:hAnsi="宋体" w:eastAsia="宋体" w:cs="宋体"/>
          <w:b/>
          <w:bCs/>
          <w:iCs/>
          <w:caps/>
          <w:color w:val="auto"/>
          <w:sz w:val="28"/>
          <w:szCs w:val="28"/>
          <w:highlight w:val="none"/>
        </w:rPr>
        <w:fldChar w:fldCharType="separate"/>
      </w:r>
      <w:r>
        <w:rPr>
          <w:rFonts w:hint="eastAsia" w:ascii="宋体" w:hAnsi="宋体" w:eastAsia="宋体" w:cs="宋体"/>
          <w:b/>
          <w:bCs/>
          <w:color w:val="auto"/>
          <w:sz w:val="28"/>
          <w:szCs w:val="28"/>
          <w:highlight w:val="none"/>
        </w:rPr>
        <w:t>第三章 评标办法（综合评估法）</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_Toc22050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26</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iCs/>
          <w:caps/>
          <w:color w:val="auto"/>
          <w:sz w:val="28"/>
          <w:szCs w:val="28"/>
          <w:highlight w:val="none"/>
        </w:rPr>
        <w:fldChar w:fldCharType="end"/>
      </w:r>
    </w:p>
    <w:p w14:paraId="0D6E04CF">
      <w:pPr>
        <w:pStyle w:val="19"/>
        <w:tabs>
          <w:tab w:val="right" w:leader="dot" w:pos="9185"/>
        </w:tabs>
        <w:spacing w:line="600" w:lineRule="auto"/>
        <w:rPr>
          <w:rFonts w:hint="eastAsia" w:ascii="宋体" w:hAnsi="宋体" w:eastAsia="宋体" w:cs="宋体"/>
          <w:b/>
          <w:bCs/>
          <w:color w:val="auto"/>
          <w:sz w:val="28"/>
          <w:szCs w:val="28"/>
          <w:highlight w:val="none"/>
        </w:rPr>
      </w:pPr>
      <w:r>
        <w:rPr>
          <w:rFonts w:hint="eastAsia" w:ascii="宋体" w:hAnsi="宋体" w:eastAsia="宋体" w:cs="宋体"/>
          <w:b/>
          <w:bCs/>
          <w:iCs/>
          <w:caps w:val="0"/>
          <w:color w:val="auto"/>
          <w:sz w:val="28"/>
          <w:szCs w:val="28"/>
          <w:highlight w:val="none"/>
        </w:rPr>
        <w:fldChar w:fldCharType="begin"/>
      </w:r>
      <w:r>
        <w:rPr>
          <w:rFonts w:hint="eastAsia" w:ascii="宋体" w:hAnsi="宋体" w:eastAsia="宋体" w:cs="宋体"/>
          <w:b/>
          <w:bCs/>
          <w:iCs/>
          <w:caps w:val="0"/>
          <w:color w:val="auto"/>
          <w:sz w:val="28"/>
          <w:szCs w:val="28"/>
          <w:highlight w:val="none"/>
        </w:rPr>
        <w:instrText xml:space="preserve"> HYPERLINK \l _Toc8760 </w:instrText>
      </w:r>
      <w:r>
        <w:rPr>
          <w:rFonts w:hint="eastAsia" w:ascii="宋体" w:hAnsi="宋体" w:eastAsia="宋体" w:cs="宋体"/>
          <w:b/>
          <w:bCs/>
          <w:iCs/>
          <w:caps w:val="0"/>
          <w:color w:val="auto"/>
          <w:sz w:val="28"/>
          <w:szCs w:val="28"/>
          <w:highlight w:val="none"/>
        </w:rPr>
        <w:fldChar w:fldCharType="separate"/>
      </w:r>
      <w:r>
        <w:rPr>
          <w:rFonts w:hint="eastAsia" w:ascii="宋体" w:hAnsi="宋体" w:eastAsia="宋体" w:cs="宋体"/>
          <w:b/>
          <w:bCs/>
          <w:color w:val="auto"/>
          <w:sz w:val="28"/>
          <w:szCs w:val="28"/>
          <w:highlight w:val="none"/>
        </w:rPr>
        <w:t>第四章 合同条款及格式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_Toc8760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35</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iCs/>
          <w:caps w:val="0"/>
          <w:color w:val="auto"/>
          <w:sz w:val="28"/>
          <w:szCs w:val="28"/>
          <w:highlight w:val="none"/>
        </w:rPr>
        <w:fldChar w:fldCharType="end"/>
      </w:r>
    </w:p>
    <w:p w14:paraId="0865E871">
      <w:pPr>
        <w:pStyle w:val="19"/>
        <w:tabs>
          <w:tab w:val="right" w:leader="dot" w:pos="9185"/>
        </w:tabs>
        <w:spacing w:line="60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iCs/>
          <w:caps w:val="0"/>
          <w:color w:val="auto"/>
          <w:sz w:val="28"/>
          <w:szCs w:val="28"/>
          <w:highlight w:val="none"/>
          <w:lang w:val="en-US" w:eastAsia="zh-CN"/>
        </w:rPr>
        <w:t>第五章 工程量清单</w:t>
      </w:r>
      <w:r>
        <w:rPr>
          <w:rFonts w:hint="eastAsia" w:ascii="宋体" w:hAnsi="宋体" w:eastAsia="宋体" w:cs="宋体"/>
          <w:b/>
          <w:bCs/>
          <w:iCs/>
          <w:caps w:val="0"/>
          <w:color w:val="auto"/>
          <w:sz w:val="28"/>
          <w:szCs w:val="28"/>
          <w:highlight w:val="none"/>
        </w:rPr>
        <w:fldChar w:fldCharType="begin"/>
      </w:r>
      <w:r>
        <w:rPr>
          <w:rFonts w:hint="eastAsia" w:ascii="宋体" w:hAnsi="宋体" w:eastAsia="宋体" w:cs="宋体"/>
          <w:b/>
          <w:bCs/>
          <w:iCs/>
          <w:caps w:val="0"/>
          <w:color w:val="auto"/>
          <w:sz w:val="28"/>
          <w:szCs w:val="28"/>
          <w:highlight w:val="none"/>
        </w:rPr>
        <w:instrText xml:space="preserve"> HYPERLINK \l _Toc19623 </w:instrText>
      </w:r>
      <w:r>
        <w:rPr>
          <w:rFonts w:hint="eastAsia" w:ascii="宋体" w:hAnsi="宋体" w:eastAsia="宋体" w:cs="宋体"/>
          <w:b/>
          <w:bCs/>
          <w:iCs/>
          <w:caps w:val="0"/>
          <w:color w:val="auto"/>
          <w:sz w:val="28"/>
          <w:szCs w:val="28"/>
          <w:highlight w:val="none"/>
        </w:rPr>
        <w:fldChar w:fldCharType="separate"/>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iCs/>
          <w:caps w:val="0"/>
          <w:color w:val="auto"/>
          <w:sz w:val="28"/>
          <w:szCs w:val="28"/>
          <w:highlight w:val="none"/>
        </w:rPr>
        <w:fldChar w:fldCharType="end"/>
      </w:r>
      <w:r>
        <w:rPr>
          <w:rFonts w:hint="eastAsia" w:ascii="宋体" w:hAnsi="宋体" w:eastAsia="宋体" w:cs="宋体"/>
          <w:b/>
          <w:bCs/>
          <w:iCs/>
          <w:caps w:val="0"/>
          <w:color w:val="auto"/>
          <w:sz w:val="28"/>
          <w:szCs w:val="28"/>
          <w:highlight w:val="none"/>
          <w:lang w:val="en-US" w:eastAsia="zh-CN"/>
        </w:rPr>
        <w:t>4</w:t>
      </w:r>
    </w:p>
    <w:p w14:paraId="4B1AC93C">
      <w:pPr>
        <w:pStyle w:val="19"/>
        <w:tabs>
          <w:tab w:val="right" w:leader="dot" w:pos="9185"/>
        </w:tabs>
        <w:spacing w:line="600" w:lineRule="auto"/>
        <w:rPr>
          <w:rFonts w:hint="eastAsia" w:ascii="宋体" w:hAnsi="宋体" w:eastAsia="宋体" w:cs="宋体"/>
          <w:b/>
          <w:bCs/>
          <w:color w:val="auto"/>
          <w:sz w:val="28"/>
          <w:szCs w:val="28"/>
          <w:highlight w:val="none"/>
        </w:rPr>
      </w:pPr>
      <w:r>
        <w:rPr>
          <w:rFonts w:hint="eastAsia" w:ascii="宋体" w:hAnsi="宋体" w:eastAsia="宋体" w:cs="宋体"/>
          <w:b/>
          <w:bCs/>
          <w:iCs/>
          <w:caps w:val="0"/>
          <w:color w:val="auto"/>
          <w:sz w:val="28"/>
          <w:szCs w:val="28"/>
          <w:highlight w:val="none"/>
        </w:rPr>
        <w:fldChar w:fldCharType="begin"/>
      </w:r>
      <w:r>
        <w:rPr>
          <w:rFonts w:hint="eastAsia" w:ascii="宋体" w:hAnsi="宋体" w:eastAsia="宋体" w:cs="宋体"/>
          <w:b/>
          <w:bCs/>
          <w:iCs/>
          <w:caps w:val="0"/>
          <w:color w:val="auto"/>
          <w:sz w:val="28"/>
          <w:szCs w:val="28"/>
          <w:highlight w:val="none"/>
        </w:rPr>
        <w:instrText xml:space="preserve"> HYPERLINK \l _Toc21586 </w:instrText>
      </w:r>
      <w:r>
        <w:rPr>
          <w:rFonts w:hint="eastAsia" w:ascii="宋体" w:hAnsi="宋体" w:eastAsia="宋体" w:cs="宋体"/>
          <w:b/>
          <w:bCs/>
          <w:iCs/>
          <w:caps w:val="0"/>
          <w:color w:val="auto"/>
          <w:sz w:val="28"/>
          <w:szCs w:val="28"/>
          <w:highlight w:val="none"/>
        </w:rPr>
        <w:fldChar w:fldCharType="separate"/>
      </w:r>
      <w:r>
        <w:rPr>
          <w:rFonts w:hint="eastAsia" w:ascii="宋体" w:hAnsi="宋体" w:eastAsia="宋体" w:cs="宋体"/>
          <w:b/>
          <w:bCs/>
          <w:color w:val="auto"/>
          <w:sz w:val="28"/>
          <w:szCs w:val="28"/>
          <w:highlight w:val="none"/>
        </w:rPr>
        <w:t>第六章 图纸</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_Toc21586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37</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iCs/>
          <w:caps w:val="0"/>
          <w:color w:val="auto"/>
          <w:sz w:val="28"/>
          <w:szCs w:val="28"/>
          <w:highlight w:val="none"/>
        </w:rPr>
        <w:fldChar w:fldCharType="end"/>
      </w:r>
    </w:p>
    <w:p w14:paraId="238DCE7F">
      <w:pPr>
        <w:pStyle w:val="19"/>
        <w:tabs>
          <w:tab w:val="right" w:leader="dot" w:pos="9185"/>
        </w:tabs>
        <w:spacing w:line="600" w:lineRule="auto"/>
        <w:rPr>
          <w:rFonts w:hint="eastAsia" w:ascii="宋体" w:hAnsi="宋体" w:eastAsia="宋体" w:cs="宋体"/>
          <w:b/>
          <w:bCs/>
          <w:color w:val="auto"/>
          <w:sz w:val="28"/>
          <w:szCs w:val="28"/>
          <w:highlight w:val="none"/>
        </w:rPr>
      </w:pPr>
      <w:r>
        <w:rPr>
          <w:rFonts w:hint="eastAsia" w:ascii="宋体" w:hAnsi="宋体" w:eastAsia="宋体" w:cs="宋体"/>
          <w:b/>
          <w:bCs/>
          <w:iCs/>
          <w:caps w:val="0"/>
          <w:color w:val="auto"/>
          <w:sz w:val="28"/>
          <w:szCs w:val="28"/>
          <w:highlight w:val="none"/>
        </w:rPr>
        <w:fldChar w:fldCharType="begin"/>
      </w:r>
      <w:r>
        <w:rPr>
          <w:rFonts w:hint="eastAsia" w:ascii="宋体" w:hAnsi="宋体" w:eastAsia="宋体" w:cs="宋体"/>
          <w:b/>
          <w:bCs/>
          <w:iCs/>
          <w:caps w:val="0"/>
          <w:color w:val="auto"/>
          <w:sz w:val="28"/>
          <w:szCs w:val="28"/>
          <w:highlight w:val="none"/>
        </w:rPr>
        <w:instrText xml:space="preserve"> HYPERLINK \l _Toc32580 </w:instrText>
      </w:r>
      <w:r>
        <w:rPr>
          <w:rFonts w:hint="eastAsia" w:ascii="宋体" w:hAnsi="宋体" w:eastAsia="宋体" w:cs="宋体"/>
          <w:b/>
          <w:bCs/>
          <w:iCs/>
          <w:caps w:val="0"/>
          <w:color w:val="auto"/>
          <w:sz w:val="28"/>
          <w:szCs w:val="28"/>
          <w:highlight w:val="none"/>
        </w:rPr>
        <w:fldChar w:fldCharType="separate"/>
      </w:r>
      <w:r>
        <w:rPr>
          <w:rFonts w:hint="eastAsia" w:ascii="宋体" w:hAnsi="宋体" w:eastAsia="宋体" w:cs="宋体"/>
          <w:b/>
          <w:bCs/>
          <w:color w:val="auto"/>
          <w:sz w:val="28"/>
          <w:szCs w:val="28"/>
          <w:highlight w:val="none"/>
        </w:rPr>
        <w:t>第七章 技术标准与要求</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_Toc32580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38</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iCs/>
          <w:caps w:val="0"/>
          <w:color w:val="auto"/>
          <w:sz w:val="28"/>
          <w:szCs w:val="28"/>
          <w:highlight w:val="none"/>
        </w:rPr>
        <w:fldChar w:fldCharType="end"/>
      </w:r>
    </w:p>
    <w:p w14:paraId="5EC22D21">
      <w:pPr>
        <w:pStyle w:val="19"/>
        <w:tabs>
          <w:tab w:val="right" w:leader="dot" w:pos="9185"/>
        </w:tabs>
        <w:spacing w:line="60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iCs/>
          <w:caps w:val="0"/>
          <w:color w:val="auto"/>
          <w:sz w:val="28"/>
          <w:szCs w:val="28"/>
          <w:highlight w:val="none"/>
        </w:rPr>
        <w:fldChar w:fldCharType="begin"/>
      </w:r>
      <w:r>
        <w:rPr>
          <w:rFonts w:hint="eastAsia" w:ascii="宋体" w:hAnsi="宋体" w:eastAsia="宋体" w:cs="宋体"/>
          <w:b/>
          <w:bCs/>
          <w:iCs/>
          <w:caps w:val="0"/>
          <w:color w:val="auto"/>
          <w:sz w:val="28"/>
          <w:szCs w:val="28"/>
          <w:highlight w:val="none"/>
        </w:rPr>
        <w:instrText xml:space="preserve"> HYPERLINK \l _Toc481 </w:instrText>
      </w:r>
      <w:r>
        <w:rPr>
          <w:rFonts w:hint="eastAsia" w:ascii="宋体" w:hAnsi="宋体" w:eastAsia="宋体" w:cs="宋体"/>
          <w:b/>
          <w:bCs/>
          <w:iCs/>
          <w:caps w:val="0"/>
          <w:color w:val="auto"/>
          <w:sz w:val="28"/>
          <w:szCs w:val="28"/>
          <w:highlight w:val="none"/>
        </w:rPr>
        <w:fldChar w:fldCharType="separate"/>
      </w:r>
      <w:r>
        <w:rPr>
          <w:rFonts w:hint="eastAsia" w:ascii="宋体" w:hAnsi="宋体" w:eastAsia="宋体" w:cs="宋体"/>
          <w:b/>
          <w:bCs/>
          <w:color w:val="auto"/>
          <w:sz w:val="28"/>
          <w:szCs w:val="28"/>
          <w:highlight w:val="none"/>
        </w:rPr>
        <w:t>第八章 响应文件格式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iCs/>
          <w:caps w:val="0"/>
          <w:color w:val="auto"/>
          <w:sz w:val="28"/>
          <w:szCs w:val="28"/>
          <w:highlight w:val="none"/>
        </w:rPr>
        <w:fldChar w:fldCharType="end"/>
      </w:r>
      <w:r>
        <w:rPr>
          <w:rFonts w:hint="eastAsia" w:ascii="宋体" w:hAnsi="宋体" w:eastAsia="宋体" w:cs="宋体"/>
          <w:b/>
          <w:bCs/>
          <w:iCs/>
          <w:caps w:val="0"/>
          <w:color w:val="auto"/>
          <w:sz w:val="28"/>
          <w:szCs w:val="28"/>
          <w:highlight w:val="none"/>
          <w:lang w:val="en-US" w:eastAsia="zh-CN"/>
        </w:rPr>
        <w:t>8</w:t>
      </w:r>
    </w:p>
    <w:p w14:paraId="0E0451AE">
      <w:pPr>
        <w:spacing w:line="600" w:lineRule="auto"/>
        <w:rPr>
          <w:rFonts w:hint="eastAsia" w:ascii="宋体" w:hAnsi="宋体" w:eastAsia="宋体" w:cs="宋体"/>
          <w:b/>
          <w:bCs/>
          <w:color w:val="auto"/>
          <w:kern w:val="44"/>
          <w:sz w:val="40"/>
          <w:szCs w:val="40"/>
          <w:highlight w:val="none"/>
          <w:lang w:val="en-US" w:eastAsia="zh-CN"/>
        </w:rPr>
        <w:sectPr>
          <w:headerReference r:id="rId6" w:type="first"/>
          <w:footerReference r:id="rId8" w:type="first"/>
          <w:footerReference r:id="rId7" w:type="default"/>
          <w:pgSz w:w="11906" w:h="16838"/>
          <w:pgMar w:top="1361" w:right="1361" w:bottom="1361" w:left="1361" w:header="624" w:footer="1020" w:gutter="113"/>
          <w:pgNumType w:fmt="decimal" w:start="1"/>
          <w:cols w:space="720" w:num="1"/>
          <w:titlePg/>
          <w:rtlGutter w:val="0"/>
          <w:docGrid w:type="lines" w:linePitch="316" w:charSpace="0"/>
        </w:sectPr>
      </w:pPr>
      <w:r>
        <w:rPr>
          <w:rFonts w:hint="eastAsia" w:ascii="宋体" w:hAnsi="宋体" w:eastAsia="宋体" w:cs="宋体"/>
          <w:b/>
          <w:bCs/>
          <w:iCs/>
          <w:caps/>
          <w:color w:val="auto"/>
          <w:sz w:val="28"/>
          <w:szCs w:val="28"/>
          <w:highlight w:val="none"/>
        </w:rPr>
        <w:fldChar w:fldCharType="end"/>
      </w:r>
      <w:bookmarkEnd w:id="4"/>
      <w:bookmarkEnd w:id="5"/>
      <w:bookmarkEnd w:id="6"/>
      <w:bookmarkStart w:id="7" w:name="_Toc144974495"/>
      <w:bookmarkStart w:id="8" w:name="_Toc246996173"/>
      <w:bookmarkStart w:id="9" w:name="_Toc152045527"/>
      <w:bookmarkStart w:id="10" w:name="_Toc152042303"/>
      <w:bookmarkStart w:id="11" w:name="_Toc246996916"/>
      <w:bookmarkStart w:id="12" w:name="_Toc247085687"/>
      <w:bookmarkStart w:id="13" w:name="_Toc179632544"/>
    </w:p>
    <w:p w14:paraId="48B74656">
      <w:pPr>
        <w:keepNext/>
        <w:keepLines/>
        <w:pageBreakBefore w:val="0"/>
        <w:widowControl w:val="0"/>
        <w:kinsoku/>
        <w:wordWrap/>
        <w:overflowPunct/>
        <w:topLinePunct w:val="0"/>
        <w:autoSpaceDE/>
        <w:autoSpaceDN/>
        <w:bidi w:val="0"/>
        <w:adjustRightInd/>
        <w:snapToGrid/>
        <w:spacing w:before="340" w:after="330" w:line="360" w:lineRule="exact"/>
        <w:jc w:val="center"/>
        <w:textAlignment w:val="auto"/>
        <w:outlineLvl w:val="0"/>
        <w:rPr>
          <w:rFonts w:hint="eastAsia" w:ascii="宋体" w:hAnsi="宋体" w:eastAsia="宋体" w:cs="宋体"/>
          <w:color w:val="auto"/>
          <w:sz w:val="36"/>
          <w:szCs w:val="36"/>
          <w:highlight w:val="none"/>
        </w:rPr>
      </w:pPr>
      <w:r>
        <w:rPr>
          <w:rFonts w:hint="eastAsia" w:ascii="宋体" w:hAnsi="宋体" w:eastAsia="宋体" w:cs="宋体"/>
          <w:b/>
          <w:bCs/>
          <w:color w:val="auto"/>
          <w:kern w:val="44"/>
          <w:sz w:val="36"/>
          <w:szCs w:val="36"/>
          <w:highlight w:val="none"/>
          <w:lang w:val="en-US" w:eastAsia="zh-CN"/>
        </w:rPr>
        <w:t xml:space="preserve">第一章 </w:t>
      </w:r>
      <w:r>
        <w:rPr>
          <w:rFonts w:hint="eastAsia" w:ascii="宋体" w:hAnsi="宋体" w:eastAsia="宋体" w:cs="宋体"/>
          <w:b/>
          <w:bCs/>
          <w:color w:val="auto"/>
          <w:kern w:val="44"/>
          <w:sz w:val="36"/>
          <w:szCs w:val="36"/>
          <w:highlight w:val="none"/>
        </w:rPr>
        <w:t>竞争性磋商公告</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301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tcPr>
          <w:p w14:paraId="5067203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项目概况</w:t>
            </w:r>
          </w:p>
          <w:p w14:paraId="3CB49A7E">
            <w:pPr>
              <w:keepNext w:val="0"/>
              <w:keepLines w:val="0"/>
              <w:pageBreakBefore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bCs w:val="0"/>
                <w:color w:val="auto"/>
                <w:sz w:val="21"/>
                <w:szCs w:val="21"/>
                <w:highlight w:val="none"/>
                <w:vertAlign w:val="baseline"/>
              </w:rPr>
            </w:pPr>
            <w:r>
              <w:rPr>
                <w:rFonts w:hint="eastAsia" w:hAnsi="宋体" w:cs="宋体"/>
                <w:color w:val="auto"/>
                <w:sz w:val="21"/>
                <w:szCs w:val="21"/>
                <w:highlight w:val="none"/>
                <w:lang w:val="en-US" w:eastAsia="zh-CN"/>
              </w:rPr>
              <w:t>长春市殡葬服务中心2025年清A区挡土墙修缮及墓穴项目</w:t>
            </w:r>
            <w:r>
              <w:rPr>
                <w:rFonts w:hint="eastAsia" w:ascii="宋体" w:hAnsi="宋体" w:eastAsia="宋体" w:cs="宋体"/>
                <w:color w:val="auto"/>
                <w:sz w:val="21"/>
                <w:szCs w:val="21"/>
                <w:highlight w:val="none"/>
              </w:rPr>
              <w:t>的潜在供应商</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在“政采云”平台 (https://www.zcygov.cn/)获取</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文件，并于</w:t>
            </w:r>
            <w:r>
              <w:rPr>
                <w:rFonts w:hint="eastAsia" w:hAnsi="宋体" w:cs="宋体"/>
                <w:color w:val="auto"/>
                <w:sz w:val="21"/>
                <w:szCs w:val="21"/>
                <w:highlight w:val="none"/>
                <w:lang w:eastAsia="zh-CN"/>
              </w:rPr>
              <w:t>2025年</w:t>
            </w:r>
            <w:r>
              <w:rPr>
                <w:rFonts w:hint="eastAsia" w:hAnsi="宋体" w:cs="宋体"/>
                <w:color w:val="auto"/>
                <w:sz w:val="21"/>
                <w:szCs w:val="21"/>
                <w:highlight w:val="none"/>
                <w:lang w:val="en-US" w:eastAsia="zh-CN"/>
              </w:rPr>
              <w:t>08</w:t>
            </w:r>
            <w:r>
              <w:rPr>
                <w:rFonts w:hint="eastAsia" w:hAnsi="宋体" w:cs="宋体"/>
                <w:color w:val="auto"/>
                <w:sz w:val="21"/>
                <w:szCs w:val="21"/>
                <w:highlight w:val="none"/>
                <w:lang w:eastAsia="zh-CN"/>
              </w:rPr>
              <w:t>月</w:t>
            </w:r>
            <w:r>
              <w:rPr>
                <w:rFonts w:hint="eastAsia" w:hAnsi="宋体" w:cs="宋体"/>
                <w:color w:val="auto"/>
                <w:sz w:val="21"/>
                <w:szCs w:val="21"/>
                <w:highlight w:val="none"/>
                <w:lang w:val="en-US" w:eastAsia="zh-CN"/>
              </w:rPr>
              <w:t>08</w:t>
            </w:r>
            <w:r>
              <w:rPr>
                <w:rFonts w:hint="eastAsia" w:hAnsi="宋体" w:cs="宋体"/>
                <w:color w:val="auto"/>
                <w:sz w:val="21"/>
                <w:szCs w:val="21"/>
                <w:highlight w:val="none"/>
                <w:lang w:eastAsia="zh-CN"/>
              </w:rPr>
              <w:t>日</w:t>
            </w:r>
            <w:r>
              <w:rPr>
                <w:rFonts w:hint="eastAsia" w:hAnsi="宋体" w:cs="宋体"/>
                <w:color w:val="auto"/>
                <w:sz w:val="21"/>
                <w:szCs w:val="21"/>
                <w:highlight w:val="none"/>
                <w:lang w:val="en-US" w:eastAsia="zh-CN"/>
              </w:rPr>
              <w:t>09</w:t>
            </w:r>
            <w:r>
              <w:rPr>
                <w:rFonts w:hint="eastAsia" w:hAnsi="宋体" w:cs="宋体"/>
                <w:color w:val="auto"/>
                <w:sz w:val="21"/>
                <w:szCs w:val="21"/>
                <w:highlight w:val="none"/>
                <w:lang w:eastAsia="zh-CN"/>
              </w:rPr>
              <w:t>时</w:t>
            </w:r>
            <w:r>
              <w:rPr>
                <w:rFonts w:hint="eastAsia" w:hAnsi="宋体" w:cs="宋体"/>
                <w:color w:val="auto"/>
                <w:sz w:val="21"/>
                <w:szCs w:val="21"/>
                <w:highlight w:val="none"/>
                <w:lang w:val="en-US" w:eastAsia="zh-CN"/>
              </w:rPr>
              <w:t>00</w:t>
            </w:r>
            <w:r>
              <w:rPr>
                <w:rFonts w:hint="eastAsia" w:hAnsi="宋体" w:cs="宋体"/>
                <w:color w:val="auto"/>
                <w:sz w:val="21"/>
                <w:szCs w:val="21"/>
                <w:highlight w:val="none"/>
                <w:lang w:eastAsia="zh-CN"/>
              </w:rPr>
              <w:t>分</w:t>
            </w:r>
            <w:r>
              <w:rPr>
                <w:rFonts w:hint="eastAsia" w:ascii="宋体" w:hAnsi="宋体" w:eastAsia="宋体" w:cs="宋体"/>
                <w:color w:val="auto"/>
                <w:sz w:val="21"/>
                <w:szCs w:val="21"/>
                <w:highlight w:val="none"/>
              </w:rPr>
              <w:t>（北京时间）前</w:t>
            </w:r>
            <w:r>
              <w:rPr>
                <w:rFonts w:hint="eastAsia" w:ascii="宋体" w:hAnsi="宋体" w:eastAsia="宋体" w:cs="宋体"/>
                <w:color w:val="auto"/>
                <w:sz w:val="21"/>
                <w:szCs w:val="21"/>
                <w:highlight w:val="none"/>
                <w:lang w:val="en-US" w:eastAsia="zh-CN"/>
              </w:rPr>
              <w:t>提交响应</w:t>
            </w:r>
            <w:r>
              <w:rPr>
                <w:rFonts w:hint="eastAsia" w:ascii="宋体" w:hAnsi="宋体" w:eastAsia="宋体" w:cs="宋体"/>
                <w:color w:val="auto"/>
                <w:sz w:val="21"/>
                <w:szCs w:val="21"/>
                <w:highlight w:val="none"/>
              </w:rPr>
              <w:t>文件。</w:t>
            </w:r>
          </w:p>
        </w:tc>
      </w:tr>
    </w:tbl>
    <w:p w14:paraId="63ACF26F">
      <w:pPr>
        <w:keepNext w:val="0"/>
        <w:keepLines w:val="0"/>
        <w:pageBreakBefore w:val="0"/>
        <w:kinsoku/>
        <w:wordWrap/>
        <w:overflowPunct/>
        <w:topLinePunct w:val="0"/>
        <w:bidi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一、项目基本情况</w:t>
      </w:r>
    </w:p>
    <w:p w14:paraId="0AC7E004">
      <w:pPr>
        <w:keepNext w:val="0"/>
        <w:keepLines w:val="0"/>
        <w:pageBreakBefore w:val="0"/>
        <w:kinsoku/>
        <w:wordWrap/>
        <w:overflowPunct/>
        <w:topLinePunct w:val="0"/>
        <w:autoSpaceDE w:val="0"/>
        <w:autoSpaceDN w:val="0"/>
        <w:bidi w:val="0"/>
        <w:adjustRightInd w:val="0"/>
        <w:snapToGrid/>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val="en-US" w:eastAsia="zh-CN"/>
        </w:rPr>
        <w:t>JM-2025-06-00687；</w:t>
      </w:r>
    </w:p>
    <w:p w14:paraId="1E9D251F">
      <w:pPr>
        <w:keepNext w:val="0"/>
        <w:keepLines w:val="0"/>
        <w:pageBreakBefore w:val="0"/>
        <w:kinsoku/>
        <w:wordWrap/>
        <w:overflowPunct/>
        <w:topLinePunct w:val="0"/>
        <w:autoSpaceDE w:val="0"/>
        <w:autoSpaceDN w:val="0"/>
        <w:bidi w:val="0"/>
        <w:adjustRightInd w:val="0"/>
        <w:snapToGrid/>
        <w:spacing w:line="288"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hAnsi="宋体" w:cs="宋体"/>
          <w:color w:val="auto"/>
          <w:sz w:val="21"/>
          <w:szCs w:val="21"/>
          <w:highlight w:val="none"/>
          <w:lang w:val="en-US" w:eastAsia="zh-CN"/>
        </w:rPr>
        <w:t>长春市殡葬服务中心2025年清A区挡土墙修缮及墓穴项目</w:t>
      </w:r>
      <w:r>
        <w:rPr>
          <w:rFonts w:hint="eastAsia" w:ascii="宋体" w:hAnsi="宋体" w:eastAsia="宋体" w:cs="宋体"/>
          <w:color w:val="auto"/>
          <w:sz w:val="21"/>
          <w:szCs w:val="21"/>
          <w:highlight w:val="none"/>
          <w:lang w:val="en-US" w:eastAsia="zh-CN"/>
        </w:rPr>
        <w:t>；</w:t>
      </w:r>
    </w:p>
    <w:p w14:paraId="0FD79D6E">
      <w:pPr>
        <w:keepNext w:val="0"/>
        <w:keepLines w:val="0"/>
        <w:pageBreakBefore w:val="0"/>
        <w:kinsoku/>
        <w:wordWrap/>
        <w:overflowPunct/>
        <w:topLinePunct w:val="0"/>
        <w:autoSpaceDE w:val="0"/>
        <w:autoSpaceDN w:val="0"/>
        <w:bidi w:val="0"/>
        <w:adjustRightInd w:val="0"/>
        <w:snapToGrid/>
        <w:spacing w:line="288" w:lineRule="auto"/>
        <w:ind w:firstLine="420" w:firstLineChars="200"/>
        <w:textAlignment w:val="auto"/>
        <w:rPr>
          <w:rFonts w:hint="eastAsia" w:ascii="宋体" w:hAnsi="宋体" w:eastAsia="宋体" w:cs="宋体"/>
          <w:color w:val="auto"/>
          <w:sz w:val="21"/>
          <w:szCs w:val="21"/>
          <w:highlight w:val="none"/>
          <w:lang w:eastAsia="zh-CN"/>
        </w:rPr>
      </w:pPr>
      <w:bookmarkStart w:id="14" w:name="_Toc184635053"/>
      <w:r>
        <w:rPr>
          <w:rFonts w:hint="eastAsia" w:ascii="宋体" w:hAnsi="宋体" w:eastAsia="宋体" w:cs="宋体"/>
          <w:color w:val="auto"/>
          <w:sz w:val="21"/>
          <w:szCs w:val="21"/>
          <w:highlight w:val="none"/>
        </w:rPr>
        <w:t>采购方式：竞争性磋商</w:t>
      </w:r>
      <w:r>
        <w:rPr>
          <w:rFonts w:hint="eastAsia" w:ascii="宋体" w:hAnsi="宋体" w:eastAsia="宋体" w:cs="宋体"/>
          <w:color w:val="auto"/>
          <w:sz w:val="21"/>
          <w:szCs w:val="21"/>
          <w:highlight w:val="none"/>
          <w:lang w:eastAsia="zh-CN"/>
        </w:rPr>
        <w:t>；</w:t>
      </w:r>
    </w:p>
    <w:p w14:paraId="07396C6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预算金额：2521947.00</w:t>
      </w:r>
      <w:r>
        <w:rPr>
          <w:rFonts w:hint="eastAsia" w:ascii="宋体" w:hAnsi="宋体" w:eastAsia="宋体" w:cs="宋体"/>
          <w:bCs/>
          <w:color w:val="auto"/>
          <w:sz w:val="21"/>
          <w:szCs w:val="21"/>
          <w:highlight w:val="none"/>
          <w:lang w:val="en-US" w:eastAsia="zh-CN"/>
        </w:rPr>
        <w:t>元</w:t>
      </w:r>
      <w:r>
        <w:rPr>
          <w:rFonts w:hint="eastAsia" w:ascii="宋体" w:hAnsi="宋体" w:eastAsia="宋体" w:cs="宋体"/>
          <w:bCs/>
          <w:color w:val="auto"/>
          <w:sz w:val="21"/>
          <w:szCs w:val="21"/>
          <w:highlight w:val="none"/>
          <w:lang w:eastAsia="zh-CN"/>
        </w:rPr>
        <w:t>；</w:t>
      </w:r>
    </w:p>
    <w:p w14:paraId="3EF7167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最高限价：2521947.00</w:t>
      </w:r>
      <w:r>
        <w:rPr>
          <w:rFonts w:hint="eastAsia" w:ascii="宋体" w:hAnsi="宋体" w:eastAsia="宋体" w:cs="宋体"/>
          <w:bCs/>
          <w:color w:val="auto"/>
          <w:sz w:val="21"/>
          <w:szCs w:val="21"/>
          <w:highlight w:val="none"/>
          <w:lang w:val="en-US" w:eastAsia="zh-CN"/>
        </w:rPr>
        <w:t>元</w:t>
      </w:r>
      <w:r>
        <w:rPr>
          <w:rFonts w:hint="eastAsia" w:ascii="宋体" w:hAnsi="宋体" w:eastAsia="宋体" w:cs="宋体"/>
          <w:bCs/>
          <w:color w:val="auto"/>
          <w:sz w:val="21"/>
          <w:szCs w:val="21"/>
          <w:highlight w:val="none"/>
          <w:lang w:eastAsia="zh-CN"/>
        </w:rPr>
        <w:t>；</w:t>
      </w:r>
    </w:p>
    <w:p w14:paraId="4A0ECCB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bCs/>
          <w:color w:val="auto"/>
          <w:sz w:val="21"/>
          <w:szCs w:val="21"/>
          <w:highlight w:val="none"/>
          <w:lang w:val="en-US" w:eastAsia="zh-CN"/>
        </w:rPr>
        <w:t>采购需求</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eastAsia="zh-CN"/>
        </w:rPr>
        <w:t>施工图纸及工程量清单所含全部内容施工</w:t>
      </w:r>
      <w:r>
        <w:rPr>
          <w:rFonts w:hint="eastAsia" w:ascii="宋体" w:hAnsi="宋体" w:eastAsia="宋体" w:cs="宋体"/>
          <w:bCs/>
          <w:color w:val="auto"/>
          <w:sz w:val="21"/>
          <w:szCs w:val="21"/>
          <w:highlight w:val="none"/>
          <w:lang w:eastAsia="zh-CN"/>
        </w:rPr>
        <w:t>；</w:t>
      </w:r>
    </w:p>
    <w:p w14:paraId="4617638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合同履行期限（计划工期）</w:t>
      </w:r>
      <w:r>
        <w:rPr>
          <w:rFonts w:hint="eastAsia" w:ascii="宋体" w:hAnsi="宋体" w:eastAsia="宋体" w:cs="宋体"/>
          <w:bCs/>
          <w:color w:val="auto"/>
          <w:sz w:val="21"/>
          <w:szCs w:val="21"/>
          <w:highlight w:val="none"/>
        </w:rPr>
        <w:t>：</w:t>
      </w:r>
      <w:r>
        <w:rPr>
          <w:rFonts w:hint="eastAsia" w:hAnsi="宋体" w:cs="宋体"/>
          <w:bCs/>
          <w:color w:val="auto"/>
          <w:sz w:val="21"/>
          <w:szCs w:val="21"/>
          <w:highlight w:val="none"/>
          <w:lang w:val="en-US" w:eastAsia="zh-CN"/>
        </w:rPr>
        <w:t>90日历天；</w:t>
      </w:r>
    </w:p>
    <w:p w14:paraId="7261B409">
      <w:pPr>
        <w:keepNext w:val="0"/>
        <w:keepLines w:val="0"/>
        <w:pageBreakBefore w:val="0"/>
        <w:kinsoku/>
        <w:wordWrap/>
        <w:overflowPunct/>
        <w:topLinePunct w:val="0"/>
        <w:autoSpaceDE w:val="0"/>
        <w:autoSpaceDN w:val="0"/>
        <w:bidi w:val="0"/>
        <w:adjustRightInd w:val="0"/>
        <w:snapToGrid/>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建设地点：长春市二道区四通路155号长春息园内指定场地；</w:t>
      </w:r>
    </w:p>
    <w:p w14:paraId="6CFCA4D3">
      <w:pPr>
        <w:keepNext w:val="0"/>
        <w:keepLines w:val="0"/>
        <w:pageBreakBefore w:val="0"/>
        <w:kinsoku/>
        <w:wordWrap/>
        <w:overflowPunct/>
        <w:topLinePunct w:val="0"/>
        <w:autoSpaceDE w:val="0"/>
        <w:autoSpaceDN w:val="0"/>
        <w:bidi w:val="0"/>
        <w:adjustRightInd w:val="0"/>
        <w:snapToGrid/>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质量要求</w:t>
      </w:r>
      <w:r>
        <w:rPr>
          <w:rFonts w:hint="eastAsia" w:ascii="宋体" w:hAnsi="宋体" w:eastAsia="宋体" w:cs="宋体"/>
          <w:color w:val="auto"/>
          <w:sz w:val="21"/>
          <w:szCs w:val="21"/>
          <w:highlight w:val="none"/>
          <w:lang w:val="en-US" w:eastAsia="zh-CN"/>
        </w:rPr>
        <w:t>：符合国家相关工程施工质量验收统一标准及相关标准的合格工程；</w:t>
      </w:r>
    </w:p>
    <w:p w14:paraId="25DB32C6">
      <w:pPr>
        <w:keepNext w:val="0"/>
        <w:keepLines w:val="0"/>
        <w:pageBreakBefore w:val="0"/>
        <w:kinsoku/>
        <w:wordWrap/>
        <w:overflowPunct/>
        <w:topLinePunct w:val="0"/>
        <w:autoSpaceDE w:val="0"/>
        <w:autoSpaceDN w:val="0"/>
        <w:bidi w:val="0"/>
        <w:adjustRightInd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w:t>
      </w:r>
    </w:p>
    <w:p w14:paraId="020FC82A">
      <w:pPr>
        <w:keepNext w:val="0"/>
        <w:keepLines w:val="0"/>
        <w:pageBreakBefore w:val="0"/>
        <w:kinsoku/>
        <w:wordWrap/>
        <w:overflowPunct/>
        <w:topLinePunct w:val="0"/>
        <w:bidi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14:paraId="3304A04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1.满足《中华人民共和国政府采购法》第二十二条规定</w:t>
      </w:r>
      <w:r>
        <w:rPr>
          <w:rFonts w:hint="eastAsia" w:ascii="宋体" w:hAnsi="宋体" w:eastAsia="宋体" w:cs="宋体"/>
          <w:bCs/>
          <w:color w:val="auto"/>
          <w:sz w:val="21"/>
          <w:szCs w:val="21"/>
          <w:highlight w:val="none"/>
          <w:lang w:eastAsia="zh-CN"/>
        </w:rPr>
        <w:t>。</w:t>
      </w:r>
    </w:p>
    <w:p w14:paraId="3E8EB72C">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2.落实政府采购政策需满足的资格要求：</w:t>
      </w:r>
      <w:r>
        <w:rPr>
          <w:rFonts w:hint="eastAsia" w:ascii="宋体" w:hAnsi="宋体" w:eastAsia="宋体" w:cs="宋体"/>
          <w:color w:val="auto"/>
          <w:sz w:val="21"/>
          <w:szCs w:val="21"/>
          <w:highlight w:val="none"/>
        </w:rPr>
        <w:t>本项目为专门面向中小企业采购</w:t>
      </w:r>
      <w:r>
        <w:rPr>
          <w:rFonts w:hint="eastAsia" w:ascii="宋体" w:hAnsi="宋体" w:eastAsia="宋体" w:cs="宋体"/>
          <w:color w:val="auto"/>
          <w:sz w:val="21"/>
          <w:szCs w:val="21"/>
          <w:highlight w:val="none"/>
          <w:lang w:val="en-US" w:eastAsia="zh-CN"/>
        </w:rPr>
        <w:t>（供应商应为中小微企业或监狱企业或残疾人福利性单位)；</w:t>
      </w:r>
    </w:p>
    <w:p w14:paraId="466549C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需要落实的政府采购政策：《政府采购促进中小企业发展管理办法》(财库[2020]46号) 、《关于进一步加大政府采购支持中小企业力度的通知》（财库〔2022〕19号）、《关于政府采购支持监狱企业发展有关问题的通知》(财库〔2014〕68号)、《关于促进残疾人就业政府采购政策的通知》（财库〔2017〕141号）等；</w:t>
      </w:r>
    </w:p>
    <w:p w14:paraId="0B01E0D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3.本项目的特定资格要求：</w:t>
      </w:r>
    </w:p>
    <w:bookmarkEnd w:id="14"/>
    <w:p w14:paraId="6EC3955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w:t>
      </w:r>
      <w:r>
        <w:rPr>
          <w:rFonts w:hint="eastAsia" w:ascii="宋体" w:hAnsi="宋体" w:eastAsia="宋体" w:cs="宋体"/>
          <w:bCs/>
          <w:color w:val="auto"/>
          <w:sz w:val="21"/>
          <w:szCs w:val="21"/>
          <w:highlight w:val="none"/>
          <w:lang w:eastAsia="zh-CN"/>
        </w:rPr>
        <w:t>供应商须是具有独立的法人资格的企业或其他组织，</w:t>
      </w:r>
      <w:r>
        <w:rPr>
          <w:rFonts w:hint="eastAsia" w:hAnsi="宋体" w:cs="宋体"/>
          <w:bCs/>
          <w:color w:val="auto"/>
          <w:sz w:val="21"/>
          <w:szCs w:val="21"/>
          <w:highlight w:val="none"/>
          <w:lang w:eastAsia="zh-CN"/>
        </w:rPr>
        <w:t>具备建设行政主管部门核发的建筑工程施工总承包二级及以上资质</w:t>
      </w:r>
      <w:r>
        <w:rPr>
          <w:rFonts w:hint="eastAsia" w:ascii="宋体" w:hAnsi="宋体" w:eastAsia="宋体" w:cs="宋体"/>
          <w:bCs/>
          <w:color w:val="auto"/>
          <w:sz w:val="21"/>
          <w:szCs w:val="21"/>
          <w:highlight w:val="none"/>
          <w:lang w:eastAsia="zh-CN"/>
        </w:rPr>
        <w:t>，具有有效的安全生产许可证，并在人员、设备、资金等方面具有相应的施工能力</w:t>
      </w:r>
      <w:r>
        <w:rPr>
          <w:rFonts w:hint="eastAsia" w:ascii="宋体" w:hAnsi="宋体" w:eastAsia="宋体" w:cs="宋体"/>
          <w:bCs/>
          <w:color w:val="auto"/>
          <w:sz w:val="21"/>
          <w:szCs w:val="21"/>
          <w:highlight w:val="none"/>
        </w:rPr>
        <w:t>。</w:t>
      </w:r>
    </w:p>
    <w:p w14:paraId="65F0159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3.2供应商拟派出的项目经理需具备建筑工程专业二级及以上注册建造师资格，具备有效的安全生产考核合格证书（B类），且无在建工程。</w:t>
      </w:r>
    </w:p>
    <w:p w14:paraId="5B0B7C8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rPr>
        <w:t>供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r>
        <w:rPr>
          <w:rFonts w:hint="eastAsia" w:ascii="宋体" w:hAnsi="宋体" w:eastAsia="宋体" w:cs="宋体"/>
          <w:color w:val="auto"/>
          <w:sz w:val="21"/>
          <w:szCs w:val="21"/>
          <w:highlight w:val="none"/>
          <w:lang w:eastAsia="zh-CN"/>
        </w:rPr>
        <w:t>。</w:t>
      </w:r>
    </w:p>
    <w:p w14:paraId="09EE65D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信誉要求：（1）拒绝列入政府取消投标资格记录期间的企业或个人投标。（2）未被市场监督管理机关在国家企业信用信息公示系统（www.gsxt.gov.cn）中列入严重违法失信企业名单。（3）未被“信用中国”（www.creditchina.gov.cn）列入失信被执行人、重大税收违法案件当事人名单、未被中国政府采购网（www.ccgp.gov.cn）列入政府采购严重违法失信行为记录名单。（4）在近三年（2022年1月1日至今）内供应商或其法定代表人、拟委任的项目经理未在“中国裁判文书网”（http://wenshu.court.gov.cn/）上有行贿犯罪行为。</w:t>
      </w:r>
    </w:p>
    <w:p w14:paraId="33FF43B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en-US" w:eastAsia="zh-CN"/>
        </w:rPr>
        <w:t>3.</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478BE87D">
      <w:pPr>
        <w:keepNext w:val="0"/>
        <w:keepLines w:val="0"/>
        <w:pageBreakBefore w:val="0"/>
        <w:kinsoku/>
        <w:wordWrap/>
        <w:overflowPunct/>
        <w:topLinePunct w:val="0"/>
        <w:bidi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三、获取采购文件</w:t>
      </w:r>
    </w:p>
    <w:p w14:paraId="5446EDDE">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1.时间：</w:t>
      </w:r>
      <w:r>
        <w:rPr>
          <w:rFonts w:hint="eastAsia" w:ascii="宋体" w:hAnsi="宋体" w:eastAsia="宋体" w:cs="宋体"/>
          <w:color w:val="auto"/>
          <w:kern w:val="0"/>
          <w:sz w:val="21"/>
          <w:szCs w:val="21"/>
          <w:highlight w:val="none"/>
          <w:lang w:val="en-US" w:eastAsia="zh-CN"/>
        </w:rPr>
        <w:t>202</w:t>
      </w:r>
      <w:r>
        <w:rPr>
          <w:rFonts w:hint="eastAsia"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年</w:t>
      </w:r>
      <w:r>
        <w:rPr>
          <w:rFonts w:hint="eastAsia"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en-US" w:eastAsia="zh-CN"/>
        </w:rPr>
        <w:t>月</w:t>
      </w:r>
      <w:r>
        <w:rPr>
          <w:rFonts w:hint="eastAsia" w:hAnsi="宋体" w:cs="宋体"/>
          <w:color w:val="auto"/>
          <w:kern w:val="0"/>
          <w:sz w:val="21"/>
          <w:szCs w:val="21"/>
          <w:highlight w:val="none"/>
          <w:lang w:val="en-US" w:eastAsia="zh-CN"/>
        </w:rPr>
        <w:t>18</w:t>
      </w:r>
      <w:r>
        <w:rPr>
          <w:rFonts w:hint="eastAsia" w:ascii="宋体" w:hAnsi="宋体" w:eastAsia="宋体" w:cs="宋体"/>
          <w:color w:val="auto"/>
          <w:kern w:val="0"/>
          <w:sz w:val="21"/>
          <w:szCs w:val="21"/>
          <w:highlight w:val="none"/>
          <w:lang w:val="en-US" w:eastAsia="zh-CN"/>
        </w:rPr>
        <w:t>日0</w:t>
      </w:r>
      <w:r>
        <w:rPr>
          <w:rFonts w:hint="eastAsia"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lang w:val="en-US" w:eastAsia="zh-CN"/>
        </w:rPr>
        <w:t>时</w:t>
      </w:r>
      <w:r>
        <w:rPr>
          <w:rFonts w:hint="eastAsia"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分至20</w:t>
      </w:r>
      <w:r>
        <w:rPr>
          <w:rFonts w:hint="eastAsia" w:hAnsi="宋体" w:cs="宋体"/>
          <w:color w:val="auto"/>
          <w:kern w:val="0"/>
          <w:sz w:val="21"/>
          <w:szCs w:val="21"/>
          <w:highlight w:val="none"/>
          <w:lang w:val="en-US" w:eastAsia="zh-CN"/>
        </w:rPr>
        <w:t>25</w:t>
      </w:r>
      <w:r>
        <w:rPr>
          <w:rFonts w:hint="eastAsia" w:ascii="宋体" w:hAnsi="宋体" w:eastAsia="宋体" w:cs="宋体"/>
          <w:color w:val="auto"/>
          <w:kern w:val="0"/>
          <w:sz w:val="21"/>
          <w:szCs w:val="21"/>
          <w:highlight w:val="none"/>
          <w:lang w:val="en-US" w:eastAsia="zh-CN"/>
        </w:rPr>
        <w:t>年</w:t>
      </w:r>
      <w:r>
        <w:rPr>
          <w:rFonts w:hint="eastAsia"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en-US" w:eastAsia="zh-CN"/>
        </w:rPr>
        <w:t>月</w:t>
      </w:r>
      <w:r>
        <w:rPr>
          <w:rFonts w:hint="eastAsia" w:hAnsi="宋体" w:cs="宋体"/>
          <w:color w:val="auto"/>
          <w:kern w:val="0"/>
          <w:sz w:val="21"/>
          <w:szCs w:val="21"/>
          <w:highlight w:val="none"/>
          <w:lang w:val="en-US" w:eastAsia="zh-CN"/>
        </w:rPr>
        <w:t>25</w:t>
      </w:r>
      <w:r>
        <w:rPr>
          <w:rFonts w:hint="eastAsia" w:ascii="宋体" w:hAnsi="宋体" w:eastAsia="宋体" w:cs="宋体"/>
          <w:color w:val="auto"/>
          <w:kern w:val="0"/>
          <w:sz w:val="21"/>
          <w:szCs w:val="21"/>
          <w:highlight w:val="none"/>
          <w:lang w:val="en-US" w:eastAsia="zh-CN"/>
        </w:rPr>
        <w:t>日16时</w:t>
      </w:r>
      <w:r>
        <w:rPr>
          <w:rFonts w:hint="eastAsia"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分（北京时间，法定节假日除外）</w:t>
      </w:r>
      <w:r>
        <w:rPr>
          <w:rFonts w:hint="eastAsia" w:ascii="宋体" w:hAnsi="宋体" w:eastAsia="宋体" w:cs="宋体"/>
          <w:bCs/>
          <w:color w:val="auto"/>
          <w:sz w:val="21"/>
          <w:szCs w:val="21"/>
          <w:highlight w:val="none"/>
          <w:lang w:eastAsia="zh-CN"/>
        </w:rPr>
        <w:t>。</w:t>
      </w:r>
    </w:p>
    <w:p w14:paraId="46B708E6">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地点、方式：网上下载，本项目不发放纸质版竞争性磋商文件。供应商可自行在“政采云”平台（https://www.zcygov.cn/）下载采购文件（操作路径：登录“政采云”平台－项目采购－获取采购文件－找到本项目－点击“申请获取采购文件”），电子响应文件制作需要基于“政采云”平台获取的采购文件编制。未进行网上注册的供应商将无法参与本次采购活动。</w:t>
      </w:r>
    </w:p>
    <w:p w14:paraId="68122FAE">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1"/>
          <w:szCs w:val="21"/>
          <w:highlight w:val="none"/>
          <w:lang w:val="en-US" w:eastAsia="zh-CN"/>
        </w:rPr>
        <w:t>3.售价：0元。</w:t>
      </w:r>
    </w:p>
    <w:p w14:paraId="7B9D5FA9">
      <w:pPr>
        <w:keepNext w:val="0"/>
        <w:keepLines w:val="0"/>
        <w:pageBreakBefore w:val="0"/>
        <w:kinsoku/>
        <w:wordWrap/>
        <w:overflowPunct/>
        <w:topLinePunct w:val="0"/>
        <w:bidi w:val="0"/>
        <w:snapToGrid/>
        <w:spacing w:line="288" w:lineRule="auto"/>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四、响应文件的</w:t>
      </w:r>
      <w:r>
        <w:rPr>
          <w:rFonts w:hint="eastAsia" w:ascii="宋体" w:hAnsi="宋体" w:eastAsia="宋体" w:cs="宋体"/>
          <w:b/>
          <w:color w:val="auto"/>
          <w:sz w:val="21"/>
          <w:szCs w:val="21"/>
          <w:highlight w:val="none"/>
          <w:lang w:val="en-US" w:eastAsia="zh-CN"/>
        </w:rPr>
        <w:t>提交</w:t>
      </w:r>
    </w:p>
    <w:p w14:paraId="7845E90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截止时间：</w:t>
      </w:r>
      <w:r>
        <w:rPr>
          <w:rFonts w:hint="eastAsia" w:hAnsi="宋体" w:cs="宋体"/>
          <w:color w:val="auto"/>
          <w:sz w:val="21"/>
          <w:szCs w:val="21"/>
          <w:highlight w:val="none"/>
          <w:lang w:eastAsia="zh-CN"/>
        </w:rPr>
        <w:t>2025年0</w:t>
      </w:r>
      <w:r>
        <w:rPr>
          <w:rFonts w:hint="eastAsia" w:hAnsi="宋体" w:cs="宋体"/>
          <w:color w:val="auto"/>
          <w:sz w:val="21"/>
          <w:szCs w:val="21"/>
          <w:highlight w:val="none"/>
          <w:lang w:val="en-US" w:eastAsia="zh-CN"/>
        </w:rPr>
        <w:t>8</w:t>
      </w:r>
      <w:r>
        <w:rPr>
          <w:rFonts w:hint="eastAsia" w:hAnsi="宋体" w:cs="宋体"/>
          <w:color w:val="auto"/>
          <w:sz w:val="21"/>
          <w:szCs w:val="21"/>
          <w:highlight w:val="none"/>
          <w:lang w:eastAsia="zh-CN"/>
        </w:rPr>
        <w:t>月</w:t>
      </w:r>
      <w:r>
        <w:rPr>
          <w:rFonts w:hint="eastAsia" w:hAnsi="宋体" w:cs="宋体"/>
          <w:color w:val="auto"/>
          <w:sz w:val="21"/>
          <w:szCs w:val="21"/>
          <w:highlight w:val="none"/>
          <w:lang w:val="en-US" w:eastAsia="zh-CN"/>
        </w:rPr>
        <w:t>08</w:t>
      </w:r>
      <w:r>
        <w:rPr>
          <w:rFonts w:hint="eastAsia" w:hAnsi="宋体" w:cs="宋体"/>
          <w:color w:val="auto"/>
          <w:sz w:val="21"/>
          <w:szCs w:val="21"/>
          <w:highlight w:val="none"/>
          <w:lang w:eastAsia="zh-CN"/>
        </w:rPr>
        <w:t>日</w:t>
      </w:r>
      <w:r>
        <w:rPr>
          <w:rFonts w:hint="eastAsia" w:hAnsi="宋体" w:cs="宋体"/>
          <w:color w:val="auto"/>
          <w:sz w:val="21"/>
          <w:szCs w:val="21"/>
          <w:highlight w:val="none"/>
          <w:lang w:val="en-US" w:eastAsia="zh-CN"/>
        </w:rPr>
        <w:t>09</w:t>
      </w:r>
      <w:r>
        <w:rPr>
          <w:rFonts w:hint="eastAsia" w:hAnsi="宋体" w:cs="宋体"/>
          <w:color w:val="auto"/>
          <w:sz w:val="21"/>
          <w:szCs w:val="21"/>
          <w:highlight w:val="none"/>
          <w:lang w:eastAsia="zh-CN"/>
        </w:rPr>
        <w:t>时</w:t>
      </w:r>
      <w:r>
        <w:rPr>
          <w:rFonts w:hint="eastAsia" w:hAnsi="宋体" w:cs="宋体"/>
          <w:color w:val="auto"/>
          <w:sz w:val="21"/>
          <w:szCs w:val="21"/>
          <w:highlight w:val="none"/>
          <w:lang w:val="en-US" w:eastAsia="zh-CN"/>
        </w:rPr>
        <w:t>00</w:t>
      </w:r>
      <w:r>
        <w:rPr>
          <w:rFonts w:hint="eastAsia" w:hAnsi="宋体" w:cs="宋体"/>
          <w:color w:val="auto"/>
          <w:sz w:val="21"/>
          <w:szCs w:val="21"/>
          <w:highlight w:val="none"/>
          <w:lang w:eastAsia="zh-CN"/>
        </w:rPr>
        <w:t>分</w:t>
      </w:r>
      <w:r>
        <w:rPr>
          <w:rFonts w:hint="eastAsia" w:ascii="宋体" w:hAnsi="宋体" w:eastAsia="宋体" w:cs="宋体"/>
          <w:color w:val="auto"/>
          <w:sz w:val="21"/>
          <w:szCs w:val="21"/>
          <w:highlight w:val="none"/>
        </w:rPr>
        <w:t>（北京时间）</w:t>
      </w:r>
      <w:r>
        <w:rPr>
          <w:rFonts w:hint="eastAsia" w:ascii="宋体" w:hAnsi="宋体" w:eastAsia="宋体" w:cs="宋体"/>
          <w:bCs/>
          <w:color w:val="auto"/>
          <w:sz w:val="21"/>
          <w:szCs w:val="21"/>
          <w:highlight w:val="none"/>
        </w:rPr>
        <w:t>；</w:t>
      </w:r>
    </w:p>
    <w:p w14:paraId="3D17620C">
      <w:pPr>
        <w:keepNext w:val="0"/>
        <w:keepLines w:val="0"/>
        <w:pageBreakBefore w:val="0"/>
        <w:widowControl/>
        <w:kinsoku/>
        <w:wordWrap/>
        <w:overflowPunct/>
        <w:topLinePunct w:val="0"/>
        <w:bidi w:val="0"/>
        <w:snapToGrid/>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地点：</w:t>
      </w:r>
      <w:r>
        <w:rPr>
          <w:rFonts w:hint="eastAsia" w:ascii="宋体" w:hAnsi="宋体" w:eastAsia="宋体" w:cs="宋体"/>
          <w:bCs/>
          <w:color w:val="auto"/>
          <w:kern w:val="0"/>
          <w:sz w:val="21"/>
          <w:szCs w:val="21"/>
          <w:highlight w:val="none"/>
          <w:lang w:val="en-US" w:eastAsia="zh-CN"/>
        </w:rPr>
        <w:t>政采云平台（https://www.zcygov.cn/）。</w:t>
      </w:r>
    </w:p>
    <w:p w14:paraId="777744E9">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五、开启</w:t>
      </w:r>
    </w:p>
    <w:p w14:paraId="756DA52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截止时间：</w:t>
      </w:r>
      <w:r>
        <w:rPr>
          <w:rFonts w:hint="eastAsia" w:hAnsi="宋体" w:cs="宋体"/>
          <w:color w:val="auto"/>
          <w:sz w:val="21"/>
          <w:szCs w:val="21"/>
          <w:highlight w:val="none"/>
          <w:lang w:eastAsia="zh-CN"/>
        </w:rPr>
        <w:t>2025年0</w:t>
      </w:r>
      <w:r>
        <w:rPr>
          <w:rFonts w:hint="eastAsia" w:hAnsi="宋体" w:cs="宋体"/>
          <w:color w:val="auto"/>
          <w:sz w:val="21"/>
          <w:szCs w:val="21"/>
          <w:highlight w:val="none"/>
          <w:lang w:val="en-US" w:eastAsia="zh-CN"/>
        </w:rPr>
        <w:t>8</w:t>
      </w:r>
      <w:r>
        <w:rPr>
          <w:rFonts w:hint="eastAsia" w:hAnsi="宋体" w:cs="宋体"/>
          <w:color w:val="auto"/>
          <w:sz w:val="21"/>
          <w:szCs w:val="21"/>
          <w:highlight w:val="none"/>
          <w:lang w:eastAsia="zh-CN"/>
        </w:rPr>
        <w:t>月</w:t>
      </w:r>
      <w:r>
        <w:rPr>
          <w:rFonts w:hint="eastAsia" w:hAnsi="宋体" w:cs="宋体"/>
          <w:color w:val="auto"/>
          <w:sz w:val="21"/>
          <w:szCs w:val="21"/>
          <w:highlight w:val="none"/>
          <w:lang w:val="en-US" w:eastAsia="zh-CN"/>
        </w:rPr>
        <w:t>08</w:t>
      </w:r>
      <w:r>
        <w:rPr>
          <w:rFonts w:hint="eastAsia" w:hAnsi="宋体" w:cs="宋体"/>
          <w:color w:val="auto"/>
          <w:sz w:val="21"/>
          <w:szCs w:val="21"/>
          <w:highlight w:val="none"/>
          <w:lang w:eastAsia="zh-CN"/>
        </w:rPr>
        <w:t>日</w:t>
      </w:r>
      <w:r>
        <w:rPr>
          <w:rFonts w:hint="eastAsia" w:hAnsi="宋体" w:cs="宋体"/>
          <w:color w:val="auto"/>
          <w:sz w:val="21"/>
          <w:szCs w:val="21"/>
          <w:highlight w:val="none"/>
          <w:lang w:val="en-US" w:eastAsia="zh-CN"/>
        </w:rPr>
        <w:t>09</w:t>
      </w:r>
      <w:r>
        <w:rPr>
          <w:rFonts w:hint="eastAsia" w:hAnsi="宋体" w:cs="宋体"/>
          <w:color w:val="auto"/>
          <w:sz w:val="21"/>
          <w:szCs w:val="21"/>
          <w:highlight w:val="none"/>
          <w:lang w:eastAsia="zh-CN"/>
        </w:rPr>
        <w:t>时</w:t>
      </w:r>
      <w:r>
        <w:rPr>
          <w:rFonts w:hint="eastAsia" w:hAnsi="宋体" w:cs="宋体"/>
          <w:color w:val="auto"/>
          <w:sz w:val="21"/>
          <w:szCs w:val="21"/>
          <w:highlight w:val="none"/>
          <w:lang w:val="en-US" w:eastAsia="zh-CN"/>
        </w:rPr>
        <w:t>00</w:t>
      </w:r>
      <w:r>
        <w:rPr>
          <w:rFonts w:hint="eastAsia" w:hAnsi="宋体" w:cs="宋体"/>
          <w:color w:val="auto"/>
          <w:sz w:val="21"/>
          <w:szCs w:val="21"/>
          <w:highlight w:val="none"/>
          <w:lang w:eastAsia="zh-CN"/>
        </w:rPr>
        <w:t>分</w:t>
      </w:r>
      <w:r>
        <w:rPr>
          <w:rFonts w:hint="eastAsia" w:ascii="宋体" w:hAnsi="宋体" w:eastAsia="宋体" w:cs="宋体"/>
          <w:color w:val="auto"/>
          <w:sz w:val="21"/>
          <w:szCs w:val="21"/>
          <w:highlight w:val="none"/>
        </w:rPr>
        <w:t>（北京时间）；</w:t>
      </w:r>
    </w:p>
    <w:p w14:paraId="09A77D9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地点：</w:t>
      </w:r>
      <w:r>
        <w:rPr>
          <w:rFonts w:hint="eastAsia" w:hAnsi="宋体" w:cs="宋体"/>
          <w:color w:val="auto"/>
          <w:sz w:val="21"/>
          <w:szCs w:val="21"/>
          <w:highlight w:val="none"/>
          <w:shd w:val="clear" w:color="auto" w:fill="FFFFFF"/>
          <w:lang w:eastAsia="zh-CN"/>
        </w:rPr>
        <w:t>长春市二道区洋浦大街6669号凯利中心AB栋101开标</w:t>
      </w:r>
      <w:r>
        <w:rPr>
          <w:rFonts w:hint="eastAsia" w:hAnsi="宋体" w:cs="宋体"/>
          <w:color w:val="auto"/>
          <w:sz w:val="21"/>
          <w:szCs w:val="21"/>
          <w:highlight w:val="none"/>
          <w:shd w:val="clear" w:color="auto" w:fill="FFFFFF"/>
          <w:lang w:val="en-US" w:eastAsia="zh-CN"/>
        </w:rPr>
        <w:t>一</w:t>
      </w:r>
      <w:r>
        <w:rPr>
          <w:rFonts w:hint="eastAsia" w:hAnsi="宋体" w:cs="宋体"/>
          <w:color w:val="auto"/>
          <w:sz w:val="21"/>
          <w:szCs w:val="21"/>
          <w:highlight w:val="none"/>
          <w:shd w:val="clear" w:color="auto" w:fill="FFFFFF"/>
          <w:lang w:eastAsia="zh-CN"/>
        </w:rPr>
        <w:t>室</w:t>
      </w:r>
      <w:r>
        <w:rPr>
          <w:rFonts w:hint="eastAsia" w:ascii="宋体" w:hAnsi="宋体" w:eastAsia="宋体" w:cs="宋体"/>
          <w:color w:val="auto"/>
          <w:sz w:val="21"/>
          <w:szCs w:val="21"/>
          <w:highlight w:val="none"/>
          <w:lang w:val="zh-CN"/>
        </w:rPr>
        <w:t>。</w:t>
      </w:r>
    </w:p>
    <w:p w14:paraId="4EB8EA34">
      <w:pPr>
        <w:keepNext w:val="0"/>
        <w:keepLines w:val="0"/>
        <w:pageBreakBefore w:val="0"/>
        <w:kinsoku/>
        <w:wordWrap/>
        <w:overflowPunct/>
        <w:topLinePunct w:val="0"/>
        <w:bidi w:val="0"/>
        <w:snapToGrid/>
        <w:spacing w:line="288" w:lineRule="auto"/>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六、公告期限</w:t>
      </w:r>
    </w:p>
    <w:p w14:paraId="4DD5068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自本公告发布之日起5个工作日。</w:t>
      </w:r>
    </w:p>
    <w:p w14:paraId="2D38897E">
      <w:pPr>
        <w:keepNext w:val="0"/>
        <w:keepLines w:val="0"/>
        <w:pageBreakBefore w:val="0"/>
        <w:numPr>
          <w:ilvl w:val="0"/>
          <w:numId w:val="1"/>
        </w:numPr>
        <w:kinsoku/>
        <w:wordWrap/>
        <w:overflowPunct/>
        <w:topLinePunct w:val="0"/>
        <w:bidi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其他补充事宜 </w:t>
      </w:r>
    </w:p>
    <w:p w14:paraId="64398B8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bookmarkStart w:id="15" w:name="_Toc35393636"/>
      <w:bookmarkStart w:id="16" w:name="_Toc35393805"/>
      <w:bookmarkStart w:id="17" w:name="_Toc28359018"/>
      <w:bookmarkStart w:id="18" w:name="_Toc28359095"/>
      <w:r>
        <w:rPr>
          <w:rFonts w:hint="eastAsia" w:ascii="宋体" w:hAnsi="宋体" w:eastAsia="宋体" w:cs="宋体"/>
          <w:bCs/>
          <w:color w:val="auto"/>
          <w:kern w:val="2"/>
          <w:sz w:val="21"/>
          <w:szCs w:val="21"/>
          <w:highlight w:val="none"/>
          <w:lang w:val="en-US" w:eastAsia="zh-CN" w:bidi="ar-SA"/>
        </w:rPr>
        <w:t>1.有效供应商不足三家时，采购人另行组织招标。</w:t>
      </w:r>
    </w:p>
    <w:p w14:paraId="1E60147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2.本公告在“政采云”平台（http://www.zcygov.cn），同步推送到吉林省政府采购网（http://www.ccgp-jilin.gov.cn/）发布。</w:t>
      </w:r>
    </w:p>
    <w:p w14:paraId="287D4AD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本项目采用全流程电子化采购，操作流程：供应商在政府采购云平台注册入库成为正式供应商后，在平台按《政府采购项目电子交易管理操作指南－供应商》进行操作。由于供应商自身原因在递交响应文件截止时间前无法完成办理的，后果自负。若对项目采购电子交易系统操作有疑问，可登录“政采云”平台（https://www.zcygov.cn/），点击右侧咨询小采，获取采小蜜智能服务管家帮助，或拨打政采云服务热线 400-881-7190或95763 获取热线服务帮助。</w:t>
      </w:r>
    </w:p>
    <w:p w14:paraId="0D835C2A">
      <w:pPr>
        <w:keepNext w:val="0"/>
        <w:keepLines w:val="0"/>
        <w:pageBreakBefore w:val="0"/>
        <w:tabs>
          <w:tab w:val="left" w:pos="360"/>
        </w:tabs>
        <w:kinsoku/>
        <w:wordWrap/>
        <w:overflowPunct/>
        <w:topLinePunct w:val="0"/>
        <w:bidi w:val="0"/>
        <w:snapToGrid/>
        <w:spacing w:after="120"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八、凡对本次采购提出询问，请按以下方式联系。</w:t>
      </w:r>
      <w:bookmarkEnd w:id="15"/>
      <w:bookmarkEnd w:id="16"/>
      <w:bookmarkEnd w:id="17"/>
      <w:bookmarkEnd w:id="18"/>
    </w:p>
    <w:p w14:paraId="2698F56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采购人：</w:t>
      </w:r>
      <w:r>
        <w:rPr>
          <w:rFonts w:hint="eastAsia" w:ascii="宋体" w:hAnsi="宋体" w:eastAsia="宋体" w:cs="宋体"/>
          <w:i w:val="0"/>
          <w:iCs w:val="0"/>
          <w:caps w:val="0"/>
          <w:color w:val="000000"/>
          <w:spacing w:val="0"/>
          <w:sz w:val="21"/>
          <w:szCs w:val="21"/>
          <w:highlight w:val="none"/>
        </w:rPr>
        <w:t>长春市殡葬服务中心</w:t>
      </w:r>
    </w:p>
    <w:p w14:paraId="664002E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地址：</w:t>
      </w:r>
      <w:r>
        <w:rPr>
          <w:rFonts w:hint="eastAsia" w:hAnsi="宋体" w:cs="宋体"/>
          <w:i w:val="0"/>
          <w:iCs w:val="0"/>
          <w:caps w:val="0"/>
          <w:color w:val="000000"/>
          <w:spacing w:val="0"/>
          <w:sz w:val="21"/>
          <w:szCs w:val="21"/>
          <w:highlight w:val="none"/>
          <w:lang w:eastAsia="zh-CN"/>
        </w:rPr>
        <w:t>长春市二道区四通路155号</w:t>
      </w:r>
    </w:p>
    <w:p w14:paraId="77A9DFC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联系人：</w:t>
      </w:r>
      <w:r>
        <w:rPr>
          <w:rFonts w:hint="eastAsia" w:ascii="宋体" w:hAnsi="宋体" w:eastAsia="宋体" w:cs="宋体"/>
          <w:i w:val="0"/>
          <w:iCs w:val="0"/>
          <w:caps w:val="0"/>
          <w:color w:val="000000"/>
          <w:spacing w:val="0"/>
          <w:sz w:val="21"/>
          <w:szCs w:val="21"/>
          <w:highlight w:val="none"/>
        </w:rPr>
        <w:t>程义兴</w:t>
      </w:r>
    </w:p>
    <w:p w14:paraId="603BCEA9">
      <w:pPr>
        <w:keepNext w:val="0"/>
        <w:keepLines w:val="0"/>
        <w:pageBreakBefore w:val="0"/>
        <w:kinsoku/>
        <w:wordWrap/>
        <w:overflowPunct/>
        <w:topLinePunct w:val="0"/>
        <w:bidi w:val="0"/>
        <w:snapToGrid/>
        <w:spacing w:line="288" w:lineRule="auto"/>
        <w:ind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电话：</w:t>
      </w:r>
      <w:r>
        <w:rPr>
          <w:rFonts w:hint="eastAsia" w:ascii="宋体" w:hAnsi="宋体" w:eastAsia="宋体" w:cs="宋体"/>
          <w:i w:val="0"/>
          <w:iCs w:val="0"/>
          <w:caps w:val="0"/>
          <w:color w:val="000000"/>
          <w:spacing w:val="0"/>
          <w:sz w:val="21"/>
          <w:szCs w:val="21"/>
          <w:highlight w:val="none"/>
        </w:rPr>
        <w:t>0431-88629882</w:t>
      </w:r>
    </w:p>
    <w:p w14:paraId="3DFB7CB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2.采购代理机构信息</w:t>
      </w:r>
    </w:p>
    <w:p w14:paraId="6D3D08EC">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名称：</w:t>
      </w:r>
      <w:r>
        <w:rPr>
          <w:rFonts w:hint="eastAsia" w:hAnsi="宋体" w:cs="宋体"/>
          <w:bCs/>
          <w:color w:val="auto"/>
          <w:sz w:val="21"/>
          <w:szCs w:val="21"/>
          <w:highlight w:val="none"/>
          <w:lang w:eastAsia="zh-CN"/>
        </w:rPr>
        <w:t>吉林省吉亨项目管理有限公司</w:t>
      </w:r>
    </w:p>
    <w:p w14:paraId="51E4845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地址：</w:t>
      </w:r>
      <w:r>
        <w:rPr>
          <w:rFonts w:hint="eastAsia" w:hAnsi="宋体" w:cs="宋体"/>
          <w:bCs/>
          <w:color w:val="auto"/>
          <w:sz w:val="21"/>
          <w:szCs w:val="21"/>
          <w:highlight w:val="none"/>
          <w:lang w:eastAsia="zh-CN"/>
        </w:rPr>
        <w:t>长春市经开区珠海路3737号长春总部基地D区C2栋4楼</w:t>
      </w:r>
    </w:p>
    <w:p w14:paraId="1C8453C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hAnsi="宋体" w:cs="宋体"/>
          <w:bCs/>
          <w:color w:val="auto"/>
          <w:sz w:val="21"/>
          <w:szCs w:val="21"/>
          <w:highlight w:val="none"/>
          <w:lang w:eastAsia="zh-CN"/>
        </w:rPr>
        <w:t>王衍薪</w:t>
      </w:r>
    </w:p>
    <w:p w14:paraId="012BC08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电话：</w:t>
      </w:r>
      <w:r>
        <w:rPr>
          <w:rFonts w:hint="eastAsia" w:hAnsi="宋体" w:cs="宋体"/>
          <w:bCs/>
          <w:color w:val="auto"/>
          <w:sz w:val="21"/>
          <w:szCs w:val="21"/>
          <w:highlight w:val="none"/>
          <w:lang w:eastAsia="zh-CN"/>
        </w:rPr>
        <w:t xml:space="preserve">15590556303 </w:t>
      </w:r>
    </w:p>
    <w:p w14:paraId="423B735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3.项目联系方式</w:t>
      </w:r>
    </w:p>
    <w:p w14:paraId="6881A09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项目联系人：</w:t>
      </w:r>
      <w:r>
        <w:rPr>
          <w:rFonts w:hint="eastAsia" w:hAnsi="宋体" w:cs="宋体"/>
          <w:bCs/>
          <w:color w:val="auto"/>
          <w:sz w:val="21"/>
          <w:szCs w:val="21"/>
          <w:highlight w:val="none"/>
          <w:lang w:val="en-US" w:eastAsia="zh-CN"/>
        </w:rPr>
        <w:t>王衍薪</w:t>
      </w:r>
    </w:p>
    <w:p w14:paraId="2DEA510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电话：</w:t>
      </w:r>
      <w:r>
        <w:rPr>
          <w:rFonts w:hint="eastAsia" w:hAnsi="宋体" w:cs="宋体"/>
          <w:bCs/>
          <w:color w:val="auto"/>
          <w:sz w:val="21"/>
          <w:szCs w:val="21"/>
          <w:highlight w:val="none"/>
          <w:lang w:val="en-US" w:eastAsia="zh-CN"/>
        </w:rPr>
        <w:t xml:space="preserve">15590556303 </w:t>
      </w:r>
    </w:p>
    <w:p w14:paraId="099B7F47">
      <w:pPr>
        <w:keepNext w:val="0"/>
        <w:keepLines w:val="0"/>
        <w:pageBreakBefore w:val="0"/>
        <w:kinsoku/>
        <w:wordWrap/>
        <w:overflowPunct/>
        <w:topLinePunct w:val="0"/>
        <w:bidi w:val="0"/>
        <w:snapToGrid/>
        <w:spacing w:line="360" w:lineRule="auto"/>
        <w:textAlignment w:val="auto"/>
        <w:rPr>
          <w:rFonts w:hint="eastAsia" w:ascii="宋体" w:hAnsi="宋体" w:eastAsia="宋体" w:cs="宋体"/>
          <w:bCs/>
          <w:color w:val="auto"/>
          <w:sz w:val="21"/>
          <w:szCs w:val="21"/>
          <w:highlight w:val="none"/>
        </w:rPr>
      </w:pPr>
    </w:p>
    <w:p w14:paraId="188B5861">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br w:type="page"/>
      </w:r>
    </w:p>
    <w:p w14:paraId="67708C59">
      <w:pPr>
        <w:pStyle w:val="2"/>
        <w:spacing w:line="240" w:lineRule="auto"/>
        <w:jc w:val="center"/>
        <w:rPr>
          <w:rFonts w:hint="eastAsia" w:ascii="宋体" w:hAnsi="宋体" w:eastAsia="宋体" w:cs="宋体"/>
          <w:color w:val="auto"/>
          <w:highlight w:val="none"/>
        </w:rPr>
      </w:pPr>
      <w:bookmarkStart w:id="19" w:name="_Toc26635"/>
      <w:r>
        <w:rPr>
          <w:rFonts w:hint="eastAsia" w:ascii="宋体" w:hAnsi="宋体" w:eastAsia="宋体" w:cs="宋体"/>
          <w:color w:val="auto"/>
          <w:highlight w:val="none"/>
        </w:rPr>
        <w:t xml:space="preserve">第二章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w:t>
      </w:r>
      <w:bookmarkEnd w:id="7"/>
      <w:bookmarkEnd w:id="8"/>
      <w:bookmarkEnd w:id="9"/>
      <w:bookmarkEnd w:id="10"/>
      <w:bookmarkEnd w:id="11"/>
      <w:bookmarkEnd w:id="12"/>
      <w:bookmarkEnd w:id="13"/>
      <w:bookmarkEnd w:id="19"/>
    </w:p>
    <w:p w14:paraId="21CE61C4">
      <w:pPr>
        <w:spacing w:line="480" w:lineRule="exact"/>
        <w:jc w:val="center"/>
        <w:rPr>
          <w:rFonts w:hint="eastAsia" w:ascii="宋体" w:hAnsi="宋体" w:eastAsia="宋体" w:cs="宋体"/>
          <w:b/>
          <w:color w:val="auto"/>
          <w:sz w:val="28"/>
          <w:szCs w:val="28"/>
          <w:highlight w:val="none"/>
        </w:rPr>
      </w:pPr>
      <w:bookmarkStart w:id="20" w:name="_Toc246996917"/>
      <w:bookmarkStart w:id="21" w:name="_Toc144974496"/>
      <w:bookmarkStart w:id="22" w:name="_Toc152042304"/>
      <w:bookmarkStart w:id="23" w:name="_Toc246996174"/>
      <w:bookmarkStart w:id="24" w:name="_Toc247085688"/>
      <w:bookmarkStart w:id="25" w:name="_Toc179632545"/>
      <w:bookmarkStart w:id="26" w:name="_Toc152045528"/>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须知前附表</w:t>
      </w:r>
      <w:bookmarkEnd w:id="20"/>
      <w:bookmarkEnd w:id="21"/>
      <w:bookmarkEnd w:id="22"/>
      <w:bookmarkEnd w:id="23"/>
      <w:bookmarkEnd w:id="24"/>
      <w:bookmarkEnd w:id="25"/>
      <w:bookmarkEnd w:id="26"/>
    </w:p>
    <w:tbl>
      <w:tblPr>
        <w:tblStyle w:val="26"/>
        <w:tblW w:w="50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014"/>
        <w:gridCol w:w="595"/>
        <w:gridCol w:w="6192"/>
      </w:tblGrid>
      <w:tr w14:paraId="102E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1B604163">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928" w:type="pct"/>
            <w:gridSpan w:val="2"/>
            <w:vAlign w:val="center"/>
          </w:tcPr>
          <w:p w14:paraId="3F1AF87F">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3570" w:type="pct"/>
            <w:vAlign w:val="center"/>
          </w:tcPr>
          <w:p w14:paraId="18E94A63">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  列  内  容</w:t>
            </w:r>
          </w:p>
        </w:tc>
      </w:tr>
      <w:tr w14:paraId="495A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4BCBD46F">
            <w:pPr>
              <w:spacing w:line="240" w:lineRule="auto"/>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w:t>
            </w:r>
          </w:p>
        </w:tc>
        <w:tc>
          <w:tcPr>
            <w:tcW w:w="928" w:type="pct"/>
            <w:gridSpan w:val="2"/>
            <w:vAlign w:val="center"/>
          </w:tcPr>
          <w:p w14:paraId="2D43E526">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3570" w:type="pct"/>
            <w:vAlign w:val="center"/>
          </w:tcPr>
          <w:p w14:paraId="4EB6BF69">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采购人：</w:t>
            </w:r>
            <w:r>
              <w:rPr>
                <w:rFonts w:hint="eastAsia" w:ascii="宋体" w:hAnsi="宋体" w:eastAsia="宋体" w:cs="宋体"/>
                <w:i w:val="0"/>
                <w:iCs w:val="0"/>
                <w:caps w:val="0"/>
                <w:color w:val="000000"/>
                <w:spacing w:val="0"/>
                <w:sz w:val="21"/>
                <w:szCs w:val="21"/>
                <w:highlight w:val="none"/>
              </w:rPr>
              <w:t>长春市殡葬服务中心</w:t>
            </w:r>
          </w:p>
          <w:p w14:paraId="61EC16AD">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w:t>
            </w:r>
            <w:r>
              <w:rPr>
                <w:rFonts w:hint="eastAsia" w:hAnsi="宋体" w:cs="宋体"/>
                <w:i w:val="0"/>
                <w:iCs w:val="0"/>
                <w:caps w:val="0"/>
                <w:color w:val="000000"/>
                <w:spacing w:val="0"/>
                <w:sz w:val="21"/>
                <w:szCs w:val="21"/>
                <w:highlight w:val="none"/>
                <w:lang w:eastAsia="zh-CN"/>
              </w:rPr>
              <w:t>长春市二道区四通路155号</w:t>
            </w:r>
          </w:p>
          <w:p w14:paraId="4BE0C6B1">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联系人：</w:t>
            </w:r>
            <w:r>
              <w:rPr>
                <w:rFonts w:hint="eastAsia" w:ascii="宋体" w:hAnsi="宋体" w:eastAsia="宋体" w:cs="宋体"/>
                <w:i w:val="0"/>
                <w:iCs w:val="0"/>
                <w:caps w:val="0"/>
                <w:color w:val="000000"/>
                <w:spacing w:val="0"/>
                <w:sz w:val="21"/>
                <w:szCs w:val="21"/>
                <w:highlight w:val="none"/>
              </w:rPr>
              <w:t>程义兴</w:t>
            </w:r>
          </w:p>
          <w:p w14:paraId="7296A7EB">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电话：</w:t>
            </w:r>
            <w:r>
              <w:rPr>
                <w:rFonts w:hint="eastAsia" w:ascii="宋体" w:hAnsi="宋体" w:eastAsia="宋体" w:cs="宋体"/>
                <w:i w:val="0"/>
                <w:iCs w:val="0"/>
                <w:caps w:val="0"/>
                <w:color w:val="000000"/>
                <w:spacing w:val="0"/>
                <w:sz w:val="21"/>
                <w:szCs w:val="21"/>
                <w:highlight w:val="none"/>
              </w:rPr>
              <w:t>0431-88629882</w:t>
            </w:r>
          </w:p>
        </w:tc>
      </w:tr>
      <w:tr w14:paraId="1D67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21CF77FF">
            <w:pPr>
              <w:spacing w:line="240" w:lineRule="auto"/>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w:t>
            </w:r>
          </w:p>
        </w:tc>
        <w:tc>
          <w:tcPr>
            <w:tcW w:w="928" w:type="pct"/>
            <w:gridSpan w:val="2"/>
            <w:vAlign w:val="center"/>
          </w:tcPr>
          <w:p w14:paraId="26AFC05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c>
          <w:tcPr>
            <w:tcW w:w="3570" w:type="pct"/>
            <w:vAlign w:val="center"/>
          </w:tcPr>
          <w:p w14:paraId="0F819053">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hAnsi="宋体" w:cs="宋体"/>
                <w:color w:val="auto"/>
                <w:sz w:val="21"/>
                <w:szCs w:val="21"/>
                <w:highlight w:val="none"/>
                <w:lang w:eastAsia="zh-CN"/>
              </w:rPr>
              <w:t>吉林省吉亨项目管理有限公司</w:t>
            </w:r>
          </w:p>
          <w:p w14:paraId="06338989">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hAnsi="宋体" w:cs="宋体"/>
                <w:color w:val="auto"/>
                <w:sz w:val="21"/>
                <w:szCs w:val="21"/>
                <w:highlight w:val="none"/>
                <w:lang w:eastAsia="zh-CN"/>
              </w:rPr>
              <w:t>长春市经开区珠海路3737号长春总部基地D区C2栋4楼</w:t>
            </w:r>
          </w:p>
          <w:p w14:paraId="774C1B0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hAnsi="宋体" w:cs="宋体"/>
                <w:color w:val="auto"/>
                <w:sz w:val="21"/>
                <w:szCs w:val="21"/>
                <w:highlight w:val="none"/>
                <w:lang w:val="en-US" w:eastAsia="zh-CN"/>
              </w:rPr>
              <w:t>王衍薪</w:t>
            </w:r>
          </w:p>
          <w:p w14:paraId="797DFED0">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电话：</w:t>
            </w:r>
            <w:r>
              <w:rPr>
                <w:rFonts w:hint="eastAsia" w:hAnsi="宋体" w:cs="宋体"/>
                <w:color w:val="auto"/>
                <w:sz w:val="21"/>
                <w:szCs w:val="21"/>
                <w:highlight w:val="none"/>
                <w:lang w:eastAsia="zh-CN"/>
              </w:rPr>
              <w:t xml:space="preserve">15590556303 </w:t>
            </w:r>
          </w:p>
        </w:tc>
      </w:tr>
      <w:tr w14:paraId="58F8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13E30C15">
            <w:pPr>
              <w:spacing w:line="240" w:lineRule="auto"/>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w:t>
            </w:r>
          </w:p>
        </w:tc>
        <w:tc>
          <w:tcPr>
            <w:tcW w:w="928" w:type="pct"/>
            <w:gridSpan w:val="2"/>
            <w:vAlign w:val="center"/>
          </w:tcPr>
          <w:p w14:paraId="6995A75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项目名称及</w:t>
            </w:r>
          </w:p>
          <w:p w14:paraId="656DC0C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c>
        <w:tc>
          <w:tcPr>
            <w:tcW w:w="3570" w:type="pct"/>
            <w:vAlign w:val="center"/>
          </w:tcPr>
          <w:p w14:paraId="498860EC">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长春市殡葬服务中心2025年清A区挡土墙修缮及墓穴项目</w:t>
            </w:r>
          </w:p>
          <w:p w14:paraId="7BB812E4">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JM-2025-06-00687</w:t>
            </w:r>
          </w:p>
        </w:tc>
      </w:tr>
      <w:tr w14:paraId="4402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6837F9B9">
            <w:pPr>
              <w:spacing w:line="240" w:lineRule="auto"/>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4</w:t>
            </w:r>
          </w:p>
        </w:tc>
        <w:tc>
          <w:tcPr>
            <w:tcW w:w="928" w:type="pct"/>
            <w:gridSpan w:val="2"/>
            <w:vAlign w:val="center"/>
          </w:tcPr>
          <w:p w14:paraId="16547A58">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建设地点</w:t>
            </w:r>
          </w:p>
        </w:tc>
        <w:tc>
          <w:tcPr>
            <w:tcW w:w="3570" w:type="pct"/>
            <w:vAlign w:val="center"/>
          </w:tcPr>
          <w:p w14:paraId="406BC79E">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长春市二道区四通路155号长春息园内指定场地；</w:t>
            </w:r>
          </w:p>
        </w:tc>
      </w:tr>
      <w:tr w14:paraId="394C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61884090">
            <w:pPr>
              <w:spacing w:line="240" w:lineRule="auto"/>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5</w:t>
            </w:r>
          </w:p>
        </w:tc>
        <w:tc>
          <w:tcPr>
            <w:tcW w:w="928" w:type="pct"/>
            <w:gridSpan w:val="2"/>
            <w:vAlign w:val="center"/>
          </w:tcPr>
          <w:p w14:paraId="0F46BC8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资金来源及比例</w:t>
            </w:r>
          </w:p>
        </w:tc>
        <w:tc>
          <w:tcPr>
            <w:tcW w:w="3570" w:type="pct"/>
            <w:vAlign w:val="center"/>
          </w:tcPr>
          <w:p w14:paraId="6D301B5F">
            <w:pPr>
              <w:spacing w:line="240" w:lineRule="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自筹</w:t>
            </w:r>
            <w:r>
              <w:rPr>
                <w:rFonts w:hint="eastAsia" w:ascii="宋体" w:hAnsi="宋体" w:eastAsia="宋体" w:cs="宋体"/>
                <w:color w:val="auto"/>
                <w:sz w:val="21"/>
                <w:szCs w:val="21"/>
                <w:highlight w:val="none"/>
              </w:rPr>
              <w:t>100%</w:t>
            </w:r>
          </w:p>
        </w:tc>
      </w:tr>
      <w:tr w14:paraId="7874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57302E9B">
            <w:pPr>
              <w:spacing w:line="24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6</w:t>
            </w:r>
          </w:p>
        </w:tc>
        <w:tc>
          <w:tcPr>
            <w:tcW w:w="928" w:type="pct"/>
            <w:gridSpan w:val="2"/>
            <w:vAlign w:val="center"/>
          </w:tcPr>
          <w:p w14:paraId="6C5F61D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3570" w:type="pct"/>
            <w:vAlign w:val="center"/>
          </w:tcPr>
          <w:p w14:paraId="3A41E09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已落实</w:t>
            </w:r>
          </w:p>
        </w:tc>
      </w:tr>
      <w:tr w14:paraId="484E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2D4BE638">
            <w:pPr>
              <w:spacing w:line="240" w:lineRule="auto"/>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7</w:t>
            </w:r>
          </w:p>
        </w:tc>
        <w:tc>
          <w:tcPr>
            <w:tcW w:w="928" w:type="pct"/>
            <w:gridSpan w:val="2"/>
            <w:vAlign w:val="center"/>
          </w:tcPr>
          <w:p w14:paraId="414A2A33">
            <w:pPr>
              <w:spacing w:line="240" w:lineRule="auto"/>
              <w:jc w:val="center"/>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磋商</w:t>
            </w:r>
            <w:r>
              <w:rPr>
                <w:rFonts w:hint="eastAsia" w:ascii="宋体" w:hAnsi="宋体" w:eastAsia="宋体" w:cs="宋体"/>
                <w:color w:val="auto"/>
                <w:sz w:val="21"/>
                <w:szCs w:val="21"/>
                <w:highlight w:val="none"/>
              </w:rPr>
              <w:t>范围</w:t>
            </w:r>
          </w:p>
        </w:tc>
        <w:tc>
          <w:tcPr>
            <w:tcW w:w="3570" w:type="pct"/>
            <w:vAlign w:val="center"/>
          </w:tcPr>
          <w:p w14:paraId="63F6CD5C">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施工图纸及工程量清单所含全部内容施工</w:t>
            </w:r>
            <w:r>
              <w:rPr>
                <w:rFonts w:hint="eastAsia" w:ascii="宋体" w:hAnsi="宋体" w:eastAsia="宋体" w:cs="宋体"/>
                <w:bCs/>
                <w:color w:val="auto"/>
                <w:sz w:val="21"/>
                <w:szCs w:val="21"/>
                <w:highlight w:val="none"/>
                <w:lang w:eastAsia="zh-CN"/>
              </w:rPr>
              <w:t>。</w:t>
            </w:r>
          </w:p>
        </w:tc>
      </w:tr>
      <w:tr w14:paraId="7BB7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2515288C">
            <w:pPr>
              <w:spacing w:line="240" w:lineRule="auto"/>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8</w:t>
            </w:r>
          </w:p>
        </w:tc>
        <w:tc>
          <w:tcPr>
            <w:tcW w:w="928" w:type="pct"/>
            <w:gridSpan w:val="2"/>
            <w:vAlign w:val="center"/>
          </w:tcPr>
          <w:p w14:paraId="59FAC3A1">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合同履行期限（计划工期）</w:t>
            </w:r>
          </w:p>
        </w:tc>
        <w:tc>
          <w:tcPr>
            <w:tcW w:w="3570" w:type="pct"/>
            <w:vAlign w:val="center"/>
          </w:tcPr>
          <w:p w14:paraId="2A05DB88">
            <w:pPr>
              <w:spacing w:line="240" w:lineRule="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90日历天</w:t>
            </w:r>
          </w:p>
        </w:tc>
      </w:tr>
      <w:tr w14:paraId="05BA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02D1F60C">
            <w:pPr>
              <w:spacing w:line="240" w:lineRule="auto"/>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9</w:t>
            </w:r>
          </w:p>
        </w:tc>
        <w:tc>
          <w:tcPr>
            <w:tcW w:w="928" w:type="pct"/>
            <w:gridSpan w:val="2"/>
            <w:vAlign w:val="center"/>
          </w:tcPr>
          <w:p w14:paraId="456F19F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3570" w:type="pct"/>
            <w:vAlign w:val="center"/>
          </w:tcPr>
          <w:p w14:paraId="5F8AAD91">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符合国家相关工程施工质量验收统一标准及相关标准的合格工程。</w:t>
            </w:r>
          </w:p>
        </w:tc>
      </w:tr>
      <w:tr w14:paraId="1EC7A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753AC1C3">
            <w:pPr>
              <w:spacing w:line="24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10</w:t>
            </w:r>
          </w:p>
        </w:tc>
        <w:tc>
          <w:tcPr>
            <w:tcW w:w="928" w:type="pct"/>
            <w:gridSpan w:val="2"/>
            <w:vAlign w:val="center"/>
          </w:tcPr>
          <w:p w14:paraId="5D80166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资质条件、能力</w:t>
            </w:r>
          </w:p>
        </w:tc>
        <w:tc>
          <w:tcPr>
            <w:tcW w:w="3570" w:type="pct"/>
            <w:vAlign w:val="center"/>
          </w:tcPr>
          <w:p w14:paraId="7049D70F">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1.满足《中华人民共和国政府采购法》第二十二条规定。</w:t>
            </w:r>
          </w:p>
          <w:p w14:paraId="39E76492">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2.落实政府采购政策需满足的资格要求：本项目为专门面向中小企业采购</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lang w:val="en-US" w:eastAsia="zh-CN"/>
              </w:rPr>
              <w:t>（供应商应为中小微企业或监狱企业或残疾人福利性单位)；</w:t>
            </w:r>
          </w:p>
          <w:p w14:paraId="2A5E10D0">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需要落实的政府采购政策：《政府采购促进中小企业发展管理办法》(财库[2020]46号) 、《关于进一步加大政府采购支持中小企业力度的通知》（财库〔2022〕19号）、《关于政府采购支持监狱企业发展有关问题的通知》(财库〔2014〕68号)、《关于促进残疾人就业政府采购政策的通知》（财库〔2017〕141号）等；</w:t>
            </w:r>
          </w:p>
          <w:p w14:paraId="43EBE7FD">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3.本项目的特定资格要求：</w:t>
            </w:r>
          </w:p>
          <w:p w14:paraId="715E03D5">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3.1供应商须是具有独立的法人资格的企业或其他组织，</w:t>
            </w:r>
            <w:r>
              <w:rPr>
                <w:rFonts w:hint="eastAsia" w:hAnsi="宋体" w:cs="宋体"/>
                <w:color w:val="auto"/>
                <w:sz w:val="21"/>
                <w:szCs w:val="21"/>
                <w:highlight w:val="none"/>
                <w:lang w:eastAsia="zh-CN"/>
              </w:rPr>
              <w:t>具备建设行政主管部门核发的建筑工程施工总承包二级及以上资质</w:t>
            </w:r>
            <w:r>
              <w:rPr>
                <w:rFonts w:hint="eastAsia" w:ascii="宋体" w:hAnsi="宋体" w:eastAsia="宋体" w:cs="宋体"/>
                <w:color w:val="auto"/>
                <w:sz w:val="21"/>
                <w:szCs w:val="21"/>
                <w:highlight w:val="none"/>
                <w:lang w:eastAsia="zh-CN"/>
              </w:rPr>
              <w:t>，具有有效的安全生产许可证，并在人员、设备、资金等方面具有相应的施工能力。</w:t>
            </w:r>
          </w:p>
          <w:p w14:paraId="76E7ACD4">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3.2供应商拟派出的项目经理需具备建筑工程专业二级及以上注册建造师资格，具备有效的安全生产考核合格证书（B类），且无在建工程。</w:t>
            </w:r>
          </w:p>
          <w:p w14:paraId="5CEE0C4B">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lang w:eastAsia="zh-CN"/>
              </w:rPr>
              <w:t>供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14:paraId="70994EEC">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lang w:val="en-US" w:eastAsia="zh-CN"/>
              </w:rPr>
              <w:t>4信誉要求：（1）拒绝列入政府取消投标资格记录期间的企业或个人投标。（2）未被市场监督管理机关在国家企业信用信息公示系统（www.gsxt.gov.cn）中列入严重违法失信企业名单。（3）未被“信用中国”（www.creditchina.gov.cn）列入失信被执行人、重大税收违法案件当事人名单、未被中国政府采购网（www.ccgp.gov.cn）列入政府采购严重违法失信行为记录名单。（4）在近三年（2022年1月1日至今）内供应商或其法定代表人、拟委任的项目经理未在“中国裁判文书网”（http://wenshu.court.gov.cn/）上有行贿犯罪行为。</w:t>
            </w:r>
          </w:p>
          <w:p w14:paraId="16CD6EC9">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lang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50F8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1646BA5C">
            <w:pPr>
              <w:spacing w:line="24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11</w:t>
            </w:r>
          </w:p>
        </w:tc>
        <w:tc>
          <w:tcPr>
            <w:tcW w:w="928" w:type="pct"/>
            <w:gridSpan w:val="2"/>
            <w:vAlign w:val="center"/>
          </w:tcPr>
          <w:p w14:paraId="62A98416">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3570" w:type="pct"/>
            <w:vAlign w:val="center"/>
          </w:tcPr>
          <w:p w14:paraId="2A271AF7">
            <w:pPr>
              <w:pStyle w:val="10"/>
              <w:topLinePunct/>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不组织，自行踏勘；</w:t>
            </w:r>
          </w:p>
          <w:p w14:paraId="15154C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□组织，踏勘时间：</w:t>
            </w:r>
          </w:p>
          <w:p w14:paraId="416E49CA">
            <w:pPr>
              <w:spacing w:line="24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踏勘集中地点：</w:t>
            </w:r>
          </w:p>
        </w:tc>
      </w:tr>
      <w:tr w14:paraId="744AA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0B897888">
            <w:pPr>
              <w:spacing w:line="24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12</w:t>
            </w:r>
          </w:p>
        </w:tc>
        <w:tc>
          <w:tcPr>
            <w:tcW w:w="928" w:type="pct"/>
            <w:gridSpan w:val="2"/>
            <w:vAlign w:val="center"/>
          </w:tcPr>
          <w:p w14:paraId="71C3B8C9">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3570" w:type="pct"/>
            <w:vAlign w:val="center"/>
          </w:tcPr>
          <w:p w14:paraId="554F3204">
            <w:pPr>
              <w:pStyle w:val="10"/>
              <w:topLinePunct/>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不召开</w:t>
            </w:r>
          </w:p>
          <w:p w14:paraId="5FDE486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□召开，召开时间：</w:t>
            </w:r>
          </w:p>
          <w:p w14:paraId="7944F006">
            <w:pPr>
              <w:pStyle w:val="10"/>
              <w:topLinePunct/>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召开地点：</w:t>
            </w:r>
          </w:p>
        </w:tc>
      </w:tr>
      <w:tr w14:paraId="1608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55289816">
            <w:pPr>
              <w:spacing w:line="24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13</w:t>
            </w:r>
          </w:p>
        </w:tc>
        <w:tc>
          <w:tcPr>
            <w:tcW w:w="928" w:type="pct"/>
            <w:gridSpan w:val="2"/>
            <w:vAlign w:val="center"/>
          </w:tcPr>
          <w:p w14:paraId="690B18D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提出问题的截止时间</w:t>
            </w:r>
          </w:p>
        </w:tc>
        <w:tc>
          <w:tcPr>
            <w:tcW w:w="3570" w:type="pct"/>
            <w:vAlign w:val="center"/>
          </w:tcPr>
          <w:p w14:paraId="345E728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投标截止时间5日前提出</w:t>
            </w:r>
          </w:p>
          <w:p w14:paraId="04610C15">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投标疑问的提交：书面形式。接受通过“政采云”及书面形式向采购人、采购代理机构提出质疑。同时提供纸质一式二份，加盖单位公章后递交到采购代理机构，逾期不再接收任何问题。</w:t>
            </w:r>
          </w:p>
        </w:tc>
      </w:tr>
      <w:tr w14:paraId="40E8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4BA46181">
            <w:pPr>
              <w:spacing w:line="24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14</w:t>
            </w:r>
          </w:p>
        </w:tc>
        <w:tc>
          <w:tcPr>
            <w:tcW w:w="928" w:type="pct"/>
            <w:gridSpan w:val="2"/>
            <w:vAlign w:val="center"/>
          </w:tcPr>
          <w:p w14:paraId="12A1D3F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书面澄清的时间</w:t>
            </w:r>
          </w:p>
        </w:tc>
        <w:tc>
          <w:tcPr>
            <w:tcW w:w="3570" w:type="pct"/>
            <w:vAlign w:val="center"/>
          </w:tcPr>
          <w:p w14:paraId="53A5823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投标截止时间5日前提出</w:t>
            </w:r>
          </w:p>
        </w:tc>
      </w:tr>
      <w:tr w14:paraId="4980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790B044C">
            <w:pPr>
              <w:spacing w:line="24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15</w:t>
            </w:r>
          </w:p>
        </w:tc>
        <w:tc>
          <w:tcPr>
            <w:tcW w:w="928" w:type="pct"/>
            <w:gridSpan w:val="2"/>
            <w:vAlign w:val="center"/>
          </w:tcPr>
          <w:p w14:paraId="6CC042C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w:t>
            </w:r>
          </w:p>
        </w:tc>
        <w:tc>
          <w:tcPr>
            <w:tcW w:w="3570" w:type="pct"/>
            <w:vAlign w:val="center"/>
          </w:tcPr>
          <w:p w14:paraId="68B7F6BE">
            <w:pPr>
              <w:pStyle w:val="10"/>
              <w:topLinePunct/>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不允许</w:t>
            </w:r>
          </w:p>
          <w:p w14:paraId="08974BB9">
            <w:pPr>
              <w:pStyle w:val="10"/>
              <w:topLinePunct/>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w:t>
            </w:r>
          </w:p>
        </w:tc>
      </w:tr>
      <w:tr w14:paraId="716F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7849B76E">
            <w:pPr>
              <w:spacing w:line="24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16</w:t>
            </w:r>
          </w:p>
        </w:tc>
        <w:tc>
          <w:tcPr>
            <w:tcW w:w="928" w:type="pct"/>
            <w:gridSpan w:val="2"/>
            <w:vAlign w:val="center"/>
          </w:tcPr>
          <w:p w14:paraId="3B9B2509">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w:t>
            </w:r>
          </w:p>
        </w:tc>
        <w:tc>
          <w:tcPr>
            <w:tcW w:w="3570" w:type="pct"/>
            <w:vAlign w:val="center"/>
          </w:tcPr>
          <w:p w14:paraId="1AC7C99C">
            <w:pPr>
              <w:pStyle w:val="10"/>
              <w:topLinePunct/>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不允许</w:t>
            </w:r>
          </w:p>
          <w:p w14:paraId="1B982E3D">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□允许</w:t>
            </w:r>
          </w:p>
        </w:tc>
      </w:tr>
      <w:tr w14:paraId="2A40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515F7971">
            <w:pPr>
              <w:spacing w:line="24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17</w:t>
            </w:r>
          </w:p>
        </w:tc>
        <w:tc>
          <w:tcPr>
            <w:tcW w:w="928" w:type="pct"/>
            <w:gridSpan w:val="2"/>
            <w:vAlign w:val="center"/>
          </w:tcPr>
          <w:p w14:paraId="4A64C97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构成竞争性磋商文件的其他材料</w:t>
            </w:r>
          </w:p>
        </w:tc>
        <w:tc>
          <w:tcPr>
            <w:tcW w:w="3570" w:type="pct"/>
            <w:vAlign w:val="center"/>
          </w:tcPr>
          <w:p w14:paraId="701E0D1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补充文件（如有）、工程量清单、图纸等</w:t>
            </w:r>
          </w:p>
        </w:tc>
      </w:tr>
      <w:tr w14:paraId="120B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4E530B7B">
            <w:pPr>
              <w:spacing w:line="24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18</w:t>
            </w:r>
          </w:p>
        </w:tc>
        <w:tc>
          <w:tcPr>
            <w:tcW w:w="928" w:type="pct"/>
            <w:gridSpan w:val="2"/>
            <w:vAlign w:val="center"/>
          </w:tcPr>
          <w:p w14:paraId="0E6F654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要求澄清竞争性磋商文件的截止时间</w:t>
            </w:r>
          </w:p>
        </w:tc>
        <w:tc>
          <w:tcPr>
            <w:tcW w:w="3570" w:type="pct"/>
            <w:vAlign w:val="center"/>
          </w:tcPr>
          <w:p w14:paraId="53617C7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投标截止时间5日前提出</w:t>
            </w:r>
          </w:p>
        </w:tc>
      </w:tr>
      <w:tr w14:paraId="67F7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36CB01DF">
            <w:pPr>
              <w:spacing w:line="24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19</w:t>
            </w:r>
          </w:p>
        </w:tc>
        <w:tc>
          <w:tcPr>
            <w:tcW w:w="928" w:type="pct"/>
            <w:gridSpan w:val="2"/>
            <w:vAlign w:val="center"/>
          </w:tcPr>
          <w:p w14:paraId="37721C3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w:t>
            </w:r>
          </w:p>
        </w:tc>
        <w:tc>
          <w:tcPr>
            <w:tcW w:w="3570" w:type="pct"/>
            <w:vAlign w:val="center"/>
          </w:tcPr>
          <w:p w14:paraId="2B2AB0A4">
            <w:pPr>
              <w:spacing w:line="240" w:lineRule="auto"/>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eastAsia="zh-CN"/>
              </w:rPr>
              <w:t>2025年0</w:t>
            </w:r>
            <w:r>
              <w:rPr>
                <w:rFonts w:hint="eastAsia" w:hAnsi="宋体" w:cs="宋体"/>
                <w:color w:val="auto"/>
                <w:sz w:val="21"/>
                <w:szCs w:val="21"/>
                <w:highlight w:val="none"/>
                <w:lang w:val="en-US" w:eastAsia="zh-CN"/>
              </w:rPr>
              <w:t>8</w:t>
            </w:r>
            <w:r>
              <w:rPr>
                <w:rFonts w:hint="eastAsia" w:hAnsi="宋体" w:cs="宋体"/>
                <w:color w:val="auto"/>
                <w:sz w:val="21"/>
                <w:szCs w:val="21"/>
                <w:highlight w:val="none"/>
                <w:lang w:eastAsia="zh-CN"/>
              </w:rPr>
              <w:t>月</w:t>
            </w:r>
            <w:r>
              <w:rPr>
                <w:rFonts w:hint="eastAsia" w:hAnsi="宋体" w:cs="宋体"/>
                <w:color w:val="auto"/>
                <w:sz w:val="21"/>
                <w:szCs w:val="21"/>
                <w:highlight w:val="none"/>
                <w:lang w:val="en-US" w:eastAsia="zh-CN"/>
              </w:rPr>
              <w:t>08</w:t>
            </w:r>
            <w:r>
              <w:rPr>
                <w:rFonts w:hint="eastAsia" w:hAnsi="宋体" w:cs="宋体"/>
                <w:color w:val="auto"/>
                <w:sz w:val="21"/>
                <w:szCs w:val="21"/>
                <w:highlight w:val="none"/>
                <w:lang w:eastAsia="zh-CN"/>
              </w:rPr>
              <w:t>日</w:t>
            </w:r>
            <w:r>
              <w:rPr>
                <w:rFonts w:hint="eastAsia" w:hAnsi="宋体" w:cs="宋体"/>
                <w:color w:val="auto"/>
                <w:sz w:val="21"/>
                <w:szCs w:val="21"/>
                <w:highlight w:val="none"/>
                <w:lang w:val="en-US" w:eastAsia="zh-CN"/>
              </w:rPr>
              <w:t>09</w:t>
            </w:r>
            <w:r>
              <w:rPr>
                <w:rFonts w:hint="eastAsia" w:hAnsi="宋体" w:cs="宋体"/>
                <w:color w:val="auto"/>
                <w:sz w:val="21"/>
                <w:szCs w:val="21"/>
                <w:highlight w:val="none"/>
                <w:lang w:eastAsia="zh-CN"/>
              </w:rPr>
              <w:t>时</w:t>
            </w:r>
            <w:r>
              <w:rPr>
                <w:rFonts w:hint="eastAsia" w:hAnsi="宋体" w:cs="宋体"/>
                <w:color w:val="auto"/>
                <w:sz w:val="21"/>
                <w:szCs w:val="21"/>
                <w:highlight w:val="none"/>
                <w:lang w:val="en-US" w:eastAsia="zh-CN"/>
              </w:rPr>
              <w:t>00</w:t>
            </w:r>
            <w:r>
              <w:rPr>
                <w:rFonts w:hint="eastAsia" w:hAnsi="宋体" w:cs="宋体"/>
                <w:color w:val="auto"/>
                <w:sz w:val="21"/>
                <w:szCs w:val="21"/>
                <w:highlight w:val="none"/>
                <w:lang w:eastAsia="zh-CN"/>
              </w:rPr>
              <w:t>分</w:t>
            </w:r>
            <w:r>
              <w:rPr>
                <w:rFonts w:hint="eastAsia" w:ascii="宋体" w:hAnsi="宋体" w:eastAsia="宋体" w:cs="宋体"/>
                <w:color w:val="auto"/>
                <w:sz w:val="21"/>
                <w:szCs w:val="21"/>
                <w:highlight w:val="none"/>
              </w:rPr>
              <w:t>（北京时间）</w:t>
            </w:r>
          </w:p>
        </w:tc>
      </w:tr>
      <w:tr w14:paraId="0BC3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0B8473A4">
            <w:pPr>
              <w:spacing w:line="24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20</w:t>
            </w:r>
          </w:p>
        </w:tc>
        <w:tc>
          <w:tcPr>
            <w:tcW w:w="928" w:type="pct"/>
            <w:gridSpan w:val="2"/>
            <w:vAlign w:val="center"/>
          </w:tcPr>
          <w:p w14:paraId="7EC4208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确认收到竞争性磋商文件澄清的时间</w:t>
            </w:r>
          </w:p>
        </w:tc>
        <w:tc>
          <w:tcPr>
            <w:tcW w:w="3570" w:type="pct"/>
            <w:vAlign w:val="center"/>
          </w:tcPr>
          <w:p w14:paraId="76F4CD6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修改文件后24小时内请潜在供应商在参加本项目活动期间关注政采云平台网站信息，所有有投标意愿的供应商有义务在网上自行查询，无需书面回复。磋商文件的澄清、修改、变更、延期等文件一经发布即视为已告知了所有已报名的供应商，因供应商自身原因没有及时查看、下载文件导致的一切后果由</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自行负责。</w:t>
            </w:r>
          </w:p>
        </w:tc>
      </w:tr>
      <w:tr w14:paraId="3045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39C2874F">
            <w:pPr>
              <w:spacing w:line="24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21</w:t>
            </w:r>
          </w:p>
        </w:tc>
        <w:tc>
          <w:tcPr>
            <w:tcW w:w="928" w:type="pct"/>
            <w:gridSpan w:val="2"/>
            <w:vAlign w:val="center"/>
          </w:tcPr>
          <w:p w14:paraId="5A0B94F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确认收到竞争性磋商文件修改的时间</w:t>
            </w:r>
          </w:p>
        </w:tc>
        <w:tc>
          <w:tcPr>
            <w:tcW w:w="3570" w:type="pct"/>
            <w:vAlign w:val="center"/>
          </w:tcPr>
          <w:p w14:paraId="638F389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修改文件后24小时内请潜在供应商在参加本项目活动期间关注政采云平台网站信息，所有有投标意愿的供应商有义务在网上自行查询，无需书面回复。磋商文件的澄清、修改、变更、延期等文件一经发布即视为已告知了所有已报名的供应商，因供应商自身原因没有及时查看、下载文件导致的一切后果由</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自行负责。</w:t>
            </w:r>
          </w:p>
        </w:tc>
      </w:tr>
      <w:tr w14:paraId="7D0C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2B54FA9D">
            <w:pPr>
              <w:spacing w:line="24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22</w:t>
            </w:r>
          </w:p>
        </w:tc>
        <w:tc>
          <w:tcPr>
            <w:tcW w:w="928" w:type="pct"/>
            <w:gridSpan w:val="2"/>
            <w:vAlign w:val="center"/>
          </w:tcPr>
          <w:p w14:paraId="719879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构成响应文件的其他材料</w:t>
            </w:r>
          </w:p>
        </w:tc>
        <w:tc>
          <w:tcPr>
            <w:tcW w:w="3570" w:type="pct"/>
            <w:vAlign w:val="center"/>
          </w:tcPr>
          <w:p w14:paraId="3F43AA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竞争性磋商文件中要求提供的证明材料</w:t>
            </w:r>
          </w:p>
        </w:tc>
      </w:tr>
      <w:tr w14:paraId="6965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27147725">
            <w:pPr>
              <w:spacing w:line="24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23</w:t>
            </w:r>
          </w:p>
        </w:tc>
        <w:tc>
          <w:tcPr>
            <w:tcW w:w="928" w:type="pct"/>
            <w:gridSpan w:val="2"/>
            <w:vAlign w:val="center"/>
          </w:tcPr>
          <w:p w14:paraId="38042C9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p>
        </w:tc>
        <w:tc>
          <w:tcPr>
            <w:tcW w:w="3570" w:type="pct"/>
            <w:vAlign w:val="center"/>
          </w:tcPr>
          <w:p w14:paraId="57097E84">
            <w:pPr>
              <w:keepNext w:val="0"/>
              <w:keepLines w:val="0"/>
              <w:widowControl/>
              <w:suppressLineNumbers w:val="0"/>
              <w:jc w:val="left"/>
              <w:rPr>
                <w:rFonts w:hint="eastAsia" w:ascii="宋体" w:hAnsi="宋体" w:eastAsia="宋体" w:cs="宋体"/>
                <w:b/>
                <w:bCs/>
                <w:color w:val="auto"/>
                <w:sz w:val="21"/>
                <w:szCs w:val="21"/>
                <w:highlight w:val="none"/>
              </w:rPr>
            </w:pPr>
            <w:r>
              <w:rPr>
                <w:rFonts w:hint="eastAsia" w:hAnsi="宋体" w:cs="宋体"/>
                <w:bCs/>
                <w:color w:val="auto"/>
                <w:sz w:val="21"/>
                <w:szCs w:val="21"/>
                <w:highlight w:val="none"/>
                <w:lang w:val="en-US" w:eastAsia="zh-CN"/>
              </w:rPr>
              <w:t>2521947.00</w:t>
            </w:r>
            <w:r>
              <w:rPr>
                <w:rFonts w:hint="eastAsia" w:ascii="宋体" w:hAnsi="宋体" w:eastAsia="宋体" w:cs="宋体"/>
                <w:bCs/>
                <w:color w:val="auto"/>
                <w:sz w:val="21"/>
                <w:szCs w:val="21"/>
                <w:highlight w:val="none"/>
                <w:lang w:val="en-US" w:eastAsia="zh-CN"/>
              </w:rPr>
              <w:t>元</w:t>
            </w:r>
            <w:r>
              <w:rPr>
                <w:rFonts w:hint="eastAsia" w:ascii="宋体" w:hAnsi="宋体" w:eastAsia="宋体" w:cs="宋体"/>
                <w:bCs/>
                <w:color w:val="auto"/>
                <w:sz w:val="21"/>
                <w:szCs w:val="21"/>
                <w:highlight w:val="none"/>
              </w:rPr>
              <w:t>，</w:t>
            </w:r>
            <w:r>
              <w:rPr>
                <w:rFonts w:hint="eastAsia" w:ascii="宋体" w:hAnsi="宋体" w:eastAsia="宋体" w:cs="宋体"/>
                <w:b/>
                <w:bCs/>
                <w:color w:val="auto"/>
                <w:sz w:val="21"/>
                <w:szCs w:val="21"/>
                <w:highlight w:val="none"/>
              </w:rPr>
              <w:t>超出最高投标限价的投标报价无效。供应商的投标报价中，暂列金应单独列示，否则按废标处理。工程暂列金投标时不允许调整，否则按废标处理。</w:t>
            </w:r>
          </w:p>
          <w:p w14:paraId="58092476">
            <w:pPr>
              <w:spacing w:line="240" w:lineRule="auto"/>
              <w:rPr>
                <w:rFonts w:hint="eastAsia"/>
                <w:highlight w:val="none"/>
              </w:rPr>
            </w:pPr>
            <w:r>
              <w:rPr>
                <w:rFonts w:hint="eastAsia" w:ascii="宋体" w:hAnsi="宋体" w:eastAsia="宋体" w:cs="宋体"/>
                <w:color w:val="auto"/>
                <w:sz w:val="21"/>
                <w:szCs w:val="21"/>
                <w:highlight w:val="none"/>
              </w:rPr>
              <w:t>该报价包含为完成本项目全部工作所需的一切费用，包含税费、基础建设、材料价格、人工价格、运输、包装、倒运、组装、现场卫生、垃圾清运及辅材结构胶、部件间水泥、胶、瓷砖胶等。</w:t>
            </w:r>
          </w:p>
        </w:tc>
      </w:tr>
      <w:tr w14:paraId="22FB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01" w:type="pct"/>
            <w:vAlign w:val="center"/>
          </w:tcPr>
          <w:p w14:paraId="08AF7BDA">
            <w:pPr>
              <w:spacing w:line="24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24</w:t>
            </w:r>
          </w:p>
        </w:tc>
        <w:tc>
          <w:tcPr>
            <w:tcW w:w="928" w:type="pct"/>
            <w:gridSpan w:val="2"/>
            <w:vAlign w:val="center"/>
          </w:tcPr>
          <w:p w14:paraId="38CD65E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eastAsia="zh-CN"/>
              </w:rPr>
              <w:t>磋商有效期</w:t>
            </w:r>
          </w:p>
        </w:tc>
        <w:tc>
          <w:tcPr>
            <w:tcW w:w="3570" w:type="pct"/>
            <w:vAlign w:val="center"/>
          </w:tcPr>
          <w:p w14:paraId="12ED2E1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自</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提交响应文件截止之日起计算90天</w:t>
            </w:r>
          </w:p>
        </w:tc>
      </w:tr>
      <w:tr w14:paraId="1037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59532F29">
            <w:pPr>
              <w:spacing w:line="24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25</w:t>
            </w:r>
          </w:p>
        </w:tc>
        <w:tc>
          <w:tcPr>
            <w:tcW w:w="928" w:type="pct"/>
            <w:gridSpan w:val="2"/>
            <w:vAlign w:val="center"/>
          </w:tcPr>
          <w:p w14:paraId="051A64D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磋商</w:t>
            </w:r>
            <w:r>
              <w:rPr>
                <w:rFonts w:hint="eastAsia" w:ascii="宋体" w:hAnsi="宋体" w:eastAsia="宋体" w:cs="宋体"/>
                <w:color w:val="auto"/>
                <w:sz w:val="21"/>
                <w:szCs w:val="21"/>
                <w:highlight w:val="none"/>
              </w:rPr>
              <w:t>保证金</w:t>
            </w:r>
          </w:p>
        </w:tc>
        <w:tc>
          <w:tcPr>
            <w:tcW w:w="3570" w:type="pct"/>
            <w:vAlign w:val="center"/>
          </w:tcPr>
          <w:p w14:paraId="2F6354BD">
            <w:pPr>
              <w:autoSpaceDE w:val="0"/>
              <w:autoSpaceDN w:val="0"/>
              <w:adjustRightInd w:val="0"/>
              <w:snapToGrid w:val="0"/>
              <w:spacing w:line="240" w:lineRule="auto"/>
              <w:rPr>
                <w:rFonts w:hint="eastAsia" w:ascii="宋体" w:hAnsi="宋体" w:eastAsia="宋体" w:cs="宋体"/>
                <w:bCs/>
                <w:color w:val="auto"/>
                <w:kern w:val="15"/>
                <w:sz w:val="21"/>
                <w:szCs w:val="21"/>
                <w:highlight w:val="none"/>
                <w:lang w:val="zh-CN" w:eastAsia="zh-CN"/>
              </w:rPr>
            </w:pPr>
            <w:r>
              <w:rPr>
                <w:rFonts w:hint="eastAsia" w:ascii="宋体" w:hAnsi="宋体" w:eastAsia="宋体" w:cs="宋体"/>
                <w:bCs/>
                <w:color w:val="auto"/>
                <w:kern w:val="15"/>
                <w:sz w:val="21"/>
                <w:szCs w:val="21"/>
                <w:highlight w:val="none"/>
                <w:lang w:val="zh-CN" w:eastAsia="zh-CN"/>
              </w:rPr>
              <w:t>根据长财采购［2021］695号文件规定，自2021年7月1日起，全市政府采购货物和服务招标投标活动及非招标采购方式采购货物、工程和服务不得向经“信用中国”网站查询无行政处罚信息的供应商收取保证金。符合要求的供应商不需要提交投标保证金情况的请在投标文件中提供相关网页截图。</w:t>
            </w:r>
          </w:p>
          <w:p w14:paraId="2089753A">
            <w:pPr>
              <w:autoSpaceDE w:val="0"/>
              <w:autoSpaceDN w:val="0"/>
              <w:adjustRightInd w:val="0"/>
              <w:snapToGrid w:val="0"/>
              <w:spacing w:line="240" w:lineRule="auto"/>
              <w:rPr>
                <w:rFonts w:hint="eastAsia" w:ascii="宋体" w:hAnsi="宋体" w:eastAsia="宋体" w:cs="宋体"/>
                <w:bCs/>
                <w:color w:val="auto"/>
                <w:kern w:val="15"/>
                <w:sz w:val="21"/>
                <w:szCs w:val="21"/>
                <w:highlight w:val="none"/>
                <w:lang w:val="zh-CN" w:eastAsia="zh-CN"/>
              </w:rPr>
            </w:pPr>
            <w:r>
              <w:rPr>
                <w:rFonts w:hint="eastAsia" w:ascii="宋体" w:hAnsi="宋体" w:eastAsia="宋体" w:cs="宋体"/>
                <w:bCs/>
                <w:color w:val="auto"/>
                <w:kern w:val="15"/>
                <w:sz w:val="21"/>
                <w:szCs w:val="21"/>
                <w:highlight w:val="none"/>
                <w:lang w:val="zh-CN" w:eastAsia="zh-CN"/>
              </w:rPr>
              <w:t>但对于满足《中华人民共和国政府采购法》第二十二条有关规定，经“信用中国”网站查询存在行政处罚信息的供应商，采购人、采购代理机构可以按规定收取投标保证金。没有缴纳投标保证金的供应商，经核实不符合此项规定的，其投标文件将被拒绝。</w:t>
            </w:r>
          </w:p>
          <w:p w14:paraId="74287967">
            <w:pPr>
              <w:autoSpaceDE w:val="0"/>
              <w:autoSpaceDN w:val="0"/>
              <w:adjustRightInd w:val="0"/>
              <w:snapToGrid w:val="0"/>
              <w:spacing w:line="240" w:lineRule="auto"/>
              <w:rPr>
                <w:rFonts w:hint="eastAsia" w:ascii="宋体" w:hAnsi="宋体" w:eastAsia="宋体" w:cs="宋体"/>
                <w:bCs/>
                <w:color w:val="auto"/>
                <w:kern w:val="15"/>
                <w:sz w:val="21"/>
                <w:szCs w:val="21"/>
                <w:highlight w:val="none"/>
                <w:lang w:val="zh-CN" w:eastAsia="zh-CN"/>
              </w:rPr>
            </w:pPr>
            <w:r>
              <w:rPr>
                <w:rFonts w:hint="eastAsia" w:hAnsi="宋体" w:cs="宋体"/>
                <w:color w:val="auto"/>
                <w:sz w:val="21"/>
                <w:szCs w:val="21"/>
                <w:highlight w:val="none"/>
                <w:lang w:eastAsia="zh-CN"/>
              </w:rPr>
              <w:t>磋商</w:t>
            </w:r>
            <w:r>
              <w:rPr>
                <w:rFonts w:hint="eastAsia" w:ascii="宋体" w:hAnsi="宋体" w:eastAsia="宋体" w:cs="宋体"/>
                <w:color w:val="auto"/>
                <w:sz w:val="21"/>
                <w:szCs w:val="21"/>
                <w:highlight w:val="none"/>
              </w:rPr>
              <w:t>保证金</w:t>
            </w:r>
            <w:r>
              <w:rPr>
                <w:rFonts w:hint="eastAsia" w:ascii="宋体" w:hAnsi="宋体" w:eastAsia="宋体" w:cs="宋体"/>
                <w:bCs/>
                <w:color w:val="auto"/>
                <w:kern w:val="15"/>
                <w:sz w:val="21"/>
                <w:szCs w:val="21"/>
                <w:highlight w:val="none"/>
                <w:lang w:val="zh-CN" w:eastAsia="zh-CN"/>
              </w:rPr>
              <w:t>的形式：以转账</w:t>
            </w:r>
            <w:r>
              <w:rPr>
                <w:rFonts w:hint="eastAsia" w:hAnsi="宋体" w:cs="宋体"/>
                <w:bCs/>
                <w:color w:val="auto"/>
                <w:kern w:val="15"/>
                <w:sz w:val="21"/>
                <w:szCs w:val="21"/>
                <w:highlight w:val="none"/>
                <w:lang w:val="zh-CN" w:eastAsia="zh-CN"/>
              </w:rPr>
              <w:t>、</w:t>
            </w:r>
            <w:r>
              <w:rPr>
                <w:rFonts w:hint="eastAsia" w:ascii="宋体" w:hAnsi="宋体" w:eastAsia="宋体" w:cs="宋体"/>
                <w:bCs/>
                <w:color w:val="auto"/>
                <w:kern w:val="15"/>
                <w:sz w:val="21"/>
                <w:szCs w:val="21"/>
                <w:highlight w:val="none"/>
                <w:lang w:val="zh-CN" w:eastAsia="zh-CN"/>
              </w:rPr>
              <w:t>支票、汇票、本票或者金融机构、担保机构出具的保函等非现金形式交纳，以转账、支票形式提交的保证金，必须从供应商的基本账户一次性转入代理机构指定账户。</w:t>
            </w:r>
          </w:p>
          <w:p w14:paraId="0D6DC441">
            <w:pPr>
              <w:autoSpaceDE w:val="0"/>
              <w:autoSpaceDN w:val="0"/>
              <w:adjustRightInd w:val="0"/>
              <w:snapToGrid w:val="0"/>
              <w:spacing w:line="240" w:lineRule="auto"/>
              <w:rPr>
                <w:rFonts w:hint="eastAsia" w:ascii="宋体" w:hAnsi="宋体" w:eastAsia="宋体" w:cs="宋体"/>
                <w:bCs/>
                <w:color w:val="auto"/>
                <w:kern w:val="15"/>
                <w:sz w:val="21"/>
                <w:szCs w:val="21"/>
                <w:highlight w:val="none"/>
                <w:lang w:val="zh-CN" w:eastAsia="zh-CN"/>
              </w:rPr>
            </w:pPr>
            <w:r>
              <w:rPr>
                <w:rFonts w:hint="eastAsia" w:ascii="宋体" w:hAnsi="宋体" w:eastAsia="宋体" w:cs="宋体"/>
                <w:color w:val="auto"/>
                <w:sz w:val="21"/>
                <w:szCs w:val="21"/>
                <w:highlight w:val="none"/>
              </w:rPr>
              <w:t>投标保证金</w:t>
            </w:r>
            <w:r>
              <w:rPr>
                <w:rFonts w:hint="eastAsia" w:ascii="宋体" w:hAnsi="宋体" w:eastAsia="宋体" w:cs="宋体"/>
                <w:bCs/>
                <w:color w:val="auto"/>
                <w:kern w:val="15"/>
                <w:sz w:val="21"/>
                <w:szCs w:val="21"/>
                <w:highlight w:val="none"/>
                <w:lang w:val="zh-CN" w:eastAsia="zh-CN"/>
              </w:rPr>
              <w:t>的金额：</w:t>
            </w:r>
            <w:r>
              <w:rPr>
                <w:rFonts w:hint="eastAsia" w:hAnsi="宋体" w:cs="宋体"/>
                <w:bCs/>
                <w:color w:val="auto"/>
                <w:kern w:val="15"/>
                <w:sz w:val="21"/>
                <w:szCs w:val="21"/>
                <w:highlight w:val="none"/>
                <w:lang w:val="en-US" w:eastAsia="zh-CN"/>
              </w:rPr>
              <w:t>15</w:t>
            </w:r>
            <w:r>
              <w:rPr>
                <w:rFonts w:hint="eastAsia" w:ascii="宋体" w:hAnsi="宋体" w:eastAsia="宋体" w:cs="宋体"/>
                <w:bCs/>
                <w:color w:val="auto"/>
                <w:kern w:val="15"/>
                <w:sz w:val="21"/>
                <w:szCs w:val="21"/>
                <w:highlight w:val="none"/>
                <w:lang w:val="zh-CN" w:eastAsia="zh-CN"/>
              </w:rPr>
              <w:t>000元</w:t>
            </w:r>
          </w:p>
          <w:p w14:paraId="4F5FF52F">
            <w:pPr>
              <w:autoSpaceDE w:val="0"/>
              <w:autoSpaceDN w:val="0"/>
              <w:adjustRightInd w:val="0"/>
              <w:snapToGrid w:val="0"/>
              <w:spacing w:line="240" w:lineRule="auto"/>
              <w:rPr>
                <w:rFonts w:hint="eastAsia"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rPr>
              <w:t>收款人：</w:t>
            </w:r>
            <w:r>
              <w:rPr>
                <w:rFonts w:hint="eastAsia" w:hAnsi="宋体" w:cs="宋体"/>
                <w:bCs/>
                <w:color w:val="auto"/>
                <w:kern w:val="15"/>
                <w:sz w:val="21"/>
                <w:szCs w:val="21"/>
                <w:highlight w:val="none"/>
                <w:lang w:val="zh-CN"/>
              </w:rPr>
              <w:t>吉林省吉亨项目管理有限公司</w:t>
            </w:r>
          </w:p>
          <w:p w14:paraId="4DE39D9B">
            <w:pPr>
              <w:autoSpaceDE w:val="0"/>
              <w:autoSpaceDN w:val="0"/>
              <w:adjustRightInd w:val="0"/>
              <w:snapToGrid w:val="0"/>
              <w:spacing w:line="240" w:lineRule="auto"/>
              <w:rPr>
                <w:rFonts w:hint="eastAsia"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开户行全称：</w:t>
            </w:r>
            <w:r>
              <w:rPr>
                <w:rFonts w:hint="eastAsia" w:ascii="宋体" w:hAnsi="宋体" w:eastAsia="宋体" w:cs="宋体"/>
                <w:bCs/>
                <w:color w:val="auto"/>
                <w:kern w:val="15"/>
                <w:sz w:val="21"/>
                <w:szCs w:val="21"/>
                <w:highlight w:val="none"/>
                <w:lang w:val="zh-CN" w:eastAsia="en-US"/>
              </w:rPr>
              <w:t>招商银行股份有限公司长春分行</w:t>
            </w:r>
          </w:p>
          <w:p w14:paraId="1E7BE124">
            <w:pPr>
              <w:autoSpaceDE w:val="0"/>
              <w:autoSpaceDN w:val="0"/>
              <w:adjustRightInd w:val="0"/>
              <w:snapToGrid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bCs/>
                <w:color w:val="auto"/>
                <w:kern w:val="15"/>
                <w:sz w:val="21"/>
                <w:szCs w:val="21"/>
                <w:highlight w:val="none"/>
                <w:lang w:val="zh-CN"/>
              </w:rPr>
              <w:t>账号：</w:t>
            </w:r>
            <w:r>
              <w:rPr>
                <w:rFonts w:hint="eastAsia" w:ascii="宋体" w:hAnsi="宋体" w:eastAsia="宋体" w:cs="宋体"/>
                <w:bCs/>
                <w:color w:val="auto"/>
                <w:kern w:val="15"/>
                <w:sz w:val="21"/>
                <w:szCs w:val="21"/>
                <w:highlight w:val="none"/>
                <w:lang w:val="zh-CN" w:eastAsia="en-US"/>
              </w:rPr>
              <w:t>431903274710301</w:t>
            </w:r>
          </w:p>
        </w:tc>
      </w:tr>
      <w:tr w14:paraId="07016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4E8D3D3C">
            <w:pPr>
              <w:spacing w:line="24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26</w:t>
            </w:r>
          </w:p>
        </w:tc>
        <w:tc>
          <w:tcPr>
            <w:tcW w:w="928" w:type="pct"/>
            <w:gridSpan w:val="2"/>
            <w:vAlign w:val="center"/>
          </w:tcPr>
          <w:p w14:paraId="7399A62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近年财务状况的年份要求</w:t>
            </w:r>
          </w:p>
        </w:tc>
        <w:tc>
          <w:tcPr>
            <w:tcW w:w="3570" w:type="pct"/>
            <w:vAlign w:val="center"/>
          </w:tcPr>
          <w:p w14:paraId="338BFFF3">
            <w:pPr>
              <w:autoSpaceDE w:val="0"/>
              <w:autoSpaceDN w:val="0"/>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bCs/>
                <w:color w:val="auto"/>
                <w:kern w:val="15"/>
                <w:sz w:val="21"/>
                <w:szCs w:val="21"/>
                <w:highlight w:val="none"/>
                <w:lang w:val="zh-CN" w:eastAsia="zh-CN"/>
              </w:rPr>
              <w:t>提供资格条件承诺函</w:t>
            </w:r>
          </w:p>
        </w:tc>
      </w:tr>
      <w:tr w14:paraId="4816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1FDC81F0">
            <w:pPr>
              <w:spacing w:line="24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27</w:t>
            </w:r>
          </w:p>
        </w:tc>
        <w:tc>
          <w:tcPr>
            <w:tcW w:w="928" w:type="pct"/>
            <w:gridSpan w:val="2"/>
            <w:vAlign w:val="center"/>
          </w:tcPr>
          <w:p w14:paraId="106F276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近年完成的类似项目的年份要求</w:t>
            </w:r>
          </w:p>
        </w:tc>
        <w:tc>
          <w:tcPr>
            <w:tcW w:w="3570" w:type="pct"/>
            <w:vAlign w:val="center"/>
          </w:tcPr>
          <w:p w14:paraId="34E940A3">
            <w:pPr>
              <w:autoSpaceDE w:val="0"/>
              <w:autoSpaceDN w:val="0"/>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bCs/>
                <w:color w:val="auto"/>
                <w:kern w:val="15"/>
                <w:sz w:val="21"/>
                <w:szCs w:val="21"/>
                <w:highlight w:val="none"/>
                <w:lang w:val="zh-CN" w:eastAsia="zh-CN"/>
              </w:rPr>
              <w:t>近三年（20</w:t>
            </w:r>
            <w:r>
              <w:rPr>
                <w:rFonts w:hint="eastAsia" w:ascii="宋体" w:hAnsi="宋体" w:eastAsia="宋体" w:cs="宋体"/>
                <w:bCs/>
                <w:color w:val="auto"/>
                <w:kern w:val="15"/>
                <w:sz w:val="21"/>
                <w:szCs w:val="21"/>
                <w:highlight w:val="none"/>
                <w:lang w:val="en-US" w:eastAsia="zh-CN"/>
              </w:rPr>
              <w:t>22</w:t>
            </w:r>
            <w:r>
              <w:rPr>
                <w:rFonts w:hint="eastAsia" w:ascii="宋体" w:hAnsi="宋体" w:eastAsia="宋体" w:cs="宋体"/>
                <w:bCs/>
                <w:color w:val="auto"/>
                <w:kern w:val="15"/>
                <w:sz w:val="21"/>
                <w:szCs w:val="21"/>
                <w:highlight w:val="none"/>
                <w:lang w:val="zh-CN" w:eastAsia="zh-CN"/>
              </w:rPr>
              <w:t>年－</w:t>
            </w:r>
            <w:r>
              <w:rPr>
                <w:rFonts w:hint="eastAsia" w:ascii="宋体" w:hAnsi="宋体" w:eastAsia="宋体" w:cs="宋体"/>
                <w:bCs/>
                <w:color w:val="auto"/>
                <w:kern w:val="15"/>
                <w:sz w:val="21"/>
                <w:szCs w:val="21"/>
                <w:highlight w:val="none"/>
                <w:lang w:val="en-US" w:eastAsia="zh-CN"/>
              </w:rPr>
              <w:t>至今</w:t>
            </w:r>
            <w:r>
              <w:rPr>
                <w:rFonts w:hint="eastAsia" w:ascii="宋体" w:hAnsi="宋体" w:eastAsia="宋体" w:cs="宋体"/>
                <w:bCs/>
                <w:color w:val="auto"/>
                <w:kern w:val="15"/>
                <w:sz w:val="21"/>
                <w:szCs w:val="21"/>
                <w:highlight w:val="none"/>
                <w:lang w:val="zh-CN" w:eastAsia="zh-CN"/>
              </w:rPr>
              <w:t>）</w:t>
            </w:r>
          </w:p>
        </w:tc>
      </w:tr>
      <w:tr w14:paraId="466E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7FB99EF3">
            <w:pPr>
              <w:spacing w:line="24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28</w:t>
            </w:r>
          </w:p>
        </w:tc>
        <w:tc>
          <w:tcPr>
            <w:tcW w:w="928" w:type="pct"/>
            <w:gridSpan w:val="2"/>
            <w:vAlign w:val="center"/>
          </w:tcPr>
          <w:p w14:paraId="6526F7B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签字或盖章要求</w:t>
            </w:r>
          </w:p>
        </w:tc>
        <w:tc>
          <w:tcPr>
            <w:tcW w:w="3570" w:type="pct"/>
            <w:vAlign w:val="center"/>
          </w:tcPr>
          <w:p w14:paraId="46697E5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1.按“政采云”平台（http:// www.zcygov.cn）提供的格式及要求填写。第六章《竞争性磋商响应文件构成、要求及格式》中凡要求签署和加盖公章的，均须由供应商的法定代表人或其授权代理人签字和加盖供应商公章。竞争性磋商响应文件由法定代表人签署的，须与其企业法人营业执照相符；由授权代理人签署的，须提交以书面形式出具的《法定代表人授权书》。</w:t>
            </w:r>
          </w:p>
        </w:tc>
      </w:tr>
      <w:tr w14:paraId="727F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40896B33">
            <w:pPr>
              <w:spacing w:line="24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29</w:t>
            </w:r>
          </w:p>
        </w:tc>
        <w:tc>
          <w:tcPr>
            <w:tcW w:w="928" w:type="pct"/>
            <w:gridSpan w:val="2"/>
            <w:vAlign w:val="center"/>
          </w:tcPr>
          <w:p w14:paraId="2FDA2C1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响应文件份数</w:t>
            </w:r>
          </w:p>
        </w:tc>
        <w:tc>
          <w:tcPr>
            <w:tcW w:w="3570" w:type="pct"/>
            <w:vAlign w:val="center"/>
          </w:tcPr>
          <w:p w14:paraId="1868F65E">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1、电子版响应文件：</w:t>
            </w:r>
          </w:p>
          <w:p w14:paraId="77AAEA6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电子版：供应商在响应文件截止时间前通过“政采云”平台（http：//www.zcygov.cn）递交电子响应文件1份，逾期上传的电子响应文件，平台将予以拒收。响应文件因供应商自身原因未能成功解密的，视为逾期未提交响应文件。</w:t>
            </w:r>
          </w:p>
          <w:p w14:paraId="20C9EA1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供应商在中标后，应按采购人要求的形式（纸质版、电子版）和数量提供响应文件（纸质版响应文件及普通电子版响应文件应与“政采云”平台（http：//www.zcygov.cn）上传电子响应文件内容一致）。普通电子版响应文件应为响应文件全部内容的PDF格式。</w:t>
            </w:r>
          </w:p>
        </w:tc>
      </w:tr>
      <w:tr w14:paraId="1318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4E8BA833">
            <w:pPr>
              <w:spacing w:line="24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30</w:t>
            </w:r>
          </w:p>
        </w:tc>
        <w:tc>
          <w:tcPr>
            <w:tcW w:w="928" w:type="pct"/>
            <w:gridSpan w:val="2"/>
            <w:vAlign w:val="center"/>
          </w:tcPr>
          <w:p w14:paraId="011E15C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装订要求</w:t>
            </w:r>
          </w:p>
        </w:tc>
        <w:tc>
          <w:tcPr>
            <w:tcW w:w="3570" w:type="pct"/>
            <w:vAlign w:val="center"/>
          </w:tcPr>
          <w:p w14:paraId="2749F6C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响应文件的装订要整齐、牢固、不易拆散和换页，便于保管和利用，统一使用A4规格复印纸</w:t>
            </w:r>
            <w:r>
              <w:rPr>
                <w:rFonts w:hint="eastAsia" w:hAnsi="宋体" w:cs="宋体"/>
                <w:b w:val="0"/>
                <w:bCs w:val="0"/>
                <w:color w:val="auto"/>
                <w:kern w:val="0"/>
                <w:sz w:val="21"/>
                <w:szCs w:val="21"/>
                <w:highlight w:val="none"/>
                <w:lang w:eastAsia="zh-CN"/>
              </w:rPr>
              <w:t>（</w:t>
            </w:r>
            <w:r>
              <w:rPr>
                <w:rFonts w:hint="eastAsia" w:hAnsi="宋体" w:cs="宋体"/>
                <w:b/>
                <w:bCs/>
                <w:color w:val="auto"/>
                <w:kern w:val="0"/>
                <w:sz w:val="21"/>
                <w:szCs w:val="21"/>
                <w:highlight w:val="none"/>
                <w:lang w:eastAsia="zh-CN"/>
              </w:rPr>
              <w:t>双面打印</w:t>
            </w:r>
            <w:r>
              <w:rPr>
                <w:rFonts w:hint="eastAsia" w:hAnsi="宋体" w:cs="宋体"/>
                <w:b w:val="0"/>
                <w:bCs w:val="0"/>
                <w:color w:val="auto"/>
                <w:kern w:val="0"/>
                <w:sz w:val="21"/>
                <w:szCs w:val="21"/>
                <w:highlight w:val="none"/>
                <w:lang w:eastAsia="zh-CN"/>
              </w:rPr>
              <w:t>）</w:t>
            </w:r>
            <w:r>
              <w:rPr>
                <w:rFonts w:hint="eastAsia" w:ascii="宋体" w:hAnsi="宋体" w:eastAsia="宋体" w:cs="宋体"/>
                <w:color w:val="auto"/>
                <w:kern w:val="0"/>
                <w:sz w:val="21"/>
                <w:szCs w:val="21"/>
                <w:highlight w:val="none"/>
              </w:rPr>
              <w:t>，采用胶装装订方式。</w:t>
            </w:r>
          </w:p>
        </w:tc>
      </w:tr>
      <w:tr w14:paraId="1CC0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591935F4">
            <w:pPr>
              <w:spacing w:line="24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31</w:t>
            </w:r>
          </w:p>
        </w:tc>
        <w:tc>
          <w:tcPr>
            <w:tcW w:w="928" w:type="pct"/>
            <w:gridSpan w:val="2"/>
            <w:vAlign w:val="center"/>
          </w:tcPr>
          <w:p w14:paraId="22676643">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递交响应文件</w:t>
            </w:r>
          </w:p>
          <w:p w14:paraId="485B17A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p>
        </w:tc>
        <w:tc>
          <w:tcPr>
            <w:tcW w:w="3570" w:type="pct"/>
            <w:vAlign w:val="center"/>
          </w:tcPr>
          <w:p w14:paraId="508A4E5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本项目采用全流程电子化采购，供应商需通过“政采云”平台（https://www.zcygov.cn/）制作并递交电子响应文件。</w:t>
            </w:r>
          </w:p>
        </w:tc>
      </w:tr>
      <w:tr w14:paraId="054B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10D6C6A8">
            <w:pPr>
              <w:spacing w:line="24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32</w:t>
            </w:r>
          </w:p>
        </w:tc>
        <w:tc>
          <w:tcPr>
            <w:tcW w:w="928" w:type="pct"/>
            <w:gridSpan w:val="2"/>
            <w:vAlign w:val="center"/>
          </w:tcPr>
          <w:p w14:paraId="0FC44A03">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w:t>
            </w:r>
            <w:r>
              <w:rPr>
                <w:rFonts w:hint="eastAsia" w:hAnsi="宋体" w:cs="宋体"/>
                <w:color w:val="auto"/>
                <w:sz w:val="21"/>
                <w:szCs w:val="21"/>
                <w:highlight w:val="none"/>
                <w:lang w:eastAsia="zh-CN"/>
              </w:rPr>
              <w:t>启</w:t>
            </w:r>
            <w:r>
              <w:rPr>
                <w:rFonts w:hint="eastAsia" w:ascii="宋体" w:hAnsi="宋体" w:eastAsia="宋体" w:cs="宋体"/>
                <w:color w:val="auto"/>
                <w:sz w:val="21"/>
                <w:szCs w:val="21"/>
                <w:highlight w:val="none"/>
              </w:rPr>
              <w:t>时间和地点</w:t>
            </w:r>
          </w:p>
        </w:tc>
        <w:tc>
          <w:tcPr>
            <w:tcW w:w="3570" w:type="pct"/>
            <w:vAlign w:val="center"/>
          </w:tcPr>
          <w:p w14:paraId="78888ED7">
            <w:pPr>
              <w:spacing w:line="24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开</w:t>
            </w:r>
            <w:r>
              <w:rPr>
                <w:rFonts w:hint="eastAsia" w:hAnsi="宋体" w:cs="宋体"/>
                <w:b/>
                <w:bCs/>
                <w:color w:val="auto"/>
                <w:sz w:val="21"/>
                <w:szCs w:val="21"/>
                <w:highlight w:val="none"/>
                <w:lang w:eastAsia="zh-CN"/>
              </w:rPr>
              <w:t>启</w:t>
            </w:r>
            <w:r>
              <w:rPr>
                <w:rFonts w:hint="eastAsia" w:ascii="宋体" w:hAnsi="宋体" w:eastAsia="宋体" w:cs="宋体"/>
                <w:b/>
                <w:bCs/>
                <w:color w:val="auto"/>
                <w:sz w:val="21"/>
                <w:szCs w:val="21"/>
                <w:highlight w:val="none"/>
              </w:rPr>
              <w:t>时间：</w:t>
            </w:r>
            <w:r>
              <w:rPr>
                <w:rFonts w:hint="eastAsia" w:hAnsi="宋体" w:cs="宋体"/>
                <w:color w:val="auto"/>
                <w:sz w:val="21"/>
                <w:szCs w:val="21"/>
                <w:highlight w:val="none"/>
                <w:lang w:eastAsia="zh-CN"/>
              </w:rPr>
              <w:t>2025年0</w:t>
            </w:r>
            <w:r>
              <w:rPr>
                <w:rFonts w:hint="eastAsia" w:hAnsi="宋体" w:cs="宋体"/>
                <w:color w:val="auto"/>
                <w:sz w:val="21"/>
                <w:szCs w:val="21"/>
                <w:highlight w:val="none"/>
                <w:lang w:val="en-US" w:eastAsia="zh-CN"/>
              </w:rPr>
              <w:t>8</w:t>
            </w:r>
            <w:r>
              <w:rPr>
                <w:rFonts w:hint="eastAsia" w:hAnsi="宋体" w:cs="宋体"/>
                <w:color w:val="auto"/>
                <w:sz w:val="21"/>
                <w:szCs w:val="21"/>
                <w:highlight w:val="none"/>
                <w:lang w:eastAsia="zh-CN"/>
              </w:rPr>
              <w:t>月</w:t>
            </w:r>
            <w:r>
              <w:rPr>
                <w:rFonts w:hint="eastAsia" w:hAnsi="宋体" w:cs="宋体"/>
                <w:color w:val="auto"/>
                <w:sz w:val="21"/>
                <w:szCs w:val="21"/>
                <w:highlight w:val="none"/>
                <w:lang w:val="en-US" w:eastAsia="zh-CN"/>
              </w:rPr>
              <w:t>08</w:t>
            </w:r>
            <w:r>
              <w:rPr>
                <w:rFonts w:hint="eastAsia" w:hAnsi="宋体" w:cs="宋体"/>
                <w:color w:val="auto"/>
                <w:sz w:val="21"/>
                <w:szCs w:val="21"/>
                <w:highlight w:val="none"/>
                <w:lang w:eastAsia="zh-CN"/>
              </w:rPr>
              <w:t>日</w:t>
            </w:r>
            <w:r>
              <w:rPr>
                <w:rFonts w:hint="eastAsia" w:hAnsi="宋体" w:cs="宋体"/>
                <w:color w:val="auto"/>
                <w:sz w:val="21"/>
                <w:szCs w:val="21"/>
                <w:highlight w:val="none"/>
                <w:lang w:val="en-US" w:eastAsia="zh-CN"/>
              </w:rPr>
              <w:t>09</w:t>
            </w:r>
            <w:r>
              <w:rPr>
                <w:rFonts w:hint="eastAsia" w:hAnsi="宋体" w:cs="宋体"/>
                <w:color w:val="auto"/>
                <w:sz w:val="21"/>
                <w:szCs w:val="21"/>
                <w:highlight w:val="none"/>
                <w:lang w:eastAsia="zh-CN"/>
              </w:rPr>
              <w:t>时</w:t>
            </w:r>
            <w:r>
              <w:rPr>
                <w:rFonts w:hint="eastAsia" w:hAnsi="宋体" w:cs="宋体"/>
                <w:color w:val="auto"/>
                <w:sz w:val="21"/>
                <w:szCs w:val="21"/>
                <w:highlight w:val="none"/>
                <w:lang w:val="en-US" w:eastAsia="zh-CN"/>
              </w:rPr>
              <w:t>00</w:t>
            </w:r>
            <w:r>
              <w:rPr>
                <w:rFonts w:hint="eastAsia" w:hAnsi="宋体" w:cs="宋体"/>
                <w:color w:val="auto"/>
                <w:sz w:val="21"/>
                <w:szCs w:val="21"/>
                <w:highlight w:val="none"/>
                <w:lang w:eastAsia="zh-CN"/>
              </w:rPr>
              <w:t>分</w:t>
            </w:r>
          </w:p>
          <w:p w14:paraId="47587B76">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开标地点：</w:t>
            </w:r>
            <w:r>
              <w:rPr>
                <w:rFonts w:hint="eastAsia" w:hAnsi="宋体" w:cs="宋体"/>
                <w:color w:val="auto"/>
                <w:sz w:val="21"/>
                <w:szCs w:val="21"/>
                <w:highlight w:val="none"/>
                <w:u w:val="none"/>
                <w:shd w:val="clear" w:color="auto" w:fill="FFFFFF"/>
                <w:lang w:eastAsia="zh-CN"/>
              </w:rPr>
              <w:t>长春市二道区洋浦大街6669号凯利中心AB栋101开标</w:t>
            </w:r>
            <w:r>
              <w:rPr>
                <w:rFonts w:hint="eastAsia" w:hAnsi="宋体" w:cs="宋体"/>
                <w:color w:val="auto"/>
                <w:sz w:val="21"/>
                <w:szCs w:val="21"/>
                <w:highlight w:val="none"/>
                <w:u w:val="none"/>
                <w:shd w:val="clear" w:color="auto" w:fill="FFFFFF"/>
                <w:lang w:val="en-US" w:eastAsia="zh-CN"/>
              </w:rPr>
              <w:t>一</w:t>
            </w:r>
            <w:r>
              <w:rPr>
                <w:rFonts w:hint="eastAsia" w:hAnsi="宋体" w:cs="宋体"/>
                <w:color w:val="auto"/>
                <w:sz w:val="21"/>
                <w:szCs w:val="21"/>
                <w:highlight w:val="none"/>
                <w:u w:val="none"/>
                <w:shd w:val="clear" w:color="auto" w:fill="FFFFFF"/>
                <w:lang w:eastAsia="zh-CN"/>
              </w:rPr>
              <w:t>室（本项目为远程开标，供应商无须到现场）</w:t>
            </w:r>
          </w:p>
        </w:tc>
      </w:tr>
      <w:tr w14:paraId="7FF4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5597E07E">
            <w:pPr>
              <w:spacing w:line="24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33</w:t>
            </w:r>
          </w:p>
        </w:tc>
        <w:tc>
          <w:tcPr>
            <w:tcW w:w="928" w:type="pct"/>
            <w:gridSpan w:val="2"/>
            <w:vAlign w:val="center"/>
          </w:tcPr>
          <w:p w14:paraId="2084961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开标程序</w:t>
            </w:r>
          </w:p>
        </w:tc>
        <w:tc>
          <w:tcPr>
            <w:tcW w:w="3570" w:type="pct"/>
            <w:vAlign w:val="center"/>
          </w:tcPr>
          <w:p w14:paraId="015ACCC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1、本项目会议采用“政采云”平台进行远程会议，供应商</w:t>
            </w:r>
            <w:r>
              <w:rPr>
                <w:rFonts w:hint="eastAsia" w:ascii="宋体" w:hAnsi="宋体" w:eastAsia="宋体" w:cs="宋体"/>
                <w:color w:val="auto"/>
                <w:sz w:val="21"/>
                <w:szCs w:val="21"/>
                <w:highlight w:val="none"/>
                <w:lang w:eastAsia="zh-CN"/>
              </w:rPr>
              <w:t>无需</w:t>
            </w:r>
            <w:r>
              <w:rPr>
                <w:rFonts w:hint="eastAsia" w:ascii="宋体" w:hAnsi="宋体" w:eastAsia="宋体" w:cs="宋体"/>
                <w:color w:val="auto"/>
                <w:sz w:val="21"/>
                <w:szCs w:val="21"/>
                <w:highlight w:val="none"/>
              </w:rPr>
              <w:t>到现场，供应商应提前自行准备设备及CA锁，准时参加会议，按主持人要求按时解密响应文件。</w:t>
            </w:r>
          </w:p>
          <w:p w14:paraId="2DB3DDF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2、进入会议人员应为本项目供应商被授权人。</w:t>
            </w:r>
          </w:p>
          <w:p w14:paraId="71C7DD42">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3、供应商未参加会议的，或未完全参加会议全过程的，视为认同会议结果</w:t>
            </w:r>
            <w:r>
              <w:rPr>
                <w:rFonts w:hint="eastAsia" w:ascii="宋体" w:hAnsi="宋体" w:eastAsia="宋体" w:cs="宋体"/>
                <w:color w:val="auto"/>
                <w:sz w:val="21"/>
                <w:szCs w:val="21"/>
                <w:highlight w:val="none"/>
                <w:lang w:eastAsia="zh-CN"/>
              </w:rPr>
              <w:t>。</w:t>
            </w:r>
          </w:p>
          <w:p w14:paraId="775F95C3">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解密情况：供应商在开启时间开始到规定的时间内持编制响应文件的供应商数字证书远程解密；未解密或解密不成功的视为未递交响应文件。</w:t>
            </w:r>
          </w:p>
          <w:p w14:paraId="18193B31">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磋商顺序：按系统顺序进行。</w:t>
            </w:r>
          </w:p>
          <w:p w14:paraId="764197F3">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二次报价递交方式：</w:t>
            </w:r>
            <w:r>
              <w:rPr>
                <w:rFonts w:hint="eastAsia" w:ascii="宋体" w:hAnsi="宋体" w:eastAsia="宋体" w:cs="宋体"/>
                <w:color w:val="auto"/>
                <w:sz w:val="21"/>
                <w:szCs w:val="21"/>
                <w:highlight w:val="none"/>
                <w:lang w:eastAsia="zh-CN"/>
              </w:rPr>
              <w:t>收到平台短信后5分钟内登陆</w:t>
            </w:r>
            <w:r>
              <w:rPr>
                <w:rFonts w:hint="eastAsia" w:ascii="宋体" w:hAnsi="宋体" w:eastAsia="宋体" w:cs="宋体"/>
                <w:color w:val="auto"/>
                <w:sz w:val="21"/>
                <w:szCs w:val="21"/>
                <w:highlight w:val="none"/>
                <w:lang w:val="zh-CN" w:eastAsia="zh-CN"/>
              </w:rPr>
              <w:t>“政采云”平台（http：//www.zcygov.cn），</w:t>
            </w:r>
            <w:r>
              <w:rPr>
                <w:rFonts w:hint="eastAsia" w:ascii="宋体" w:hAnsi="宋体" w:eastAsia="宋体" w:cs="宋体"/>
                <w:color w:val="auto"/>
                <w:sz w:val="21"/>
                <w:szCs w:val="21"/>
                <w:highlight w:val="none"/>
                <w:lang w:eastAsia="zh-CN"/>
              </w:rPr>
              <w:t>并于</w:t>
            </w:r>
            <w:r>
              <w:rPr>
                <w:rFonts w:hint="eastAsia" w:ascii="宋体" w:hAnsi="宋体" w:eastAsia="宋体" w:cs="宋体"/>
                <w:color w:val="auto"/>
                <w:sz w:val="21"/>
                <w:szCs w:val="21"/>
                <w:highlight w:val="none"/>
                <w:lang w:val="zh-CN" w:eastAsia="zh-CN"/>
              </w:rPr>
              <w:t>30分钟内</w:t>
            </w:r>
            <w:r>
              <w:rPr>
                <w:rFonts w:hint="eastAsia" w:ascii="宋体" w:hAnsi="宋体" w:eastAsia="宋体" w:cs="宋体"/>
                <w:color w:val="auto"/>
                <w:sz w:val="21"/>
                <w:szCs w:val="21"/>
                <w:highlight w:val="none"/>
                <w:lang w:eastAsia="zh-CN"/>
              </w:rPr>
              <w:t>提交最终报价，</w:t>
            </w:r>
            <w:r>
              <w:rPr>
                <w:rFonts w:hint="eastAsia" w:ascii="宋体" w:hAnsi="宋体" w:eastAsia="宋体" w:cs="宋体"/>
                <w:color w:val="auto"/>
                <w:sz w:val="21"/>
                <w:szCs w:val="21"/>
                <w:highlight w:val="none"/>
                <w:lang w:val="zh-CN" w:eastAsia="zh-CN"/>
              </w:rPr>
              <w:t>逾期未提交，其响应无效。</w:t>
            </w:r>
          </w:p>
        </w:tc>
      </w:tr>
      <w:tr w14:paraId="4169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5F9A71EB">
            <w:pPr>
              <w:spacing w:line="24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34</w:t>
            </w:r>
          </w:p>
        </w:tc>
        <w:tc>
          <w:tcPr>
            <w:tcW w:w="928" w:type="pct"/>
            <w:gridSpan w:val="2"/>
            <w:vAlign w:val="center"/>
          </w:tcPr>
          <w:p w14:paraId="3B92C523">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3570" w:type="pct"/>
            <w:vAlign w:val="center"/>
          </w:tcPr>
          <w:p w14:paraId="599C6D8C">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w:t>
            </w:r>
          </w:p>
        </w:tc>
      </w:tr>
      <w:tr w14:paraId="17FF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6304DCA7">
            <w:pPr>
              <w:spacing w:line="24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35</w:t>
            </w:r>
          </w:p>
        </w:tc>
        <w:tc>
          <w:tcPr>
            <w:tcW w:w="928" w:type="pct"/>
            <w:gridSpan w:val="2"/>
            <w:vAlign w:val="center"/>
          </w:tcPr>
          <w:p w14:paraId="392A5614">
            <w:pPr>
              <w:spacing w:line="240" w:lineRule="auto"/>
              <w:jc w:val="center"/>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eastAsia="zh-CN"/>
              </w:rPr>
              <w:t>质保金</w:t>
            </w:r>
          </w:p>
        </w:tc>
        <w:tc>
          <w:tcPr>
            <w:tcW w:w="3570" w:type="pct"/>
            <w:vAlign w:val="center"/>
          </w:tcPr>
          <w:p w14:paraId="2C607F69">
            <w:pPr>
              <w:spacing w:line="240" w:lineRule="auto"/>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评审结算总价的3 %</w:t>
            </w:r>
          </w:p>
        </w:tc>
      </w:tr>
      <w:tr w14:paraId="053E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7E6F85C1">
            <w:pPr>
              <w:spacing w:line="24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36</w:t>
            </w:r>
          </w:p>
        </w:tc>
        <w:tc>
          <w:tcPr>
            <w:tcW w:w="928" w:type="pct"/>
            <w:gridSpan w:val="2"/>
            <w:shd w:val="clear" w:color="auto" w:fill="auto"/>
            <w:vAlign w:val="center"/>
          </w:tcPr>
          <w:p w14:paraId="6C08ACBF">
            <w:pPr>
              <w:spacing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3570" w:type="pct"/>
            <w:shd w:val="clear" w:color="auto" w:fill="auto"/>
            <w:vAlign w:val="center"/>
          </w:tcPr>
          <w:p w14:paraId="31BAE16F">
            <w:pPr>
              <w:spacing w:line="240" w:lineRule="auto"/>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供应方进场并具备施工条件，出具本项目银行保函或担保公司保函后，支付工程预付款（预付款金额为合同总价的10%），承包人完成全部工程量且工程竣工验收合格后支付至工程总价的80%（此次工程款支付金额需扣除所支付的全部预付款）；工程结算评审后且发包人收到承包人开具的符合要求的全额增值税专用发票后，支付至评审结算总价的97%，评审结算总价的3%做为质保金，质保期满无质量问题无息一次性付清。</w:t>
            </w:r>
          </w:p>
        </w:tc>
      </w:tr>
      <w:tr w14:paraId="381B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01" w:type="pct"/>
            <w:vAlign w:val="center"/>
          </w:tcPr>
          <w:p w14:paraId="4B7EC9BD">
            <w:pPr>
              <w:spacing w:line="24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37</w:t>
            </w:r>
          </w:p>
        </w:tc>
        <w:tc>
          <w:tcPr>
            <w:tcW w:w="928" w:type="pct"/>
            <w:gridSpan w:val="2"/>
            <w:vAlign w:val="center"/>
          </w:tcPr>
          <w:p w14:paraId="347CCF7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w:t>
            </w:r>
          </w:p>
          <w:p w14:paraId="2F96685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的组建</w:t>
            </w:r>
          </w:p>
        </w:tc>
        <w:tc>
          <w:tcPr>
            <w:tcW w:w="3570" w:type="pct"/>
            <w:vAlign w:val="center"/>
          </w:tcPr>
          <w:p w14:paraId="7E0D668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磋商小组构成：专家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w:t>
            </w:r>
          </w:p>
          <w:p w14:paraId="71A9A33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评标专家确定方式：经济及技术方面专家在政采云评标专家库中随机抽取。</w:t>
            </w:r>
          </w:p>
        </w:tc>
      </w:tr>
      <w:tr w14:paraId="3930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6637C22F">
            <w:pPr>
              <w:spacing w:line="24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38</w:t>
            </w:r>
          </w:p>
        </w:tc>
        <w:tc>
          <w:tcPr>
            <w:tcW w:w="928" w:type="pct"/>
            <w:gridSpan w:val="2"/>
            <w:vAlign w:val="center"/>
          </w:tcPr>
          <w:p w14:paraId="7BF2709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是否授权磋商小组确定中标人</w:t>
            </w:r>
          </w:p>
        </w:tc>
        <w:tc>
          <w:tcPr>
            <w:tcW w:w="3570" w:type="pct"/>
            <w:vAlign w:val="center"/>
          </w:tcPr>
          <w:p w14:paraId="2997BA3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磋商小组应当根据综合评分情况，按照评审得分由高到低顺序推荐排序第一的供应商为本项目预成交供应商。</w:t>
            </w:r>
          </w:p>
        </w:tc>
      </w:tr>
      <w:tr w14:paraId="588F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01" w:type="pct"/>
            <w:vAlign w:val="center"/>
          </w:tcPr>
          <w:p w14:paraId="1A3B921C">
            <w:pPr>
              <w:spacing w:line="24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39</w:t>
            </w:r>
          </w:p>
        </w:tc>
        <w:tc>
          <w:tcPr>
            <w:tcW w:w="928" w:type="pct"/>
            <w:gridSpan w:val="2"/>
            <w:vAlign w:val="center"/>
          </w:tcPr>
          <w:p w14:paraId="7042302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中标公示媒介</w:t>
            </w:r>
          </w:p>
        </w:tc>
        <w:tc>
          <w:tcPr>
            <w:tcW w:w="3570" w:type="pct"/>
            <w:vAlign w:val="center"/>
          </w:tcPr>
          <w:p w14:paraId="48E23179">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“政采云”平台（http:// www.zcygov.cn），同步推送到吉林省政府采购网（http://www.ccgp-jilin.gov.cn/）</w:t>
            </w:r>
            <w:r>
              <w:rPr>
                <w:rFonts w:hint="eastAsia" w:hAnsi="宋体" w:cs="宋体"/>
                <w:color w:val="auto"/>
                <w:sz w:val="21"/>
                <w:szCs w:val="21"/>
                <w:highlight w:val="none"/>
                <w:lang w:eastAsia="zh-CN"/>
              </w:rPr>
              <w:t>。</w:t>
            </w:r>
          </w:p>
          <w:p w14:paraId="0F04D1D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公示期1个工作日。</w:t>
            </w:r>
          </w:p>
        </w:tc>
      </w:tr>
      <w:tr w14:paraId="1EF0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01" w:type="pct"/>
            <w:vAlign w:val="center"/>
          </w:tcPr>
          <w:p w14:paraId="79B659C0">
            <w:pPr>
              <w:spacing w:line="240" w:lineRule="auto"/>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40</w:t>
            </w:r>
          </w:p>
        </w:tc>
        <w:tc>
          <w:tcPr>
            <w:tcW w:w="928" w:type="pct"/>
            <w:gridSpan w:val="2"/>
            <w:shd w:val="clear" w:color="auto" w:fill="auto"/>
            <w:vAlign w:val="center"/>
          </w:tcPr>
          <w:p w14:paraId="21017037">
            <w:pPr>
              <w:spacing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合同方式</w:t>
            </w:r>
          </w:p>
        </w:tc>
        <w:tc>
          <w:tcPr>
            <w:tcW w:w="3570" w:type="pct"/>
            <w:shd w:val="clear" w:color="auto" w:fill="auto"/>
            <w:vAlign w:val="center"/>
          </w:tcPr>
          <w:p w14:paraId="1741B910">
            <w:pPr>
              <w:spacing w:line="24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固定总价（含税），该金额包括发包人向承包人支付的一切费用，除此之外，发包人不再另行支付其他任何费用。最终结算价以财政评审为准。</w:t>
            </w:r>
          </w:p>
        </w:tc>
      </w:tr>
      <w:tr w14:paraId="4C76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501" w:type="pct"/>
            <w:vAlign w:val="center"/>
          </w:tcPr>
          <w:p w14:paraId="26D28C30">
            <w:pPr>
              <w:spacing w:line="240" w:lineRule="auto"/>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41</w:t>
            </w:r>
          </w:p>
        </w:tc>
        <w:tc>
          <w:tcPr>
            <w:tcW w:w="928" w:type="pct"/>
            <w:gridSpan w:val="2"/>
            <w:shd w:val="clear" w:color="auto" w:fill="auto"/>
            <w:vAlign w:val="center"/>
          </w:tcPr>
          <w:p w14:paraId="20888C16">
            <w:pPr>
              <w:adjustRightInd w:val="0"/>
              <w:jc w:val="center"/>
              <w:rPr>
                <w:rFonts w:hint="eastAsia" w:ascii="宋体" w:hAnsi="宋体" w:eastAsia="宋体" w:cs="宋体"/>
                <w:bCs/>
                <w:color w:val="auto"/>
                <w:sz w:val="21"/>
                <w:szCs w:val="21"/>
                <w:highlight w:val="none"/>
                <w:lang w:val="zh-CN" w:eastAsia="zh-CN" w:bidi="ar-SA"/>
              </w:rPr>
            </w:pPr>
            <w:r>
              <w:rPr>
                <w:rFonts w:hint="eastAsia" w:ascii="宋体" w:hAnsi="宋体" w:eastAsia="宋体" w:cs="宋体"/>
                <w:bCs/>
                <w:color w:val="auto"/>
                <w:sz w:val="21"/>
                <w:szCs w:val="21"/>
                <w:highlight w:val="none"/>
                <w:lang w:val="zh-CN" w:eastAsia="zh-CN" w:bidi="ar-SA"/>
              </w:rPr>
              <w:t>本项目所属行业</w:t>
            </w:r>
          </w:p>
        </w:tc>
        <w:tc>
          <w:tcPr>
            <w:tcW w:w="3570" w:type="pct"/>
            <w:shd w:val="clear" w:color="auto" w:fill="auto"/>
            <w:vAlign w:val="center"/>
          </w:tcPr>
          <w:p w14:paraId="02C1305C">
            <w:pPr>
              <w:adjustRightInd w:val="0"/>
              <w:jc w:val="both"/>
              <w:rPr>
                <w:rFonts w:hint="eastAsia" w:ascii="宋体" w:hAnsi="宋体" w:eastAsia="宋体" w:cs="宋体"/>
                <w:bCs/>
                <w:color w:val="auto"/>
                <w:sz w:val="21"/>
                <w:szCs w:val="21"/>
                <w:highlight w:val="none"/>
                <w:lang w:val="zh-CN" w:eastAsia="zh-CN" w:bidi="ar-SA"/>
              </w:rPr>
            </w:pPr>
            <w:r>
              <w:rPr>
                <w:rFonts w:hint="eastAsia" w:ascii="宋体" w:hAnsi="宋体" w:eastAsia="宋体" w:cs="宋体"/>
                <w:bCs/>
                <w:color w:val="auto"/>
                <w:sz w:val="21"/>
                <w:szCs w:val="21"/>
                <w:highlight w:val="none"/>
                <w:lang w:val="zh-CN" w:eastAsia="zh-CN" w:bidi="ar-SA"/>
              </w:rPr>
              <w:t>建筑业</w:t>
            </w:r>
          </w:p>
        </w:tc>
      </w:tr>
      <w:tr w14:paraId="7F06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4BDB9288">
            <w:pPr>
              <w:spacing w:line="240" w:lineRule="auto"/>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42</w:t>
            </w:r>
          </w:p>
        </w:tc>
        <w:tc>
          <w:tcPr>
            <w:tcW w:w="928" w:type="pct"/>
            <w:gridSpan w:val="2"/>
            <w:shd w:val="clear" w:color="auto" w:fill="auto"/>
            <w:vAlign w:val="center"/>
          </w:tcPr>
          <w:p w14:paraId="4E7561C1">
            <w:pPr>
              <w:adjustRightInd w:val="0"/>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zh-CN" w:eastAsia="zh-CN" w:bidi="ar-SA"/>
              </w:rPr>
              <w:t>质保期</w:t>
            </w:r>
          </w:p>
        </w:tc>
        <w:tc>
          <w:tcPr>
            <w:tcW w:w="3570" w:type="pct"/>
            <w:shd w:val="clear" w:color="auto" w:fill="auto"/>
            <w:vAlign w:val="center"/>
          </w:tcPr>
          <w:p w14:paraId="0DD7C4C0">
            <w:pPr>
              <w:rPr>
                <w:rFonts w:hint="eastAsia" w:ascii="宋体" w:hAnsi="宋体" w:eastAsia="宋体" w:cs="宋体"/>
                <w:bCs/>
                <w:color w:val="auto"/>
                <w:sz w:val="21"/>
                <w:szCs w:val="21"/>
                <w:highlight w:val="none"/>
                <w:lang w:val="en-US" w:eastAsia="zh-CN" w:bidi="ar-SA"/>
              </w:rPr>
            </w:pPr>
            <w:r>
              <w:rPr>
                <w:rFonts w:hint="eastAsia" w:hAnsi="宋体" w:cs="宋体"/>
                <w:bCs/>
                <w:color w:val="auto"/>
                <w:sz w:val="21"/>
                <w:szCs w:val="21"/>
                <w:highlight w:val="none"/>
                <w:lang w:val="en-US" w:eastAsia="zh-CN" w:bidi="ar-SA"/>
              </w:rPr>
              <w:t>防水、保温工程5年，其他工程2年</w:t>
            </w:r>
          </w:p>
        </w:tc>
      </w:tr>
      <w:tr w14:paraId="4622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60863EC1">
            <w:pPr>
              <w:spacing w:line="24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43</w:t>
            </w:r>
          </w:p>
        </w:tc>
        <w:tc>
          <w:tcPr>
            <w:tcW w:w="928" w:type="pct"/>
            <w:gridSpan w:val="2"/>
            <w:vAlign w:val="center"/>
          </w:tcPr>
          <w:p w14:paraId="40512B60">
            <w:pPr>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电子招标投标</w:t>
            </w:r>
          </w:p>
        </w:tc>
        <w:tc>
          <w:tcPr>
            <w:tcW w:w="3570" w:type="pct"/>
            <w:vAlign w:val="center"/>
          </w:tcPr>
          <w:p w14:paraId="6D969E5A">
            <w:pPr>
              <w:spacing w:line="240" w:lineRule="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□否</w:t>
            </w:r>
          </w:p>
          <w:p w14:paraId="544D8B31">
            <w:pPr>
              <w:spacing w:line="240" w:lineRule="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☑是</w:t>
            </w:r>
          </w:p>
          <w:p w14:paraId="4DBEBC67">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本项目采用全流程电子化招投标，在提交响应文件截止时间前通过政府采购云平台（网址：http://www.zcygov.cn）递交电子响应文件，并按照现场工作人员通知使用CA锁进行响应文件远程解密。</w:t>
            </w:r>
          </w:p>
          <w:p w14:paraId="5849E0F2">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投标操作流程：供应商在政府采购云平台网注册入库成为正式供应商后，在平台上按《政府采购项目电子交易管理操作指南－供应商》进行投标操作。</w:t>
            </w:r>
          </w:p>
          <w:p w14:paraId="5C69AAE5">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数字证书办理及投标技术咨询：</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zh-CN" w:eastAsia="zh-CN"/>
              </w:rPr>
              <w:t>须办理数字证书方可参加投标。供应商须自行考虑数字证书办理时限，由于供应商自身原因在开标前无法完成办理，后果自负。</w:t>
            </w:r>
          </w:p>
          <w:p w14:paraId="3E9A3F15">
            <w:pPr>
              <w:pStyle w:val="38"/>
              <w:spacing w:line="240" w:lineRule="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招标程序：</w:t>
            </w:r>
          </w:p>
          <w:p w14:paraId="61CD7427">
            <w:pPr>
              <w:pStyle w:val="38"/>
              <w:spacing w:line="240" w:lineRule="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 xml:space="preserve">1、本项目开标采用“政采云”平台进行开标，供应商应提前准备设备及CA锁，按主持人要求按时完成远程解密响应文件。 </w:t>
            </w:r>
          </w:p>
          <w:p w14:paraId="5C746820">
            <w:pPr>
              <w:pStyle w:val="38"/>
              <w:spacing w:line="240" w:lineRule="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2、供应商未参加开标会议的，或未完全参加开标会议全过程的，视为认同开标会议结果。</w:t>
            </w:r>
          </w:p>
          <w:p w14:paraId="3C9C3F5E">
            <w:pPr>
              <w:pStyle w:val="38"/>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zh-CN" w:eastAsia="zh-CN"/>
              </w:rPr>
              <w:t>3、供应商若对项目采购电子交易系统操作有疑问，如CA锁获取、使用、响应文件远程解密等问题，可在截止时间前登录“政采云”平台（https://www.zcygov.cn/），点击右侧咨询小采，获取采小蜜智能服务管家帮助，或及时拨打政采云服务热线 400-881-7190 或95763获取热线服务帮助，以免影响其参与。</w:t>
            </w:r>
          </w:p>
        </w:tc>
      </w:tr>
      <w:tr w14:paraId="0FAF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1" w:type="pct"/>
            <w:vAlign w:val="center"/>
          </w:tcPr>
          <w:p w14:paraId="2957C06D">
            <w:pPr>
              <w:spacing w:line="240" w:lineRule="auto"/>
              <w:jc w:val="center"/>
              <w:rPr>
                <w:rFonts w:hint="eastAsia" w:ascii="宋体" w:hAnsi="宋体" w:eastAsia="宋体" w:cs="宋体"/>
                <w:b/>
                <w:color w:val="auto"/>
                <w:sz w:val="21"/>
                <w:szCs w:val="21"/>
                <w:highlight w:val="none"/>
              </w:rPr>
            </w:pPr>
          </w:p>
        </w:tc>
        <w:tc>
          <w:tcPr>
            <w:tcW w:w="4498" w:type="pct"/>
            <w:gridSpan w:val="3"/>
            <w:vAlign w:val="center"/>
          </w:tcPr>
          <w:p w14:paraId="568B58ED">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需要补充的其他内容</w:t>
            </w:r>
          </w:p>
        </w:tc>
      </w:tr>
      <w:tr w14:paraId="386C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vAlign w:val="center"/>
          </w:tcPr>
          <w:p w14:paraId="01E57552">
            <w:pPr>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严禁转包、违法分包及挂靠等违法行为。转包、违法分包及挂靠认定标准依据住房城乡建设部关于印发《建筑工程施工转包违法分包等违法行为认定查处管理办法（试行）》的通知规定的标准执行。</w:t>
            </w:r>
          </w:p>
        </w:tc>
      </w:tr>
      <w:tr w14:paraId="6F112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6" w:type="pct"/>
            <w:gridSpan w:val="2"/>
            <w:vAlign w:val="center"/>
          </w:tcPr>
          <w:p w14:paraId="7A6C05AE">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招标代理服务费</w:t>
            </w:r>
          </w:p>
        </w:tc>
        <w:tc>
          <w:tcPr>
            <w:tcW w:w="3913" w:type="pct"/>
            <w:gridSpan w:val="2"/>
            <w:vAlign w:val="center"/>
          </w:tcPr>
          <w:p w14:paraId="00EFB8CC">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本项目的采购代理服务费参照国家发展改革委关于进一步放开建设项目专业服务价格的通知发改价格[2015] 299号文件规定的标准，由代理机构向中标人收取。</w:t>
            </w:r>
          </w:p>
        </w:tc>
      </w:tr>
      <w:tr w14:paraId="2C5F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6" w:type="pct"/>
            <w:gridSpan w:val="2"/>
            <w:shd w:val="clear" w:color="auto" w:fill="auto"/>
            <w:vAlign w:val="center"/>
          </w:tcPr>
          <w:p w14:paraId="689637DC">
            <w:pPr>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zh-CN" w:eastAsia="zh-CN" w:bidi="ar-SA"/>
              </w:rPr>
              <w:t>中小微企业相关政策</w:t>
            </w:r>
          </w:p>
        </w:tc>
        <w:tc>
          <w:tcPr>
            <w:tcW w:w="3913" w:type="pct"/>
            <w:gridSpan w:val="2"/>
            <w:shd w:val="clear" w:color="auto" w:fill="auto"/>
            <w:vAlign w:val="center"/>
          </w:tcPr>
          <w:p w14:paraId="02BD1C6E">
            <w:pPr>
              <w:numPr>
                <w:ilvl w:val="0"/>
                <w:numId w:val="0"/>
              </w:numPr>
              <w:rPr>
                <w:rFonts w:hint="eastAsia" w:ascii="宋体" w:hAnsi="宋体" w:eastAsia="宋体" w:cs="宋体"/>
                <w:b w:val="0"/>
                <w:bCs w:val="0"/>
                <w:color w:val="auto"/>
                <w:sz w:val="21"/>
                <w:szCs w:val="21"/>
                <w:highlight w:val="none"/>
                <w:lang w:val="zh-CN" w:eastAsia="zh-CN" w:bidi="ar-SA"/>
              </w:rPr>
            </w:pPr>
            <w:r>
              <w:rPr>
                <w:rFonts w:hint="eastAsia" w:ascii="宋体" w:hAnsi="宋体" w:eastAsia="宋体" w:cs="宋体"/>
                <w:b w:val="0"/>
                <w:bCs w:val="0"/>
                <w:color w:val="auto"/>
                <w:sz w:val="21"/>
                <w:szCs w:val="21"/>
                <w:highlight w:val="none"/>
                <w:lang w:val="zh-CN" w:eastAsia="zh-CN" w:bidi="ar-SA"/>
              </w:rPr>
              <w:t>1.根据工信部等部委发布的《关于印发中小企业划型标准规定的通知》（工信部联企业〔2011〕300号），符合相关条件的为中小微型企业。</w:t>
            </w:r>
          </w:p>
          <w:p w14:paraId="599FB866">
            <w:pPr>
              <w:numPr>
                <w:ilvl w:val="0"/>
                <w:numId w:val="0"/>
              </w:numPr>
              <w:rPr>
                <w:rFonts w:hint="eastAsia" w:ascii="宋体" w:hAnsi="宋体" w:eastAsia="宋体" w:cs="宋体"/>
                <w:b w:val="0"/>
                <w:bCs w:val="0"/>
                <w:color w:val="auto"/>
                <w:sz w:val="21"/>
                <w:szCs w:val="21"/>
                <w:highlight w:val="none"/>
                <w:lang w:val="zh-CN" w:eastAsia="zh-CN" w:bidi="ar-SA"/>
              </w:rPr>
            </w:pPr>
            <w:r>
              <w:rPr>
                <w:rFonts w:hint="eastAsia" w:ascii="宋体" w:hAnsi="宋体" w:eastAsia="宋体" w:cs="宋体"/>
                <w:b w:val="0"/>
                <w:bCs w:val="0"/>
                <w:color w:val="auto"/>
                <w:sz w:val="21"/>
                <w:szCs w:val="21"/>
                <w:highlight w:val="none"/>
                <w:lang w:val="zh-CN" w:eastAsia="zh-CN" w:bidi="ar-SA"/>
              </w:rPr>
              <w:t>本项目所属行业为：建筑业。</w:t>
            </w:r>
          </w:p>
          <w:p w14:paraId="29CDB6C9">
            <w:pPr>
              <w:rPr>
                <w:rFonts w:hint="eastAsia" w:ascii="宋体" w:hAnsi="宋体" w:eastAsia="宋体" w:cs="宋体"/>
                <w:b w:val="0"/>
                <w:bCs w:val="0"/>
                <w:color w:val="auto"/>
                <w:sz w:val="21"/>
                <w:szCs w:val="21"/>
                <w:highlight w:val="none"/>
                <w:lang w:val="zh-CN" w:eastAsia="zh-CN" w:bidi="ar-SA"/>
              </w:rPr>
            </w:pPr>
            <w:r>
              <w:rPr>
                <w:rFonts w:hint="eastAsia" w:ascii="宋体" w:hAnsi="宋体" w:eastAsia="宋体" w:cs="宋体"/>
                <w:b w:val="0"/>
                <w:bCs w:val="0"/>
                <w:color w:val="auto"/>
                <w:sz w:val="21"/>
                <w:szCs w:val="21"/>
                <w:highlight w:val="none"/>
                <w:lang w:val="zh-CN" w:eastAsia="zh-CN" w:bidi="ar-SA"/>
              </w:rPr>
              <w:t>2.符合条件的中小企业应当提供《政府采购促进中小企业发展管理办法》（财库[2020]46号）规定的《中小企业声明函》。无论实际情况如何，未提供《声明函》视为不符合条件，不能享受此政策。</w:t>
            </w:r>
          </w:p>
          <w:p w14:paraId="675A7351">
            <w:pPr>
              <w:rPr>
                <w:rFonts w:hint="eastAsia" w:ascii="宋体" w:hAnsi="宋体" w:eastAsia="宋体" w:cs="宋体"/>
                <w:b w:val="0"/>
                <w:bCs w:val="0"/>
                <w:color w:val="auto"/>
                <w:sz w:val="21"/>
                <w:szCs w:val="21"/>
                <w:highlight w:val="none"/>
                <w:lang w:val="zh-CN" w:eastAsia="zh-CN" w:bidi="ar-SA"/>
              </w:rPr>
            </w:pPr>
            <w:r>
              <w:rPr>
                <w:rFonts w:hint="eastAsia" w:ascii="宋体" w:hAnsi="宋体" w:eastAsia="宋体" w:cs="宋体"/>
                <w:b w:val="0"/>
                <w:bCs w:val="0"/>
                <w:color w:val="auto"/>
                <w:sz w:val="21"/>
                <w:szCs w:val="21"/>
                <w:highlight w:val="none"/>
                <w:lang w:val="zh-CN" w:eastAsia="zh-CN" w:bidi="ar-SA"/>
              </w:rPr>
              <w:t>3.根据财政部等部位发布的《关于促进残疾人就业政府采购政策的通知》（财库〔2017〕141）号，符合通知内条件的为残疾人福利性单位，视同小型、微型企业享受评审优惠。符合评审优惠条件的残疾人福利性单位应当提供本办法规定的《残疾人福利性单位声明函》。无论实际情况如何，未提供《声明函》视为不符合标准，不能享受评审优惠。残疾人福利性单位属于小型、微型企业的，不重复享受政策。</w:t>
            </w:r>
          </w:p>
          <w:p w14:paraId="40AD9DFC">
            <w:pP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zh-CN" w:eastAsia="zh-CN" w:bidi="ar-SA"/>
              </w:rPr>
              <w:t>4.按照《政府采购促进中小企业发展管理办法》（财库[2020]46号）规定，享受扶持政策获得政府采购合同的，小微企业不得将合同分包给大中型企业，中型企业不得将合同分包给大型企业。</w:t>
            </w:r>
          </w:p>
        </w:tc>
      </w:tr>
      <w:tr w14:paraId="2127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6" w:type="pct"/>
            <w:gridSpan w:val="2"/>
            <w:vAlign w:val="center"/>
          </w:tcPr>
          <w:p w14:paraId="41805CA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3913" w:type="pct"/>
            <w:gridSpan w:val="2"/>
            <w:vAlign w:val="center"/>
          </w:tcPr>
          <w:p w14:paraId="44404542">
            <w:pPr>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构成本竞争性磋商文件的各个组成文件应互为解释，互为说明；如有不明确或不一致，构成合同文件组成内容的，以合同文件约定内容为准，且以专用合同条款约定的合同文件优先顺序解释；除竞争性磋商文件中有特别规定外，仅适用于招标投标阶段的规定，按竞争性磋商公告、</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负责解释。</w:t>
            </w:r>
          </w:p>
        </w:tc>
      </w:tr>
      <w:tr w14:paraId="1019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vAlign w:val="center"/>
          </w:tcPr>
          <w:p w14:paraId="74C62C2A">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0"/>
                <w:sz w:val="21"/>
                <w:szCs w:val="21"/>
                <w:highlight w:val="none"/>
              </w:rPr>
              <w:t>磋商公告与磋商文件有不一致之处以磋商文件为准。</w:t>
            </w:r>
          </w:p>
        </w:tc>
      </w:tr>
    </w:tbl>
    <w:p w14:paraId="239BB3ED">
      <w:pPr>
        <w:spacing w:line="360" w:lineRule="auto"/>
        <w:rPr>
          <w:rFonts w:hint="eastAsia" w:ascii="宋体" w:hAnsi="宋体" w:eastAsia="宋体" w:cs="宋体"/>
          <w:b/>
          <w:color w:val="auto"/>
          <w:sz w:val="24"/>
          <w:szCs w:val="24"/>
          <w:highlight w:val="none"/>
        </w:rPr>
      </w:pPr>
      <w:bookmarkStart w:id="27" w:name="_Toc144974497"/>
      <w:bookmarkStart w:id="28" w:name="_Toc179632546"/>
      <w:bookmarkStart w:id="29" w:name="_Toc246996918"/>
      <w:bookmarkStart w:id="30" w:name="_Toc152045529"/>
      <w:bookmarkStart w:id="31" w:name="_Toc246996175"/>
      <w:bookmarkStart w:id="32" w:name="_Toc247085689"/>
      <w:bookmarkStart w:id="33" w:name="_Toc152042305"/>
      <w:r>
        <w:rPr>
          <w:rFonts w:hint="eastAsia" w:ascii="宋体" w:hAnsi="宋体" w:eastAsia="宋体" w:cs="宋体"/>
          <w:color w:val="auto"/>
          <w:highlight w:val="none"/>
        </w:rPr>
        <w:br w:type="page"/>
      </w:r>
      <w:r>
        <w:rPr>
          <w:rFonts w:hint="eastAsia" w:ascii="宋体" w:hAnsi="宋体" w:eastAsia="宋体" w:cs="宋体"/>
          <w:b/>
          <w:color w:val="auto"/>
          <w:sz w:val="24"/>
          <w:szCs w:val="24"/>
          <w:highlight w:val="none"/>
        </w:rPr>
        <w:t>1. 总则</w:t>
      </w:r>
      <w:bookmarkEnd w:id="27"/>
      <w:bookmarkEnd w:id="28"/>
      <w:bookmarkEnd w:id="29"/>
      <w:bookmarkEnd w:id="30"/>
      <w:bookmarkEnd w:id="31"/>
      <w:bookmarkEnd w:id="32"/>
      <w:bookmarkEnd w:id="33"/>
    </w:p>
    <w:p w14:paraId="1418DDB3">
      <w:pPr>
        <w:spacing w:line="360" w:lineRule="auto"/>
        <w:rPr>
          <w:rFonts w:hint="eastAsia" w:ascii="宋体" w:hAnsi="宋体" w:eastAsia="宋体" w:cs="宋体"/>
          <w:color w:val="auto"/>
          <w:sz w:val="24"/>
          <w:szCs w:val="24"/>
          <w:highlight w:val="none"/>
        </w:rPr>
      </w:pPr>
      <w:bookmarkStart w:id="34" w:name="_Toc179632547"/>
      <w:bookmarkStart w:id="35" w:name="_Toc246996919"/>
      <w:bookmarkStart w:id="36" w:name="_Toc152045530"/>
      <w:bookmarkStart w:id="37" w:name="_Toc152042306"/>
      <w:bookmarkStart w:id="38" w:name="_Toc144974498"/>
      <w:bookmarkStart w:id="39" w:name="_Toc246996176"/>
      <w:bookmarkStart w:id="40" w:name="_Toc247085690"/>
      <w:r>
        <w:rPr>
          <w:rFonts w:hint="eastAsia" w:ascii="宋体" w:hAnsi="宋体" w:eastAsia="宋体" w:cs="宋体"/>
          <w:color w:val="auto"/>
          <w:sz w:val="24"/>
          <w:szCs w:val="24"/>
          <w:highlight w:val="none"/>
        </w:rPr>
        <w:t>1.1 项目概况</w:t>
      </w:r>
      <w:bookmarkEnd w:id="34"/>
      <w:bookmarkEnd w:id="35"/>
      <w:bookmarkEnd w:id="36"/>
      <w:bookmarkEnd w:id="37"/>
      <w:bookmarkEnd w:id="38"/>
      <w:bookmarkEnd w:id="39"/>
      <w:bookmarkEnd w:id="40"/>
    </w:p>
    <w:p w14:paraId="5D63DC9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1.1.1根据</w:t>
      </w:r>
      <w:r>
        <w:rPr>
          <w:rFonts w:hint="eastAsia" w:ascii="宋体" w:hAnsi="宋体" w:eastAsia="宋体" w:cs="宋体"/>
          <w:color w:val="auto"/>
          <w:kern w:val="0"/>
          <w:sz w:val="24"/>
          <w:szCs w:val="24"/>
          <w:highlight w:val="none"/>
        </w:rPr>
        <w:t>《中华人民共和国政府采购法</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和</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中华人民共和国政府采购法</w:t>
      </w:r>
      <w:r>
        <w:rPr>
          <w:rFonts w:hint="eastAsia" w:ascii="宋体" w:hAnsi="宋体" w:eastAsia="宋体" w:cs="宋体"/>
          <w:color w:val="auto"/>
          <w:sz w:val="24"/>
          <w:szCs w:val="24"/>
          <w:highlight w:val="none"/>
        </w:rPr>
        <w:t>实施条例</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等有关</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和规章的规定，本项目已具备招标条件，现对本项目进行招标。</w:t>
      </w:r>
    </w:p>
    <w:p w14:paraId="60BCB6A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本项目</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F4EE6C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本项目</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351EEF6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本项目名称：见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AAB4ED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本项目</w:t>
      </w:r>
      <w:r>
        <w:rPr>
          <w:rFonts w:hint="eastAsia" w:ascii="宋体" w:hAnsi="宋体" w:eastAsia="宋体" w:cs="宋体"/>
          <w:color w:val="auto"/>
          <w:sz w:val="24"/>
          <w:szCs w:val="24"/>
          <w:highlight w:val="none"/>
          <w:lang w:val="en-US" w:eastAsia="zh-CN"/>
        </w:rPr>
        <w:t>施工地点</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27D8501A">
      <w:pPr>
        <w:spacing w:line="360" w:lineRule="auto"/>
        <w:rPr>
          <w:rFonts w:hint="eastAsia" w:ascii="宋体" w:hAnsi="宋体" w:eastAsia="宋体" w:cs="宋体"/>
          <w:color w:val="auto"/>
          <w:sz w:val="24"/>
          <w:szCs w:val="24"/>
          <w:highlight w:val="none"/>
        </w:rPr>
      </w:pPr>
      <w:bookmarkStart w:id="41" w:name="_Toc246996920"/>
      <w:bookmarkStart w:id="42" w:name="_Toc144974499"/>
      <w:bookmarkStart w:id="43" w:name="_Toc247085691"/>
      <w:bookmarkStart w:id="44" w:name="_Toc152042307"/>
      <w:bookmarkStart w:id="45" w:name="_Toc246996177"/>
      <w:bookmarkStart w:id="46" w:name="_Toc152045531"/>
      <w:bookmarkStart w:id="47" w:name="_Toc179632548"/>
      <w:r>
        <w:rPr>
          <w:rFonts w:hint="eastAsia" w:ascii="宋体" w:hAnsi="宋体" w:eastAsia="宋体" w:cs="宋体"/>
          <w:color w:val="auto"/>
          <w:sz w:val="24"/>
          <w:szCs w:val="24"/>
          <w:highlight w:val="none"/>
        </w:rPr>
        <w:t>1.2 资金来源和落实情况</w:t>
      </w:r>
      <w:bookmarkEnd w:id="41"/>
      <w:bookmarkEnd w:id="42"/>
      <w:bookmarkEnd w:id="43"/>
      <w:bookmarkEnd w:id="44"/>
      <w:bookmarkEnd w:id="45"/>
      <w:bookmarkEnd w:id="46"/>
      <w:bookmarkEnd w:id="47"/>
    </w:p>
    <w:p w14:paraId="1D73B1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本项目的资金来源及出资比例：见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4ACE44E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本项目的资金落实情况：见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24ED3EAA">
      <w:pPr>
        <w:spacing w:line="360" w:lineRule="auto"/>
        <w:rPr>
          <w:rFonts w:hint="eastAsia" w:ascii="宋体" w:hAnsi="宋体" w:eastAsia="宋体" w:cs="宋体"/>
          <w:color w:val="auto"/>
          <w:sz w:val="24"/>
          <w:szCs w:val="24"/>
          <w:highlight w:val="none"/>
        </w:rPr>
      </w:pPr>
      <w:bookmarkStart w:id="48" w:name="_Toc152045532"/>
      <w:bookmarkStart w:id="49" w:name="_Toc179632549"/>
      <w:bookmarkStart w:id="50" w:name="_Toc246996178"/>
      <w:bookmarkStart w:id="51" w:name="_Toc144974500"/>
      <w:bookmarkStart w:id="52" w:name="_Toc246996921"/>
      <w:bookmarkStart w:id="53" w:name="_Toc247085692"/>
      <w:bookmarkStart w:id="54" w:name="_Toc152042308"/>
      <w:r>
        <w:rPr>
          <w:rFonts w:hint="eastAsia" w:ascii="宋体" w:hAnsi="宋体" w:eastAsia="宋体" w:cs="宋体"/>
          <w:color w:val="auto"/>
          <w:sz w:val="24"/>
          <w:szCs w:val="24"/>
          <w:highlight w:val="none"/>
        </w:rPr>
        <w:t>1.3 招标范围、计划工期、质量要求</w:t>
      </w:r>
      <w:bookmarkEnd w:id="48"/>
      <w:bookmarkEnd w:id="49"/>
      <w:bookmarkEnd w:id="50"/>
      <w:bookmarkEnd w:id="51"/>
      <w:bookmarkEnd w:id="52"/>
      <w:bookmarkEnd w:id="53"/>
      <w:bookmarkEnd w:id="54"/>
    </w:p>
    <w:p w14:paraId="37721C7A">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本次招标范围：见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9F2B9A0">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本项目的</w:t>
      </w:r>
      <w:r>
        <w:rPr>
          <w:rFonts w:hint="eastAsia" w:ascii="宋体" w:hAnsi="宋体" w:eastAsia="宋体" w:cs="宋体"/>
          <w:color w:val="auto"/>
          <w:sz w:val="24"/>
          <w:szCs w:val="24"/>
          <w:highlight w:val="none"/>
          <w:lang w:val="en-US" w:eastAsia="zh-CN"/>
        </w:rPr>
        <w:t>计划工期</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362FDA7">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本项目的质量要求：见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1714946">
      <w:pPr>
        <w:spacing w:line="360" w:lineRule="auto"/>
        <w:rPr>
          <w:rFonts w:hint="eastAsia" w:ascii="宋体" w:hAnsi="宋体" w:eastAsia="宋体" w:cs="宋体"/>
          <w:color w:val="auto"/>
          <w:sz w:val="24"/>
          <w:szCs w:val="24"/>
          <w:highlight w:val="none"/>
        </w:rPr>
      </w:pPr>
      <w:bookmarkStart w:id="55" w:name="_Toc152045534"/>
      <w:bookmarkStart w:id="56" w:name="_Toc152042310"/>
      <w:bookmarkStart w:id="57" w:name="_Toc144974502"/>
      <w:bookmarkStart w:id="58" w:name="_Toc247085693"/>
      <w:bookmarkStart w:id="59" w:name="_Toc246996179"/>
      <w:bookmarkStart w:id="60" w:name="_Toc246996922"/>
      <w:bookmarkStart w:id="61" w:name="_Toc179632551"/>
      <w:r>
        <w:rPr>
          <w:rFonts w:hint="eastAsia" w:ascii="宋体" w:hAnsi="宋体" w:eastAsia="宋体" w:cs="宋体"/>
          <w:color w:val="auto"/>
          <w:sz w:val="24"/>
          <w:szCs w:val="24"/>
          <w:highlight w:val="none"/>
        </w:rPr>
        <w:t xml:space="preserve">1.4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资格要求</w:t>
      </w:r>
      <w:bookmarkEnd w:id="55"/>
      <w:bookmarkEnd w:id="56"/>
      <w:bookmarkEnd w:id="57"/>
      <w:bookmarkEnd w:id="58"/>
      <w:bookmarkEnd w:id="59"/>
      <w:bookmarkEnd w:id="60"/>
      <w:bookmarkEnd w:id="61"/>
    </w:p>
    <w:p w14:paraId="44CF379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应具备承担本项目施工的资质条件、能力和信誉。</w:t>
      </w:r>
    </w:p>
    <w:p w14:paraId="6E1E864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（1）资质条件：见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7FD876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（2）项目经理资格：见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92EB2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（3）财务要求：见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48B5016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（4）业绩要求：见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41CB3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（5）信誉要求：见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252CA3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（6）其他要求：见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42CAD4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不得存在下列情形之一：</w:t>
      </w:r>
    </w:p>
    <w:p w14:paraId="658ACB1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不具有独立法人资格的附属机构（单位）；</w:t>
      </w:r>
    </w:p>
    <w:p w14:paraId="7792B60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（2）为本项目前期准备提供设计或咨询服务的； </w:t>
      </w:r>
    </w:p>
    <w:p w14:paraId="2C16E3D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（3）为本项目的监理人；</w:t>
      </w:r>
    </w:p>
    <w:p w14:paraId="108324A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（4）为本项目的代建人； </w:t>
      </w:r>
    </w:p>
    <w:p w14:paraId="669244A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（5）为本项目提供招标代理服务的； </w:t>
      </w:r>
    </w:p>
    <w:p w14:paraId="4BFFB74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（6）与本项目的监理人或代建人或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同为一个法定代表人的；</w:t>
      </w:r>
    </w:p>
    <w:p w14:paraId="46027B5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（7）与本项目的监理人或代建人或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相互控股或参股的；</w:t>
      </w:r>
    </w:p>
    <w:p w14:paraId="5AC0622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（8）与本项目的监理人或代建人或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相互任职或工作的；</w:t>
      </w:r>
    </w:p>
    <w:p w14:paraId="610B9CC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（9）被责令停业的；</w:t>
      </w:r>
    </w:p>
    <w:p w14:paraId="05A854A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（10）被暂停或取消投标资格的； </w:t>
      </w:r>
    </w:p>
    <w:p w14:paraId="55FC69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（11）财产被接管或冻结的；</w:t>
      </w:r>
    </w:p>
    <w:p w14:paraId="0CE5EEF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（12）在最近三年内有骗取中标或严重违约或重大工程质量问题的。</w:t>
      </w:r>
    </w:p>
    <w:p w14:paraId="0A0A4DA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单位负责人为同一人或者存在控股、管理关系的不同单位，不得同时参加本项目投标。</w:t>
      </w:r>
    </w:p>
    <w:p w14:paraId="1B9FB694">
      <w:pPr>
        <w:spacing w:line="360" w:lineRule="auto"/>
        <w:rPr>
          <w:rFonts w:hint="eastAsia" w:ascii="宋体" w:hAnsi="宋体" w:eastAsia="宋体" w:cs="宋体"/>
          <w:color w:val="auto"/>
          <w:sz w:val="24"/>
          <w:szCs w:val="24"/>
          <w:highlight w:val="none"/>
        </w:rPr>
      </w:pPr>
      <w:bookmarkStart w:id="62" w:name="_Toc144974503"/>
      <w:bookmarkStart w:id="63" w:name="_Toc247085694"/>
      <w:bookmarkStart w:id="64" w:name="_Toc152045535"/>
      <w:bookmarkStart w:id="65" w:name="_Toc179632552"/>
      <w:bookmarkStart w:id="66" w:name="_Toc152042311"/>
      <w:bookmarkStart w:id="67" w:name="_Toc246996180"/>
      <w:bookmarkStart w:id="68" w:name="_Toc246996923"/>
      <w:r>
        <w:rPr>
          <w:rFonts w:hint="eastAsia" w:ascii="宋体" w:hAnsi="宋体" w:eastAsia="宋体" w:cs="宋体"/>
          <w:color w:val="auto"/>
          <w:sz w:val="24"/>
          <w:szCs w:val="24"/>
          <w:highlight w:val="none"/>
        </w:rPr>
        <w:t>1.5 费用承担</w:t>
      </w:r>
      <w:bookmarkEnd w:id="62"/>
      <w:bookmarkEnd w:id="63"/>
      <w:bookmarkEnd w:id="64"/>
      <w:bookmarkEnd w:id="65"/>
      <w:bookmarkEnd w:id="66"/>
      <w:bookmarkEnd w:id="67"/>
      <w:bookmarkEnd w:id="68"/>
    </w:p>
    <w:p w14:paraId="5F7D37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准备和参加投标活动发生的费用自理。</w:t>
      </w:r>
    </w:p>
    <w:p w14:paraId="16B8D573">
      <w:pPr>
        <w:spacing w:line="360" w:lineRule="auto"/>
        <w:rPr>
          <w:rFonts w:hint="eastAsia" w:ascii="宋体" w:hAnsi="宋体" w:eastAsia="宋体" w:cs="宋体"/>
          <w:color w:val="auto"/>
          <w:sz w:val="24"/>
          <w:szCs w:val="24"/>
          <w:highlight w:val="none"/>
        </w:rPr>
      </w:pPr>
      <w:bookmarkStart w:id="69" w:name="_Toc179632553"/>
      <w:bookmarkStart w:id="70" w:name="_Toc144974504"/>
      <w:bookmarkStart w:id="71" w:name="_Toc246996181"/>
      <w:bookmarkStart w:id="72" w:name="_Toc152045536"/>
      <w:bookmarkStart w:id="73" w:name="_Toc246996924"/>
      <w:bookmarkStart w:id="74" w:name="_Toc247085695"/>
      <w:bookmarkStart w:id="75" w:name="_Toc152042312"/>
      <w:r>
        <w:rPr>
          <w:rFonts w:hint="eastAsia" w:ascii="宋体" w:hAnsi="宋体" w:eastAsia="宋体" w:cs="宋体"/>
          <w:color w:val="auto"/>
          <w:sz w:val="24"/>
          <w:szCs w:val="24"/>
          <w:highlight w:val="none"/>
        </w:rPr>
        <w:t>1.6 保密</w:t>
      </w:r>
      <w:bookmarkEnd w:id="69"/>
      <w:bookmarkEnd w:id="70"/>
      <w:bookmarkEnd w:id="71"/>
      <w:bookmarkEnd w:id="72"/>
      <w:bookmarkEnd w:id="73"/>
      <w:bookmarkEnd w:id="74"/>
      <w:bookmarkEnd w:id="75"/>
    </w:p>
    <w:p w14:paraId="51C616A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参与招标投标活动的各方应对竞争性磋商文件和响应文件中的商业和技术等秘密保密，违者应对由此造成的后果承担法律责任。 </w:t>
      </w:r>
    </w:p>
    <w:p w14:paraId="730463F1">
      <w:pPr>
        <w:spacing w:line="360" w:lineRule="auto"/>
        <w:rPr>
          <w:rFonts w:hint="eastAsia" w:ascii="宋体" w:hAnsi="宋体" w:eastAsia="宋体" w:cs="宋体"/>
          <w:color w:val="auto"/>
          <w:sz w:val="24"/>
          <w:szCs w:val="24"/>
          <w:highlight w:val="none"/>
        </w:rPr>
      </w:pPr>
      <w:bookmarkStart w:id="76" w:name="_Toc144974505"/>
      <w:bookmarkStart w:id="77" w:name="_Toc152045537"/>
      <w:bookmarkStart w:id="78" w:name="_Toc152042313"/>
      <w:bookmarkStart w:id="79" w:name="_Toc246996925"/>
      <w:bookmarkStart w:id="80" w:name="_Toc247085696"/>
      <w:bookmarkStart w:id="81" w:name="_Toc246996182"/>
      <w:bookmarkStart w:id="82" w:name="_Toc179632554"/>
      <w:r>
        <w:rPr>
          <w:rFonts w:hint="eastAsia" w:ascii="宋体" w:hAnsi="宋体" w:eastAsia="宋体" w:cs="宋体"/>
          <w:color w:val="auto"/>
          <w:sz w:val="24"/>
          <w:szCs w:val="24"/>
          <w:highlight w:val="none"/>
        </w:rPr>
        <w:t>1.7 语言</w:t>
      </w:r>
      <w:bookmarkEnd w:id="76"/>
      <w:r>
        <w:rPr>
          <w:rFonts w:hint="eastAsia" w:ascii="宋体" w:hAnsi="宋体" w:eastAsia="宋体" w:cs="宋体"/>
          <w:color w:val="auto"/>
          <w:sz w:val="24"/>
          <w:szCs w:val="24"/>
          <w:highlight w:val="none"/>
        </w:rPr>
        <w:t>文字</w:t>
      </w:r>
      <w:bookmarkEnd w:id="77"/>
      <w:bookmarkEnd w:id="78"/>
      <w:bookmarkEnd w:id="79"/>
      <w:bookmarkEnd w:id="80"/>
      <w:bookmarkEnd w:id="81"/>
      <w:bookmarkEnd w:id="82"/>
    </w:p>
    <w:p w14:paraId="6276C71A">
      <w:pPr>
        <w:spacing w:line="360" w:lineRule="auto"/>
        <w:ind w:firstLine="480" w:firstLineChars="200"/>
        <w:rPr>
          <w:rFonts w:hint="eastAsia" w:ascii="宋体" w:hAnsi="宋体" w:eastAsia="宋体" w:cs="宋体"/>
          <w:color w:val="auto"/>
          <w:sz w:val="24"/>
          <w:szCs w:val="24"/>
          <w:highlight w:val="none"/>
        </w:rPr>
      </w:pPr>
      <w:bookmarkStart w:id="83" w:name="_Toc179632555"/>
      <w:bookmarkStart w:id="84" w:name="_Toc246996183"/>
      <w:bookmarkStart w:id="85" w:name="_Toc246996926"/>
      <w:bookmarkStart w:id="86" w:name="_Toc144974506"/>
      <w:bookmarkStart w:id="87" w:name="_Toc152045538"/>
      <w:bookmarkStart w:id="88" w:name="_Toc152042314"/>
      <w:bookmarkStart w:id="89" w:name="_Toc247085697"/>
      <w:r>
        <w:rPr>
          <w:rFonts w:hint="eastAsia" w:ascii="宋体" w:hAnsi="宋体" w:eastAsia="宋体" w:cs="宋体"/>
          <w:color w:val="auto"/>
          <w:sz w:val="24"/>
          <w:szCs w:val="24"/>
          <w:highlight w:val="none"/>
        </w:rPr>
        <w:t>招标响应文件使用的语言文字为中文。专用术语使用外文的，应附有中文注释。</w:t>
      </w:r>
    </w:p>
    <w:p w14:paraId="3890E07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 计量单位</w:t>
      </w:r>
      <w:bookmarkEnd w:id="83"/>
      <w:bookmarkEnd w:id="84"/>
      <w:bookmarkEnd w:id="85"/>
      <w:bookmarkEnd w:id="86"/>
      <w:bookmarkEnd w:id="87"/>
      <w:bookmarkEnd w:id="88"/>
      <w:bookmarkEnd w:id="89"/>
    </w:p>
    <w:p w14:paraId="1B9506A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14:paraId="4C50AA98">
      <w:pPr>
        <w:spacing w:line="360" w:lineRule="auto"/>
        <w:rPr>
          <w:rFonts w:hint="eastAsia" w:ascii="宋体" w:hAnsi="宋体" w:eastAsia="宋体" w:cs="宋体"/>
          <w:color w:val="auto"/>
          <w:sz w:val="24"/>
          <w:szCs w:val="24"/>
          <w:highlight w:val="none"/>
        </w:rPr>
      </w:pPr>
      <w:bookmarkStart w:id="90" w:name="_Toc152045539"/>
      <w:bookmarkStart w:id="91" w:name="_Toc247592876"/>
      <w:bookmarkStart w:id="92" w:name="_Toc152042315"/>
      <w:bookmarkStart w:id="93" w:name="_Toc247527563"/>
      <w:bookmarkStart w:id="94" w:name="_Toc247513962"/>
      <w:bookmarkStart w:id="95" w:name="_Toc144974507"/>
      <w:r>
        <w:rPr>
          <w:rFonts w:hint="eastAsia" w:ascii="宋体" w:hAnsi="宋体" w:eastAsia="宋体" w:cs="宋体"/>
          <w:color w:val="auto"/>
          <w:sz w:val="24"/>
          <w:szCs w:val="24"/>
          <w:highlight w:val="none"/>
        </w:rPr>
        <w:t>1.9 踏勘现场</w:t>
      </w:r>
      <w:bookmarkEnd w:id="90"/>
      <w:bookmarkEnd w:id="91"/>
      <w:bookmarkEnd w:id="92"/>
      <w:bookmarkEnd w:id="93"/>
      <w:bookmarkEnd w:id="94"/>
      <w:bookmarkEnd w:id="95"/>
    </w:p>
    <w:p w14:paraId="1221F21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须知前附表规定组织踏勘现场的，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须知前附表规定的时间、地点组织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踏勘项目现场。 </w:t>
      </w:r>
    </w:p>
    <w:p w14:paraId="1B579D5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踏勘现场发生的费用自理。</w:t>
      </w:r>
    </w:p>
    <w:p w14:paraId="21A0497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除</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的原因外，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自行负责在踏勘现场中所发生的人员伤亡和财产损失。</w:t>
      </w:r>
    </w:p>
    <w:p w14:paraId="052F324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1.9.4 </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在踏勘现场中介绍的工程场地和相关的周边环境情况，供</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在编制响应文件时参考，</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据此作出的判断和决策负责。</w:t>
      </w:r>
    </w:p>
    <w:p w14:paraId="2128A466">
      <w:pPr>
        <w:spacing w:line="360" w:lineRule="auto"/>
        <w:rPr>
          <w:rFonts w:hint="eastAsia" w:ascii="宋体" w:hAnsi="宋体" w:eastAsia="宋体" w:cs="宋体"/>
          <w:color w:val="auto"/>
          <w:sz w:val="24"/>
          <w:szCs w:val="24"/>
          <w:highlight w:val="none"/>
        </w:rPr>
      </w:pPr>
      <w:bookmarkStart w:id="96" w:name="_Toc152042316"/>
      <w:bookmarkStart w:id="97" w:name="_Toc144974508"/>
      <w:bookmarkStart w:id="98" w:name="_Toc247527564"/>
      <w:bookmarkStart w:id="99" w:name="_Toc247592877"/>
      <w:bookmarkStart w:id="100" w:name="_Toc152045540"/>
      <w:bookmarkStart w:id="101" w:name="_Toc247513963"/>
      <w:r>
        <w:rPr>
          <w:rFonts w:hint="eastAsia" w:ascii="宋体" w:hAnsi="宋体" w:eastAsia="宋体" w:cs="宋体"/>
          <w:color w:val="auto"/>
          <w:sz w:val="24"/>
          <w:szCs w:val="24"/>
          <w:highlight w:val="none"/>
        </w:rPr>
        <w:t>1.10 投标预备会</w:t>
      </w:r>
      <w:bookmarkEnd w:id="96"/>
      <w:bookmarkEnd w:id="97"/>
      <w:bookmarkEnd w:id="98"/>
      <w:bookmarkEnd w:id="99"/>
      <w:bookmarkEnd w:id="100"/>
      <w:bookmarkEnd w:id="101"/>
    </w:p>
    <w:p w14:paraId="4E89C84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1.10.1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须知前附表规定召开投标预备会的，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须知前附表规定的时间和地点召开投标预备会，澄清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提出的问题。</w:t>
      </w:r>
    </w:p>
    <w:p w14:paraId="6A2F5CB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1.10.2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须知前附表规定的时间前，以书面形式将提出的问题送达</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，以便</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在会议期间澄清。</w:t>
      </w:r>
    </w:p>
    <w:p w14:paraId="1E588E9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 投标预备会后，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须知前附表规定的时间内，将对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所提问题的澄清，以书面形式通知所有购买竞争性磋商文件的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。该澄清内容为竞争性磋商文件的组成部分。</w:t>
      </w:r>
    </w:p>
    <w:p w14:paraId="3E95F69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偏离</w:t>
      </w:r>
    </w:p>
    <w:p w14:paraId="058E23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须知前附表允许响应文件偏离竞争性磋商文件某些要求的，偏离应当符合竞争性磋商文件规定的偏离范围和幅度。</w:t>
      </w:r>
    </w:p>
    <w:p w14:paraId="233E76E0">
      <w:pPr>
        <w:spacing w:line="360" w:lineRule="auto"/>
        <w:rPr>
          <w:rFonts w:hint="eastAsia" w:ascii="宋体" w:hAnsi="宋体" w:eastAsia="宋体" w:cs="宋体"/>
          <w:b/>
          <w:color w:val="auto"/>
          <w:sz w:val="24"/>
          <w:szCs w:val="24"/>
          <w:highlight w:val="none"/>
        </w:rPr>
      </w:pPr>
      <w:bookmarkStart w:id="102" w:name="_Toc179632560"/>
      <w:bookmarkStart w:id="103" w:name="_Toc152042318"/>
      <w:bookmarkStart w:id="104" w:name="_Toc246996930"/>
      <w:bookmarkStart w:id="105" w:name="_Toc246996187"/>
      <w:bookmarkStart w:id="106" w:name="_Toc144974510"/>
      <w:bookmarkStart w:id="107" w:name="_Toc247085701"/>
      <w:bookmarkStart w:id="108" w:name="_Toc152045542"/>
      <w:r>
        <w:rPr>
          <w:rFonts w:hint="eastAsia" w:ascii="宋体" w:hAnsi="宋体" w:eastAsia="宋体" w:cs="宋体"/>
          <w:b/>
          <w:color w:val="auto"/>
          <w:sz w:val="24"/>
          <w:szCs w:val="24"/>
          <w:highlight w:val="none"/>
        </w:rPr>
        <w:t xml:space="preserve">2. </w:t>
      </w:r>
      <w:bookmarkEnd w:id="102"/>
      <w:bookmarkEnd w:id="103"/>
      <w:bookmarkEnd w:id="104"/>
      <w:bookmarkEnd w:id="105"/>
      <w:bookmarkEnd w:id="106"/>
      <w:bookmarkEnd w:id="107"/>
      <w:bookmarkEnd w:id="108"/>
      <w:bookmarkStart w:id="109" w:name="_Toc144974511"/>
      <w:bookmarkStart w:id="110" w:name="_Toc179632561"/>
      <w:bookmarkStart w:id="111" w:name="_Toc246996931"/>
      <w:bookmarkStart w:id="112" w:name="_Toc246996188"/>
      <w:bookmarkStart w:id="113" w:name="_Toc152042319"/>
      <w:bookmarkStart w:id="114" w:name="_Toc247085702"/>
      <w:bookmarkStart w:id="115" w:name="_Toc152045543"/>
      <w:r>
        <w:rPr>
          <w:rFonts w:hint="eastAsia" w:ascii="宋体" w:hAnsi="宋体" w:eastAsia="宋体" w:cs="宋体"/>
          <w:b/>
          <w:color w:val="auto"/>
          <w:sz w:val="24"/>
          <w:szCs w:val="24"/>
          <w:highlight w:val="none"/>
        </w:rPr>
        <w:t>竞争性磋商文件</w:t>
      </w:r>
    </w:p>
    <w:p w14:paraId="6BDE9F2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竞争性磋商文件的组成</w:t>
      </w:r>
      <w:bookmarkEnd w:id="109"/>
      <w:bookmarkEnd w:id="110"/>
      <w:bookmarkEnd w:id="111"/>
      <w:bookmarkEnd w:id="112"/>
      <w:bookmarkEnd w:id="113"/>
      <w:bookmarkEnd w:id="114"/>
      <w:bookmarkEnd w:id="115"/>
    </w:p>
    <w:p w14:paraId="33E74C2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2.1.1 本竞争性磋商文件包括：</w:t>
      </w:r>
    </w:p>
    <w:p w14:paraId="1922C4F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（1）竞争性磋商公告；</w:t>
      </w:r>
    </w:p>
    <w:p w14:paraId="3E7E601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p>
    <w:p w14:paraId="3033413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（3）评标办法；</w:t>
      </w:r>
    </w:p>
    <w:p w14:paraId="493703B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（4）合同条款及格式；</w:t>
      </w:r>
    </w:p>
    <w:p w14:paraId="2A7F72D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（5）工程量清单； </w:t>
      </w:r>
    </w:p>
    <w:p w14:paraId="698149E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w:t>
      </w:r>
    </w:p>
    <w:p w14:paraId="670664D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（7）技术标准和要求； </w:t>
      </w:r>
    </w:p>
    <w:p w14:paraId="5D09892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（8）响应文件格式；</w:t>
      </w:r>
    </w:p>
    <w:p w14:paraId="6FEEE7A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须知前附表规定的其他材料。</w:t>
      </w:r>
    </w:p>
    <w:p w14:paraId="3FC54FE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根据本章第1.10款、第2.2款和第2.3款对竞争性磋商文件所</w:t>
      </w:r>
      <w:r>
        <w:rPr>
          <w:rFonts w:hint="eastAsia" w:ascii="宋体" w:hAnsi="宋体" w:eastAsia="宋体" w:cs="宋体"/>
          <w:color w:val="auto"/>
          <w:sz w:val="24"/>
          <w:szCs w:val="24"/>
          <w:highlight w:val="none"/>
          <w:lang w:eastAsia="zh-CN"/>
        </w:rPr>
        <w:t>做</w:t>
      </w:r>
      <w:r>
        <w:rPr>
          <w:rFonts w:hint="eastAsia" w:ascii="宋体" w:hAnsi="宋体" w:eastAsia="宋体" w:cs="宋体"/>
          <w:color w:val="auto"/>
          <w:sz w:val="24"/>
          <w:szCs w:val="24"/>
          <w:highlight w:val="none"/>
        </w:rPr>
        <w:t>的澄清、修改，构成竞争性磋商文件的组成部分。</w:t>
      </w:r>
    </w:p>
    <w:p w14:paraId="1513A584">
      <w:pPr>
        <w:spacing w:line="360" w:lineRule="auto"/>
        <w:rPr>
          <w:rFonts w:hint="eastAsia" w:ascii="宋体" w:hAnsi="宋体" w:eastAsia="宋体" w:cs="宋体"/>
          <w:color w:val="auto"/>
          <w:sz w:val="24"/>
          <w:szCs w:val="24"/>
          <w:highlight w:val="none"/>
        </w:rPr>
      </w:pPr>
      <w:bookmarkStart w:id="116" w:name="_Toc152045544"/>
      <w:bookmarkStart w:id="117" w:name="_Toc179632562"/>
      <w:bookmarkStart w:id="118" w:name="_Toc247085703"/>
      <w:bookmarkStart w:id="119" w:name="_Toc246996189"/>
      <w:bookmarkStart w:id="120" w:name="_Toc152042320"/>
      <w:bookmarkStart w:id="121" w:name="_Toc246996932"/>
      <w:bookmarkStart w:id="122" w:name="_Toc144974512"/>
      <w:r>
        <w:rPr>
          <w:rFonts w:hint="eastAsia" w:ascii="宋体" w:hAnsi="宋体" w:eastAsia="宋体" w:cs="宋体"/>
          <w:color w:val="auto"/>
          <w:sz w:val="24"/>
          <w:szCs w:val="24"/>
          <w:highlight w:val="none"/>
        </w:rPr>
        <w:t>2.2 竞争性磋商文件的澄清</w:t>
      </w:r>
      <w:bookmarkEnd w:id="116"/>
      <w:bookmarkEnd w:id="117"/>
      <w:bookmarkEnd w:id="118"/>
      <w:bookmarkEnd w:id="119"/>
      <w:bookmarkEnd w:id="120"/>
      <w:bookmarkEnd w:id="121"/>
      <w:bookmarkEnd w:id="122"/>
      <w:r>
        <w:rPr>
          <w:rFonts w:hint="eastAsia" w:ascii="宋体" w:hAnsi="宋体" w:eastAsia="宋体" w:cs="宋体"/>
          <w:color w:val="auto"/>
          <w:sz w:val="24"/>
          <w:szCs w:val="24"/>
          <w:highlight w:val="none"/>
        </w:rPr>
        <w:t xml:space="preserve"> </w:t>
      </w:r>
    </w:p>
    <w:p w14:paraId="5B2115B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应仔细阅读和检查竞争性磋商文件的全部内容。如发现缺页或附件不全，应及时向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提出，以便补齐。如有疑问，应在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须知前附表规定的时间前以书面形式（包括信函、电报、传真等可以有形地表现所载内容的形式，下同），要求</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对竞争性磋商文件予以澄清。</w:t>
      </w:r>
    </w:p>
    <w:p w14:paraId="10F414F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竞争性磋商文件的澄清将以书面形式发给所有购买竞争性磋商文件的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，但不指明澄清问题的来源。如果澄清发出的时间距</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须知前附表规定的投标截止时间不足5天，并且澄清内容影响响应文件编制的，将相应延长投标截止时间。 </w:t>
      </w:r>
    </w:p>
    <w:p w14:paraId="1DF721B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在收到澄清后，应在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须知前附表规定的时间内以书面形式通知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，确认已收到该澄清。</w:t>
      </w:r>
    </w:p>
    <w:p w14:paraId="440BCDCD">
      <w:pPr>
        <w:spacing w:line="360" w:lineRule="auto"/>
        <w:rPr>
          <w:rFonts w:hint="eastAsia" w:ascii="宋体" w:hAnsi="宋体" w:eastAsia="宋体" w:cs="宋体"/>
          <w:color w:val="auto"/>
          <w:sz w:val="24"/>
          <w:szCs w:val="24"/>
          <w:highlight w:val="none"/>
        </w:rPr>
      </w:pPr>
      <w:bookmarkStart w:id="123" w:name="_Toc246996933"/>
      <w:bookmarkStart w:id="124" w:name="_Toc246996190"/>
      <w:bookmarkStart w:id="125" w:name="_Toc179632563"/>
      <w:bookmarkStart w:id="126" w:name="_Toc247085704"/>
      <w:bookmarkStart w:id="127" w:name="_Toc152042321"/>
      <w:bookmarkStart w:id="128" w:name="_Toc144974513"/>
      <w:bookmarkStart w:id="129" w:name="_Toc152045545"/>
      <w:r>
        <w:rPr>
          <w:rFonts w:hint="eastAsia" w:ascii="宋体" w:hAnsi="宋体" w:eastAsia="宋体" w:cs="宋体"/>
          <w:color w:val="auto"/>
          <w:sz w:val="24"/>
          <w:szCs w:val="24"/>
          <w:highlight w:val="none"/>
        </w:rPr>
        <w:t>2.3 竞争性磋商文件的修改</w:t>
      </w:r>
      <w:bookmarkEnd w:id="123"/>
      <w:bookmarkEnd w:id="124"/>
      <w:bookmarkEnd w:id="125"/>
      <w:bookmarkEnd w:id="126"/>
      <w:bookmarkEnd w:id="127"/>
      <w:bookmarkEnd w:id="128"/>
      <w:bookmarkEnd w:id="129"/>
    </w:p>
    <w:p w14:paraId="287DDC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可以书面形式修改竞争性磋商文件，并通知所有已购买竞争性磋商文件的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。但如果修改竞争性磋商文件的时间距投标截止时间不足5天，并且修改内容影响响应文件编制的，将相应延长投标截止时间。</w:t>
      </w:r>
    </w:p>
    <w:p w14:paraId="76885EF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收到修改内容后，应在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须知前附表规定的时间内以书面形式通知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，确认已收到该修改。修改后的内容是</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的组成部分，在“政采云”平台（https://www.zcygov.cn/）内发布信息，</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自行查询，无需书面回复。</w:t>
      </w:r>
    </w:p>
    <w:p w14:paraId="3CE42A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为使</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有充足时间对</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的修改部分进行研究，采购代理机构或采购人可适当推迟投标截止期，并应在提交响应文件截止时间3日前在政采云平台（https://www.zcygov.cn/）发布信息，</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自行查询，无需书面回复。</w:t>
      </w:r>
    </w:p>
    <w:p w14:paraId="6C8AFBE1">
      <w:pPr>
        <w:spacing w:line="360" w:lineRule="auto"/>
        <w:rPr>
          <w:rFonts w:hint="eastAsia" w:ascii="宋体" w:hAnsi="宋体" w:eastAsia="宋体" w:cs="宋体"/>
          <w:b/>
          <w:color w:val="auto"/>
          <w:sz w:val="24"/>
          <w:szCs w:val="24"/>
          <w:highlight w:val="none"/>
        </w:rPr>
      </w:pPr>
      <w:bookmarkStart w:id="130" w:name="_Toc152045546"/>
      <w:bookmarkStart w:id="131" w:name="_Toc246996191"/>
      <w:bookmarkStart w:id="132" w:name="_Toc246996934"/>
      <w:bookmarkStart w:id="133" w:name="_Toc144974514"/>
      <w:bookmarkStart w:id="134" w:name="_Toc152042322"/>
      <w:bookmarkStart w:id="135" w:name="_Toc247085705"/>
      <w:bookmarkStart w:id="136" w:name="_Toc179632564"/>
      <w:r>
        <w:rPr>
          <w:rFonts w:hint="eastAsia" w:ascii="宋体" w:hAnsi="宋体" w:eastAsia="宋体" w:cs="宋体"/>
          <w:b/>
          <w:color w:val="auto"/>
          <w:sz w:val="24"/>
          <w:szCs w:val="24"/>
          <w:highlight w:val="none"/>
        </w:rPr>
        <w:t xml:space="preserve">3. </w:t>
      </w:r>
      <w:bookmarkEnd w:id="130"/>
      <w:bookmarkEnd w:id="131"/>
      <w:bookmarkEnd w:id="132"/>
      <w:bookmarkEnd w:id="133"/>
      <w:bookmarkEnd w:id="134"/>
      <w:bookmarkEnd w:id="135"/>
      <w:bookmarkEnd w:id="136"/>
      <w:r>
        <w:rPr>
          <w:rFonts w:hint="eastAsia" w:ascii="宋体" w:hAnsi="宋体" w:eastAsia="宋体" w:cs="宋体"/>
          <w:b/>
          <w:color w:val="auto"/>
          <w:sz w:val="24"/>
          <w:szCs w:val="24"/>
          <w:highlight w:val="none"/>
        </w:rPr>
        <w:t>响应文件</w:t>
      </w:r>
    </w:p>
    <w:p w14:paraId="06956F05">
      <w:pPr>
        <w:spacing w:line="360" w:lineRule="auto"/>
        <w:rPr>
          <w:rFonts w:hint="eastAsia" w:ascii="宋体" w:hAnsi="宋体" w:eastAsia="宋体" w:cs="宋体"/>
          <w:color w:val="auto"/>
          <w:sz w:val="24"/>
          <w:szCs w:val="24"/>
          <w:highlight w:val="none"/>
        </w:rPr>
      </w:pPr>
      <w:bookmarkStart w:id="137" w:name="_Toc144974515"/>
      <w:bookmarkStart w:id="138" w:name="_Toc246996192"/>
      <w:bookmarkStart w:id="139" w:name="_Toc247085706"/>
      <w:bookmarkStart w:id="140" w:name="_Toc179632565"/>
      <w:bookmarkStart w:id="141" w:name="_Toc246996935"/>
      <w:bookmarkStart w:id="142" w:name="_Toc152042323"/>
      <w:bookmarkStart w:id="143" w:name="_Toc152045547"/>
      <w:r>
        <w:rPr>
          <w:rFonts w:hint="eastAsia" w:ascii="宋体" w:hAnsi="宋体" w:eastAsia="宋体" w:cs="宋体"/>
          <w:color w:val="auto"/>
          <w:sz w:val="24"/>
          <w:szCs w:val="24"/>
          <w:highlight w:val="none"/>
        </w:rPr>
        <w:t>3.1 响应文件的组成</w:t>
      </w:r>
      <w:bookmarkEnd w:id="137"/>
      <w:bookmarkEnd w:id="138"/>
      <w:bookmarkEnd w:id="139"/>
      <w:bookmarkEnd w:id="140"/>
      <w:bookmarkEnd w:id="141"/>
      <w:bookmarkEnd w:id="142"/>
      <w:bookmarkEnd w:id="143"/>
    </w:p>
    <w:p w14:paraId="7A7BE7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响应文件应包括下列内容：</w:t>
      </w:r>
    </w:p>
    <w:p w14:paraId="7F0202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（1）投标函、投标函附录及</w:t>
      </w:r>
      <w:r>
        <w:rPr>
          <w:rFonts w:hint="eastAsia" w:ascii="宋体" w:hAnsi="宋体" w:eastAsia="宋体" w:cs="宋体"/>
          <w:color w:val="auto"/>
          <w:sz w:val="24"/>
          <w:szCs w:val="24"/>
          <w:highlight w:val="none"/>
          <w:lang w:val="en-US" w:eastAsia="zh-CN"/>
        </w:rPr>
        <w:t>首次报价</w:t>
      </w:r>
      <w:r>
        <w:rPr>
          <w:rFonts w:hint="eastAsia" w:ascii="宋体" w:hAnsi="宋体" w:eastAsia="宋体" w:cs="宋体"/>
          <w:color w:val="auto"/>
          <w:sz w:val="24"/>
          <w:szCs w:val="24"/>
          <w:highlight w:val="none"/>
        </w:rPr>
        <w:t>一览表；</w:t>
      </w:r>
    </w:p>
    <w:p w14:paraId="0B9528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（2）法定代表人身份证明或授权委托书；</w:t>
      </w:r>
    </w:p>
    <w:p w14:paraId="276A187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（3）联合体协议书（如是）</w:t>
      </w:r>
    </w:p>
    <w:p w14:paraId="6099C5A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（4）已标价工程量清单；</w:t>
      </w:r>
    </w:p>
    <w:p w14:paraId="231D25F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（5）施工组织设计；</w:t>
      </w:r>
    </w:p>
    <w:p w14:paraId="1A79D6C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（6）项目管理机构；</w:t>
      </w:r>
    </w:p>
    <w:p w14:paraId="206CAF3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（7）资格审查资料；</w:t>
      </w:r>
    </w:p>
    <w:p w14:paraId="130CEA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须知前附表规定的其他材料。</w:t>
      </w:r>
    </w:p>
    <w:p w14:paraId="7B45063B">
      <w:pPr>
        <w:spacing w:line="360" w:lineRule="auto"/>
        <w:rPr>
          <w:rFonts w:hint="eastAsia" w:ascii="宋体" w:hAnsi="宋体" w:eastAsia="宋体" w:cs="宋体"/>
          <w:color w:val="auto"/>
          <w:sz w:val="24"/>
          <w:szCs w:val="24"/>
          <w:highlight w:val="none"/>
        </w:rPr>
      </w:pPr>
      <w:bookmarkStart w:id="144" w:name="_Toc144974516"/>
      <w:bookmarkStart w:id="145" w:name="_Toc152045548"/>
      <w:bookmarkStart w:id="146" w:name="_Toc179632566"/>
      <w:bookmarkStart w:id="147" w:name="_Toc247085707"/>
      <w:bookmarkStart w:id="148" w:name="_Toc152042324"/>
      <w:bookmarkStart w:id="149" w:name="_Toc246996193"/>
      <w:bookmarkStart w:id="150" w:name="_Toc246996936"/>
      <w:r>
        <w:rPr>
          <w:rFonts w:hint="eastAsia" w:ascii="宋体" w:hAnsi="宋体" w:eastAsia="宋体" w:cs="宋体"/>
          <w:color w:val="auto"/>
          <w:sz w:val="24"/>
          <w:szCs w:val="24"/>
          <w:highlight w:val="none"/>
        </w:rPr>
        <w:t>3.2 投标报价</w:t>
      </w:r>
      <w:bookmarkEnd w:id="144"/>
      <w:bookmarkEnd w:id="145"/>
      <w:bookmarkEnd w:id="146"/>
      <w:bookmarkEnd w:id="147"/>
      <w:bookmarkEnd w:id="148"/>
      <w:bookmarkEnd w:id="149"/>
      <w:bookmarkEnd w:id="150"/>
    </w:p>
    <w:p w14:paraId="58CCDA6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应按第五章“工程量清单”的要求填写相应表格。</w:t>
      </w:r>
    </w:p>
    <w:p w14:paraId="32F90A0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在投标截止时间前修改投标函中的投标报价总额，应同时修改“已标价工程量清单”中的相应报价，投标报价总额为各分项金额之和。此修改须符合本章第4.3款的有关要求。</w:t>
      </w:r>
      <w:bookmarkStart w:id="151" w:name="_Toc144974517"/>
      <w:bookmarkStart w:id="152" w:name="_Toc152045549"/>
      <w:bookmarkStart w:id="153" w:name="_Toc179632567"/>
      <w:bookmarkStart w:id="154" w:name="_Toc152042325"/>
    </w:p>
    <w:p w14:paraId="608964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3.2.3 </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设有最高投标限价的，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的投标报价不得超过最高投标限价，最高投标限价或其计算方法在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须知前附表中载明。</w:t>
      </w:r>
    </w:p>
    <w:p w14:paraId="4C152E4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3.2.4投标报价不得低于工程成本。</w:t>
      </w:r>
    </w:p>
    <w:p w14:paraId="3A8C5B4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必须按招标工程量清单填报价格。项目编码、项目名称、项目特征、计量单位、工程量必须与招标工程量清单一致。</w:t>
      </w:r>
    </w:p>
    <w:p w14:paraId="0CF5E19B">
      <w:pPr>
        <w:spacing w:line="360" w:lineRule="auto"/>
        <w:rPr>
          <w:rFonts w:hint="eastAsia" w:ascii="宋体" w:hAnsi="宋体" w:eastAsia="宋体" w:cs="宋体"/>
          <w:color w:val="auto"/>
          <w:sz w:val="24"/>
          <w:szCs w:val="24"/>
          <w:highlight w:val="none"/>
          <w:lang w:eastAsia="zh-CN"/>
        </w:rPr>
      </w:pPr>
      <w:bookmarkStart w:id="155" w:name="_Toc247085708"/>
      <w:bookmarkStart w:id="156" w:name="_Toc246996937"/>
      <w:bookmarkStart w:id="157" w:name="_Toc246996194"/>
      <w:r>
        <w:rPr>
          <w:rFonts w:hint="eastAsia" w:ascii="宋体" w:hAnsi="宋体" w:eastAsia="宋体" w:cs="宋体"/>
          <w:color w:val="auto"/>
          <w:sz w:val="24"/>
          <w:szCs w:val="24"/>
          <w:highlight w:val="none"/>
        </w:rPr>
        <w:t xml:space="preserve">3.3 </w:t>
      </w:r>
      <w:bookmarkEnd w:id="151"/>
      <w:bookmarkEnd w:id="152"/>
      <w:bookmarkEnd w:id="153"/>
      <w:bookmarkEnd w:id="154"/>
      <w:bookmarkEnd w:id="155"/>
      <w:bookmarkEnd w:id="156"/>
      <w:bookmarkEnd w:id="157"/>
      <w:r>
        <w:rPr>
          <w:rFonts w:hint="eastAsia" w:hAnsi="宋体" w:cs="宋体"/>
          <w:color w:val="auto"/>
          <w:sz w:val="24"/>
          <w:szCs w:val="24"/>
          <w:highlight w:val="none"/>
          <w:lang w:eastAsia="zh-CN"/>
        </w:rPr>
        <w:t>磋商有效期</w:t>
      </w:r>
    </w:p>
    <w:p w14:paraId="7110FCB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w:t>
      </w:r>
      <w:r>
        <w:rPr>
          <w:rFonts w:hint="eastAsia" w:hAnsi="宋体" w:cs="宋体"/>
          <w:color w:val="auto"/>
          <w:sz w:val="24"/>
          <w:szCs w:val="24"/>
          <w:highlight w:val="none"/>
          <w:lang w:eastAsia="zh-CN"/>
        </w:rPr>
        <w:t>磋商有效期</w:t>
      </w:r>
      <w:r>
        <w:rPr>
          <w:rFonts w:hint="eastAsia" w:ascii="宋体" w:hAnsi="宋体" w:eastAsia="宋体" w:cs="宋体"/>
          <w:color w:val="auto"/>
          <w:sz w:val="24"/>
          <w:szCs w:val="24"/>
          <w:highlight w:val="none"/>
        </w:rPr>
        <w:t>为自供应商提交响应文件截止之日起计算90天。</w:t>
      </w:r>
    </w:p>
    <w:p w14:paraId="3F74CF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3.3.2在</w:t>
      </w:r>
      <w:r>
        <w:rPr>
          <w:rFonts w:hint="eastAsia" w:hAnsi="宋体" w:cs="宋体"/>
          <w:color w:val="auto"/>
          <w:sz w:val="24"/>
          <w:szCs w:val="24"/>
          <w:highlight w:val="none"/>
          <w:lang w:eastAsia="zh-CN"/>
        </w:rPr>
        <w:t>磋商有效期</w:t>
      </w:r>
      <w:r>
        <w:rPr>
          <w:rFonts w:hint="eastAsia" w:ascii="宋体" w:hAnsi="宋体" w:eastAsia="宋体" w:cs="宋体"/>
          <w:color w:val="auto"/>
          <w:sz w:val="24"/>
          <w:szCs w:val="24"/>
          <w:highlight w:val="none"/>
        </w:rPr>
        <w:t>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撤销或修改其响应文件的，应承担竞争性磋商文件和法律规定的责任。</w:t>
      </w:r>
    </w:p>
    <w:p w14:paraId="64A7AA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3.3.3出现特殊情况需要延长</w:t>
      </w:r>
      <w:r>
        <w:rPr>
          <w:rFonts w:hint="eastAsia" w:hAnsi="宋体" w:cs="宋体"/>
          <w:color w:val="auto"/>
          <w:sz w:val="24"/>
          <w:szCs w:val="24"/>
          <w:highlight w:val="none"/>
          <w:lang w:eastAsia="zh-CN"/>
        </w:rPr>
        <w:t>磋商有效期</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以书面形式通知所有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延长</w:t>
      </w:r>
      <w:r>
        <w:rPr>
          <w:rFonts w:hint="eastAsia" w:hAnsi="宋体" w:cs="宋体"/>
          <w:color w:val="auto"/>
          <w:sz w:val="24"/>
          <w:szCs w:val="24"/>
          <w:highlight w:val="none"/>
          <w:lang w:eastAsia="zh-CN"/>
        </w:rPr>
        <w:t>磋商有效期</w:t>
      </w:r>
      <w:r>
        <w:rPr>
          <w:rFonts w:hint="eastAsia" w:ascii="宋体" w:hAnsi="宋体" w:eastAsia="宋体" w:cs="宋体"/>
          <w:color w:val="auto"/>
          <w:sz w:val="24"/>
          <w:szCs w:val="24"/>
          <w:highlight w:val="none"/>
        </w:rPr>
        <w:t>。</w:t>
      </w:r>
    </w:p>
    <w:p w14:paraId="458DC216">
      <w:pPr>
        <w:spacing w:line="360" w:lineRule="auto"/>
        <w:rPr>
          <w:rFonts w:hint="eastAsia" w:ascii="宋体" w:hAnsi="宋体" w:eastAsia="宋体" w:cs="宋体"/>
          <w:color w:val="auto"/>
          <w:sz w:val="24"/>
          <w:szCs w:val="24"/>
          <w:highlight w:val="none"/>
        </w:rPr>
      </w:pPr>
      <w:bookmarkStart w:id="158" w:name="_Toc247085709"/>
      <w:bookmarkStart w:id="159" w:name="_Toc246996195"/>
      <w:bookmarkStart w:id="160" w:name="_Toc179632568"/>
      <w:bookmarkStart w:id="161" w:name="_Toc152045550"/>
      <w:bookmarkStart w:id="162" w:name="_Toc246996938"/>
      <w:bookmarkStart w:id="163" w:name="_Toc144974518"/>
      <w:bookmarkStart w:id="164" w:name="_Toc152042326"/>
      <w:r>
        <w:rPr>
          <w:rFonts w:hint="eastAsia" w:ascii="宋体" w:hAnsi="宋体" w:eastAsia="宋体" w:cs="宋体"/>
          <w:color w:val="auto"/>
          <w:sz w:val="24"/>
          <w:szCs w:val="24"/>
          <w:highlight w:val="none"/>
        </w:rPr>
        <w:t>3.4 投标保证金</w:t>
      </w:r>
      <w:bookmarkEnd w:id="158"/>
      <w:bookmarkEnd w:id="159"/>
      <w:bookmarkEnd w:id="160"/>
      <w:bookmarkEnd w:id="161"/>
      <w:bookmarkEnd w:id="162"/>
      <w:bookmarkEnd w:id="163"/>
      <w:bookmarkEnd w:id="164"/>
    </w:p>
    <w:p w14:paraId="06DBD06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须知前附表规定递交投标保证金的，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在递交响应文件的同时，应按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须知前附表规定的金额、担保形式和第八章“响应文件格式”规定的或者事先经过</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认可的投标保证金格式递交投标保证金，并作为其响应文件的组成部分。</w:t>
      </w:r>
    </w:p>
    <w:p w14:paraId="1D3285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不按本章第3.4.1项要求提交投标保证金的，磋商小组将否决其投标。</w:t>
      </w:r>
    </w:p>
    <w:p w14:paraId="334D2F99">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3.4.3拟中标人公示结束后，</w:t>
      </w:r>
      <w:r>
        <w:rPr>
          <w:rFonts w:hint="eastAsia" w:ascii="宋体" w:hAnsi="宋体" w:eastAsia="宋体" w:cs="宋体"/>
          <w:bCs/>
          <w:color w:val="auto"/>
          <w:sz w:val="24"/>
          <w:szCs w:val="24"/>
          <w:highlight w:val="none"/>
        </w:rPr>
        <w:t>未中标投标单位的投标保证金，除因处理异议、投诉等原因外，在中标公示期结束后十日内返还</w:t>
      </w:r>
      <w:r>
        <w:rPr>
          <w:rFonts w:hint="eastAsia" w:ascii="宋体" w:hAnsi="宋体" w:eastAsia="宋体" w:cs="宋体"/>
          <w:b/>
          <w:color w:val="auto"/>
          <w:sz w:val="24"/>
          <w:szCs w:val="24"/>
          <w:highlight w:val="none"/>
        </w:rPr>
        <w:t>。</w:t>
      </w:r>
    </w:p>
    <w:p w14:paraId="378645F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3.4.4 有下列情形之一的，投标保证金将不予退还： </w:t>
      </w:r>
    </w:p>
    <w:p w14:paraId="1773E8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在规定的</w:t>
      </w:r>
      <w:r>
        <w:rPr>
          <w:rFonts w:hint="eastAsia" w:hAnsi="宋体" w:cs="宋体"/>
          <w:color w:val="auto"/>
          <w:sz w:val="24"/>
          <w:szCs w:val="24"/>
          <w:highlight w:val="none"/>
          <w:lang w:eastAsia="zh-CN"/>
        </w:rPr>
        <w:t>磋商有效期</w:t>
      </w:r>
      <w:r>
        <w:rPr>
          <w:rFonts w:hint="eastAsia" w:ascii="宋体" w:hAnsi="宋体" w:eastAsia="宋体" w:cs="宋体"/>
          <w:color w:val="auto"/>
          <w:sz w:val="24"/>
          <w:szCs w:val="24"/>
          <w:highlight w:val="none"/>
        </w:rPr>
        <w:t>内撤销或修改其响应文件；</w:t>
      </w:r>
    </w:p>
    <w:p w14:paraId="61FE1E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（2）中标人在收到中标通知书后，无正当理由拒签合同协议书或未按竞争性磋商文件规定提交履约担保。</w:t>
      </w:r>
    </w:p>
    <w:p w14:paraId="3F65C1E5">
      <w:pPr>
        <w:spacing w:line="360" w:lineRule="auto"/>
        <w:rPr>
          <w:rFonts w:hint="eastAsia" w:ascii="宋体" w:hAnsi="宋体" w:eastAsia="宋体" w:cs="宋体"/>
          <w:color w:val="auto"/>
          <w:sz w:val="24"/>
          <w:szCs w:val="24"/>
          <w:highlight w:val="none"/>
        </w:rPr>
      </w:pPr>
      <w:bookmarkStart w:id="165" w:name="_Toc179632570"/>
      <w:bookmarkStart w:id="166" w:name="_Toc152042328"/>
      <w:bookmarkStart w:id="167" w:name="_Toc247085710"/>
      <w:bookmarkStart w:id="168" w:name="_Toc152045552"/>
      <w:bookmarkStart w:id="169" w:name="_Toc246996196"/>
      <w:bookmarkStart w:id="170" w:name="_Toc246996939"/>
      <w:bookmarkStart w:id="171" w:name="_Toc144974520"/>
      <w:r>
        <w:rPr>
          <w:rFonts w:hint="eastAsia" w:ascii="宋体" w:hAnsi="宋体" w:eastAsia="宋体" w:cs="宋体"/>
          <w:color w:val="auto"/>
          <w:sz w:val="24"/>
          <w:szCs w:val="24"/>
          <w:highlight w:val="none"/>
        </w:rPr>
        <w:t>3.5 资格审查资料</w:t>
      </w:r>
      <w:bookmarkEnd w:id="165"/>
      <w:bookmarkEnd w:id="166"/>
      <w:bookmarkEnd w:id="167"/>
      <w:bookmarkEnd w:id="168"/>
      <w:bookmarkEnd w:id="169"/>
      <w:bookmarkEnd w:id="170"/>
      <w:bookmarkEnd w:id="171"/>
    </w:p>
    <w:p w14:paraId="640F72D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基本情况表”应附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营业执照等材料的复印件。</w:t>
      </w:r>
    </w:p>
    <w:p w14:paraId="30BC37E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 “近年财务状况表”应附经会计师事务所或审计机构审计的财务会计报表，包括资产负债表、现金流量表、利润表等复印件，具体年份要求见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1BE56F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 “近年完成的类似项目情况表”应附中标通知书或合同协议书或竣工验收报告证明复印件，具体年份要求见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须知前附表。每张表格只填写一个项目，并标明序号。</w:t>
      </w:r>
    </w:p>
    <w:p w14:paraId="7AC8047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 “正在施工和新承接的项目情况表”应附中标通知书或合同协议书复印件。每张表格只填写一个项目，并标明序号。</w:t>
      </w:r>
    </w:p>
    <w:p w14:paraId="544E457A">
      <w:pPr>
        <w:spacing w:line="360" w:lineRule="auto"/>
        <w:rPr>
          <w:rFonts w:hint="eastAsia" w:ascii="宋体" w:hAnsi="宋体" w:eastAsia="宋体" w:cs="宋体"/>
          <w:color w:val="auto"/>
          <w:sz w:val="24"/>
          <w:szCs w:val="24"/>
          <w:highlight w:val="none"/>
        </w:rPr>
      </w:pPr>
      <w:bookmarkStart w:id="172" w:name="_Toc246996940"/>
      <w:bookmarkStart w:id="173" w:name="_Toc152045553"/>
      <w:bookmarkStart w:id="174" w:name="_Toc247085711"/>
      <w:bookmarkStart w:id="175" w:name="_Toc179632571"/>
      <w:bookmarkStart w:id="176" w:name="_Toc152042329"/>
      <w:bookmarkStart w:id="177" w:name="_Toc144974521"/>
      <w:bookmarkStart w:id="178" w:name="_Toc246996197"/>
      <w:r>
        <w:rPr>
          <w:rFonts w:hint="eastAsia" w:ascii="宋体" w:hAnsi="宋体" w:eastAsia="宋体" w:cs="宋体"/>
          <w:color w:val="auto"/>
          <w:sz w:val="24"/>
          <w:szCs w:val="24"/>
          <w:highlight w:val="none"/>
        </w:rPr>
        <w:t>3.6响应文件的编制</w:t>
      </w:r>
    </w:p>
    <w:p w14:paraId="41558BB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响应文件应按第八章“响应文件格式”进行编写，如有必要，可以增加附页，作为响应文件的组成部分。其中，投标函附录在满足竞争性磋商文件实质性要求的基础上，可以提出比竞争性磋商文件要求更有利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的承诺。</w:t>
      </w:r>
    </w:p>
    <w:p w14:paraId="562D7E5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 响应文件应当对竞争性磋商文件有关工期、</w:t>
      </w:r>
      <w:r>
        <w:rPr>
          <w:rFonts w:hint="eastAsia" w:hAnsi="宋体" w:cs="宋体"/>
          <w:color w:val="auto"/>
          <w:sz w:val="24"/>
          <w:szCs w:val="24"/>
          <w:highlight w:val="none"/>
          <w:lang w:eastAsia="zh-CN"/>
        </w:rPr>
        <w:t>磋商有效期</w:t>
      </w:r>
      <w:r>
        <w:rPr>
          <w:rFonts w:hint="eastAsia" w:ascii="宋体" w:hAnsi="宋体" w:eastAsia="宋体" w:cs="宋体"/>
          <w:color w:val="auto"/>
          <w:sz w:val="24"/>
          <w:szCs w:val="24"/>
          <w:highlight w:val="none"/>
        </w:rPr>
        <w:t>、质量要求、技术标准和要求、招标范围等实质性内容作出响应。</w:t>
      </w:r>
    </w:p>
    <w:p w14:paraId="4171D0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3.6.3响应文件应用不褪色的材料书写或打印，并由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的法定代表人或其委托代理人签字或盖单位章。委托代理人签字的，响应文件应附法定代表人签署的授权委托书。响应文件应尽量避免涂改、行间插字或删除。如果出现上述情况，改动之处应加盖单位章或由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的法定代表人或其授权的代理人签字确认。签字或盖章的具体要求见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8E8E05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3.6.4 响应文件份数见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须知前附表。正本和副本的封面上应清楚地标记“正本”或“副本”的字样。当副本和正本不一致时，以正本为准。</w:t>
      </w:r>
      <w:bookmarkEnd w:id="172"/>
      <w:bookmarkEnd w:id="173"/>
      <w:bookmarkEnd w:id="174"/>
      <w:bookmarkEnd w:id="175"/>
      <w:bookmarkEnd w:id="176"/>
      <w:bookmarkEnd w:id="177"/>
      <w:bookmarkEnd w:id="178"/>
      <w:bookmarkStart w:id="179" w:name="_Toc246996942"/>
      <w:bookmarkStart w:id="180" w:name="_Toc152042331"/>
      <w:bookmarkStart w:id="181" w:name="_Toc247085713"/>
      <w:bookmarkStart w:id="182" w:name="_Toc179632573"/>
      <w:bookmarkStart w:id="183" w:name="_Toc144974523"/>
      <w:bookmarkStart w:id="184" w:name="_Toc152045555"/>
      <w:bookmarkStart w:id="185" w:name="_Toc246996199"/>
    </w:p>
    <w:p w14:paraId="4620DD40">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 投标</w:t>
      </w:r>
      <w:bookmarkEnd w:id="179"/>
      <w:bookmarkEnd w:id="180"/>
      <w:bookmarkEnd w:id="181"/>
      <w:bookmarkEnd w:id="182"/>
      <w:bookmarkEnd w:id="183"/>
      <w:bookmarkEnd w:id="184"/>
      <w:bookmarkEnd w:id="185"/>
    </w:p>
    <w:p w14:paraId="2CA6FE8F">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本项目采用全流程电子化采购，需通过政府采购云平台（https://www.zcygov.cn/）提交电子响应文件。</w:t>
      </w:r>
    </w:p>
    <w:p w14:paraId="37267FBA">
      <w:pPr>
        <w:spacing w:line="360" w:lineRule="auto"/>
        <w:rPr>
          <w:rFonts w:hint="eastAsia" w:ascii="宋体" w:hAnsi="宋体" w:eastAsia="宋体" w:cs="宋体"/>
          <w:color w:val="auto"/>
          <w:sz w:val="24"/>
          <w:szCs w:val="24"/>
          <w:highlight w:val="none"/>
        </w:rPr>
      </w:pPr>
      <w:bookmarkStart w:id="186" w:name="_Toc246996202"/>
      <w:bookmarkStart w:id="187" w:name="_Toc247085716"/>
      <w:bookmarkStart w:id="188" w:name="_Toc179632576"/>
      <w:bookmarkStart w:id="189" w:name="_Toc246996945"/>
      <w:bookmarkStart w:id="190" w:name="_Toc152042334"/>
      <w:bookmarkStart w:id="191" w:name="_Toc144974526"/>
      <w:bookmarkStart w:id="192" w:name="_Toc152045558"/>
      <w:r>
        <w:rPr>
          <w:rFonts w:hint="eastAsia" w:ascii="宋体" w:hAnsi="宋体" w:eastAsia="宋体" w:cs="宋体"/>
          <w:color w:val="auto"/>
          <w:sz w:val="24"/>
          <w:szCs w:val="24"/>
          <w:highlight w:val="none"/>
        </w:rPr>
        <w:t>4.3 响应文件的修改与撤回</w:t>
      </w:r>
      <w:bookmarkEnd w:id="186"/>
      <w:bookmarkEnd w:id="187"/>
      <w:bookmarkEnd w:id="188"/>
      <w:bookmarkEnd w:id="189"/>
      <w:bookmarkEnd w:id="190"/>
      <w:bookmarkEnd w:id="191"/>
      <w:bookmarkEnd w:id="192"/>
    </w:p>
    <w:p w14:paraId="4FD88A0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 在本章第2.2.2项规定的投标截止时间前，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可以修改或撤回已递交的响应文件，但应以书面形式通知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p>
    <w:p w14:paraId="5346818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修改或撤回已递交响应文件的书面通知应按照本章第3.6.3项的要求签字或盖章。</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收到书面通知后，向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出具签收凭证。</w:t>
      </w:r>
    </w:p>
    <w:p w14:paraId="153E96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 修改的内容为响应文件的组成部分。修改的响应文件应按照本章第3条、第4条规定进行编制、密封、标记和递交，并标明“修改”字样。</w:t>
      </w:r>
    </w:p>
    <w:p w14:paraId="36E53FC1">
      <w:pPr>
        <w:spacing w:line="360" w:lineRule="auto"/>
        <w:rPr>
          <w:rFonts w:hint="eastAsia" w:ascii="宋体" w:hAnsi="宋体" w:eastAsia="宋体" w:cs="宋体"/>
          <w:b/>
          <w:color w:val="auto"/>
          <w:sz w:val="24"/>
          <w:szCs w:val="24"/>
          <w:highlight w:val="none"/>
        </w:rPr>
      </w:pPr>
      <w:bookmarkStart w:id="193" w:name="_Toc152045559"/>
      <w:bookmarkStart w:id="194" w:name="_Toc247085717"/>
      <w:bookmarkStart w:id="195" w:name="_Toc246996946"/>
      <w:bookmarkStart w:id="196" w:name="_Toc246996203"/>
      <w:bookmarkStart w:id="197" w:name="_Toc144974527"/>
      <w:bookmarkStart w:id="198" w:name="_Toc179632577"/>
      <w:bookmarkStart w:id="199" w:name="_Toc152042335"/>
      <w:r>
        <w:rPr>
          <w:rFonts w:hint="eastAsia" w:ascii="宋体" w:hAnsi="宋体" w:eastAsia="宋体" w:cs="宋体"/>
          <w:b/>
          <w:color w:val="auto"/>
          <w:sz w:val="24"/>
          <w:szCs w:val="24"/>
          <w:highlight w:val="none"/>
        </w:rPr>
        <w:t>5. 开标</w:t>
      </w:r>
      <w:bookmarkEnd w:id="193"/>
      <w:bookmarkEnd w:id="194"/>
      <w:bookmarkEnd w:id="195"/>
      <w:bookmarkEnd w:id="196"/>
      <w:bookmarkEnd w:id="197"/>
      <w:bookmarkEnd w:id="198"/>
      <w:bookmarkEnd w:id="199"/>
    </w:p>
    <w:p w14:paraId="7F75EFEA">
      <w:pPr>
        <w:spacing w:line="360" w:lineRule="auto"/>
        <w:rPr>
          <w:rFonts w:hint="eastAsia" w:ascii="宋体" w:hAnsi="宋体" w:eastAsia="宋体" w:cs="宋体"/>
          <w:color w:val="auto"/>
          <w:sz w:val="24"/>
          <w:szCs w:val="24"/>
          <w:highlight w:val="none"/>
        </w:rPr>
      </w:pPr>
      <w:bookmarkStart w:id="200" w:name="_Toc144974528"/>
      <w:bookmarkStart w:id="201" w:name="_Toc246996947"/>
      <w:bookmarkStart w:id="202" w:name="_Toc152045560"/>
      <w:bookmarkStart w:id="203" w:name="_Toc179632578"/>
      <w:bookmarkStart w:id="204" w:name="_Toc152042336"/>
      <w:bookmarkStart w:id="205" w:name="_Toc247085718"/>
      <w:bookmarkStart w:id="206" w:name="_Toc246996204"/>
      <w:r>
        <w:rPr>
          <w:rFonts w:hint="eastAsia" w:ascii="宋体" w:hAnsi="宋体" w:eastAsia="宋体" w:cs="宋体"/>
          <w:color w:val="auto"/>
          <w:sz w:val="24"/>
          <w:szCs w:val="24"/>
          <w:highlight w:val="none"/>
        </w:rPr>
        <w:t>5.1 开标时间和地点</w:t>
      </w:r>
      <w:bookmarkEnd w:id="200"/>
      <w:bookmarkEnd w:id="201"/>
      <w:bookmarkEnd w:id="202"/>
      <w:bookmarkEnd w:id="203"/>
      <w:bookmarkEnd w:id="204"/>
      <w:bookmarkEnd w:id="205"/>
      <w:bookmarkEnd w:id="206"/>
    </w:p>
    <w:p w14:paraId="37543ED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在本章第2.2.2项规定的投标截止时间（开标时间）和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须知前附表规定的地点招标开标。</w:t>
      </w:r>
    </w:p>
    <w:p w14:paraId="6255F791">
      <w:pPr>
        <w:spacing w:line="360" w:lineRule="auto"/>
        <w:rPr>
          <w:rFonts w:hint="eastAsia" w:ascii="宋体" w:hAnsi="宋体" w:eastAsia="宋体" w:cs="宋体"/>
          <w:color w:val="auto"/>
          <w:sz w:val="24"/>
          <w:szCs w:val="24"/>
          <w:highlight w:val="none"/>
        </w:rPr>
      </w:pPr>
      <w:bookmarkStart w:id="207" w:name="_Toc179632579"/>
      <w:bookmarkStart w:id="208" w:name="_Toc152042337"/>
      <w:bookmarkStart w:id="209" w:name="_Toc144974529"/>
      <w:bookmarkStart w:id="210" w:name="_Toc152045561"/>
      <w:bookmarkStart w:id="211" w:name="_Toc247085719"/>
      <w:bookmarkStart w:id="212" w:name="_Toc246996948"/>
      <w:bookmarkStart w:id="213" w:name="_Toc246996205"/>
      <w:r>
        <w:rPr>
          <w:rFonts w:hint="eastAsia" w:ascii="宋体" w:hAnsi="宋体" w:eastAsia="宋体" w:cs="宋体"/>
          <w:color w:val="auto"/>
          <w:sz w:val="24"/>
          <w:szCs w:val="24"/>
          <w:highlight w:val="none"/>
        </w:rPr>
        <w:t>5.2 开标程序</w:t>
      </w:r>
      <w:bookmarkEnd w:id="207"/>
      <w:bookmarkEnd w:id="208"/>
      <w:bookmarkEnd w:id="209"/>
      <w:bookmarkEnd w:id="210"/>
      <w:bookmarkEnd w:id="211"/>
      <w:bookmarkEnd w:id="212"/>
      <w:bookmarkEnd w:id="213"/>
    </w:p>
    <w:p w14:paraId="5F0A4E2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1、本项目会议采用“政采云”平台进行远程会议，供应商</w:t>
      </w:r>
      <w:r>
        <w:rPr>
          <w:rFonts w:hint="eastAsia" w:ascii="宋体" w:hAnsi="宋体" w:eastAsia="宋体" w:cs="宋体"/>
          <w:color w:val="auto"/>
          <w:sz w:val="24"/>
          <w:szCs w:val="24"/>
          <w:highlight w:val="none"/>
          <w:lang w:eastAsia="zh-CN"/>
        </w:rPr>
        <w:t>无需</w:t>
      </w:r>
      <w:r>
        <w:rPr>
          <w:rFonts w:hint="eastAsia" w:ascii="宋体" w:hAnsi="宋体" w:eastAsia="宋体" w:cs="宋体"/>
          <w:color w:val="auto"/>
          <w:sz w:val="24"/>
          <w:szCs w:val="24"/>
          <w:highlight w:val="none"/>
        </w:rPr>
        <w:t>到现场，供应</w:t>
      </w:r>
      <w:r>
        <w:rPr>
          <w:rFonts w:hint="eastAsia" w:ascii="宋体" w:hAnsi="宋体" w:eastAsia="宋体" w:cs="宋体"/>
          <w:color w:val="auto"/>
          <w:spacing w:val="-1"/>
          <w:sz w:val="24"/>
          <w:szCs w:val="24"/>
          <w:highlight w:val="none"/>
        </w:rPr>
        <w:t>商应提</w:t>
      </w:r>
      <w:r>
        <w:rPr>
          <w:rFonts w:hint="eastAsia" w:ascii="宋体" w:hAnsi="宋体" w:eastAsia="宋体" w:cs="宋体"/>
          <w:color w:val="auto"/>
          <w:sz w:val="24"/>
          <w:szCs w:val="24"/>
          <w:highlight w:val="none"/>
          <w:lang w:eastAsia="zh-CN"/>
        </w:rPr>
        <w:t>前自行准备设备及CA 锁，准时参加会议，按主持人要求按时解密响应文件。</w:t>
      </w:r>
    </w:p>
    <w:p w14:paraId="1BCA627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2、进入会议人员应为本项目供应商被授权人。</w:t>
      </w:r>
    </w:p>
    <w:p w14:paraId="71F99429">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3、供应商未参加会议的，或未完全参加会议全过程的，视为认同会议结果。</w:t>
      </w:r>
    </w:p>
    <w:p w14:paraId="02093F3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5.3 开标异议</w:t>
      </w:r>
    </w:p>
    <w:p w14:paraId="7AE6D11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对开标有异议的，应当在开标现场提出，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当场作出答复，并制作记录。</w:t>
      </w:r>
    </w:p>
    <w:p w14:paraId="105F985B">
      <w:pPr>
        <w:spacing w:line="360" w:lineRule="auto"/>
        <w:rPr>
          <w:rFonts w:hint="eastAsia" w:ascii="宋体" w:hAnsi="宋体" w:eastAsia="宋体" w:cs="宋体"/>
          <w:b/>
          <w:color w:val="auto"/>
          <w:sz w:val="24"/>
          <w:szCs w:val="24"/>
          <w:highlight w:val="none"/>
        </w:rPr>
      </w:pPr>
      <w:bookmarkStart w:id="214" w:name="_Toc152045562"/>
      <w:bookmarkStart w:id="215" w:name="_Toc246996949"/>
      <w:bookmarkStart w:id="216" w:name="_Toc152042338"/>
      <w:bookmarkStart w:id="217" w:name="_Toc144974530"/>
      <w:bookmarkStart w:id="218" w:name="_Toc246996206"/>
      <w:bookmarkStart w:id="219" w:name="_Toc179632580"/>
      <w:bookmarkStart w:id="220" w:name="_Toc247085720"/>
      <w:r>
        <w:rPr>
          <w:rFonts w:hint="eastAsia" w:ascii="宋体" w:hAnsi="宋体" w:eastAsia="宋体" w:cs="宋体"/>
          <w:b/>
          <w:color w:val="auto"/>
          <w:sz w:val="24"/>
          <w:szCs w:val="24"/>
          <w:highlight w:val="none"/>
        </w:rPr>
        <w:t>6. 评标</w:t>
      </w:r>
      <w:bookmarkEnd w:id="214"/>
      <w:bookmarkEnd w:id="215"/>
      <w:bookmarkEnd w:id="216"/>
      <w:bookmarkEnd w:id="217"/>
      <w:bookmarkEnd w:id="218"/>
      <w:bookmarkEnd w:id="219"/>
      <w:bookmarkEnd w:id="220"/>
    </w:p>
    <w:p w14:paraId="098DE4C1">
      <w:pPr>
        <w:spacing w:line="360" w:lineRule="auto"/>
        <w:rPr>
          <w:rFonts w:hint="eastAsia" w:ascii="宋体" w:hAnsi="宋体" w:eastAsia="宋体" w:cs="宋体"/>
          <w:color w:val="auto"/>
          <w:sz w:val="24"/>
          <w:szCs w:val="24"/>
          <w:highlight w:val="none"/>
        </w:rPr>
      </w:pPr>
      <w:bookmarkStart w:id="221" w:name="_Toc144974531"/>
      <w:bookmarkStart w:id="222" w:name="_Toc246996207"/>
      <w:bookmarkStart w:id="223" w:name="_Toc152042339"/>
      <w:bookmarkStart w:id="224" w:name="_Toc247085721"/>
      <w:bookmarkStart w:id="225" w:name="_Toc246996950"/>
      <w:bookmarkStart w:id="226" w:name="_Toc179632581"/>
      <w:bookmarkStart w:id="227" w:name="_Toc152045563"/>
      <w:r>
        <w:rPr>
          <w:rFonts w:hint="eastAsia" w:ascii="宋体" w:hAnsi="宋体" w:eastAsia="宋体" w:cs="宋体"/>
          <w:color w:val="auto"/>
          <w:sz w:val="24"/>
          <w:szCs w:val="24"/>
          <w:highlight w:val="none"/>
        </w:rPr>
        <w:t xml:space="preserve">6.1 </w:t>
      </w:r>
      <w:bookmarkEnd w:id="221"/>
      <w:bookmarkEnd w:id="222"/>
      <w:bookmarkEnd w:id="223"/>
      <w:bookmarkEnd w:id="224"/>
      <w:bookmarkEnd w:id="225"/>
      <w:bookmarkEnd w:id="226"/>
      <w:bookmarkEnd w:id="227"/>
      <w:r>
        <w:rPr>
          <w:rFonts w:hint="eastAsia" w:ascii="宋体" w:hAnsi="宋体" w:eastAsia="宋体" w:cs="宋体"/>
          <w:color w:val="auto"/>
          <w:sz w:val="24"/>
          <w:szCs w:val="24"/>
          <w:highlight w:val="none"/>
        </w:rPr>
        <w:t>磋商小组</w:t>
      </w:r>
    </w:p>
    <w:p w14:paraId="224E8C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评标由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依法组建的磋商小组负责。磋商小组由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或其委托的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熟悉相关业务的代表，以及有关技术、经济等方面的专家组成。磋商小组成员人数以及技术、经济等方面专家的确定方式见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7905599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磋商小组成员有下列情形之一的，应当回避：</w:t>
      </w:r>
    </w:p>
    <w:p w14:paraId="1C5B5C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主要负责人的近亲属；</w:t>
      </w:r>
    </w:p>
    <w:p w14:paraId="6060216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（2）项目主管部门或者行政监督部门的人员；</w:t>
      </w:r>
    </w:p>
    <w:p w14:paraId="3927691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有经济利益关系；</w:t>
      </w:r>
    </w:p>
    <w:p w14:paraId="6C5964E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（4）曾因在竞争性磋商、评标以及其他与竞争性磋商投标有关活动中从事违法行为而受过行政处罚或刑事处罚的；</w:t>
      </w:r>
    </w:p>
    <w:p w14:paraId="72AAC1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有其他利害关系。</w:t>
      </w:r>
    </w:p>
    <w:p w14:paraId="42FC09D7">
      <w:pPr>
        <w:spacing w:line="360" w:lineRule="auto"/>
        <w:rPr>
          <w:rFonts w:hint="eastAsia" w:ascii="宋体" w:hAnsi="宋体" w:eastAsia="宋体" w:cs="宋体"/>
          <w:color w:val="auto"/>
          <w:sz w:val="24"/>
          <w:szCs w:val="24"/>
          <w:highlight w:val="none"/>
        </w:rPr>
      </w:pPr>
      <w:bookmarkStart w:id="228" w:name="_Toc152045564"/>
      <w:bookmarkStart w:id="229" w:name="_Toc152042340"/>
      <w:bookmarkStart w:id="230" w:name="_Toc179632582"/>
      <w:bookmarkStart w:id="231" w:name="_Toc247085722"/>
      <w:bookmarkStart w:id="232" w:name="_Toc144974532"/>
      <w:bookmarkStart w:id="233" w:name="_Toc246996208"/>
      <w:bookmarkStart w:id="234" w:name="_Toc246996951"/>
      <w:r>
        <w:rPr>
          <w:rFonts w:hint="eastAsia" w:ascii="宋体" w:hAnsi="宋体" w:eastAsia="宋体" w:cs="宋体"/>
          <w:color w:val="auto"/>
          <w:sz w:val="24"/>
          <w:szCs w:val="24"/>
          <w:highlight w:val="none"/>
        </w:rPr>
        <w:t>6.2 评标原则</w:t>
      </w:r>
      <w:bookmarkEnd w:id="228"/>
      <w:bookmarkEnd w:id="229"/>
      <w:bookmarkEnd w:id="230"/>
      <w:bookmarkEnd w:id="231"/>
      <w:bookmarkEnd w:id="232"/>
      <w:bookmarkEnd w:id="233"/>
      <w:bookmarkEnd w:id="234"/>
    </w:p>
    <w:p w14:paraId="27F4C92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14:paraId="07AF109B">
      <w:pPr>
        <w:spacing w:line="360" w:lineRule="auto"/>
        <w:rPr>
          <w:rFonts w:hint="eastAsia" w:ascii="宋体" w:hAnsi="宋体" w:eastAsia="宋体" w:cs="宋体"/>
          <w:color w:val="auto"/>
          <w:sz w:val="24"/>
          <w:szCs w:val="24"/>
          <w:highlight w:val="none"/>
        </w:rPr>
      </w:pPr>
      <w:bookmarkStart w:id="235" w:name="_Toc144974533"/>
      <w:bookmarkStart w:id="236" w:name="_Toc152045565"/>
      <w:bookmarkStart w:id="237" w:name="_Toc246996209"/>
      <w:bookmarkStart w:id="238" w:name="_Toc152042341"/>
      <w:bookmarkStart w:id="239" w:name="_Toc179632583"/>
      <w:bookmarkStart w:id="240" w:name="_Toc246996952"/>
      <w:bookmarkStart w:id="241" w:name="_Toc247085723"/>
      <w:r>
        <w:rPr>
          <w:rFonts w:hint="eastAsia" w:ascii="宋体" w:hAnsi="宋体" w:eastAsia="宋体" w:cs="宋体"/>
          <w:color w:val="auto"/>
          <w:sz w:val="24"/>
          <w:szCs w:val="24"/>
          <w:highlight w:val="none"/>
        </w:rPr>
        <w:t>6.3 评标</w:t>
      </w:r>
      <w:bookmarkEnd w:id="235"/>
      <w:bookmarkEnd w:id="236"/>
      <w:bookmarkEnd w:id="237"/>
      <w:bookmarkEnd w:id="238"/>
      <w:bookmarkEnd w:id="239"/>
      <w:bookmarkEnd w:id="240"/>
      <w:bookmarkEnd w:id="241"/>
    </w:p>
    <w:p w14:paraId="43760E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磋商小组按照第三章“评标办法”规定的方法、评审因素、标准和程序对响应文件进行评审。第三章“评标办法”没有规定的方法、评审因素和标准，不作为评标依据。注：依据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财库【2020】46 号、财库【2022】19号）文件要求，对小微企业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含监狱企业)给予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%的价格扣除，</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应在响应文件中说明。本项目专门面对中小企业，故供应商不再执行价格评审优惠的扶持政策。</w:t>
      </w:r>
    </w:p>
    <w:p w14:paraId="1FCDC88F">
      <w:pPr>
        <w:spacing w:line="360" w:lineRule="auto"/>
        <w:rPr>
          <w:rFonts w:hint="eastAsia" w:ascii="宋体" w:hAnsi="宋体" w:eastAsia="宋体" w:cs="宋体"/>
          <w:b/>
          <w:color w:val="auto"/>
          <w:sz w:val="24"/>
          <w:szCs w:val="24"/>
          <w:highlight w:val="none"/>
        </w:rPr>
      </w:pPr>
      <w:bookmarkStart w:id="242" w:name="_Toc246996953"/>
      <w:bookmarkStart w:id="243" w:name="_Toc152042342"/>
      <w:bookmarkStart w:id="244" w:name="_Toc152045566"/>
      <w:bookmarkStart w:id="245" w:name="_Toc247085724"/>
      <w:bookmarkStart w:id="246" w:name="_Toc246996210"/>
      <w:bookmarkStart w:id="247" w:name="_Toc179632584"/>
      <w:bookmarkStart w:id="248" w:name="_Toc144974534"/>
      <w:r>
        <w:rPr>
          <w:rFonts w:hint="eastAsia" w:ascii="宋体" w:hAnsi="宋体" w:eastAsia="宋体" w:cs="宋体"/>
          <w:b/>
          <w:color w:val="auto"/>
          <w:sz w:val="24"/>
          <w:szCs w:val="24"/>
          <w:highlight w:val="none"/>
        </w:rPr>
        <w:t>7. 合同授予</w:t>
      </w:r>
      <w:bookmarkEnd w:id="242"/>
      <w:bookmarkEnd w:id="243"/>
      <w:bookmarkEnd w:id="244"/>
      <w:bookmarkEnd w:id="245"/>
      <w:bookmarkEnd w:id="246"/>
      <w:bookmarkEnd w:id="247"/>
      <w:bookmarkEnd w:id="248"/>
    </w:p>
    <w:p w14:paraId="44007344">
      <w:pPr>
        <w:spacing w:line="360" w:lineRule="auto"/>
        <w:rPr>
          <w:rFonts w:hint="eastAsia" w:ascii="宋体" w:hAnsi="宋体" w:eastAsia="宋体" w:cs="宋体"/>
          <w:color w:val="auto"/>
          <w:sz w:val="24"/>
          <w:szCs w:val="24"/>
          <w:highlight w:val="none"/>
        </w:rPr>
      </w:pPr>
      <w:bookmarkStart w:id="249" w:name="_Toc152045567"/>
      <w:bookmarkStart w:id="250" w:name="_Toc247085725"/>
      <w:bookmarkStart w:id="251" w:name="_Toc179632585"/>
      <w:bookmarkStart w:id="252" w:name="_Toc152042343"/>
      <w:bookmarkStart w:id="253" w:name="_Toc246996211"/>
      <w:bookmarkStart w:id="254" w:name="_Toc246996954"/>
      <w:bookmarkStart w:id="255" w:name="_Toc144974535"/>
      <w:r>
        <w:rPr>
          <w:rFonts w:hint="eastAsia" w:ascii="宋体" w:hAnsi="宋体" w:eastAsia="宋体" w:cs="宋体"/>
          <w:color w:val="auto"/>
          <w:sz w:val="24"/>
          <w:szCs w:val="24"/>
          <w:highlight w:val="none"/>
        </w:rPr>
        <w:t>7.1 定标方式</w:t>
      </w:r>
      <w:bookmarkEnd w:id="249"/>
      <w:bookmarkEnd w:id="250"/>
      <w:bookmarkEnd w:id="251"/>
      <w:bookmarkEnd w:id="252"/>
      <w:bookmarkEnd w:id="253"/>
      <w:bookmarkEnd w:id="254"/>
      <w:bookmarkEnd w:id="255"/>
    </w:p>
    <w:p w14:paraId="7A1B71B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须知前附表规定磋商小组直接确定中标人外，</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依据磋商小组推荐的中标候选人确定中标人，磋商小组推荐中标候选人的人数见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FEACBD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中标候选人公示</w:t>
      </w:r>
    </w:p>
    <w:p w14:paraId="76797B1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须知前附表规定的媒介公示。</w:t>
      </w:r>
    </w:p>
    <w:p w14:paraId="34EB8FE7">
      <w:pPr>
        <w:spacing w:line="360" w:lineRule="auto"/>
        <w:rPr>
          <w:rFonts w:hint="eastAsia" w:ascii="宋体" w:hAnsi="宋体" w:eastAsia="宋体" w:cs="宋体"/>
          <w:color w:val="auto"/>
          <w:sz w:val="24"/>
          <w:szCs w:val="24"/>
          <w:highlight w:val="none"/>
        </w:rPr>
      </w:pPr>
      <w:bookmarkStart w:id="256" w:name="_Toc144974536"/>
      <w:bookmarkStart w:id="257" w:name="_Toc152045568"/>
      <w:bookmarkStart w:id="258" w:name="_Toc246996955"/>
      <w:bookmarkStart w:id="259" w:name="_Toc246996212"/>
      <w:bookmarkStart w:id="260" w:name="_Toc247085726"/>
      <w:bookmarkStart w:id="261" w:name="_Toc179632586"/>
      <w:bookmarkStart w:id="262" w:name="_Toc152042344"/>
      <w:r>
        <w:rPr>
          <w:rFonts w:hint="eastAsia" w:ascii="宋体" w:hAnsi="宋体" w:eastAsia="宋体" w:cs="宋体"/>
          <w:color w:val="auto"/>
          <w:sz w:val="24"/>
          <w:szCs w:val="24"/>
          <w:highlight w:val="none"/>
        </w:rPr>
        <w:t>7.3 中标通知</w:t>
      </w:r>
      <w:bookmarkEnd w:id="256"/>
      <w:bookmarkEnd w:id="257"/>
      <w:bookmarkEnd w:id="258"/>
      <w:bookmarkEnd w:id="259"/>
      <w:bookmarkEnd w:id="260"/>
      <w:bookmarkEnd w:id="261"/>
      <w:bookmarkEnd w:id="262"/>
    </w:p>
    <w:p w14:paraId="32BBED0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在本章第3.3款规定的</w:t>
      </w:r>
      <w:r>
        <w:rPr>
          <w:rFonts w:hint="eastAsia" w:hAnsi="宋体" w:cs="宋体"/>
          <w:color w:val="auto"/>
          <w:sz w:val="24"/>
          <w:szCs w:val="24"/>
          <w:highlight w:val="none"/>
          <w:lang w:eastAsia="zh-CN"/>
        </w:rPr>
        <w:t>磋商有效期</w:t>
      </w:r>
      <w:r>
        <w:rPr>
          <w:rFonts w:hint="eastAsia" w:ascii="宋体" w:hAnsi="宋体" w:eastAsia="宋体" w:cs="宋体"/>
          <w:color w:val="auto"/>
          <w:sz w:val="24"/>
          <w:szCs w:val="24"/>
          <w:highlight w:val="none"/>
        </w:rPr>
        <w:t>内，</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以书面形式向中标人发出中标通知书</w:t>
      </w:r>
      <w:r>
        <w:rPr>
          <w:rFonts w:hint="eastAsia" w:ascii="宋体" w:hAnsi="宋体" w:eastAsia="宋体" w:cs="宋体"/>
          <w:color w:val="auto"/>
          <w:sz w:val="24"/>
          <w:szCs w:val="24"/>
          <w:highlight w:val="none"/>
          <w:lang w:eastAsia="zh-CN"/>
        </w:rPr>
        <w:t>。</w:t>
      </w:r>
    </w:p>
    <w:p w14:paraId="3185C1C1">
      <w:pPr>
        <w:spacing w:line="360" w:lineRule="auto"/>
        <w:rPr>
          <w:rFonts w:hint="eastAsia" w:ascii="宋体" w:hAnsi="宋体" w:eastAsia="宋体" w:cs="宋体"/>
          <w:color w:val="auto"/>
          <w:sz w:val="24"/>
          <w:szCs w:val="24"/>
          <w:highlight w:val="none"/>
        </w:rPr>
      </w:pPr>
      <w:bookmarkStart w:id="263" w:name="_Toc179632587"/>
      <w:bookmarkStart w:id="264" w:name="_Toc144974537"/>
      <w:bookmarkStart w:id="265" w:name="_Toc152045569"/>
      <w:bookmarkStart w:id="266" w:name="_Toc247085727"/>
      <w:bookmarkStart w:id="267" w:name="_Toc246996956"/>
      <w:bookmarkStart w:id="268" w:name="_Toc246996213"/>
      <w:bookmarkStart w:id="269" w:name="_Toc152042345"/>
      <w:r>
        <w:rPr>
          <w:rFonts w:hint="eastAsia" w:ascii="宋体" w:hAnsi="宋体" w:eastAsia="宋体" w:cs="宋体"/>
          <w:color w:val="auto"/>
          <w:sz w:val="24"/>
          <w:szCs w:val="24"/>
          <w:highlight w:val="none"/>
        </w:rPr>
        <w:t>7.4 履约担保</w:t>
      </w:r>
      <w:bookmarkEnd w:id="263"/>
      <w:bookmarkEnd w:id="264"/>
      <w:bookmarkEnd w:id="265"/>
      <w:bookmarkEnd w:id="266"/>
      <w:bookmarkEnd w:id="267"/>
      <w:bookmarkEnd w:id="268"/>
      <w:bookmarkEnd w:id="269"/>
    </w:p>
    <w:p w14:paraId="5EF5CE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7.4.1在签订合同前，中标人应按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须知前附表规定的担保形式和竞争性磋商文件第四章“合同条款及格式”规定的或者事先经过</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书面认可的履约担保格式向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 xml:space="preserve">提交履约担保。 </w:t>
      </w:r>
    </w:p>
    <w:p w14:paraId="7C4438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7.4.2 中标人不能按本章第7.4.1项要求提交履约担保的，视为放弃中标，其投标保证金不予退还，给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造成的损失超过投标保证金数额的，中标人还应当对超过部分予以赔偿。</w:t>
      </w:r>
    </w:p>
    <w:p w14:paraId="44702CEB">
      <w:pPr>
        <w:spacing w:line="360" w:lineRule="auto"/>
        <w:rPr>
          <w:rFonts w:hint="eastAsia" w:ascii="宋体" w:hAnsi="宋体" w:eastAsia="宋体" w:cs="宋体"/>
          <w:color w:val="auto"/>
          <w:sz w:val="24"/>
          <w:szCs w:val="24"/>
          <w:highlight w:val="none"/>
        </w:rPr>
      </w:pPr>
      <w:bookmarkStart w:id="270" w:name="_Toc179632588"/>
      <w:bookmarkStart w:id="271" w:name="_Toc152045570"/>
      <w:bookmarkStart w:id="272" w:name="_Toc144974538"/>
      <w:bookmarkStart w:id="273" w:name="_Toc152042346"/>
      <w:bookmarkStart w:id="274" w:name="_Toc246996957"/>
      <w:bookmarkStart w:id="275" w:name="_Toc246996214"/>
      <w:bookmarkStart w:id="276" w:name="_Toc247085728"/>
      <w:r>
        <w:rPr>
          <w:rFonts w:hint="eastAsia" w:ascii="宋体" w:hAnsi="宋体" w:eastAsia="宋体" w:cs="宋体"/>
          <w:color w:val="auto"/>
          <w:sz w:val="24"/>
          <w:szCs w:val="24"/>
          <w:highlight w:val="none"/>
        </w:rPr>
        <w:t>7.5 签订合同</w:t>
      </w:r>
      <w:bookmarkEnd w:id="270"/>
      <w:bookmarkEnd w:id="271"/>
      <w:bookmarkEnd w:id="272"/>
      <w:bookmarkEnd w:id="273"/>
      <w:bookmarkEnd w:id="274"/>
      <w:bookmarkEnd w:id="275"/>
      <w:bookmarkEnd w:id="276"/>
    </w:p>
    <w:p w14:paraId="5B1A43F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和中标人应当自中标通知书发出之日起30天内，根据竞争性磋商文件和中标人的响应文件订立书面合同。中标人无正当理由拒签合同的，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取消其中标资格，其投标保证金不予退还；给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造成的损失超过投标保证金数额的，中标人还应当对超过部分予以赔偿。</w:t>
      </w:r>
    </w:p>
    <w:p w14:paraId="7E13C83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 发出中标通知书后，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无正当理由拒签合同的，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向中标人退还投标保证金；给中标人造成损失的，还应当赔偿损失。</w:t>
      </w:r>
    </w:p>
    <w:p w14:paraId="5399DD2F">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 纪律和监督</w:t>
      </w:r>
    </w:p>
    <w:p w14:paraId="36369DFA">
      <w:pPr>
        <w:spacing w:line="360" w:lineRule="auto"/>
        <w:ind w:firstLine="480" w:firstLineChars="200"/>
        <w:rPr>
          <w:rFonts w:hint="eastAsia" w:ascii="宋体" w:hAnsi="宋体" w:eastAsia="宋体" w:cs="宋体"/>
          <w:color w:val="auto"/>
          <w:sz w:val="24"/>
          <w:szCs w:val="24"/>
          <w:highlight w:val="none"/>
        </w:rPr>
      </w:pPr>
      <w:bookmarkStart w:id="277" w:name="_Toc246996219"/>
      <w:bookmarkStart w:id="278" w:name="_Toc296590983"/>
      <w:bookmarkStart w:id="279" w:name="_Toc247085733"/>
      <w:bookmarkStart w:id="280" w:name="_Toc152042351"/>
      <w:bookmarkStart w:id="281" w:name="_Toc152045575"/>
      <w:bookmarkStart w:id="282" w:name="_Toc246996962"/>
      <w:bookmarkStart w:id="283" w:name="_Toc144974543"/>
      <w:bookmarkStart w:id="284" w:name="_Toc179632593"/>
      <w:r>
        <w:rPr>
          <w:rFonts w:hint="eastAsia" w:ascii="宋体" w:hAnsi="宋体" w:eastAsia="宋体" w:cs="宋体"/>
          <w:color w:val="auto"/>
          <w:sz w:val="24"/>
          <w:szCs w:val="24"/>
          <w:highlight w:val="none"/>
        </w:rPr>
        <w:t>8.1 对</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的纪律要求</w:t>
      </w:r>
      <w:bookmarkEnd w:id="277"/>
      <w:bookmarkEnd w:id="278"/>
      <w:bookmarkEnd w:id="279"/>
      <w:bookmarkEnd w:id="280"/>
      <w:bookmarkEnd w:id="281"/>
      <w:bookmarkEnd w:id="282"/>
      <w:bookmarkEnd w:id="283"/>
      <w:bookmarkEnd w:id="284"/>
    </w:p>
    <w:p w14:paraId="59AAD25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不得</w:t>
      </w:r>
      <w:r>
        <w:rPr>
          <w:rFonts w:hint="eastAsia" w:ascii="宋体" w:hAnsi="宋体" w:eastAsia="宋体" w:cs="宋体"/>
          <w:color w:val="auto"/>
          <w:sz w:val="24"/>
          <w:szCs w:val="24"/>
          <w:highlight w:val="none"/>
          <w:lang w:eastAsia="zh-CN"/>
        </w:rPr>
        <w:t>泄露</w:t>
      </w:r>
      <w:r>
        <w:rPr>
          <w:rFonts w:hint="eastAsia" w:ascii="宋体" w:hAnsi="宋体" w:eastAsia="宋体" w:cs="宋体"/>
          <w:color w:val="auto"/>
          <w:sz w:val="24"/>
          <w:szCs w:val="24"/>
          <w:highlight w:val="none"/>
        </w:rPr>
        <w:t>竞争性磋商投标活动中应当保密的情况和资料，不得与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串通损害国家利益、社会公共利益或者他人合法权益。</w:t>
      </w:r>
    </w:p>
    <w:p w14:paraId="1BE8BE5E">
      <w:pPr>
        <w:spacing w:line="360" w:lineRule="auto"/>
        <w:ind w:firstLine="480" w:firstLineChars="200"/>
        <w:rPr>
          <w:rFonts w:hint="eastAsia" w:ascii="宋体" w:hAnsi="宋体" w:eastAsia="宋体" w:cs="宋体"/>
          <w:color w:val="auto"/>
          <w:sz w:val="24"/>
          <w:szCs w:val="24"/>
          <w:highlight w:val="none"/>
        </w:rPr>
      </w:pPr>
      <w:bookmarkStart w:id="285" w:name="_Toc246996963"/>
      <w:bookmarkStart w:id="286" w:name="_Toc246996220"/>
      <w:bookmarkStart w:id="287" w:name="_Toc144974544"/>
      <w:bookmarkStart w:id="288" w:name="_Toc152045576"/>
      <w:bookmarkStart w:id="289" w:name="_Toc152042352"/>
      <w:bookmarkStart w:id="290" w:name="_Toc247085734"/>
      <w:bookmarkStart w:id="291" w:name="_Toc179632594"/>
      <w:r>
        <w:rPr>
          <w:rFonts w:hint="eastAsia" w:ascii="宋体" w:hAnsi="宋体" w:eastAsia="宋体" w:cs="宋体"/>
          <w:color w:val="auto"/>
          <w:sz w:val="24"/>
          <w:szCs w:val="24"/>
          <w:highlight w:val="none"/>
        </w:rPr>
        <w:t>8.2 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的纪律要求</w:t>
      </w:r>
      <w:bookmarkEnd w:id="285"/>
      <w:bookmarkEnd w:id="286"/>
      <w:bookmarkEnd w:id="287"/>
      <w:bookmarkEnd w:id="288"/>
      <w:bookmarkEnd w:id="289"/>
      <w:bookmarkEnd w:id="290"/>
      <w:bookmarkEnd w:id="291"/>
    </w:p>
    <w:p w14:paraId="27D3915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不得相互串通投标或者与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串通投标，不得向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或者磋商小组成员行贿谋取中标，不得以他人名义投标或者以其他方式弄虚作假骗取中标；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不得以任何方式干扰、影响评标工作。</w:t>
      </w:r>
    </w:p>
    <w:p w14:paraId="6857312E">
      <w:pPr>
        <w:spacing w:line="360" w:lineRule="auto"/>
        <w:rPr>
          <w:rFonts w:hint="eastAsia" w:ascii="宋体" w:hAnsi="宋体" w:eastAsia="宋体" w:cs="宋体"/>
          <w:color w:val="auto"/>
          <w:sz w:val="24"/>
          <w:szCs w:val="24"/>
          <w:highlight w:val="none"/>
        </w:rPr>
      </w:pPr>
      <w:bookmarkStart w:id="292" w:name="_Toc152042353"/>
      <w:bookmarkStart w:id="293" w:name="_Toc246996221"/>
      <w:bookmarkStart w:id="294" w:name="_Toc247085735"/>
      <w:bookmarkStart w:id="295" w:name="_Toc246996964"/>
      <w:bookmarkStart w:id="296" w:name="_Toc152045577"/>
      <w:bookmarkStart w:id="297" w:name="_Toc179632595"/>
      <w:bookmarkStart w:id="298" w:name="_Toc144974545"/>
      <w:r>
        <w:rPr>
          <w:rFonts w:hint="eastAsia" w:ascii="宋体" w:hAnsi="宋体" w:eastAsia="宋体" w:cs="宋体"/>
          <w:color w:val="auto"/>
          <w:sz w:val="24"/>
          <w:szCs w:val="24"/>
          <w:highlight w:val="none"/>
        </w:rPr>
        <w:t>8.3 对磋商小组成员的纪律要求</w:t>
      </w:r>
      <w:bookmarkEnd w:id="292"/>
      <w:bookmarkEnd w:id="293"/>
      <w:bookmarkEnd w:id="294"/>
      <w:bookmarkEnd w:id="295"/>
      <w:bookmarkEnd w:id="296"/>
      <w:bookmarkEnd w:id="297"/>
      <w:bookmarkEnd w:id="298"/>
    </w:p>
    <w:p w14:paraId="70EC20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磋商小组成员不得收受他人的财物或者其他好处，不得向他人</w:t>
      </w:r>
      <w:r>
        <w:rPr>
          <w:rFonts w:hint="eastAsia" w:ascii="宋体" w:hAnsi="宋体" w:eastAsia="宋体" w:cs="宋体"/>
          <w:color w:val="auto"/>
          <w:sz w:val="24"/>
          <w:szCs w:val="24"/>
          <w:highlight w:val="none"/>
          <w:lang w:eastAsia="zh-CN"/>
        </w:rPr>
        <w:t>透露</w:t>
      </w:r>
      <w:r>
        <w:rPr>
          <w:rFonts w:hint="eastAsia" w:ascii="宋体" w:hAnsi="宋体" w:eastAsia="宋体" w:cs="宋体"/>
          <w:color w:val="auto"/>
          <w:sz w:val="24"/>
          <w:szCs w:val="24"/>
          <w:highlight w:val="none"/>
        </w:rPr>
        <w:t>对响应文件的评审和比较、中标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1056D72E">
      <w:pPr>
        <w:spacing w:line="360" w:lineRule="auto"/>
        <w:rPr>
          <w:rFonts w:hint="eastAsia" w:ascii="宋体" w:hAnsi="宋体" w:eastAsia="宋体" w:cs="宋体"/>
          <w:color w:val="auto"/>
          <w:sz w:val="24"/>
          <w:szCs w:val="24"/>
          <w:highlight w:val="none"/>
        </w:rPr>
      </w:pPr>
      <w:bookmarkStart w:id="299" w:name="_Toc152045578"/>
      <w:bookmarkStart w:id="300" w:name="_Toc247085736"/>
      <w:bookmarkStart w:id="301" w:name="_Toc246996222"/>
      <w:bookmarkStart w:id="302" w:name="_Toc152042354"/>
      <w:bookmarkStart w:id="303" w:name="_Toc246996965"/>
      <w:bookmarkStart w:id="304" w:name="_Toc179632596"/>
      <w:bookmarkStart w:id="305" w:name="_Toc144974546"/>
      <w:r>
        <w:rPr>
          <w:rFonts w:hint="eastAsia" w:ascii="宋体" w:hAnsi="宋体" w:eastAsia="宋体" w:cs="宋体"/>
          <w:color w:val="auto"/>
          <w:sz w:val="24"/>
          <w:szCs w:val="24"/>
          <w:highlight w:val="none"/>
        </w:rPr>
        <w:t>8.4 对与评标活动有关的工作人员的纪律要求</w:t>
      </w:r>
      <w:bookmarkEnd w:id="299"/>
      <w:bookmarkEnd w:id="300"/>
      <w:bookmarkEnd w:id="301"/>
      <w:bookmarkEnd w:id="302"/>
      <w:bookmarkEnd w:id="303"/>
      <w:bookmarkEnd w:id="304"/>
    </w:p>
    <w:p w14:paraId="5CACC952">
      <w:pPr>
        <w:spacing w:line="360" w:lineRule="auto"/>
        <w:ind w:firstLine="480" w:firstLineChars="200"/>
        <w:rPr>
          <w:rFonts w:hint="eastAsia" w:ascii="宋体" w:hAnsi="宋体" w:eastAsia="宋体" w:cs="宋体"/>
          <w:color w:val="auto"/>
          <w:sz w:val="24"/>
          <w:szCs w:val="24"/>
          <w:highlight w:val="none"/>
        </w:rPr>
      </w:pPr>
      <w:bookmarkStart w:id="306" w:name="_Toc152042355"/>
      <w:r>
        <w:rPr>
          <w:rFonts w:hint="eastAsia" w:ascii="宋体" w:hAnsi="宋体" w:eastAsia="宋体" w:cs="宋体"/>
          <w:color w:val="auto"/>
          <w:sz w:val="24"/>
          <w:szCs w:val="24"/>
          <w:highlight w:val="none"/>
        </w:rPr>
        <w:t>与评标活动有关的工作人员不得收受他人的财物或者其他好处，不得向他人</w:t>
      </w:r>
      <w:r>
        <w:rPr>
          <w:rFonts w:hint="eastAsia" w:ascii="宋体" w:hAnsi="宋体" w:eastAsia="宋体" w:cs="宋体"/>
          <w:color w:val="auto"/>
          <w:sz w:val="24"/>
          <w:szCs w:val="24"/>
          <w:highlight w:val="none"/>
          <w:lang w:eastAsia="zh-CN"/>
        </w:rPr>
        <w:t>透露</w:t>
      </w:r>
      <w:r>
        <w:rPr>
          <w:rFonts w:hint="eastAsia" w:ascii="宋体" w:hAnsi="宋体" w:eastAsia="宋体" w:cs="宋体"/>
          <w:color w:val="auto"/>
          <w:sz w:val="24"/>
          <w:szCs w:val="24"/>
          <w:highlight w:val="none"/>
        </w:rPr>
        <w:t>对响应文件的评审和比较、中标候选人的推荐情况以及评标有关的其他情况。在评标活动中，与评标活动有关的工作人员不得擅离职守，影响评标程序正常进行。</w:t>
      </w:r>
      <w:bookmarkEnd w:id="306"/>
    </w:p>
    <w:p w14:paraId="12C59997">
      <w:pPr>
        <w:spacing w:line="360" w:lineRule="auto"/>
        <w:rPr>
          <w:rFonts w:hint="eastAsia" w:ascii="宋体" w:hAnsi="宋体" w:eastAsia="宋体" w:cs="宋体"/>
          <w:color w:val="auto"/>
          <w:sz w:val="24"/>
          <w:szCs w:val="24"/>
          <w:highlight w:val="none"/>
        </w:rPr>
      </w:pPr>
      <w:bookmarkStart w:id="307" w:name="_Toc246996223"/>
      <w:bookmarkStart w:id="308" w:name="_Toc246996966"/>
      <w:bookmarkStart w:id="309" w:name="_Toc247085737"/>
      <w:bookmarkStart w:id="310" w:name="_Toc152042356"/>
      <w:bookmarkStart w:id="311" w:name="_Toc152045579"/>
      <w:bookmarkStart w:id="312" w:name="_Toc179632597"/>
      <w:r>
        <w:rPr>
          <w:rFonts w:hint="eastAsia" w:ascii="宋体" w:hAnsi="宋体" w:eastAsia="宋体" w:cs="宋体"/>
          <w:color w:val="auto"/>
          <w:sz w:val="24"/>
          <w:szCs w:val="24"/>
          <w:highlight w:val="none"/>
        </w:rPr>
        <w:t>8.5 投诉</w:t>
      </w:r>
      <w:bookmarkEnd w:id="305"/>
      <w:bookmarkEnd w:id="307"/>
      <w:bookmarkEnd w:id="308"/>
      <w:bookmarkEnd w:id="309"/>
      <w:bookmarkEnd w:id="310"/>
      <w:bookmarkEnd w:id="311"/>
      <w:bookmarkEnd w:id="312"/>
    </w:p>
    <w:p w14:paraId="1C0E7AC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和其他利害关系人认为本次竞争性磋商活动违反</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和规章规定的，有权向有关行政监督部门投诉。</w:t>
      </w:r>
    </w:p>
    <w:p w14:paraId="78F7BD0E">
      <w:pPr>
        <w:spacing w:line="360" w:lineRule="auto"/>
        <w:rPr>
          <w:rFonts w:hint="eastAsia" w:ascii="宋体" w:hAnsi="宋体" w:eastAsia="宋体" w:cs="宋体"/>
          <w:b/>
          <w:color w:val="auto"/>
          <w:sz w:val="24"/>
          <w:szCs w:val="24"/>
          <w:highlight w:val="none"/>
        </w:rPr>
      </w:pPr>
      <w:bookmarkStart w:id="313" w:name="_Toc152042357"/>
      <w:bookmarkStart w:id="314" w:name="_Toc179632598"/>
      <w:bookmarkStart w:id="315" w:name="_Toc246996967"/>
      <w:bookmarkStart w:id="316" w:name="_Toc247085738"/>
      <w:bookmarkStart w:id="317" w:name="_Toc152045580"/>
      <w:bookmarkStart w:id="318" w:name="_Toc246996224"/>
      <w:bookmarkStart w:id="319" w:name="_Toc144974547"/>
      <w:r>
        <w:rPr>
          <w:rFonts w:hint="eastAsia" w:ascii="宋体" w:hAnsi="宋体" w:eastAsia="宋体" w:cs="宋体"/>
          <w:b/>
          <w:color w:val="auto"/>
          <w:sz w:val="24"/>
          <w:szCs w:val="24"/>
          <w:highlight w:val="none"/>
        </w:rPr>
        <w:t>9. 需要补充的其他内容</w:t>
      </w:r>
      <w:bookmarkEnd w:id="313"/>
      <w:bookmarkEnd w:id="314"/>
      <w:bookmarkEnd w:id="315"/>
      <w:bookmarkEnd w:id="316"/>
      <w:bookmarkEnd w:id="317"/>
      <w:bookmarkEnd w:id="318"/>
      <w:bookmarkEnd w:id="319"/>
    </w:p>
    <w:p w14:paraId="4E815E4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2C6BC29">
      <w:pPr>
        <w:keepNext w:val="0"/>
        <w:keepLines w:val="0"/>
        <w:widowControl/>
        <w:suppressLineNumbers w:val="0"/>
        <w:jc w:val="both"/>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rPr>
        <w:t>10.电子响应文件编制及报送要求</w:t>
      </w:r>
    </w:p>
    <w:p w14:paraId="386C339E">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hAnsi="宋体" w:cs="宋体"/>
          <w:color w:val="auto"/>
          <w:kern w:val="0"/>
          <w:sz w:val="24"/>
          <w:szCs w:val="24"/>
          <w:highlight w:val="none"/>
          <w:lang w:val="en-US" w:eastAsia="zh-CN"/>
        </w:rPr>
        <w:t>10.1</w:t>
      </w:r>
      <w:r>
        <w:rPr>
          <w:rFonts w:hint="eastAsia" w:ascii="宋体" w:hAnsi="宋体" w:eastAsia="宋体" w:cs="宋体"/>
          <w:color w:val="auto"/>
          <w:kern w:val="0"/>
          <w:sz w:val="24"/>
          <w:szCs w:val="24"/>
          <w:highlight w:val="none"/>
          <w:lang w:val="en-US" w:eastAsia="zh-CN"/>
        </w:rPr>
        <w:t xml:space="preserve">供应商应按竞争性磋商文件要求编制响应文件，将所有响应文件内容上传至“政采云”平台，并使用制作响应文件时用来加密的有效数字证书（CA认证）对响应文件进行解密。 </w:t>
      </w:r>
    </w:p>
    <w:p w14:paraId="5834FBC4">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hAnsi="宋体" w:cs="宋体"/>
          <w:color w:val="auto"/>
          <w:kern w:val="0"/>
          <w:sz w:val="24"/>
          <w:szCs w:val="24"/>
          <w:highlight w:val="none"/>
          <w:lang w:val="en-US" w:eastAsia="zh-CN"/>
        </w:rPr>
        <w:t>10.2</w:t>
      </w:r>
      <w:r>
        <w:rPr>
          <w:rFonts w:hint="eastAsia" w:ascii="宋体" w:hAnsi="宋体" w:eastAsia="宋体" w:cs="宋体"/>
          <w:color w:val="auto"/>
          <w:kern w:val="0"/>
          <w:sz w:val="24"/>
          <w:szCs w:val="24"/>
          <w:highlight w:val="none"/>
          <w:lang w:val="en-US" w:eastAsia="zh-CN"/>
        </w:rPr>
        <w:t xml:space="preserve">电子响应文件中反映供应商资格审查的图片、扫描件、文字描述等，必须清晰可见。其中所有证书和执照必须为原件扫描。 </w:t>
      </w:r>
    </w:p>
    <w:p w14:paraId="38A7CA5A">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hAnsi="宋体" w:cs="宋体"/>
          <w:color w:val="auto"/>
          <w:kern w:val="0"/>
          <w:sz w:val="24"/>
          <w:szCs w:val="24"/>
          <w:highlight w:val="none"/>
          <w:lang w:val="en-US" w:eastAsia="zh-CN"/>
        </w:rPr>
        <w:t>10.3</w:t>
      </w:r>
      <w:r>
        <w:rPr>
          <w:rFonts w:hint="eastAsia" w:ascii="宋体" w:hAnsi="宋体" w:eastAsia="宋体" w:cs="宋体"/>
          <w:color w:val="auto"/>
          <w:kern w:val="0"/>
          <w:sz w:val="24"/>
          <w:szCs w:val="24"/>
          <w:highlight w:val="none"/>
          <w:lang w:val="en-US" w:eastAsia="zh-CN"/>
        </w:rPr>
        <w:t xml:space="preserve">供应商应在竞争性磋商文件要求提交响应文件的截止时间前，完成电子响应文件上传。 </w:t>
      </w:r>
    </w:p>
    <w:p w14:paraId="6E04FFBB">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hAnsi="宋体" w:cs="宋体"/>
          <w:color w:val="auto"/>
          <w:kern w:val="0"/>
          <w:sz w:val="24"/>
          <w:szCs w:val="24"/>
          <w:highlight w:val="none"/>
          <w:lang w:val="en-US" w:eastAsia="zh-CN"/>
        </w:rPr>
        <w:t>10.4</w:t>
      </w:r>
      <w:r>
        <w:rPr>
          <w:rFonts w:hint="eastAsia" w:ascii="宋体" w:hAnsi="宋体" w:eastAsia="宋体" w:cs="宋体"/>
          <w:color w:val="auto"/>
          <w:kern w:val="0"/>
          <w:sz w:val="24"/>
          <w:szCs w:val="24"/>
          <w:highlight w:val="none"/>
          <w:lang w:val="en-US" w:eastAsia="zh-CN"/>
        </w:rPr>
        <w:t xml:space="preserve">若供应商上传的电子响应文件因无法解密而对响应文件无法进行评价的，采购人可以拒绝该供应商投标。 </w:t>
      </w:r>
    </w:p>
    <w:p w14:paraId="216D6CB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320" w:name="_Toc246996225"/>
      <w:bookmarkStart w:id="321" w:name="_Toc144974549"/>
      <w:bookmarkStart w:id="322" w:name="_Toc179632600"/>
      <w:bookmarkStart w:id="323" w:name="_Toc152045582"/>
      <w:bookmarkStart w:id="324" w:name="_Toc246996968"/>
      <w:bookmarkStart w:id="325" w:name="_Toc152042359"/>
      <w:bookmarkStart w:id="326" w:name="_Toc247085740"/>
      <w:bookmarkStart w:id="327" w:name="_Toc144974565"/>
      <w:bookmarkStart w:id="328" w:name="_Toc152045598"/>
      <w:bookmarkStart w:id="329" w:name="_Toc246996984"/>
      <w:bookmarkStart w:id="330" w:name="_Toc247085756"/>
      <w:bookmarkStart w:id="331" w:name="_Toc246996241"/>
      <w:bookmarkStart w:id="332" w:name="_Toc152042375"/>
      <w:bookmarkStart w:id="333" w:name="_Toc179632616"/>
      <w:r>
        <w:rPr>
          <w:rFonts w:hint="eastAsia" w:ascii="宋体" w:hAnsi="宋体" w:eastAsia="宋体" w:cs="宋体"/>
          <w:color w:val="auto"/>
          <w:sz w:val="24"/>
          <w:szCs w:val="24"/>
          <w:highlight w:val="none"/>
        </w:rPr>
        <w:t>附件一：问题澄清通知</w:t>
      </w:r>
      <w:bookmarkEnd w:id="320"/>
      <w:bookmarkEnd w:id="321"/>
      <w:bookmarkEnd w:id="322"/>
      <w:bookmarkEnd w:id="323"/>
      <w:bookmarkEnd w:id="324"/>
      <w:bookmarkEnd w:id="325"/>
      <w:bookmarkEnd w:id="326"/>
    </w:p>
    <w:p w14:paraId="71E0B241">
      <w:pPr>
        <w:spacing w:line="440" w:lineRule="exact"/>
        <w:jc w:val="center"/>
        <w:rPr>
          <w:rFonts w:hint="eastAsia" w:ascii="宋体" w:hAnsi="宋体" w:eastAsia="宋体" w:cs="宋体"/>
          <w:color w:val="auto"/>
          <w:sz w:val="24"/>
          <w:szCs w:val="24"/>
          <w:highlight w:val="none"/>
        </w:rPr>
      </w:pPr>
    </w:p>
    <w:p w14:paraId="1E1C9D0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问题澄清通知</w:t>
      </w:r>
    </w:p>
    <w:p w14:paraId="4277343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编号：</w:t>
      </w:r>
    </w:p>
    <w:p w14:paraId="61B2E756">
      <w:pPr>
        <w:spacing w:line="440" w:lineRule="exact"/>
        <w:rPr>
          <w:rFonts w:hint="eastAsia" w:ascii="宋体" w:hAnsi="宋体" w:eastAsia="宋体" w:cs="宋体"/>
          <w:color w:val="auto"/>
          <w:sz w:val="24"/>
          <w:szCs w:val="24"/>
          <w:highlight w:val="none"/>
        </w:rPr>
      </w:pPr>
    </w:p>
    <w:p w14:paraId="01A653C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p w14:paraId="3D1678EA">
      <w:pPr>
        <w:spacing w:line="440" w:lineRule="exact"/>
        <w:rPr>
          <w:rFonts w:hint="eastAsia" w:ascii="宋体" w:hAnsi="宋体" w:eastAsia="宋体" w:cs="宋体"/>
          <w:color w:val="auto"/>
          <w:sz w:val="24"/>
          <w:szCs w:val="24"/>
          <w:highlight w:val="none"/>
        </w:rPr>
      </w:pPr>
    </w:p>
    <w:p w14:paraId="774FB57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（项目名称）竞争性磋商的磋商小组，对你方的响应文件进行了仔细的审查，现需你方对下列问题以书面形式予以澄清：</w:t>
      </w:r>
    </w:p>
    <w:p w14:paraId="50D26B2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1050E66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p>
    <w:p w14:paraId="042260D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w:t>
      </w:r>
    </w:p>
    <w:p w14:paraId="3747D47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65E9C77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1F0F85B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请将上述问题的澄清于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时前递交至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（详细地址）或传真至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（传真号码）。采用传真方式的，应在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前将原件递交至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（详细地址）。</w:t>
      </w:r>
    </w:p>
    <w:p w14:paraId="2FFA5742">
      <w:pPr>
        <w:spacing w:line="440" w:lineRule="exact"/>
        <w:rPr>
          <w:rFonts w:hint="eastAsia" w:ascii="宋体" w:hAnsi="宋体" w:eastAsia="宋体" w:cs="宋体"/>
          <w:color w:val="auto"/>
          <w:sz w:val="24"/>
          <w:szCs w:val="24"/>
          <w:highlight w:val="none"/>
        </w:rPr>
      </w:pPr>
    </w:p>
    <w:p w14:paraId="27BF3E95">
      <w:pPr>
        <w:spacing w:line="440" w:lineRule="exact"/>
        <w:rPr>
          <w:rFonts w:hint="eastAsia" w:ascii="宋体" w:hAnsi="宋体" w:eastAsia="宋体" w:cs="宋体"/>
          <w:color w:val="auto"/>
          <w:sz w:val="24"/>
          <w:szCs w:val="24"/>
          <w:highlight w:val="none"/>
        </w:rPr>
      </w:pPr>
    </w:p>
    <w:p w14:paraId="549F7065">
      <w:pPr>
        <w:spacing w:line="44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4449EA72">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AEEE83F">
      <w:pPr>
        <w:spacing w:line="440" w:lineRule="exact"/>
        <w:ind w:firstLine="3480" w:firstLineChars="1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D175B52">
      <w:pPr>
        <w:spacing w:line="400" w:lineRule="exact"/>
        <w:rPr>
          <w:rFonts w:hint="eastAsia" w:ascii="宋体" w:hAnsi="宋体" w:eastAsia="宋体" w:cs="宋体"/>
          <w:color w:val="auto"/>
          <w:sz w:val="24"/>
          <w:szCs w:val="24"/>
          <w:highlight w:val="none"/>
        </w:rPr>
      </w:pPr>
    </w:p>
    <w:p w14:paraId="373E37DE">
      <w:pPr>
        <w:spacing w:line="400" w:lineRule="exact"/>
        <w:rPr>
          <w:rFonts w:hint="eastAsia" w:ascii="宋体" w:hAnsi="宋体" w:eastAsia="宋体" w:cs="宋体"/>
          <w:color w:val="auto"/>
          <w:sz w:val="24"/>
          <w:szCs w:val="24"/>
          <w:highlight w:val="none"/>
        </w:rPr>
      </w:pPr>
    </w:p>
    <w:p w14:paraId="20C0B26E">
      <w:pPr>
        <w:rPr>
          <w:rFonts w:hint="eastAsia" w:ascii="宋体" w:hAnsi="宋体" w:eastAsia="宋体" w:cs="宋体"/>
          <w:color w:val="auto"/>
          <w:sz w:val="24"/>
          <w:szCs w:val="24"/>
          <w:highlight w:val="none"/>
        </w:rPr>
      </w:pPr>
      <w:bookmarkStart w:id="334" w:name="_Toc152042360"/>
      <w:bookmarkStart w:id="335" w:name="_Toc144974550"/>
      <w:bookmarkStart w:id="336" w:name="_Toc247085741"/>
      <w:bookmarkStart w:id="337" w:name="_Toc152045583"/>
      <w:bookmarkStart w:id="338" w:name="_Toc246996969"/>
      <w:bookmarkStart w:id="339" w:name="_Toc179632601"/>
      <w:bookmarkStart w:id="340" w:name="_Toc246996226"/>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附件二：问题的澄清</w:t>
      </w:r>
      <w:bookmarkEnd w:id="334"/>
      <w:bookmarkEnd w:id="335"/>
      <w:bookmarkEnd w:id="336"/>
      <w:bookmarkEnd w:id="337"/>
      <w:bookmarkEnd w:id="338"/>
      <w:bookmarkEnd w:id="339"/>
      <w:bookmarkEnd w:id="340"/>
    </w:p>
    <w:p w14:paraId="5395D0CD">
      <w:pPr>
        <w:spacing w:line="400" w:lineRule="exact"/>
        <w:jc w:val="center"/>
        <w:rPr>
          <w:rFonts w:hint="eastAsia" w:ascii="宋体" w:hAnsi="宋体" w:eastAsia="宋体" w:cs="宋体"/>
          <w:color w:val="auto"/>
          <w:sz w:val="24"/>
          <w:szCs w:val="24"/>
          <w:highlight w:val="none"/>
        </w:rPr>
      </w:pPr>
    </w:p>
    <w:p w14:paraId="79D102E1">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问题的澄清</w:t>
      </w:r>
    </w:p>
    <w:p w14:paraId="007DE995">
      <w:pPr>
        <w:spacing w:line="400" w:lineRule="exact"/>
        <w:ind w:firstLine="3960" w:firstLineChars="1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编号： </w:t>
      </w:r>
    </w:p>
    <w:p w14:paraId="2F532517">
      <w:pPr>
        <w:spacing w:line="400" w:lineRule="exact"/>
        <w:rPr>
          <w:rFonts w:hint="eastAsia" w:ascii="宋体" w:hAnsi="宋体" w:eastAsia="宋体" w:cs="宋体"/>
          <w:color w:val="auto"/>
          <w:sz w:val="24"/>
          <w:szCs w:val="24"/>
          <w:highlight w:val="none"/>
        </w:rPr>
      </w:pPr>
    </w:p>
    <w:p w14:paraId="45B0262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w:t>
      </w:r>
    </w:p>
    <w:p w14:paraId="102691C0">
      <w:pPr>
        <w:spacing w:line="440" w:lineRule="exact"/>
        <w:rPr>
          <w:rFonts w:hint="eastAsia" w:ascii="宋体" w:hAnsi="宋体" w:eastAsia="宋体" w:cs="宋体"/>
          <w:color w:val="auto"/>
          <w:sz w:val="24"/>
          <w:szCs w:val="24"/>
          <w:highlight w:val="none"/>
        </w:rPr>
      </w:pPr>
    </w:p>
    <w:p w14:paraId="423A43A2">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问题澄清通知（编号：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）已收悉，现澄清如下：</w:t>
      </w:r>
    </w:p>
    <w:p w14:paraId="5506CC6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w:t>
      </w:r>
    </w:p>
    <w:p w14:paraId="1A579FC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2.</w:t>
      </w:r>
    </w:p>
    <w:p w14:paraId="05B1B37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999153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7589D6F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6F83C0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8758444">
      <w:pPr>
        <w:spacing w:line="440" w:lineRule="exact"/>
        <w:rPr>
          <w:rFonts w:hint="eastAsia" w:ascii="宋体" w:hAnsi="宋体" w:eastAsia="宋体" w:cs="宋体"/>
          <w:color w:val="auto"/>
          <w:sz w:val="24"/>
          <w:szCs w:val="24"/>
          <w:highlight w:val="none"/>
        </w:rPr>
      </w:pPr>
    </w:p>
    <w:p w14:paraId="0CE9C0F1">
      <w:pPr>
        <w:spacing w:line="440" w:lineRule="exact"/>
        <w:rPr>
          <w:rFonts w:hint="eastAsia" w:ascii="宋体" w:hAnsi="宋体" w:eastAsia="宋体" w:cs="宋体"/>
          <w:color w:val="auto"/>
          <w:sz w:val="24"/>
          <w:szCs w:val="24"/>
          <w:highlight w:val="none"/>
        </w:rPr>
      </w:pPr>
    </w:p>
    <w:p w14:paraId="7E2ACE0A">
      <w:pPr>
        <w:spacing w:line="440" w:lineRule="exact"/>
        <w:rPr>
          <w:rFonts w:hint="eastAsia" w:ascii="宋体" w:hAnsi="宋体" w:eastAsia="宋体" w:cs="宋体"/>
          <w:color w:val="auto"/>
          <w:sz w:val="24"/>
          <w:szCs w:val="24"/>
          <w:highlight w:val="none"/>
        </w:rPr>
      </w:pPr>
    </w:p>
    <w:p w14:paraId="1A281B4D">
      <w:pPr>
        <w:spacing w:line="440" w:lineRule="exact"/>
        <w:rPr>
          <w:rFonts w:hint="eastAsia" w:ascii="宋体" w:hAnsi="宋体" w:eastAsia="宋体" w:cs="宋体"/>
          <w:color w:val="auto"/>
          <w:sz w:val="24"/>
          <w:szCs w:val="24"/>
          <w:highlight w:val="none"/>
        </w:rPr>
      </w:pPr>
    </w:p>
    <w:p w14:paraId="071A363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2DEEFA4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76B9957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7ED1A9A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0C53F0B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1A8FF22">
      <w:pPr>
        <w:pStyle w:val="5"/>
        <w:rPr>
          <w:rFonts w:hint="eastAsia" w:ascii="宋体" w:hAnsi="宋体" w:eastAsia="宋体" w:cs="宋体"/>
          <w:color w:val="auto"/>
          <w:sz w:val="24"/>
          <w:szCs w:val="24"/>
          <w:highlight w:val="none"/>
        </w:rPr>
      </w:pPr>
    </w:p>
    <w:p w14:paraId="2E93963B">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附件三：中标通知书（以实际为准）</w:t>
      </w:r>
    </w:p>
    <w:p w14:paraId="543B3A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中标通知书</w:t>
      </w:r>
    </w:p>
    <w:tbl>
      <w:tblPr>
        <w:tblStyle w:val="26"/>
        <w:tblW w:w="9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02"/>
        <w:gridCol w:w="2137"/>
        <w:gridCol w:w="212"/>
        <w:gridCol w:w="985"/>
        <w:gridCol w:w="3723"/>
      </w:tblGrid>
      <w:tr w14:paraId="59034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jc w:val="center"/>
        </w:trPr>
        <w:tc>
          <w:tcPr>
            <w:tcW w:w="2302" w:type="dxa"/>
            <w:vAlign w:val="center"/>
          </w:tcPr>
          <w:p w14:paraId="41FF827B">
            <w:pPr>
              <w:ind w:left="42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招标项目编号</w:t>
            </w:r>
          </w:p>
        </w:tc>
        <w:tc>
          <w:tcPr>
            <w:tcW w:w="7057" w:type="dxa"/>
            <w:gridSpan w:val="4"/>
            <w:vAlign w:val="center"/>
          </w:tcPr>
          <w:p w14:paraId="58BE428F">
            <w:pPr>
              <w:spacing w:line="360" w:lineRule="auto"/>
              <w:jc w:val="left"/>
              <w:rPr>
                <w:rFonts w:hint="eastAsia" w:ascii="宋体" w:hAnsi="宋体" w:eastAsia="宋体" w:cs="宋体"/>
                <w:color w:val="auto"/>
                <w:sz w:val="24"/>
                <w:szCs w:val="24"/>
                <w:highlight w:val="none"/>
              </w:rPr>
            </w:pPr>
          </w:p>
        </w:tc>
      </w:tr>
      <w:tr w14:paraId="1F7DB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2302" w:type="dxa"/>
            <w:vAlign w:val="center"/>
          </w:tcPr>
          <w:p w14:paraId="5815407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中标单位名称</w:t>
            </w:r>
          </w:p>
        </w:tc>
        <w:tc>
          <w:tcPr>
            <w:tcW w:w="7057" w:type="dxa"/>
            <w:gridSpan w:val="4"/>
            <w:vAlign w:val="center"/>
          </w:tcPr>
          <w:p w14:paraId="5DAB6958">
            <w:pPr>
              <w:jc w:val="left"/>
              <w:rPr>
                <w:rFonts w:hint="eastAsia" w:ascii="宋体" w:hAnsi="宋体" w:eastAsia="宋体" w:cs="宋体"/>
                <w:color w:val="auto"/>
                <w:sz w:val="24"/>
                <w:szCs w:val="24"/>
                <w:highlight w:val="none"/>
                <w:lang w:val="zh-CN"/>
              </w:rPr>
            </w:pPr>
          </w:p>
        </w:tc>
      </w:tr>
      <w:tr w14:paraId="68213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2302" w:type="dxa"/>
            <w:vAlign w:val="center"/>
          </w:tcPr>
          <w:p w14:paraId="2B81A3F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中标工程名称</w:t>
            </w:r>
          </w:p>
        </w:tc>
        <w:tc>
          <w:tcPr>
            <w:tcW w:w="7057" w:type="dxa"/>
            <w:gridSpan w:val="4"/>
            <w:vAlign w:val="center"/>
          </w:tcPr>
          <w:p w14:paraId="1B4076CD">
            <w:pPr>
              <w:jc w:val="left"/>
              <w:rPr>
                <w:rFonts w:hint="eastAsia" w:ascii="宋体" w:hAnsi="宋体" w:eastAsia="宋体" w:cs="宋体"/>
                <w:color w:val="auto"/>
                <w:sz w:val="24"/>
                <w:szCs w:val="24"/>
                <w:highlight w:val="none"/>
                <w:lang w:val="zh-CN"/>
              </w:rPr>
            </w:pPr>
          </w:p>
        </w:tc>
      </w:tr>
      <w:tr w14:paraId="5513B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2302" w:type="dxa"/>
            <w:vAlign w:val="center"/>
          </w:tcPr>
          <w:p w14:paraId="3530D24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中标工程地点</w:t>
            </w:r>
          </w:p>
        </w:tc>
        <w:tc>
          <w:tcPr>
            <w:tcW w:w="2137" w:type="dxa"/>
            <w:vAlign w:val="center"/>
          </w:tcPr>
          <w:p w14:paraId="300E0D5F">
            <w:pPr>
              <w:jc w:val="left"/>
              <w:rPr>
                <w:rFonts w:hint="eastAsia" w:ascii="宋体" w:hAnsi="宋体" w:eastAsia="宋体" w:cs="宋体"/>
                <w:color w:val="auto"/>
                <w:sz w:val="24"/>
                <w:szCs w:val="24"/>
                <w:highlight w:val="none"/>
              </w:rPr>
            </w:pPr>
          </w:p>
        </w:tc>
        <w:tc>
          <w:tcPr>
            <w:tcW w:w="1197" w:type="dxa"/>
            <w:gridSpan w:val="2"/>
            <w:vAlign w:val="center"/>
          </w:tcPr>
          <w:p w14:paraId="27C77CF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建设单位</w:t>
            </w:r>
          </w:p>
        </w:tc>
        <w:tc>
          <w:tcPr>
            <w:tcW w:w="3723" w:type="dxa"/>
            <w:vAlign w:val="center"/>
          </w:tcPr>
          <w:p w14:paraId="4392B8EB">
            <w:pPr>
              <w:jc w:val="left"/>
              <w:rPr>
                <w:rFonts w:hint="eastAsia" w:ascii="宋体" w:hAnsi="宋体" w:eastAsia="宋体" w:cs="宋体"/>
                <w:color w:val="auto"/>
                <w:sz w:val="24"/>
                <w:szCs w:val="24"/>
                <w:highlight w:val="none"/>
              </w:rPr>
            </w:pPr>
          </w:p>
        </w:tc>
      </w:tr>
      <w:tr w14:paraId="10E3E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2302" w:type="dxa"/>
            <w:vAlign w:val="center"/>
          </w:tcPr>
          <w:p w14:paraId="5A0BE39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开标日期</w:t>
            </w:r>
          </w:p>
        </w:tc>
        <w:tc>
          <w:tcPr>
            <w:tcW w:w="2137" w:type="dxa"/>
            <w:vAlign w:val="center"/>
          </w:tcPr>
          <w:p w14:paraId="46CFAFAB">
            <w:pPr>
              <w:jc w:val="left"/>
              <w:rPr>
                <w:rFonts w:hint="eastAsia" w:ascii="宋体" w:hAnsi="宋体" w:eastAsia="宋体" w:cs="宋体"/>
                <w:color w:val="auto"/>
                <w:sz w:val="24"/>
                <w:szCs w:val="24"/>
                <w:highlight w:val="none"/>
              </w:rPr>
            </w:pPr>
          </w:p>
        </w:tc>
        <w:tc>
          <w:tcPr>
            <w:tcW w:w="1197" w:type="dxa"/>
            <w:gridSpan w:val="2"/>
            <w:vAlign w:val="center"/>
          </w:tcPr>
          <w:p w14:paraId="3B6B4B8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招标方式</w:t>
            </w:r>
          </w:p>
        </w:tc>
        <w:tc>
          <w:tcPr>
            <w:tcW w:w="3723" w:type="dxa"/>
            <w:vAlign w:val="center"/>
          </w:tcPr>
          <w:p w14:paraId="40821304">
            <w:pPr>
              <w:jc w:val="left"/>
              <w:rPr>
                <w:rFonts w:hint="eastAsia" w:ascii="宋体" w:hAnsi="宋体" w:eastAsia="宋体" w:cs="宋体"/>
                <w:color w:val="auto"/>
                <w:sz w:val="24"/>
                <w:szCs w:val="24"/>
                <w:highlight w:val="none"/>
              </w:rPr>
            </w:pPr>
          </w:p>
        </w:tc>
      </w:tr>
      <w:tr w14:paraId="5023A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2302" w:type="dxa"/>
            <w:vAlign w:val="center"/>
          </w:tcPr>
          <w:p w14:paraId="5BEBF89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结构类型</w:t>
            </w:r>
          </w:p>
        </w:tc>
        <w:tc>
          <w:tcPr>
            <w:tcW w:w="2137" w:type="dxa"/>
            <w:vAlign w:val="center"/>
          </w:tcPr>
          <w:p w14:paraId="26D2FBB0">
            <w:pPr>
              <w:jc w:val="left"/>
              <w:rPr>
                <w:rFonts w:hint="eastAsia" w:ascii="宋体" w:hAnsi="宋体" w:eastAsia="宋体" w:cs="宋体"/>
                <w:color w:val="auto"/>
                <w:sz w:val="24"/>
                <w:szCs w:val="24"/>
                <w:highlight w:val="none"/>
              </w:rPr>
            </w:pPr>
          </w:p>
        </w:tc>
        <w:tc>
          <w:tcPr>
            <w:tcW w:w="1197" w:type="dxa"/>
            <w:gridSpan w:val="2"/>
            <w:vAlign w:val="center"/>
          </w:tcPr>
          <w:p w14:paraId="7D24F91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建筑规模</w:t>
            </w:r>
          </w:p>
        </w:tc>
        <w:tc>
          <w:tcPr>
            <w:tcW w:w="3723" w:type="dxa"/>
            <w:vAlign w:val="center"/>
          </w:tcPr>
          <w:p w14:paraId="4947DAAA">
            <w:pPr>
              <w:jc w:val="left"/>
              <w:rPr>
                <w:rFonts w:hint="eastAsia" w:ascii="宋体" w:hAnsi="宋体" w:eastAsia="宋体" w:cs="宋体"/>
                <w:color w:val="auto"/>
                <w:sz w:val="24"/>
                <w:szCs w:val="24"/>
                <w:highlight w:val="none"/>
              </w:rPr>
            </w:pPr>
          </w:p>
        </w:tc>
      </w:tr>
      <w:tr w14:paraId="7FBFD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2302" w:type="dxa"/>
            <w:vAlign w:val="center"/>
          </w:tcPr>
          <w:p w14:paraId="314749D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2137" w:type="dxa"/>
            <w:vAlign w:val="center"/>
          </w:tcPr>
          <w:p w14:paraId="59314F75">
            <w:pPr>
              <w:jc w:val="left"/>
              <w:rPr>
                <w:rFonts w:hint="eastAsia" w:ascii="宋体" w:hAnsi="宋体" w:eastAsia="宋体" w:cs="宋体"/>
                <w:color w:val="auto"/>
                <w:sz w:val="24"/>
                <w:szCs w:val="24"/>
                <w:highlight w:val="none"/>
              </w:rPr>
            </w:pPr>
          </w:p>
        </w:tc>
        <w:tc>
          <w:tcPr>
            <w:tcW w:w="1197" w:type="dxa"/>
            <w:gridSpan w:val="2"/>
            <w:vAlign w:val="center"/>
          </w:tcPr>
          <w:p w14:paraId="6F40632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资格等级</w:t>
            </w:r>
          </w:p>
        </w:tc>
        <w:tc>
          <w:tcPr>
            <w:tcW w:w="3723" w:type="dxa"/>
            <w:vAlign w:val="center"/>
          </w:tcPr>
          <w:p w14:paraId="41AF303F">
            <w:pPr>
              <w:jc w:val="left"/>
              <w:rPr>
                <w:rFonts w:hint="eastAsia" w:ascii="宋体" w:hAnsi="宋体" w:eastAsia="宋体" w:cs="宋体"/>
                <w:color w:val="auto"/>
                <w:sz w:val="24"/>
                <w:szCs w:val="24"/>
                <w:highlight w:val="none"/>
              </w:rPr>
            </w:pPr>
          </w:p>
        </w:tc>
      </w:tr>
      <w:tr w14:paraId="6EB0B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2302" w:type="dxa"/>
            <w:vAlign w:val="center"/>
          </w:tcPr>
          <w:p w14:paraId="5C2C92C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中标价格</w:t>
            </w:r>
          </w:p>
        </w:tc>
        <w:tc>
          <w:tcPr>
            <w:tcW w:w="7057" w:type="dxa"/>
            <w:gridSpan w:val="4"/>
            <w:vAlign w:val="center"/>
          </w:tcPr>
          <w:p w14:paraId="5B5F1AC1">
            <w:pPr>
              <w:jc w:val="left"/>
              <w:rPr>
                <w:rFonts w:hint="eastAsia" w:ascii="宋体" w:hAnsi="宋体" w:eastAsia="宋体" w:cs="宋体"/>
                <w:color w:val="auto"/>
                <w:sz w:val="24"/>
                <w:szCs w:val="24"/>
                <w:highlight w:val="none"/>
              </w:rPr>
            </w:pPr>
          </w:p>
        </w:tc>
      </w:tr>
      <w:tr w14:paraId="5AE34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2302" w:type="dxa"/>
            <w:vAlign w:val="center"/>
          </w:tcPr>
          <w:p w14:paraId="6EAFEFD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合同履行期限</w:t>
            </w:r>
          </w:p>
        </w:tc>
        <w:tc>
          <w:tcPr>
            <w:tcW w:w="7057" w:type="dxa"/>
            <w:gridSpan w:val="4"/>
            <w:vAlign w:val="center"/>
          </w:tcPr>
          <w:p w14:paraId="61CC39DC">
            <w:pPr>
              <w:jc w:val="left"/>
              <w:rPr>
                <w:rFonts w:hint="eastAsia" w:ascii="宋体" w:hAnsi="宋体" w:eastAsia="宋体" w:cs="宋体"/>
                <w:color w:val="auto"/>
                <w:sz w:val="24"/>
                <w:szCs w:val="24"/>
                <w:highlight w:val="none"/>
              </w:rPr>
            </w:pPr>
          </w:p>
        </w:tc>
      </w:tr>
      <w:tr w14:paraId="3A3F7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2302" w:type="dxa"/>
            <w:vAlign w:val="center"/>
          </w:tcPr>
          <w:p w14:paraId="7B83056E">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val="en-US" w:eastAsia="zh-CN"/>
              </w:rPr>
              <w:t>要求</w:t>
            </w:r>
          </w:p>
        </w:tc>
        <w:tc>
          <w:tcPr>
            <w:tcW w:w="7057" w:type="dxa"/>
            <w:gridSpan w:val="4"/>
            <w:vAlign w:val="center"/>
          </w:tcPr>
          <w:p w14:paraId="75E1ADCC">
            <w:pPr>
              <w:jc w:val="left"/>
              <w:rPr>
                <w:rFonts w:hint="eastAsia" w:ascii="宋体" w:hAnsi="宋体" w:eastAsia="宋体" w:cs="宋体"/>
                <w:color w:val="auto"/>
                <w:sz w:val="24"/>
                <w:szCs w:val="24"/>
                <w:highlight w:val="none"/>
              </w:rPr>
            </w:pPr>
          </w:p>
        </w:tc>
      </w:tr>
      <w:tr w14:paraId="4C6F5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302" w:type="dxa"/>
            <w:vAlign w:val="center"/>
          </w:tcPr>
          <w:p w14:paraId="334CCF5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中标工程范围</w:t>
            </w:r>
          </w:p>
        </w:tc>
        <w:tc>
          <w:tcPr>
            <w:tcW w:w="7057" w:type="dxa"/>
            <w:gridSpan w:val="4"/>
            <w:vAlign w:val="center"/>
          </w:tcPr>
          <w:p w14:paraId="23726539">
            <w:pPr>
              <w:jc w:val="left"/>
              <w:rPr>
                <w:rFonts w:hint="eastAsia" w:ascii="宋体" w:hAnsi="宋体" w:eastAsia="宋体" w:cs="宋体"/>
                <w:color w:val="auto"/>
                <w:sz w:val="24"/>
                <w:szCs w:val="24"/>
                <w:highlight w:val="none"/>
              </w:rPr>
            </w:pPr>
          </w:p>
        </w:tc>
      </w:tr>
      <w:tr w14:paraId="089E3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6" w:hRule="atLeast"/>
          <w:jc w:val="center"/>
        </w:trPr>
        <w:tc>
          <w:tcPr>
            <w:tcW w:w="9359" w:type="dxa"/>
            <w:gridSpan w:val="5"/>
            <w:vAlign w:val="center"/>
          </w:tcPr>
          <w:p w14:paraId="5E78DF1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依据《吉林省建筑市场管理条例》第四十七条、第四十八条请</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和中标单位在中标通知书发出之日起三十日内，依法签订合同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签订后七个工作日内将合同及文件报建设行政主管部门备案。</w:t>
            </w:r>
          </w:p>
        </w:tc>
      </w:tr>
      <w:tr w14:paraId="2D129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6" w:hRule="atLeast"/>
          <w:jc w:val="center"/>
        </w:trPr>
        <w:tc>
          <w:tcPr>
            <w:tcW w:w="4651" w:type="dxa"/>
            <w:gridSpan w:val="3"/>
          </w:tcPr>
          <w:p w14:paraId="68EF54B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（章）</w:t>
            </w:r>
          </w:p>
          <w:p w14:paraId="4EEBFC25">
            <w:pPr>
              <w:rPr>
                <w:rFonts w:hint="eastAsia" w:ascii="宋体" w:hAnsi="宋体" w:eastAsia="宋体" w:cs="宋体"/>
                <w:color w:val="auto"/>
                <w:sz w:val="24"/>
                <w:szCs w:val="24"/>
                <w:highlight w:val="none"/>
              </w:rPr>
            </w:pPr>
          </w:p>
          <w:p w14:paraId="0F10D166">
            <w:pPr>
              <w:rPr>
                <w:rFonts w:hint="eastAsia" w:ascii="宋体" w:hAnsi="宋体" w:eastAsia="宋体" w:cs="宋体"/>
                <w:color w:val="auto"/>
                <w:sz w:val="24"/>
                <w:szCs w:val="24"/>
                <w:highlight w:val="none"/>
              </w:rPr>
            </w:pPr>
          </w:p>
          <w:p w14:paraId="1A3F8436">
            <w:pPr>
              <w:rPr>
                <w:rFonts w:hint="eastAsia" w:ascii="宋体" w:hAnsi="宋体" w:eastAsia="宋体" w:cs="宋体"/>
                <w:color w:val="auto"/>
                <w:sz w:val="24"/>
                <w:szCs w:val="24"/>
                <w:highlight w:val="none"/>
              </w:rPr>
            </w:pPr>
          </w:p>
          <w:p w14:paraId="2108A7E0">
            <w:pPr>
              <w:rPr>
                <w:rFonts w:hint="eastAsia" w:ascii="宋体" w:hAnsi="宋体" w:eastAsia="宋体" w:cs="宋体"/>
                <w:color w:val="auto"/>
                <w:sz w:val="24"/>
                <w:szCs w:val="24"/>
                <w:highlight w:val="none"/>
              </w:rPr>
            </w:pPr>
          </w:p>
          <w:p w14:paraId="7D783E6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rPr>
              <w:t>）</w:t>
            </w:r>
          </w:p>
          <w:p w14:paraId="1DE59504">
            <w:pPr>
              <w:rPr>
                <w:rFonts w:hint="eastAsia" w:ascii="宋体" w:hAnsi="宋体" w:eastAsia="宋体" w:cs="宋体"/>
                <w:color w:val="auto"/>
                <w:sz w:val="24"/>
                <w:szCs w:val="24"/>
                <w:highlight w:val="none"/>
              </w:rPr>
            </w:pPr>
          </w:p>
          <w:p w14:paraId="3D2EBEFF">
            <w:pPr>
              <w:rPr>
                <w:rFonts w:hint="eastAsia" w:ascii="宋体" w:hAnsi="宋体" w:eastAsia="宋体" w:cs="宋体"/>
                <w:color w:val="auto"/>
                <w:sz w:val="24"/>
                <w:szCs w:val="24"/>
                <w:highlight w:val="none"/>
              </w:rPr>
            </w:pPr>
          </w:p>
          <w:p w14:paraId="5898C8DF">
            <w:pPr>
              <w:rPr>
                <w:rFonts w:hint="eastAsia" w:ascii="宋体" w:hAnsi="宋体" w:eastAsia="宋体" w:cs="宋体"/>
                <w:color w:val="auto"/>
                <w:sz w:val="24"/>
                <w:szCs w:val="24"/>
                <w:highlight w:val="none"/>
              </w:rPr>
            </w:pPr>
          </w:p>
          <w:p w14:paraId="168F43E0">
            <w:pPr>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tc>
        <w:tc>
          <w:tcPr>
            <w:tcW w:w="4708" w:type="dxa"/>
            <w:gridSpan w:val="2"/>
          </w:tcPr>
          <w:p w14:paraId="5A93676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（章）</w:t>
            </w:r>
          </w:p>
          <w:p w14:paraId="456F9232">
            <w:pPr>
              <w:rPr>
                <w:rFonts w:hint="eastAsia" w:ascii="宋体" w:hAnsi="宋体" w:eastAsia="宋体" w:cs="宋体"/>
                <w:color w:val="auto"/>
                <w:sz w:val="24"/>
                <w:szCs w:val="24"/>
                <w:highlight w:val="none"/>
              </w:rPr>
            </w:pPr>
          </w:p>
          <w:p w14:paraId="05A60BBC">
            <w:pPr>
              <w:rPr>
                <w:rFonts w:hint="eastAsia" w:ascii="宋体" w:hAnsi="宋体" w:eastAsia="宋体" w:cs="宋体"/>
                <w:color w:val="auto"/>
                <w:sz w:val="24"/>
                <w:szCs w:val="24"/>
                <w:highlight w:val="none"/>
              </w:rPr>
            </w:pPr>
          </w:p>
          <w:p w14:paraId="0552E151">
            <w:pPr>
              <w:rPr>
                <w:rFonts w:hint="eastAsia" w:ascii="宋体" w:hAnsi="宋体" w:eastAsia="宋体" w:cs="宋体"/>
                <w:color w:val="auto"/>
                <w:sz w:val="24"/>
                <w:szCs w:val="24"/>
                <w:highlight w:val="none"/>
              </w:rPr>
            </w:pPr>
          </w:p>
          <w:p w14:paraId="55986F31">
            <w:pPr>
              <w:rPr>
                <w:rFonts w:hint="eastAsia" w:ascii="宋体" w:hAnsi="宋体" w:eastAsia="宋体" w:cs="宋体"/>
                <w:color w:val="auto"/>
                <w:sz w:val="24"/>
                <w:szCs w:val="24"/>
                <w:highlight w:val="none"/>
              </w:rPr>
            </w:pPr>
          </w:p>
          <w:p w14:paraId="56F46CB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rPr>
              <w:t>）</w:t>
            </w:r>
          </w:p>
          <w:p w14:paraId="2ACDFFCC">
            <w:pPr>
              <w:rPr>
                <w:rFonts w:hint="eastAsia" w:ascii="宋体" w:hAnsi="宋体" w:eastAsia="宋体" w:cs="宋体"/>
                <w:color w:val="auto"/>
                <w:sz w:val="24"/>
                <w:szCs w:val="24"/>
                <w:highlight w:val="none"/>
              </w:rPr>
            </w:pPr>
          </w:p>
          <w:p w14:paraId="696DA292">
            <w:pPr>
              <w:rPr>
                <w:rFonts w:hint="eastAsia" w:ascii="宋体" w:hAnsi="宋体" w:eastAsia="宋体" w:cs="宋体"/>
                <w:color w:val="auto"/>
                <w:sz w:val="24"/>
                <w:szCs w:val="24"/>
                <w:highlight w:val="none"/>
              </w:rPr>
            </w:pPr>
          </w:p>
          <w:p w14:paraId="1C839620">
            <w:pPr>
              <w:rPr>
                <w:rFonts w:hint="eastAsia" w:ascii="宋体" w:hAnsi="宋体" w:eastAsia="宋体" w:cs="宋体"/>
                <w:color w:val="auto"/>
                <w:sz w:val="24"/>
                <w:szCs w:val="24"/>
                <w:highlight w:val="none"/>
              </w:rPr>
            </w:pPr>
          </w:p>
          <w:p w14:paraId="17890142">
            <w:pPr>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tc>
      </w:tr>
    </w:tbl>
    <w:p w14:paraId="416170F3">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：确认通知</w:t>
      </w:r>
    </w:p>
    <w:p w14:paraId="2013C0A9">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确认通知</w:t>
      </w:r>
    </w:p>
    <w:p w14:paraId="223C929F">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名称）：</w:t>
      </w:r>
    </w:p>
    <w:p w14:paraId="4BBEBB04">
      <w:pPr>
        <w:spacing w:line="480" w:lineRule="exact"/>
        <w:rPr>
          <w:rFonts w:hint="eastAsia" w:ascii="宋体" w:hAnsi="宋体" w:eastAsia="宋体" w:cs="宋体"/>
          <w:color w:val="auto"/>
          <w:sz w:val="24"/>
          <w:szCs w:val="24"/>
          <w:highlight w:val="none"/>
        </w:rPr>
      </w:pPr>
    </w:p>
    <w:p w14:paraId="177290F9">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你方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日发出的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（项目名称）招标关于</w:t>
      </w:r>
    </w:p>
    <w:p w14:paraId="72243B3F">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的通知，我方已于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日收到。</w:t>
      </w:r>
    </w:p>
    <w:p w14:paraId="4B9A7F7A">
      <w:pPr>
        <w:spacing w:line="480" w:lineRule="exact"/>
        <w:ind w:firstLine="480" w:firstLineChars="200"/>
        <w:rPr>
          <w:rFonts w:hint="eastAsia" w:ascii="宋体" w:hAnsi="宋体" w:eastAsia="宋体" w:cs="宋体"/>
          <w:color w:val="auto"/>
          <w:sz w:val="24"/>
          <w:szCs w:val="24"/>
          <w:highlight w:val="none"/>
        </w:rPr>
      </w:pPr>
    </w:p>
    <w:p w14:paraId="0FBD200F">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特此确认。</w:t>
      </w:r>
    </w:p>
    <w:p w14:paraId="363EE507">
      <w:pPr>
        <w:spacing w:line="480" w:lineRule="exact"/>
        <w:ind w:firstLine="480" w:firstLineChars="200"/>
        <w:rPr>
          <w:rFonts w:hint="eastAsia" w:ascii="宋体" w:hAnsi="宋体" w:eastAsia="宋体" w:cs="宋体"/>
          <w:color w:val="auto"/>
          <w:sz w:val="24"/>
          <w:szCs w:val="24"/>
          <w:highlight w:val="none"/>
        </w:rPr>
      </w:pPr>
    </w:p>
    <w:p w14:paraId="2D8A98B7">
      <w:pPr>
        <w:spacing w:line="480" w:lineRule="exact"/>
        <w:ind w:firstLine="480" w:firstLineChars="200"/>
        <w:rPr>
          <w:rFonts w:hint="eastAsia" w:ascii="宋体" w:hAnsi="宋体" w:eastAsia="宋体" w:cs="宋体"/>
          <w:color w:val="auto"/>
          <w:sz w:val="24"/>
          <w:szCs w:val="24"/>
          <w:highlight w:val="none"/>
        </w:rPr>
      </w:pPr>
    </w:p>
    <w:p w14:paraId="6F4FEC5C">
      <w:pPr>
        <w:spacing w:line="480" w:lineRule="exact"/>
        <w:ind w:firstLine="480" w:firstLineChars="200"/>
        <w:rPr>
          <w:rFonts w:hint="eastAsia" w:ascii="宋体" w:hAnsi="宋体" w:eastAsia="宋体" w:cs="宋体"/>
          <w:color w:val="auto"/>
          <w:sz w:val="24"/>
          <w:szCs w:val="24"/>
          <w:highlight w:val="none"/>
        </w:rPr>
      </w:pPr>
    </w:p>
    <w:p w14:paraId="1F5E540A">
      <w:pPr>
        <w:spacing w:line="480" w:lineRule="exact"/>
        <w:ind w:firstLine="480" w:firstLineChars="200"/>
        <w:rPr>
          <w:rFonts w:hint="eastAsia" w:ascii="宋体" w:hAnsi="宋体" w:eastAsia="宋体" w:cs="宋体"/>
          <w:color w:val="auto"/>
          <w:sz w:val="24"/>
          <w:szCs w:val="24"/>
          <w:highlight w:val="none"/>
        </w:rPr>
      </w:pPr>
    </w:p>
    <w:p w14:paraId="31BE4CA9">
      <w:pPr>
        <w:wordWrap w:val="0"/>
        <w:spacing w:line="48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（盖单位章）     </w:t>
      </w:r>
    </w:p>
    <w:p w14:paraId="68D72706">
      <w:pPr>
        <w:wordWrap w:val="0"/>
        <w:spacing w:line="48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14:paraId="031D12FE">
      <w:pPr>
        <w:pStyle w:val="5"/>
        <w:jc w:val="center"/>
        <w:rPr>
          <w:rFonts w:hint="eastAsia" w:ascii="宋体" w:hAnsi="宋体" w:eastAsia="宋体" w:cs="宋体"/>
          <w:b w:val="0"/>
          <w:bCs w:val="0"/>
          <w:color w:val="auto"/>
          <w:sz w:val="36"/>
          <w:szCs w:val="36"/>
          <w:highlight w:val="none"/>
        </w:rPr>
      </w:pPr>
      <w:r>
        <w:rPr>
          <w:rFonts w:hint="eastAsia" w:ascii="宋体" w:hAnsi="宋体" w:eastAsia="宋体" w:cs="宋体"/>
          <w:color w:val="auto"/>
          <w:sz w:val="24"/>
          <w:szCs w:val="24"/>
          <w:highlight w:val="none"/>
        </w:rPr>
        <w:br w:type="page"/>
      </w:r>
      <w:bookmarkStart w:id="341" w:name="_Toc22050"/>
      <w:r>
        <w:rPr>
          <w:rFonts w:hint="eastAsia" w:ascii="宋体" w:hAnsi="宋体" w:eastAsia="宋体" w:cs="宋体"/>
          <w:b/>
          <w:bCs/>
          <w:color w:val="auto"/>
          <w:sz w:val="36"/>
          <w:szCs w:val="36"/>
          <w:highlight w:val="none"/>
        </w:rPr>
        <w:t>第三章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评标办法（综合评估法）</w:t>
      </w:r>
      <w:bookmarkEnd w:id="327"/>
      <w:bookmarkEnd w:id="328"/>
      <w:bookmarkEnd w:id="329"/>
      <w:bookmarkEnd w:id="330"/>
      <w:bookmarkEnd w:id="331"/>
      <w:bookmarkEnd w:id="332"/>
      <w:bookmarkEnd w:id="333"/>
      <w:bookmarkEnd w:id="341"/>
    </w:p>
    <w:p w14:paraId="4A443A77">
      <w:pPr>
        <w:autoSpaceDE w:val="0"/>
        <w:autoSpaceDN w:val="0"/>
        <w:adjustRightInd w:val="0"/>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lang w:val="zh-CN"/>
        </w:rPr>
        <w:t>磋商小组按以下工作程序进行评标： 初步评审（详见评标办法前附表（一））、磋商有关问题、最终投标报价、详细评审（详见评标办法前附表（二））、</w:t>
      </w:r>
      <w:r>
        <w:rPr>
          <w:rFonts w:hint="eastAsia" w:ascii="宋体" w:hAnsi="宋体" w:eastAsia="宋体" w:cs="宋体"/>
          <w:color w:val="auto"/>
          <w:sz w:val="24"/>
          <w:highlight w:val="none"/>
          <w:shd w:val="clear" w:color="auto" w:fill="FFFFFF"/>
        </w:rPr>
        <w:t>编写评标报告</w:t>
      </w:r>
      <w:r>
        <w:rPr>
          <w:rFonts w:hint="eastAsia" w:ascii="宋体" w:hAnsi="宋体" w:eastAsia="宋体" w:cs="宋体"/>
          <w:color w:val="auto"/>
          <w:sz w:val="24"/>
          <w:highlight w:val="none"/>
          <w:lang w:val="zh-CN"/>
        </w:rPr>
        <w:t>。</w:t>
      </w:r>
    </w:p>
    <w:p w14:paraId="0B152056">
      <w:pPr>
        <w:jc w:val="center"/>
        <w:rPr>
          <w:rFonts w:hint="eastAsia" w:ascii="宋体" w:hAnsi="宋体" w:eastAsia="宋体" w:cs="宋体"/>
          <w:b/>
          <w:color w:val="auto"/>
          <w:sz w:val="28"/>
          <w:szCs w:val="28"/>
          <w:highlight w:val="none"/>
        </w:rPr>
      </w:pPr>
      <w:bookmarkStart w:id="342" w:name="_Toc152042376"/>
      <w:bookmarkStart w:id="343" w:name="_Toc246996242"/>
      <w:bookmarkStart w:id="344" w:name="_Toc179632617"/>
      <w:bookmarkStart w:id="345" w:name="_Toc144974566"/>
      <w:bookmarkStart w:id="346" w:name="_Toc152045599"/>
      <w:bookmarkStart w:id="347" w:name="_Toc247085757"/>
      <w:bookmarkStart w:id="348" w:name="_Toc246996985"/>
      <w:r>
        <w:rPr>
          <w:rFonts w:hint="eastAsia" w:ascii="宋体" w:hAnsi="宋体" w:eastAsia="宋体" w:cs="宋体"/>
          <w:b/>
          <w:color w:val="auto"/>
          <w:sz w:val="28"/>
          <w:szCs w:val="28"/>
          <w:highlight w:val="none"/>
        </w:rPr>
        <w:t>1、初步评审</w:t>
      </w:r>
    </w:p>
    <w:p w14:paraId="67137765">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评标办法前附表</w:t>
      </w:r>
      <w:bookmarkEnd w:id="342"/>
      <w:bookmarkEnd w:id="343"/>
      <w:bookmarkEnd w:id="344"/>
      <w:bookmarkEnd w:id="345"/>
      <w:bookmarkEnd w:id="346"/>
      <w:bookmarkEnd w:id="347"/>
      <w:bookmarkEnd w:id="348"/>
      <w:r>
        <w:rPr>
          <w:rFonts w:hint="eastAsia" w:ascii="宋体" w:hAnsi="宋体" w:eastAsia="宋体" w:cs="宋体"/>
          <w:b/>
          <w:color w:val="auto"/>
          <w:sz w:val="28"/>
          <w:szCs w:val="28"/>
          <w:highlight w:val="none"/>
        </w:rPr>
        <w:t>（一）</w:t>
      </w:r>
    </w:p>
    <w:tbl>
      <w:tblPr>
        <w:tblStyle w:val="2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38"/>
        <w:gridCol w:w="1795"/>
        <w:gridCol w:w="5089"/>
      </w:tblGrid>
      <w:tr w14:paraId="14081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14" w:type="pct"/>
            <w:gridSpan w:val="2"/>
            <w:tcBorders>
              <w:top w:val="single" w:color="auto" w:sz="4" w:space="0"/>
              <w:left w:val="single" w:color="auto" w:sz="4" w:space="0"/>
              <w:bottom w:val="single" w:color="auto" w:sz="4" w:space="0"/>
              <w:right w:val="single" w:color="auto" w:sz="4" w:space="0"/>
            </w:tcBorders>
            <w:vAlign w:val="center"/>
          </w:tcPr>
          <w:p w14:paraId="5D51912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2985" w:type="pct"/>
            <w:tcBorders>
              <w:top w:val="single" w:color="auto" w:sz="4" w:space="0"/>
              <w:left w:val="single" w:color="auto" w:sz="4" w:space="0"/>
              <w:bottom w:val="single" w:color="auto" w:sz="4" w:space="0"/>
              <w:right w:val="single" w:color="auto" w:sz="4" w:space="0"/>
            </w:tcBorders>
            <w:vAlign w:val="center"/>
          </w:tcPr>
          <w:p w14:paraId="0A71502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r>
      <w:tr w14:paraId="6F7C7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61" w:type="pct"/>
            <w:vMerge w:val="restart"/>
            <w:tcBorders>
              <w:top w:val="single" w:color="auto" w:sz="4" w:space="0"/>
              <w:left w:val="single" w:color="auto" w:sz="4" w:space="0"/>
              <w:right w:val="single" w:color="auto" w:sz="4" w:space="0"/>
            </w:tcBorders>
            <w:vAlign w:val="center"/>
          </w:tcPr>
          <w:p w14:paraId="2534966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1053" w:type="pct"/>
            <w:tcBorders>
              <w:top w:val="single" w:color="auto" w:sz="4" w:space="0"/>
              <w:left w:val="single" w:color="auto" w:sz="4" w:space="0"/>
              <w:bottom w:val="single" w:color="auto" w:sz="4" w:space="0"/>
              <w:right w:val="single" w:color="auto" w:sz="4" w:space="0"/>
            </w:tcBorders>
            <w:vAlign w:val="center"/>
          </w:tcPr>
          <w:p w14:paraId="63B8FD5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p>
        </w:tc>
        <w:tc>
          <w:tcPr>
            <w:tcW w:w="2985" w:type="pct"/>
            <w:tcBorders>
              <w:top w:val="single" w:color="auto" w:sz="4" w:space="0"/>
              <w:left w:val="single" w:color="auto" w:sz="4" w:space="0"/>
              <w:bottom w:val="single" w:color="auto" w:sz="4" w:space="0"/>
              <w:right w:val="single" w:color="auto" w:sz="4" w:space="0"/>
            </w:tcBorders>
            <w:vAlign w:val="center"/>
          </w:tcPr>
          <w:p w14:paraId="412EF30D">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资质证书、安全生产许可证</w:t>
            </w:r>
            <w:r>
              <w:rPr>
                <w:rFonts w:hint="eastAsia" w:ascii="宋体" w:hAnsi="宋体" w:eastAsia="宋体" w:cs="宋体"/>
                <w:color w:val="auto"/>
                <w:sz w:val="21"/>
                <w:szCs w:val="21"/>
                <w:highlight w:val="none"/>
              </w:rPr>
              <w:t>一致。</w:t>
            </w:r>
          </w:p>
        </w:tc>
      </w:tr>
      <w:tr w14:paraId="57EA4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61" w:type="pct"/>
            <w:vMerge w:val="continue"/>
            <w:tcBorders>
              <w:left w:val="single" w:color="auto" w:sz="4" w:space="0"/>
              <w:right w:val="single" w:color="auto" w:sz="4" w:space="0"/>
            </w:tcBorders>
            <w:vAlign w:val="center"/>
          </w:tcPr>
          <w:p w14:paraId="39536AC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053" w:type="pct"/>
            <w:tcBorders>
              <w:top w:val="single" w:color="auto" w:sz="4" w:space="0"/>
              <w:left w:val="single" w:color="auto" w:sz="4" w:space="0"/>
              <w:bottom w:val="single" w:color="auto" w:sz="4" w:space="0"/>
              <w:right w:val="single" w:color="auto" w:sz="4" w:space="0"/>
            </w:tcBorders>
            <w:vAlign w:val="center"/>
          </w:tcPr>
          <w:p w14:paraId="436CCE8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投标函签字盖章</w:t>
            </w:r>
          </w:p>
        </w:tc>
        <w:tc>
          <w:tcPr>
            <w:tcW w:w="2985" w:type="pct"/>
            <w:tcBorders>
              <w:top w:val="single" w:color="auto" w:sz="4" w:space="0"/>
              <w:left w:val="single" w:color="auto" w:sz="4" w:space="0"/>
              <w:bottom w:val="single" w:color="auto" w:sz="4" w:space="0"/>
              <w:right w:val="single" w:color="auto" w:sz="4" w:space="0"/>
            </w:tcBorders>
            <w:vAlign w:val="center"/>
          </w:tcPr>
          <w:p w14:paraId="526E420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有法定代表人或其委托代理人签字或</w:t>
            </w:r>
            <w:r>
              <w:rPr>
                <w:rFonts w:hint="eastAsia" w:hAnsi="宋体" w:cs="宋体"/>
                <w:color w:val="auto"/>
                <w:sz w:val="21"/>
                <w:szCs w:val="21"/>
                <w:highlight w:val="none"/>
                <w:lang w:eastAsia="zh-CN"/>
              </w:rPr>
              <w:t>盖章并</w:t>
            </w:r>
            <w:r>
              <w:rPr>
                <w:rFonts w:hint="eastAsia" w:ascii="宋体" w:hAnsi="宋体" w:eastAsia="宋体" w:cs="宋体"/>
                <w:color w:val="auto"/>
                <w:sz w:val="21"/>
                <w:szCs w:val="21"/>
                <w:highlight w:val="none"/>
              </w:rPr>
              <w:t>加盖单位章。由法定代表人签字的，应附法定代表人身份证明，由代理人签字的，应附授权委托书，身份证明或授权委托书应符合“响应文件格式”的规定</w:t>
            </w:r>
          </w:p>
        </w:tc>
      </w:tr>
      <w:tr w14:paraId="0588D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1" w:type="pct"/>
            <w:vMerge w:val="continue"/>
            <w:tcBorders>
              <w:left w:val="single" w:color="auto" w:sz="4" w:space="0"/>
              <w:right w:val="single" w:color="auto" w:sz="4" w:space="0"/>
            </w:tcBorders>
            <w:vAlign w:val="center"/>
          </w:tcPr>
          <w:p w14:paraId="6D5E6F7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053" w:type="pct"/>
            <w:tcBorders>
              <w:top w:val="single" w:color="auto" w:sz="4" w:space="0"/>
              <w:left w:val="single" w:color="auto" w:sz="4" w:space="0"/>
              <w:bottom w:val="single" w:color="auto" w:sz="4" w:space="0"/>
              <w:right w:val="single" w:color="auto" w:sz="4" w:space="0"/>
            </w:tcBorders>
            <w:vAlign w:val="center"/>
          </w:tcPr>
          <w:p w14:paraId="311D9A4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响应文件格式</w:t>
            </w:r>
          </w:p>
        </w:tc>
        <w:tc>
          <w:tcPr>
            <w:tcW w:w="2985" w:type="pct"/>
            <w:tcBorders>
              <w:top w:val="single" w:color="auto" w:sz="4" w:space="0"/>
              <w:left w:val="single" w:color="auto" w:sz="4" w:space="0"/>
              <w:bottom w:val="single" w:color="auto" w:sz="4" w:space="0"/>
              <w:right w:val="single" w:color="auto" w:sz="4" w:space="0"/>
            </w:tcBorders>
            <w:vAlign w:val="center"/>
          </w:tcPr>
          <w:p w14:paraId="1BA5754D">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符合磋商文件中 “响应文件格式”的要求，按磋商文件的要求盖章、签署。</w:t>
            </w:r>
          </w:p>
        </w:tc>
      </w:tr>
      <w:tr w14:paraId="200C8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961" w:type="pct"/>
            <w:vMerge w:val="continue"/>
            <w:tcBorders>
              <w:left w:val="single" w:color="auto" w:sz="4" w:space="0"/>
              <w:bottom w:val="single" w:color="auto" w:sz="4" w:space="0"/>
              <w:right w:val="single" w:color="auto" w:sz="4" w:space="0"/>
            </w:tcBorders>
            <w:vAlign w:val="center"/>
          </w:tcPr>
          <w:p w14:paraId="6D027CF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053" w:type="pct"/>
            <w:tcBorders>
              <w:top w:val="single" w:color="auto" w:sz="4" w:space="0"/>
              <w:left w:val="single" w:color="auto" w:sz="4" w:space="0"/>
              <w:bottom w:val="single" w:color="auto" w:sz="4" w:space="0"/>
              <w:right w:val="single" w:color="auto" w:sz="4" w:space="0"/>
            </w:tcBorders>
            <w:vAlign w:val="center"/>
          </w:tcPr>
          <w:p w14:paraId="185E425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2985" w:type="pct"/>
            <w:tcBorders>
              <w:top w:val="single" w:color="auto" w:sz="4" w:space="0"/>
              <w:left w:val="single" w:color="auto" w:sz="4" w:space="0"/>
              <w:bottom w:val="single" w:color="auto" w:sz="4" w:space="0"/>
              <w:right w:val="single" w:color="auto" w:sz="4" w:space="0"/>
            </w:tcBorders>
            <w:vAlign w:val="center"/>
          </w:tcPr>
          <w:p w14:paraId="6BADA8C7">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只能有一个有效报价。</w:t>
            </w:r>
          </w:p>
        </w:tc>
      </w:tr>
      <w:tr w14:paraId="1AD69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1" w:type="pct"/>
            <w:vMerge w:val="restart"/>
            <w:tcBorders>
              <w:top w:val="single" w:color="auto" w:sz="4" w:space="0"/>
              <w:left w:val="single" w:color="auto" w:sz="4" w:space="0"/>
              <w:right w:val="single" w:color="auto" w:sz="4" w:space="0"/>
            </w:tcBorders>
            <w:vAlign w:val="center"/>
          </w:tcPr>
          <w:p w14:paraId="4A05A58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1053" w:type="pct"/>
            <w:tcBorders>
              <w:top w:val="single" w:color="auto" w:sz="4" w:space="0"/>
              <w:left w:val="single" w:color="auto" w:sz="4" w:space="0"/>
              <w:bottom w:val="single" w:color="auto" w:sz="4" w:space="0"/>
              <w:right w:val="single" w:color="auto" w:sz="4" w:space="0"/>
            </w:tcBorders>
            <w:vAlign w:val="center"/>
          </w:tcPr>
          <w:p w14:paraId="16222A5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2985" w:type="pct"/>
            <w:tcBorders>
              <w:top w:val="single" w:color="auto" w:sz="4" w:space="0"/>
              <w:left w:val="single" w:color="auto" w:sz="4" w:space="0"/>
              <w:bottom w:val="single" w:color="auto" w:sz="4" w:space="0"/>
              <w:right w:val="single" w:color="auto" w:sz="4" w:space="0"/>
            </w:tcBorders>
            <w:vAlign w:val="center"/>
          </w:tcPr>
          <w:p w14:paraId="651FA79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具备有效的营业执照，</w:t>
            </w:r>
            <w:r>
              <w:rPr>
                <w:rFonts w:hint="eastAsia" w:ascii="宋体" w:hAnsi="宋体" w:eastAsia="宋体" w:cs="宋体"/>
                <w:color w:val="auto"/>
                <w:sz w:val="21"/>
                <w:szCs w:val="21"/>
                <w:highlight w:val="none"/>
                <w:lang w:eastAsia="zh-CN"/>
              </w:rPr>
              <w:t>响应文件内</w:t>
            </w:r>
            <w:r>
              <w:rPr>
                <w:rFonts w:hint="eastAsia" w:ascii="宋体" w:hAnsi="宋体" w:eastAsia="宋体" w:cs="宋体"/>
                <w:color w:val="auto"/>
                <w:sz w:val="21"/>
                <w:szCs w:val="21"/>
                <w:highlight w:val="none"/>
              </w:rPr>
              <w:t>附复印件加盖单位公章。</w:t>
            </w:r>
          </w:p>
        </w:tc>
      </w:tr>
      <w:tr w14:paraId="02FEF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1" w:type="pct"/>
            <w:vMerge w:val="continue"/>
            <w:tcBorders>
              <w:left w:val="single" w:color="auto" w:sz="4" w:space="0"/>
              <w:right w:val="single" w:color="auto" w:sz="4" w:space="0"/>
            </w:tcBorders>
            <w:vAlign w:val="center"/>
          </w:tcPr>
          <w:p w14:paraId="60B7E48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053" w:type="pct"/>
            <w:tcBorders>
              <w:top w:val="single" w:color="auto" w:sz="4" w:space="0"/>
              <w:left w:val="single" w:color="auto" w:sz="4" w:space="0"/>
              <w:bottom w:val="single" w:color="auto" w:sz="4" w:space="0"/>
              <w:right w:val="single" w:color="auto" w:sz="4" w:space="0"/>
            </w:tcBorders>
            <w:vAlign w:val="center"/>
          </w:tcPr>
          <w:p w14:paraId="1ECCC86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资质证书</w:t>
            </w:r>
          </w:p>
        </w:tc>
        <w:tc>
          <w:tcPr>
            <w:tcW w:w="2985" w:type="pct"/>
            <w:tcBorders>
              <w:top w:val="single" w:color="auto" w:sz="4" w:space="0"/>
              <w:left w:val="single" w:color="auto" w:sz="4" w:space="0"/>
              <w:bottom w:val="single" w:color="auto" w:sz="4" w:space="0"/>
              <w:right w:val="single" w:color="auto" w:sz="4" w:space="0"/>
            </w:tcBorders>
            <w:vAlign w:val="center"/>
          </w:tcPr>
          <w:p w14:paraId="496B3EB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具备建设行政主管部门核发的建筑工程施工总承包二级及以上资质</w:t>
            </w: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附复印件加盖单位公章。</w:t>
            </w:r>
          </w:p>
        </w:tc>
      </w:tr>
      <w:tr w14:paraId="0CF96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1" w:type="pct"/>
            <w:vMerge w:val="continue"/>
            <w:tcBorders>
              <w:left w:val="single" w:color="auto" w:sz="4" w:space="0"/>
              <w:right w:val="single" w:color="auto" w:sz="4" w:space="0"/>
            </w:tcBorders>
            <w:vAlign w:val="center"/>
          </w:tcPr>
          <w:p w14:paraId="00A5D52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053" w:type="pct"/>
            <w:tcBorders>
              <w:top w:val="single" w:color="auto" w:sz="4" w:space="0"/>
              <w:left w:val="single" w:color="auto" w:sz="4" w:space="0"/>
              <w:bottom w:val="single" w:color="auto" w:sz="4" w:space="0"/>
              <w:right w:val="single" w:color="auto" w:sz="4" w:space="0"/>
            </w:tcBorders>
            <w:vAlign w:val="center"/>
          </w:tcPr>
          <w:p w14:paraId="299787B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安全生产许可证</w:t>
            </w:r>
          </w:p>
        </w:tc>
        <w:tc>
          <w:tcPr>
            <w:tcW w:w="2985" w:type="pct"/>
            <w:tcBorders>
              <w:top w:val="single" w:color="auto" w:sz="4" w:space="0"/>
              <w:left w:val="single" w:color="auto" w:sz="4" w:space="0"/>
              <w:bottom w:val="single" w:color="auto" w:sz="4" w:space="0"/>
              <w:right w:val="single" w:color="auto" w:sz="4" w:space="0"/>
            </w:tcBorders>
            <w:vAlign w:val="center"/>
          </w:tcPr>
          <w:p w14:paraId="2A4B9AE7">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具有有效的安全生产许可证（或安全生产许可证电子证书）。响应文件</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附复印件加盖单位公章。</w:t>
            </w:r>
          </w:p>
        </w:tc>
      </w:tr>
      <w:tr w14:paraId="09BFA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1" w:type="pct"/>
            <w:vMerge w:val="continue"/>
            <w:tcBorders>
              <w:left w:val="single" w:color="auto" w:sz="4" w:space="0"/>
              <w:right w:val="single" w:color="auto" w:sz="4" w:space="0"/>
            </w:tcBorders>
            <w:vAlign w:val="center"/>
          </w:tcPr>
          <w:p w14:paraId="6BE76CE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053" w:type="pct"/>
            <w:tcBorders>
              <w:top w:val="single" w:color="auto" w:sz="4" w:space="0"/>
              <w:left w:val="single" w:color="auto" w:sz="4" w:space="0"/>
              <w:bottom w:val="single" w:color="auto" w:sz="4" w:space="0"/>
              <w:right w:val="single" w:color="auto" w:sz="4" w:space="0"/>
            </w:tcBorders>
            <w:vAlign w:val="center"/>
          </w:tcPr>
          <w:p w14:paraId="1BB0F6F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资格条件承诺函</w:t>
            </w:r>
          </w:p>
        </w:tc>
        <w:tc>
          <w:tcPr>
            <w:tcW w:w="2985" w:type="pct"/>
            <w:tcBorders>
              <w:top w:val="single" w:color="auto" w:sz="4" w:space="0"/>
              <w:left w:val="single" w:color="auto" w:sz="4" w:space="0"/>
              <w:bottom w:val="single" w:color="auto" w:sz="4" w:space="0"/>
              <w:right w:val="single" w:color="auto" w:sz="4" w:space="0"/>
            </w:tcBorders>
            <w:vAlign w:val="center"/>
          </w:tcPr>
          <w:p w14:paraId="77CC66DD">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供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r>
              <w:rPr>
                <w:rFonts w:hint="eastAsia" w:ascii="宋体" w:hAnsi="宋体" w:eastAsia="宋体" w:cs="宋体"/>
                <w:bCs/>
                <w:color w:val="auto"/>
                <w:sz w:val="21"/>
                <w:szCs w:val="21"/>
                <w:highlight w:val="none"/>
                <w:lang w:eastAsia="zh-CN"/>
              </w:rPr>
              <w:t>。响应文件内按格式附资格条件承诺函</w:t>
            </w:r>
            <w:r>
              <w:rPr>
                <w:rFonts w:hint="eastAsia" w:ascii="宋体" w:hAnsi="宋体" w:eastAsia="宋体" w:cs="宋体"/>
                <w:color w:val="auto"/>
                <w:sz w:val="21"/>
                <w:szCs w:val="21"/>
                <w:highlight w:val="none"/>
              </w:rPr>
              <w:t>加盖单位公章</w:t>
            </w:r>
            <w:r>
              <w:rPr>
                <w:rFonts w:hint="eastAsia" w:ascii="宋体" w:hAnsi="宋体" w:eastAsia="宋体" w:cs="宋体"/>
                <w:bCs/>
                <w:color w:val="auto"/>
                <w:sz w:val="21"/>
                <w:szCs w:val="21"/>
                <w:highlight w:val="none"/>
                <w:lang w:eastAsia="zh-CN"/>
              </w:rPr>
              <w:t>。</w:t>
            </w:r>
          </w:p>
        </w:tc>
      </w:tr>
      <w:tr w14:paraId="40F8E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1" w:type="pct"/>
            <w:vMerge w:val="continue"/>
            <w:tcBorders>
              <w:left w:val="single" w:color="auto" w:sz="4" w:space="0"/>
              <w:right w:val="single" w:color="auto" w:sz="4" w:space="0"/>
            </w:tcBorders>
            <w:vAlign w:val="center"/>
          </w:tcPr>
          <w:p w14:paraId="4FB803B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053" w:type="pct"/>
            <w:tcBorders>
              <w:top w:val="single" w:color="auto" w:sz="4" w:space="0"/>
              <w:left w:val="single" w:color="auto" w:sz="4" w:space="0"/>
              <w:bottom w:val="single" w:color="auto" w:sz="4" w:space="0"/>
              <w:right w:val="single" w:color="auto" w:sz="4" w:space="0"/>
            </w:tcBorders>
            <w:vAlign w:val="center"/>
          </w:tcPr>
          <w:p w14:paraId="22BFE7A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法人授权委托书</w:t>
            </w:r>
          </w:p>
        </w:tc>
        <w:tc>
          <w:tcPr>
            <w:tcW w:w="2985" w:type="pct"/>
            <w:tcBorders>
              <w:top w:val="single" w:color="auto" w:sz="4" w:space="0"/>
              <w:left w:val="single" w:color="auto" w:sz="4" w:space="0"/>
              <w:bottom w:val="single" w:color="auto" w:sz="4" w:space="0"/>
              <w:right w:val="single" w:color="auto" w:sz="4" w:space="0"/>
            </w:tcBorders>
            <w:vAlign w:val="center"/>
          </w:tcPr>
          <w:p w14:paraId="3CA96FDD">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提供法定代表人及其委托代理人签字并加盖公章的授权委托书，响应文件内附复印件加盖公章。</w:t>
            </w:r>
          </w:p>
        </w:tc>
      </w:tr>
      <w:tr w14:paraId="3F7E4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961" w:type="pct"/>
            <w:vMerge w:val="continue"/>
            <w:tcBorders>
              <w:left w:val="single" w:color="auto" w:sz="4" w:space="0"/>
              <w:right w:val="single" w:color="auto" w:sz="4" w:space="0"/>
            </w:tcBorders>
            <w:vAlign w:val="center"/>
          </w:tcPr>
          <w:p w14:paraId="2950044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053" w:type="pct"/>
            <w:tcBorders>
              <w:top w:val="single" w:color="auto" w:sz="4" w:space="0"/>
              <w:left w:val="single" w:color="auto" w:sz="4" w:space="0"/>
              <w:bottom w:val="single" w:color="auto" w:sz="4" w:space="0"/>
              <w:right w:val="single" w:color="auto" w:sz="4" w:space="0"/>
            </w:tcBorders>
            <w:vAlign w:val="center"/>
          </w:tcPr>
          <w:p w14:paraId="5B18051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w:t>
            </w:r>
          </w:p>
        </w:tc>
        <w:tc>
          <w:tcPr>
            <w:tcW w:w="2985" w:type="pct"/>
            <w:tcBorders>
              <w:top w:val="single" w:color="auto" w:sz="4" w:space="0"/>
              <w:left w:val="single" w:color="auto" w:sz="4" w:space="0"/>
              <w:bottom w:val="single" w:color="auto" w:sz="4" w:space="0"/>
              <w:right w:val="single" w:color="auto" w:sz="4" w:space="0"/>
            </w:tcBorders>
            <w:vAlign w:val="center"/>
          </w:tcPr>
          <w:p w14:paraId="500B804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拒绝列入政府取消投标资格记录期间的企业或个人投标。（2）未被市场监督管理机关在国家企业信用信息公示系统（www.gsxt.gov.cn）中列入严重违法失信企业名单。（3）未被“信用中国”（www.creditchina.gov.cn）列入失信被执行人、重大税收违法案件当事人名单、未被中国政府采购网（www.ccgp.gov.cn）列入政府采购严重违法失信行为记录名单。（4）在近三年（2022年1月1日至今）内供应商或其法定代表人、拟委任的项目经理未在“中国裁判文书网”（http://wenshu.court.gov.cn/）上有行贿犯罪行为。</w:t>
            </w:r>
          </w:p>
          <w:p w14:paraId="3D156D8F">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zh-CN"/>
              </w:rPr>
              <w:t>内</w:t>
            </w:r>
            <w:r>
              <w:rPr>
                <w:rFonts w:hint="eastAsia" w:hAnsi="宋体" w:cs="宋体"/>
                <w:color w:val="auto"/>
                <w:sz w:val="21"/>
                <w:szCs w:val="21"/>
                <w:highlight w:val="none"/>
                <w:lang w:val="zh-CN"/>
              </w:rPr>
              <w:t>（</w:t>
            </w:r>
            <w:r>
              <w:rPr>
                <w:rFonts w:hint="eastAsia" w:hAnsi="宋体" w:cs="宋体"/>
                <w:color w:val="auto"/>
                <w:sz w:val="21"/>
                <w:szCs w:val="21"/>
                <w:highlight w:val="none"/>
                <w:lang w:val="en-US" w:eastAsia="zh-CN"/>
              </w:rPr>
              <w:t>1</w:t>
            </w:r>
            <w:r>
              <w:rPr>
                <w:rFonts w:hint="eastAsia" w:hAnsi="宋体" w:cs="宋体"/>
                <w:color w:val="auto"/>
                <w:sz w:val="21"/>
                <w:szCs w:val="21"/>
                <w:highlight w:val="none"/>
                <w:lang w:val="zh-CN"/>
              </w:rPr>
              <w:t>）</w:t>
            </w:r>
            <w:r>
              <w:rPr>
                <w:rFonts w:hint="eastAsia" w:ascii="宋体" w:hAnsi="宋体" w:eastAsia="宋体" w:cs="宋体"/>
                <w:color w:val="auto"/>
                <w:sz w:val="21"/>
                <w:szCs w:val="21"/>
                <w:highlight w:val="none"/>
                <w:lang w:val="zh-CN"/>
              </w:rPr>
              <w:t>附由法定代表人</w:t>
            </w:r>
            <w:r>
              <w:rPr>
                <w:rFonts w:hint="eastAsia" w:ascii="宋体" w:hAnsi="宋体" w:eastAsia="宋体" w:cs="宋体"/>
                <w:color w:val="auto"/>
                <w:sz w:val="21"/>
                <w:szCs w:val="21"/>
                <w:highlight w:val="none"/>
              </w:rPr>
              <w:t>或其委托代理人签字</w:t>
            </w:r>
            <w:r>
              <w:rPr>
                <w:rFonts w:hint="eastAsia" w:ascii="宋体" w:hAnsi="宋体" w:eastAsia="宋体" w:cs="宋体"/>
                <w:color w:val="auto"/>
                <w:sz w:val="21"/>
                <w:szCs w:val="21"/>
                <w:highlight w:val="none"/>
                <w:lang w:val="zh-CN"/>
              </w:rPr>
              <w:t>并</w:t>
            </w:r>
            <w:r>
              <w:rPr>
                <w:rFonts w:hint="eastAsia" w:ascii="宋体" w:hAnsi="宋体" w:eastAsia="宋体" w:cs="宋体"/>
                <w:color w:val="auto"/>
                <w:sz w:val="21"/>
                <w:szCs w:val="21"/>
                <w:highlight w:val="none"/>
              </w:rPr>
              <w:t>加盖单位公章</w:t>
            </w:r>
            <w:r>
              <w:rPr>
                <w:rFonts w:hint="eastAsia" w:ascii="宋体" w:hAnsi="宋体" w:eastAsia="宋体" w:cs="宋体"/>
                <w:color w:val="auto"/>
                <w:sz w:val="21"/>
                <w:szCs w:val="21"/>
                <w:highlight w:val="none"/>
                <w:lang w:val="zh-CN"/>
              </w:rPr>
              <w:t>的承诺书。</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2</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4</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val="zh-CN"/>
              </w:rPr>
              <w:t>附</w:t>
            </w:r>
            <w:r>
              <w:rPr>
                <w:rFonts w:hint="eastAsia" w:ascii="宋体" w:hAnsi="宋体" w:eastAsia="宋体" w:cs="宋体"/>
                <w:color w:val="auto"/>
                <w:sz w:val="21"/>
                <w:szCs w:val="21"/>
                <w:highlight w:val="none"/>
              </w:rPr>
              <w:t>网站查询截图复印件加盖单位公章</w:t>
            </w:r>
            <w:r>
              <w:rPr>
                <w:rFonts w:hint="eastAsia" w:ascii="宋体" w:hAnsi="宋体" w:eastAsia="宋体" w:cs="宋体"/>
                <w:color w:val="auto"/>
                <w:sz w:val="21"/>
                <w:szCs w:val="21"/>
                <w:highlight w:val="none"/>
                <w:lang w:eastAsia="zh-CN"/>
              </w:rPr>
              <w:t>。</w:t>
            </w:r>
          </w:p>
        </w:tc>
      </w:tr>
      <w:tr w14:paraId="461BE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1" w:type="pct"/>
            <w:vMerge w:val="continue"/>
            <w:tcBorders>
              <w:left w:val="single" w:color="auto" w:sz="4" w:space="0"/>
              <w:right w:val="single" w:color="auto" w:sz="4" w:space="0"/>
            </w:tcBorders>
            <w:vAlign w:val="center"/>
          </w:tcPr>
          <w:p w14:paraId="5850E7B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053" w:type="pct"/>
            <w:tcBorders>
              <w:top w:val="single" w:color="auto" w:sz="4" w:space="0"/>
              <w:left w:val="single" w:color="auto" w:sz="4" w:space="0"/>
              <w:right w:val="single" w:color="auto" w:sz="4" w:space="0"/>
            </w:tcBorders>
            <w:vAlign w:val="center"/>
          </w:tcPr>
          <w:p w14:paraId="0FDFD9F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项目经理</w:t>
            </w:r>
          </w:p>
        </w:tc>
        <w:tc>
          <w:tcPr>
            <w:tcW w:w="2985" w:type="pct"/>
            <w:tcBorders>
              <w:top w:val="single" w:color="auto" w:sz="4" w:space="0"/>
              <w:left w:val="single" w:color="auto" w:sz="4" w:space="0"/>
              <w:bottom w:val="single" w:color="auto" w:sz="4" w:space="0"/>
              <w:right w:val="single" w:color="auto" w:sz="4" w:space="0"/>
            </w:tcBorders>
            <w:vAlign w:val="center"/>
          </w:tcPr>
          <w:p w14:paraId="38D2E7D7">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供应商拟派出的项目经理需具备建筑工程专业二级及以上注册建造师资格，具备有效的安全生产考核合格证书（B类），且无在建工程。响应文件内附项目经理证书复印件及无在建承诺书加盖单位公章。</w:t>
            </w:r>
          </w:p>
        </w:tc>
      </w:tr>
      <w:tr w14:paraId="437F2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961" w:type="pct"/>
            <w:vMerge w:val="continue"/>
            <w:tcBorders>
              <w:left w:val="single" w:color="auto" w:sz="4" w:space="0"/>
              <w:right w:val="single" w:color="auto" w:sz="4" w:space="0"/>
            </w:tcBorders>
            <w:vAlign w:val="center"/>
          </w:tcPr>
          <w:p w14:paraId="6E59FC7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053" w:type="pct"/>
            <w:tcBorders>
              <w:top w:val="single" w:color="auto" w:sz="4" w:space="0"/>
              <w:left w:val="single" w:color="auto" w:sz="4" w:space="0"/>
              <w:bottom w:val="single" w:color="auto" w:sz="4" w:space="0"/>
              <w:right w:val="single" w:color="auto" w:sz="4" w:space="0"/>
            </w:tcBorders>
            <w:vAlign w:val="center"/>
          </w:tcPr>
          <w:p w14:paraId="3978CE8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中小企业声明函</w:t>
            </w:r>
          </w:p>
        </w:tc>
        <w:tc>
          <w:tcPr>
            <w:tcW w:w="2985" w:type="pct"/>
            <w:tcBorders>
              <w:top w:val="single" w:color="auto" w:sz="4" w:space="0"/>
              <w:left w:val="single" w:color="auto" w:sz="4" w:space="0"/>
              <w:bottom w:val="single" w:color="auto" w:sz="4" w:space="0"/>
              <w:right w:val="single" w:color="auto" w:sz="4" w:space="0"/>
            </w:tcBorders>
            <w:vAlign w:val="center"/>
          </w:tcPr>
          <w:p w14:paraId="2751D8CF">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响应文件中提供中小企业声明函加盖单位公章。</w:t>
            </w:r>
          </w:p>
        </w:tc>
      </w:tr>
      <w:tr w14:paraId="2F6DB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961" w:type="pct"/>
            <w:vMerge w:val="continue"/>
            <w:tcBorders>
              <w:left w:val="single" w:color="auto" w:sz="4" w:space="0"/>
              <w:right w:val="single" w:color="auto" w:sz="4" w:space="0"/>
            </w:tcBorders>
            <w:vAlign w:val="center"/>
          </w:tcPr>
          <w:p w14:paraId="39AF28D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053" w:type="pct"/>
            <w:tcBorders>
              <w:top w:val="single" w:color="auto" w:sz="4" w:space="0"/>
              <w:left w:val="single" w:color="auto" w:sz="4" w:space="0"/>
              <w:bottom w:val="single" w:color="auto" w:sz="4" w:space="0"/>
              <w:right w:val="single" w:color="auto" w:sz="4" w:space="0"/>
            </w:tcBorders>
            <w:vAlign w:val="center"/>
          </w:tcPr>
          <w:p w14:paraId="18F5C55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2985" w:type="pct"/>
            <w:tcBorders>
              <w:top w:val="single" w:color="auto" w:sz="4" w:space="0"/>
              <w:left w:val="single" w:color="auto" w:sz="4" w:space="0"/>
              <w:bottom w:val="single" w:color="auto" w:sz="4" w:space="0"/>
              <w:right w:val="single" w:color="auto" w:sz="4" w:space="0"/>
            </w:tcBorders>
            <w:vAlign w:val="center"/>
          </w:tcPr>
          <w:p w14:paraId="0675B4EF">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外省入吉建筑企业应按照吉林省相关文件要求办理入吉建筑企业信息登记后方可参加投标。</w:t>
            </w:r>
            <w:r>
              <w:rPr>
                <w:rFonts w:hint="eastAsia" w:ascii="宋体" w:hAnsi="宋体" w:eastAsia="宋体" w:cs="宋体"/>
                <w:color w:val="auto"/>
                <w:sz w:val="21"/>
                <w:szCs w:val="21"/>
                <w:highlight w:val="none"/>
                <w:lang w:val="en-US" w:eastAsia="zh-CN"/>
              </w:rPr>
              <w:t>如是，响应文件内附</w:t>
            </w:r>
            <w:r>
              <w:rPr>
                <w:rFonts w:hint="eastAsia" w:ascii="宋体" w:hAnsi="宋体" w:eastAsia="宋体" w:cs="宋体"/>
                <w:b w:val="0"/>
                <w:bCs/>
                <w:color w:val="auto"/>
                <w:sz w:val="21"/>
                <w:szCs w:val="21"/>
                <w:highlight w:val="none"/>
              </w:rPr>
              <w:t>吉林省建筑市场监管公共服务平台入吉</w:t>
            </w:r>
            <w:r>
              <w:rPr>
                <w:rFonts w:hint="eastAsia" w:ascii="宋体" w:hAnsi="宋体" w:eastAsia="宋体" w:cs="宋体"/>
                <w:color w:val="auto"/>
                <w:sz w:val="21"/>
                <w:szCs w:val="21"/>
                <w:highlight w:val="none"/>
              </w:rPr>
              <w:t>企业官网截图并加盖单位公章</w:t>
            </w:r>
            <w:r>
              <w:rPr>
                <w:rFonts w:hint="eastAsia" w:ascii="宋体" w:hAnsi="宋体" w:eastAsia="宋体" w:cs="宋体"/>
                <w:color w:val="auto"/>
                <w:sz w:val="21"/>
                <w:szCs w:val="21"/>
                <w:highlight w:val="none"/>
                <w:lang w:eastAsia="zh-CN"/>
              </w:rPr>
              <w:t>。</w:t>
            </w:r>
          </w:p>
          <w:p w14:paraId="053B1CE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响应文件内附承诺书加盖单位公章。</w:t>
            </w:r>
          </w:p>
        </w:tc>
      </w:tr>
      <w:tr w14:paraId="7E919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1" w:type="pct"/>
            <w:vMerge w:val="restart"/>
            <w:tcBorders>
              <w:top w:val="single" w:color="auto" w:sz="4" w:space="0"/>
              <w:left w:val="single" w:color="auto" w:sz="4" w:space="0"/>
              <w:right w:val="single" w:color="auto" w:sz="4" w:space="0"/>
            </w:tcBorders>
            <w:vAlign w:val="center"/>
          </w:tcPr>
          <w:p w14:paraId="5751F82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p w14:paraId="5F4D1D9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p w14:paraId="38E8CCE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p w14:paraId="47C2DFF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p w14:paraId="01FCF91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p w14:paraId="3B42C16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p w14:paraId="5AC78CD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w:t>
            </w:r>
          </w:p>
          <w:p w14:paraId="5108086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c>
          <w:tcPr>
            <w:tcW w:w="1053" w:type="pct"/>
            <w:tcBorders>
              <w:top w:val="single" w:color="auto" w:sz="4" w:space="0"/>
              <w:left w:val="single" w:color="auto" w:sz="4" w:space="0"/>
              <w:bottom w:val="single" w:color="auto" w:sz="4" w:space="0"/>
              <w:right w:val="single" w:color="auto" w:sz="4" w:space="0"/>
            </w:tcBorders>
            <w:vAlign w:val="center"/>
          </w:tcPr>
          <w:p w14:paraId="536FA8A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2985" w:type="pct"/>
            <w:tcBorders>
              <w:top w:val="single" w:color="auto" w:sz="4" w:space="0"/>
              <w:left w:val="single" w:color="auto" w:sz="4" w:space="0"/>
              <w:bottom w:val="single" w:color="auto" w:sz="4" w:space="0"/>
              <w:right w:val="single" w:color="auto" w:sz="4" w:space="0"/>
            </w:tcBorders>
            <w:vAlign w:val="center"/>
          </w:tcPr>
          <w:p w14:paraId="1030A193">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不</w:t>
            </w:r>
            <w:r>
              <w:rPr>
                <w:rFonts w:hint="eastAsia" w:ascii="宋体" w:hAnsi="宋体" w:eastAsia="宋体" w:cs="宋体"/>
                <w:color w:val="auto"/>
                <w:sz w:val="21"/>
                <w:szCs w:val="21"/>
                <w:highlight w:val="none"/>
              </w:rPr>
              <w:t>超</w:t>
            </w:r>
            <w:r>
              <w:rPr>
                <w:rFonts w:hint="eastAsia" w:hAnsi="宋体" w:cs="宋体"/>
                <w:color w:val="auto"/>
                <w:sz w:val="21"/>
                <w:szCs w:val="21"/>
                <w:highlight w:val="none"/>
                <w:lang w:eastAsia="zh-CN"/>
              </w:rPr>
              <w:t>过</w:t>
            </w:r>
            <w:r>
              <w:rPr>
                <w:rFonts w:hint="eastAsia" w:ascii="宋体" w:hAnsi="宋体" w:eastAsia="宋体" w:cs="宋体"/>
                <w:color w:val="auto"/>
                <w:sz w:val="21"/>
                <w:szCs w:val="21"/>
                <w:highlight w:val="none"/>
              </w:rPr>
              <w:t>最高投标限价</w:t>
            </w:r>
          </w:p>
        </w:tc>
      </w:tr>
      <w:tr w14:paraId="1E006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1" w:type="pct"/>
            <w:vMerge w:val="continue"/>
            <w:tcBorders>
              <w:left w:val="single" w:color="auto" w:sz="4" w:space="0"/>
              <w:right w:val="single" w:color="auto" w:sz="4" w:space="0"/>
            </w:tcBorders>
            <w:vAlign w:val="center"/>
          </w:tcPr>
          <w:p w14:paraId="4F7EB3C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053" w:type="pct"/>
            <w:tcBorders>
              <w:top w:val="single" w:color="auto" w:sz="4" w:space="0"/>
              <w:left w:val="single" w:color="auto" w:sz="4" w:space="0"/>
              <w:bottom w:val="single" w:color="auto" w:sz="4" w:space="0"/>
              <w:right w:val="single" w:color="auto" w:sz="4" w:space="0"/>
            </w:tcBorders>
            <w:vAlign w:val="center"/>
          </w:tcPr>
          <w:p w14:paraId="56AB7F2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2985" w:type="pct"/>
            <w:tcBorders>
              <w:top w:val="single" w:color="auto" w:sz="4" w:space="0"/>
              <w:left w:val="single" w:color="auto" w:sz="4" w:space="0"/>
              <w:bottom w:val="single" w:color="auto" w:sz="4" w:space="0"/>
              <w:right w:val="single" w:color="auto" w:sz="4" w:space="0"/>
            </w:tcBorders>
            <w:vAlign w:val="center"/>
          </w:tcPr>
          <w:p w14:paraId="2C453B3F">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满足磋商文件要求。</w:t>
            </w:r>
          </w:p>
        </w:tc>
      </w:tr>
      <w:tr w14:paraId="76675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1" w:type="pct"/>
            <w:vMerge w:val="continue"/>
            <w:tcBorders>
              <w:left w:val="single" w:color="auto" w:sz="4" w:space="0"/>
              <w:right w:val="single" w:color="auto" w:sz="4" w:space="0"/>
            </w:tcBorders>
            <w:vAlign w:val="center"/>
          </w:tcPr>
          <w:p w14:paraId="30C9AA5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053" w:type="pct"/>
            <w:tcBorders>
              <w:top w:val="single" w:color="auto" w:sz="4" w:space="0"/>
              <w:left w:val="single" w:color="auto" w:sz="4" w:space="0"/>
              <w:bottom w:val="single" w:color="auto" w:sz="4" w:space="0"/>
              <w:right w:val="single" w:color="auto" w:sz="4" w:space="0"/>
            </w:tcBorders>
            <w:vAlign w:val="center"/>
          </w:tcPr>
          <w:p w14:paraId="4E8233A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合同履行期限（计划工期）</w:t>
            </w:r>
          </w:p>
        </w:tc>
        <w:tc>
          <w:tcPr>
            <w:tcW w:w="2985" w:type="pct"/>
            <w:tcBorders>
              <w:top w:val="single" w:color="auto" w:sz="4" w:space="0"/>
              <w:left w:val="single" w:color="auto" w:sz="4" w:space="0"/>
              <w:bottom w:val="single" w:color="auto" w:sz="4" w:space="0"/>
              <w:right w:val="single" w:color="auto" w:sz="4" w:space="0"/>
            </w:tcBorders>
            <w:vAlign w:val="center"/>
          </w:tcPr>
          <w:p w14:paraId="0A87C17F">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90日历天</w:t>
            </w:r>
          </w:p>
        </w:tc>
      </w:tr>
      <w:tr w14:paraId="4D514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1" w:type="pct"/>
            <w:vMerge w:val="continue"/>
            <w:tcBorders>
              <w:left w:val="single" w:color="auto" w:sz="4" w:space="0"/>
              <w:right w:val="single" w:color="auto" w:sz="4" w:space="0"/>
            </w:tcBorders>
            <w:vAlign w:val="center"/>
          </w:tcPr>
          <w:p w14:paraId="7FF3C0C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053" w:type="pct"/>
            <w:tcBorders>
              <w:top w:val="single" w:color="auto" w:sz="4" w:space="0"/>
              <w:left w:val="single" w:color="auto" w:sz="4" w:space="0"/>
              <w:bottom w:val="single" w:color="auto" w:sz="4" w:space="0"/>
              <w:right w:val="single" w:color="auto" w:sz="4" w:space="0"/>
            </w:tcBorders>
            <w:vAlign w:val="center"/>
          </w:tcPr>
          <w:p w14:paraId="0FA141C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2985" w:type="pct"/>
            <w:tcBorders>
              <w:top w:val="single" w:color="auto" w:sz="4" w:space="0"/>
              <w:left w:val="single" w:color="auto" w:sz="4" w:space="0"/>
              <w:bottom w:val="single" w:color="auto" w:sz="4" w:space="0"/>
              <w:right w:val="single" w:color="auto" w:sz="4" w:space="0"/>
            </w:tcBorders>
            <w:vAlign w:val="center"/>
          </w:tcPr>
          <w:p w14:paraId="0CADAD3C">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符合国家相关工程施工质量验收统一标准及相关标准的合格工程</w:t>
            </w:r>
            <w:r>
              <w:rPr>
                <w:rFonts w:hint="eastAsia" w:ascii="宋体" w:hAnsi="宋体" w:eastAsia="宋体" w:cs="宋体"/>
                <w:color w:val="auto"/>
                <w:sz w:val="21"/>
                <w:szCs w:val="21"/>
                <w:highlight w:val="none"/>
              </w:rPr>
              <w:t>。</w:t>
            </w:r>
          </w:p>
        </w:tc>
      </w:tr>
      <w:tr w14:paraId="5C230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1" w:type="pct"/>
            <w:vMerge w:val="continue"/>
            <w:tcBorders>
              <w:left w:val="single" w:color="auto" w:sz="4" w:space="0"/>
              <w:right w:val="single" w:color="auto" w:sz="4" w:space="0"/>
            </w:tcBorders>
            <w:vAlign w:val="center"/>
          </w:tcPr>
          <w:p w14:paraId="6D12F39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053" w:type="pct"/>
            <w:tcBorders>
              <w:top w:val="single" w:color="auto" w:sz="4" w:space="0"/>
              <w:left w:val="single" w:color="auto" w:sz="4" w:space="0"/>
              <w:bottom w:val="single" w:color="auto" w:sz="4" w:space="0"/>
              <w:right w:val="single" w:color="auto" w:sz="4" w:space="0"/>
            </w:tcBorders>
            <w:vAlign w:val="center"/>
          </w:tcPr>
          <w:p w14:paraId="42B77B1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eastAsia="zh-CN"/>
              </w:rPr>
              <w:t>磋商有效期</w:t>
            </w:r>
          </w:p>
        </w:tc>
        <w:tc>
          <w:tcPr>
            <w:tcW w:w="2985" w:type="pct"/>
            <w:tcBorders>
              <w:top w:val="single" w:color="auto" w:sz="4" w:space="0"/>
              <w:left w:val="single" w:color="auto" w:sz="4" w:space="0"/>
              <w:bottom w:val="single" w:color="auto" w:sz="4" w:space="0"/>
              <w:right w:val="single" w:color="auto" w:sz="4" w:space="0"/>
            </w:tcBorders>
            <w:vAlign w:val="center"/>
          </w:tcPr>
          <w:p w14:paraId="366015CF">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自</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提交响应文件截止之日起计算90天。</w:t>
            </w:r>
          </w:p>
        </w:tc>
      </w:tr>
      <w:tr w14:paraId="1D3FB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961" w:type="pct"/>
            <w:vMerge w:val="continue"/>
            <w:tcBorders>
              <w:left w:val="single" w:color="auto" w:sz="4" w:space="0"/>
              <w:right w:val="single" w:color="auto" w:sz="4" w:space="0"/>
            </w:tcBorders>
            <w:vAlign w:val="center"/>
          </w:tcPr>
          <w:p w14:paraId="2C9EBF3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053" w:type="pct"/>
            <w:tcBorders>
              <w:top w:val="single" w:color="auto" w:sz="4" w:space="0"/>
              <w:left w:val="single" w:color="auto" w:sz="4" w:space="0"/>
              <w:bottom w:val="single" w:color="auto" w:sz="4" w:space="0"/>
              <w:right w:val="single" w:color="auto" w:sz="4" w:space="0"/>
            </w:tcBorders>
            <w:vAlign w:val="center"/>
          </w:tcPr>
          <w:p w14:paraId="1F755E3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权利义务</w:t>
            </w:r>
          </w:p>
        </w:tc>
        <w:tc>
          <w:tcPr>
            <w:tcW w:w="2985" w:type="pct"/>
            <w:tcBorders>
              <w:top w:val="single" w:color="auto" w:sz="4" w:space="0"/>
              <w:left w:val="single" w:color="auto" w:sz="4" w:space="0"/>
              <w:bottom w:val="single" w:color="auto" w:sz="4" w:space="0"/>
              <w:right w:val="single" w:color="auto" w:sz="4" w:space="0"/>
            </w:tcBorders>
            <w:vAlign w:val="center"/>
          </w:tcPr>
          <w:p w14:paraId="25C3295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符合第四章“合同条款及格式”规定。</w:t>
            </w:r>
          </w:p>
        </w:tc>
      </w:tr>
      <w:tr w14:paraId="75391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961" w:type="pct"/>
            <w:vMerge w:val="continue"/>
            <w:tcBorders>
              <w:left w:val="single" w:color="auto" w:sz="4" w:space="0"/>
              <w:right w:val="single" w:color="auto" w:sz="4" w:space="0"/>
            </w:tcBorders>
            <w:vAlign w:val="center"/>
          </w:tcPr>
          <w:p w14:paraId="6A9619F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053" w:type="pct"/>
            <w:tcBorders>
              <w:top w:val="single" w:color="auto" w:sz="4" w:space="0"/>
              <w:left w:val="single" w:color="auto" w:sz="4" w:space="0"/>
              <w:bottom w:val="single" w:color="auto" w:sz="4" w:space="0"/>
              <w:right w:val="single" w:color="auto" w:sz="4" w:space="0"/>
            </w:tcBorders>
            <w:vAlign w:val="center"/>
          </w:tcPr>
          <w:p w14:paraId="6F1E45E2">
            <w:pPr>
              <w:keepNext w:val="0"/>
              <w:keepLines w:val="0"/>
              <w:pageBreakBefore w:val="0"/>
              <w:widowControl w:val="0"/>
              <w:tabs>
                <w:tab w:val="left" w:pos="200"/>
              </w:tabs>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已标价工程量清单</w:t>
            </w:r>
          </w:p>
        </w:tc>
        <w:tc>
          <w:tcPr>
            <w:tcW w:w="2985" w:type="pct"/>
            <w:tcBorders>
              <w:top w:val="single" w:color="auto" w:sz="4" w:space="0"/>
              <w:left w:val="single" w:color="auto" w:sz="4" w:space="0"/>
              <w:bottom w:val="single" w:color="auto" w:sz="4" w:space="0"/>
              <w:right w:val="single" w:color="auto" w:sz="4" w:space="0"/>
            </w:tcBorders>
          </w:tcPr>
          <w:p w14:paraId="109B1DFF">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按采购人提供的“工程量清单”给出的范围及数量，供应商应按招标工程量清单填报价格。项目编码、项目名称、项目特征、计量单位、工程量必须与招标工程量清单一致，经造价人员签字盖专用章，并符合相关法律法规及</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文件规定。</w:t>
            </w:r>
          </w:p>
          <w:p w14:paraId="6BCB2D4F">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报价文件由供应商自行编制的，应当由注册在本企业的造价人员签字并加盖注册造价人员执业专用章；供应商委托他人编制投标报价文件的，应当委托具有相应资质的工程造价咨询机构编制并在响应文件内附有委托合同，其投标报价文件应当由被委托人的造价人员签字并加盖造价人员执业专用章，签字盖章的造价人员的注册单位应当与被委托人一致，同一单位的注册造价师在本招标项目中不能为两个及两个以上的投标单位编制工程量清单，否则按废标处理。</w:t>
            </w:r>
          </w:p>
        </w:tc>
      </w:tr>
      <w:tr w14:paraId="514F4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961" w:type="pct"/>
            <w:vMerge w:val="continue"/>
            <w:tcBorders>
              <w:left w:val="single" w:color="auto" w:sz="4" w:space="0"/>
              <w:right w:val="single" w:color="auto" w:sz="4" w:space="0"/>
            </w:tcBorders>
            <w:vAlign w:val="center"/>
          </w:tcPr>
          <w:p w14:paraId="7E191D4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053" w:type="pct"/>
            <w:tcBorders>
              <w:top w:val="single" w:color="auto" w:sz="4" w:space="0"/>
              <w:left w:val="single" w:color="auto" w:sz="4" w:space="0"/>
              <w:right w:val="single" w:color="auto" w:sz="4" w:space="0"/>
            </w:tcBorders>
            <w:vAlign w:val="center"/>
          </w:tcPr>
          <w:p w14:paraId="23E2941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技术标准和要求</w:t>
            </w:r>
          </w:p>
        </w:tc>
        <w:tc>
          <w:tcPr>
            <w:tcW w:w="2985" w:type="pct"/>
            <w:tcBorders>
              <w:top w:val="single" w:color="auto" w:sz="4" w:space="0"/>
              <w:left w:val="single" w:color="auto" w:sz="4" w:space="0"/>
              <w:bottom w:val="single" w:color="auto" w:sz="4" w:space="0"/>
              <w:right w:val="single" w:color="auto" w:sz="4" w:space="0"/>
            </w:tcBorders>
            <w:vAlign w:val="center"/>
          </w:tcPr>
          <w:p w14:paraId="4C3603EE">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bookmarkStart w:id="555" w:name="_GoBack"/>
            <w:r>
              <w:rPr>
                <w:rFonts w:hint="eastAsia" w:ascii="宋体" w:hAnsi="宋体" w:eastAsia="宋体" w:cs="宋体"/>
                <w:color w:val="auto"/>
                <w:sz w:val="21"/>
                <w:szCs w:val="21"/>
                <w:highlight w:val="none"/>
              </w:rPr>
              <w:t>符合第七章“技术标准和要求”规定。</w:t>
            </w:r>
            <w:bookmarkEnd w:id="555"/>
          </w:p>
        </w:tc>
      </w:tr>
    </w:tbl>
    <w:p w14:paraId="209B815B">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（1）上述内容中有一项不合格，则响应性评审不合格，投标按废标处理，不进入后期评审。</w:t>
      </w:r>
    </w:p>
    <w:p w14:paraId="2EBEEFA4">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（2）每项审查内容合格打“√”，不合格打“×”。评审结论写“合格”或“废标”。废标须注明原因。</w:t>
      </w:r>
    </w:p>
    <w:p w14:paraId="646B93F8">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供应商所提供的所有证件（除职称证）均需在有效期内且注册单位名称与供应商的名称一致，如企业名称发生变更，需提供主管部门出具的变更证明材料原件，响应文件中复印件加盖公章，否则不接受其供应商参与本次招标项目的投标，按废标处理。</w:t>
      </w:r>
    </w:p>
    <w:p w14:paraId="0EC6C70A">
      <w:pPr>
        <w:spacing w:line="360"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磋商有关问题</w:t>
      </w:r>
    </w:p>
    <w:p w14:paraId="250E35E3">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（1）对于响应文件中含义不明确、同类问题表述不一致或者有明显文字和计算错误的内容，磋商小组应当以书面形式要求供应商作出必要的澄清、说明或者补正。</w:t>
      </w:r>
    </w:p>
    <w:p w14:paraId="20F632F5">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应当按照磋商小组的要求在规定时间内提交书面的澄清、说明或者补正，并加盖公章，或者由法定代表人或其授权的代表签字。供应商的澄清、说明或者补正不得超出响应文件的范围或者改变响应文件的实质性内容。</w:t>
      </w:r>
    </w:p>
    <w:p w14:paraId="4A67FA91">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（2）磋商小组与通过初步评审的供应商针对竞争性磋商文件里未标明或标注不明确的有关问题进行磋商。</w:t>
      </w:r>
    </w:p>
    <w:p w14:paraId="646D0B7D">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（3）磋商小组所有成员应当集中与单一供应商分别进行磋商，并给予所有参加磋商的供应商平等的磋商机会。</w:t>
      </w:r>
    </w:p>
    <w:p w14:paraId="10DDA0C1">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6C579379">
      <w:pPr>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zh-CN"/>
        </w:rPr>
        <w:t>最终投标报价</w:t>
      </w:r>
    </w:p>
    <w:p w14:paraId="4C8C9EED">
      <w:pPr>
        <w:spacing w:line="360" w:lineRule="auto"/>
        <w:ind w:firstLine="480" w:firstLineChars="200"/>
        <w:rPr>
          <w:rFonts w:hint="eastAsia" w:ascii="宋体" w:hAnsi="宋体" w:eastAsia="宋体" w:cs="宋体"/>
          <w:color w:val="auto"/>
          <w:sz w:val="24"/>
          <w:szCs w:val="24"/>
          <w:highlight w:val="none"/>
          <w:lang w:val="zh-CN"/>
        </w:rPr>
      </w:pPr>
      <w:bookmarkStart w:id="349" w:name="_Toc17737"/>
      <w:r>
        <w:rPr>
          <w:rFonts w:hint="eastAsia" w:ascii="宋体" w:hAnsi="宋体" w:eastAsia="宋体" w:cs="宋体"/>
          <w:b w:val="0"/>
          <w:bCs w:val="0"/>
          <w:color w:val="auto"/>
          <w:sz w:val="24"/>
          <w:szCs w:val="24"/>
          <w:highlight w:val="none"/>
        </w:rPr>
        <w:t>（1）</w:t>
      </w:r>
      <w:bookmarkEnd w:id="349"/>
      <w:r>
        <w:rPr>
          <w:rFonts w:hint="eastAsia" w:ascii="宋体" w:hAnsi="宋体" w:eastAsia="宋体" w:cs="宋体"/>
          <w:color w:val="auto"/>
          <w:sz w:val="24"/>
          <w:szCs w:val="24"/>
          <w:highlight w:val="none"/>
        </w:rPr>
        <w:t>磋商小组认为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的报价明显低于其他通过初步评审</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的报价，有可能影响工程质量或者不能诚信履约的，应当要求其在评标现场合理的时间内提供书面说明，必要时提交相关证明材料；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不能证明其报价合理性的，磋商小组应当将其作为无效投标处理。</w:t>
      </w:r>
    </w:p>
    <w:p w14:paraId="1C0EE709">
      <w:pPr>
        <w:pStyle w:val="23"/>
        <w:keepNext w:val="0"/>
        <w:keepLines w:val="0"/>
        <w:pageBreakBefore w:val="0"/>
        <w:widowControl w:val="0"/>
        <w:kinsoku/>
        <w:wordWrap/>
        <w:overflowPunct/>
        <w:topLinePunct w:val="0"/>
        <w:autoSpaceDE/>
        <w:autoSpaceDN/>
        <w:bidi w:val="0"/>
        <w:snapToGrid/>
        <w:spacing w:line="300" w:lineRule="exact"/>
        <w:jc w:val="center"/>
        <w:rPr>
          <w:rFonts w:hint="eastAsia" w:ascii="宋体" w:hAnsi="宋体" w:eastAsia="宋体" w:cs="宋体"/>
          <w:color w:val="auto"/>
          <w:sz w:val="24"/>
          <w:szCs w:val="24"/>
          <w:highlight w:val="none"/>
        </w:rPr>
      </w:pPr>
      <w:bookmarkStart w:id="350" w:name="_Toc10240"/>
    </w:p>
    <w:p w14:paraId="3F49A901">
      <w:pPr>
        <w:pStyle w:val="23"/>
        <w:keepNext w:val="0"/>
        <w:keepLines w:val="0"/>
        <w:pageBreakBefore w:val="0"/>
        <w:widowControl w:val="0"/>
        <w:kinsoku/>
        <w:wordWrap/>
        <w:overflowPunct/>
        <w:topLinePunct w:val="0"/>
        <w:autoSpaceDE/>
        <w:autoSpaceDN/>
        <w:bidi w:val="0"/>
        <w:snapToGrid/>
        <w:spacing w:line="3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zh-CN"/>
        </w:rPr>
        <w:t>详细评审</w:t>
      </w:r>
      <w:bookmarkEnd w:id="350"/>
    </w:p>
    <w:p w14:paraId="3E8E27F2">
      <w:pPr>
        <w:pStyle w:val="23"/>
        <w:keepNext w:val="0"/>
        <w:keepLines w:val="0"/>
        <w:pageBreakBefore w:val="0"/>
        <w:widowControl w:val="0"/>
        <w:kinsoku/>
        <w:wordWrap/>
        <w:overflowPunct/>
        <w:topLinePunct w:val="0"/>
        <w:autoSpaceDE/>
        <w:autoSpaceDN/>
        <w:bidi w:val="0"/>
        <w:snapToGrid/>
        <w:spacing w:line="300" w:lineRule="exact"/>
        <w:rPr>
          <w:rFonts w:hint="eastAsia" w:ascii="宋体" w:hAnsi="宋体" w:eastAsia="宋体" w:cs="宋体"/>
          <w:color w:val="auto"/>
          <w:sz w:val="28"/>
          <w:highlight w:val="none"/>
          <w:lang w:val="zh-CN"/>
        </w:rPr>
      </w:pPr>
      <w:bookmarkStart w:id="351" w:name="_Toc6664"/>
      <w:r>
        <w:rPr>
          <w:rFonts w:hint="eastAsia" w:ascii="宋体" w:hAnsi="宋体" w:eastAsia="宋体" w:cs="宋体"/>
          <w:color w:val="auto"/>
          <w:sz w:val="28"/>
          <w:highlight w:val="none"/>
          <w:lang w:val="zh-CN"/>
        </w:rPr>
        <w:t>评标办法前附表（二）</w:t>
      </w:r>
      <w:bookmarkEnd w:id="351"/>
    </w:p>
    <w:p w14:paraId="296B5ECA">
      <w:pPr>
        <w:keepNext w:val="0"/>
        <w:keepLines w:val="0"/>
        <w:pageBreakBefore w:val="0"/>
        <w:widowControl w:val="0"/>
        <w:kinsoku/>
        <w:wordWrap/>
        <w:overflowPunct/>
        <w:topLinePunct w:val="0"/>
        <w:autoSpaceDE/>
        <w:autoSpaceDN/>
        <w:bidi w:val="0"/>
        <w:snapToGrid/>
        <w:spacing w:before="312" w:beforeLines="100" w:line="3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分值构成及评分标准</w:t>
      </w:r>
    </w:p>
    <w:tbl>
      <w:tblPr>
        <w:tblStyle w:val="26"/>
        <w:tblW w:w="55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017"/>
        <w:gridCol w:w="1124"/>
        <w:gridCol w:w="6422"/>
      </w:tblGrid>
      <w:tr w14:paraId="1A96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 w:type="pct"/>
            <w:gridSpan w:val="2"/>
            <w:vAlign w:val="center"/>
          </w:tcPr>
          <w:p w14:paraId="42B183E7">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条款号</w:t>
            </w:r>
          </w:p>
        </w:tc>
        <w:tc>
          <w:tcPr>
            <w:tcW w:w="597" w:type="pct"/>
            <w:vAlign w:val="center"/>
          </w:tcPr>
          <w:p w14:paraId="676C5876">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条款内容</w:t>
            </w:r>
          </w:p>
        </w:tc>
        <w:tc>
          <w:tcPr>
            <w:tcW w:w="3413" w:type="pct"/>
            <w:vAlign w:val="center"/>
          </w:tcPr>
          <w:p w14:paraId="72ECC020">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编列内容</w:t>
            </w:r>
          </w:p>
        </w:tc>
      </w:tr>
      <w:tr w14:paraId="079B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 w:type="pct"/>
            <w:gridSpan w:val="2"/>
            <w:vAlign w:val="center"/>
          </w:tcPr>
          <w:p w14:paraId="7AC07A3B">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2.2.1</w:t>
            </w:r>
          </w:p>
        </w:tc>
        <w:tc>
          <w:tcPr>
            <w:tcW w:w="597" w:type="pct"/>
            <w:vAlign w:val="center"/>
          </w:tcPr>
          <w:p w14:paraId="5DF93766">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分值构成</w:t>
            </w:r>
          </w:p>
          <w:p w14:paraId="6E87E39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（总分100分）</w:t>
            </w:r>
          </w:p>
        </w:tc>
        <w:tc>
          <w:tcPr>
            <w:tcW w:w="3413" w:type="pct"/>
            <w:vAlign w:val="center"/>
          </w:tcPr>
          <w:p w14:paraId="5B7525B0">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bCs/>
                <w:color w:val="auto"/>
                <w:spacing w:val="-6"/>
                <w:kern w:val="2"/>
                <w:sz w:val="24"/>
                <w:szCs w:val="24"/>
                <w:highlight w:val="none"/>
              </w:rPr>
            </w:pPr>
            <w:r>
              <w:rPr>
                <w:rFonts w:hint="eastAsia" w:ascii="宋体" w:hAnsi="宋体" w:eastAsia="宋体" w:cs="宋体"/>
                <w:b w:val="0"/>
                <w:bCs/>
                <w:color w:val="auto"/>
                <w:spacing w:val="-6"/>
                <w:kern w:val="2"/>
                <w:sz w:val="24"/>
                <w:szCs w:val="24"/>
                <w:highlight w:val="none"/>
                <w:lang w:val="en-US" w:eastAsia="zh-CN"/>
              </w:rPr>
              <w:t>施工组织设计：</w:t>
            </w:r>
            <w:r>
              <w:rPr>
                <w:rFonts w:hint="eastAsia" w:hAnsi="宋体" w:cs="宋体"/>
                <w:b w:val="0"/>
                <w:bCs/>
                <w:color w:val="auto"/>
                <w:spacing w:val="-6"/>
                <w:kern w:val="2"/>
                <w:sz w:val="24"/>
                <w:szCs w:val="24"/>
                <w:highlight w:val="none"/>
                <w:lang w:val="en-US" w:eastAsia="zh-CN"/>
              </w:rPr>
              <w:t>55</w:t>
            </w:r>
            <w:r>
              <w:rPr>
                <w:rFonts w:hint="eastAsia" w:ascii="宋体" w:hAnsi="宋体" w:eastAsia="宋体" w:cs="宋体"/>
                <w:b w:val="0"/>
                <w:bCs/>
                <w:color w:val="auto"/>
                <w:spacing w:val="-6"/>
                <w:kern w:val="2"/>
                <w:sz w:val="24"/>
                <w:szCs w:val="24"/>
                <w:highlight w:val="none"/>
                <w:lang w:val="en-US" w:eastAsia="zh-CN"/>
              </w:rPr>
              <w:t>分</w:t>
            </w:r>
          </w:p>
          <w:p w14:paraId="3C8BE9A2">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bCs/>
                <w:color w:val="auto"/>
                <w:spacing w:val="-6"/>
                <w:kern w:val="2"/>
                <w:sz w:val="24"/>
                <w:szCs w:val="24"/>
                <w:highlight w:val="none"/>
              </w:rPr>
            </w:pPr>
            <w:r>
              <w:rPr>
                <w:rFonts w:hint="eastAsia" w:ascii="宋体" w:hAnsi="宋体" w:eastAsia="宋体" w:cs="宋体"/>
                <w:b w:val="0"/>
                <w:bCs/>
                <w:color w:val="auto"/>
                <w:spacing w:val="-6"/>
                <w:kern w:val="2"/>
                <w:sz w:val="24"/>
                <w:szCs w:val="24"/>
                <w:highlight w:val="none"/>
                <w:lang w:val="en-US" w:eastAsia="zh-CN"/>
              </w:rPr>
              <w:t>项目管理机构：5分</w:t>
            </w:r>
          </w:p>
          <w:p w14:paraId="1F46B4CF">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bCs/>
                <w:color w:val="auto"/>
                <w:spacing w:val="-6"/>
                <w:kern w:val="2"/>
                <w:sz w:val="24"/>
                <w:szCs w:val="24"/>
                <w:highlight w:val="none"/>
              </w:rPr>
            </w:pPr>
            <w:r>
              <w:rPr>
                <w:rFonts w:hint="eastAsia" w:ascii="宋体" w:hAnsi="宋体" w:eastAsia="宋体" w:cs="宋体"/>
                <w:b w:val="0"/>
                <w:bCs/>
                <w:color w:val="auto"/>
                <w:spacing w:val="-6"/>
                <w:kern w:val="2"/>
                <w:sz w:val="24"/>
                <w:szCs w:val="24"/>
                <w:highlight w:val="none"/>
                <w:lang w:val="en-US" w:eastAsia="zh-CN"/>
              </w:rPr>
              <w:t>投标报价：30分</w:t>
            </w:r>
          </w:p>
          <w:p w14:paraId="290EDE19">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b w:val="0"/>
                <w:bCs/>
                <w:color w:val="auto"/>
                <w:spacing w:val="-6"/>
                <w:kern w:val="2"/>
                <w:sz w:val="24"/>
                <w:szCs w:val="24"/>
                <w:highlight w:val="none"/>
                <w:lang w:val="en-US" w:eastAsia="zh-CN"/>
              </w:rPr>
              <w:t>其他评分因素：</w:t>
            </w:r>
            <w:r>
              <w:rPr>
                <w:rFonts w:hint="eastAsia" w:hAnsi="宋体" w:cs="宋体"/>
                <w:b w:val="0"/>
                <w:bCs/>
                <w:color w:val="auto"/>
                <w:spacing w:val="-6"/>
                <w:kern w:val="2"/>
                <w:sz w:val="24"/>
                <w:szCs w:val="24"/>
                <w:highlight w:val="none"/>
                <w:lang w:val="en-US" w:eastAsia="zh-CN"/>
              </w:rPr>
              <w:t>10</w:t>
            </w:r>
            <w:r>
              <w:rPr>
                <w:rFonts w:hint="eastAsia" w:ascii="宋体" w:hAnsi="宋体" w:eastAsia="宋体" w:cs="宋体"/>
                <w:b w:val="0"/>
                <w:bCs/>
                <w:color w:val="auto"/>
                <w:spacing w:val="-6"/>
                <w:kern w:val="2"/>
                <w:sz w:val="24"/>
                <w:szCs w:val="24"/>
                <w:highlight w:val="none"/>
                <w:lang w:val="en-US" w:eastAsia="zh-CN"/>
              </w:rPr>
              <w:t>分</w:t>
            </w:r>
          </w:p>
        </w:tc>
      </w:tr>
      <w:tr w14:paraId="64CA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 w:type="pct"/>
            <w:gridSpan w:val="2"/>
            <w:vAlign w:val="center"/>
          </w:tcPr>
          <w:p w14:paraId="66463AD0">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2.2.2</w:t>
            </w:r>
          </w:p>
        </w:tc>
        <w:tc>
          <w:tcPr>
            <w:tcW w:w="597" w:type="pct"/>
            <w:vAlign w:val="center"/>
          </w:tcPr>
          <w:p w14:paraId="44E37A2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投标报价计算方法</w:t>
            </w:r>
          </w:p>
        </w:tc>
        <w:tc>
          <w:tcPr>
            <w:tcW w:w="3413" w:type="pct"/>
            <w:vAlign w:val="center"/>
          </w:tcPr>
          <w:p w14:paraId="6D7A1AEF">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综合评分法中的价格分统一采用低价优先法计算，即满足磋商文件要求且最后报价（第二次)最低的价格为磋商基准价，其价格分为满分。其他单位的价格分统一按照下列公式计算：</w:t>
            </w:r>
          </w:p>
          <w:p w14:paraId="001592B9">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磋商报价得分=（磋商基准价/最后磋商报价）×价格权值×100</w:t>
            </w:r>
          </w:p>
          <w:p w14:paraId="379BDEC3">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评分分值计算保留小数点后两位，小数点后第三位“四舍五入”。</w:t>
            </w:r>
          </w:p>
        </w:tc>
      </w:tr>
      <w:tr w14:paraId="3BDE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 w:type="pct"/>
            <w:gridSpan w:val="2"/>
            <w:vAlign w:val="center"/>
          </w:tcPr>
          <w:p w14:paraId="3A432F8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条款号</w:t>
            </w:r>
          </w:p>
        </w:tc>
        <w:tc>
          <w:tcPr>
            <w:tcW w:w="597" w:type="pct"/>
            <w:vAlign w:val="center"/>
          </w:tcPr>
          <w:p w14:paraId="461BC2D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评分因素</w:t>
            </w:r>
          </w:p>
        </w:tc>
        <w:tc>
          <w:tcPr>
            <w:tcW w:w="3413" w:type="pct"/>
            <w:vAlign w:val="center"/>
          </w:tcPr>
          <w:p w14:paraId="51DF6258">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评分标准</w:t>
            </w:r>
          </w:p>
        </w:tc>
      </w:tr>
      <w:tr w14:paraId="5D5B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pct"/>
            <w:vMerge w:val="restart"/>
            <w:vAlign w:val="center"/>
          </w:tcPr>
          <w:p w14:paraId="6149C316">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2.2.4</w:t>
            </w:r>
          </w:p>
          <w:p w14:paraId="478D3DE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(1)</w:t>
            </w:r>
          </w:p>
        </w:tc>
        <w:tc>
          <w:tcPr>
            <w:tcW w:w="540" w:type="pct"/>
            <w:vMerge w:val="restart"/>
            <w:vAlign w:val="center"/>
          </w:tcPr>
          <w:p w14:paraId="0FA3118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施工组织设计评分标准（</w:t>
            </w:r>
            <w:r>
              <w:rPr>
                <w:rFonts w:hint="eastAsia" w:hAnsi="宋体" w:cs="宋体"/>
                <w:b w:val="0"/>
                <w:color w:val="auto"/>
                <w:kern w:val="2"/>
                <w:sz w:val="24"/>
                <w:szCs w:val="24"/>
                <w:highlight w:val="none"/>
                <w:lang w:val="en-US" w:eastAsia="zh-CN"/>
              </w:rPr>
              <w:t>55</w:t>
            </w:r>
            <w:r>
              <w:rPr>
                <w:rFonts w:hint="eastAsia" w:ascii="宋体" w:hAnsi="宋体" w:eastAsia="宋体" w:cs="宋体"/>
                <w:b w:val="0"/>
                <w:color w:val="auto"/>
                <w:kern w:val="2"/>
                <w:sz w:val="24"/>
                <w:szCs w:val="24"/>
                <w:highlight w:val="none"/>
                <w:lang w:val="en-US" w:eastAsia="zh-CN"/>
              </w:rPr>
              <w:t>分）</w:t>
            </w:r>
          </w:p>
        </w:tc>
        <w:tc>
          <w:tcPr>
            <w:tcW w:w="597" w:type="pct"/>
            <w:vAlign w:val="center"/>
          </w:tcPr>
          <w:p w14:paraId="665BCBB7">
            <w:pPr>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内容完整性和编制水平（</w:t>
            </w:r>
            <w:r>
              <w:rPr>
                <w:rFonts w:hint="eastAsia" w:hAnsi="宋体" w:cs="宋体"/>
                <w:color w:val="auto"/>
                <w:sz w:val="24"/>
                <w:szCs w:val="24"/>
                <w:highlight w:val="none"/>
                <w:lang w:val="en-US" w:eastAsia="zh-CN"/>
              </w:rPr>
              <w:t>3</w:t>
            </w:r>
            <w:r>
              <w:rPr>
                <w:rFonts w:hint="eastAsia" w:ascii="宋体" w:hAnsi="宋体" w:cs="宋体"/>
                <w:color w:val="auto"/>
                <w:sz w:val="24"/>
                <w:szCs w:val="24"/>
                <w:highlight w:val="none"/>
              </w:rPr>
              <w:t>分）</w:t>
            </w:r>
          </w:p>
        </w:tc>
        <w:tc>
          <w:tcPr>
            <w:tcW w:w="3413" w:type="pct"/>
          </w:tcPr>
          <w:p w14:paraId="15156001">
            <w:pP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根据磋商文件要求编制响应文件，包含但不限于以下几个方面： </w:t>
            </w:r>
          </w:p>
          <w:p w14:paraId="234BF3AC">
            <w:pPr>
              <w:rPr>
                <w:rFonts w:hint="eastAsia" w:ascii="宋体" w:hAnsi="宋体" w:cs="宋体"/>
                <w:color w:val="auto"/>
                <w:sz w:val="24"/>
                <w:szCs w:val="24"/>
                <w:highlight w:val="none"/>
              </w:rPr>
            </w:pPr>
            <w:r>
              <w:rPr>
                <w:rFonts w:hint="eastAsia" w:ascii="宋体" w:hAnsi="宋体" w:cs="宋体"/>
                <w:color w:val="auto"/>
                <w:sz w:val="24"/>
                <w:szCs w:val="24"/>
                <w:highlight w:val="none"/>
              </w:rPr>
              <w:t>①项目概况</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②总体项目实施计划</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③工程项目编制原则规范标准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④项目综合保障措施</w:t>
            </w:r>
          </w:p>
          <w:p w14:paraId="518DA313">
            <w:pPr>
              <w:rPr>
                <w:rFonts w:hint="eastAsia" w:ascii="宋体" w:hAnsi="宋体" w:cs="宋体"/>
                <w:color w:val="auto"/>
                <w:sz w:val="24"/>
                <w:szCs w:val="24"/>
                <w:highlight w:val="none"/>
              </w:rPr>
            </w:pPr>
            <w:r>
              <w:rPr>
                <w:rFonts w:hint="eastAsia" w:ascii="宋体" w:hAnsi="宋体" w:cs="宋体"/>
                <w:color w:val="auto"/>
                <w:sz w:val="24"/>
                <w:szCs w:val="24"/>
                <w:highlight w:val="none"/>
              </w:rPr>
              <w:t>以上每提供一小项内容适用于本项目得1分，满分</w:t>
            </w:r>
            <w:r>
              <w:rPr>
                <w:rFonts w:hint="eastAsia" w:hAnsi="宋体" w:cs="宋体"/>
                <w:color w:val="auto"/>
                <w:sz w:val="24"/>
                <w:szCs w:val="24"/>
                <w:highlight w:val="none"/>
                <w:lang w:val="en-US" w:eastAsia="zh-CN"/>
              </w:rPr>
              <w:t>3</w:t>
            </w:r>
            <w:r>
              <w:rPr>
                <w:rFonts w:hint="eastAsia" w:ascii="宋体" w:hAnsi="宋体" w:cs="宋体"/>
                <w:color w:val="auto"/>
                <w:sz w:val="24"/>
                <w:szCs w:val="24"/>
                <w:highlight w:val="none"/>
              </w:rPr>
              <w:t>分。</w:t>
            </w:r>
          </w:p>
          <w:p w14:paraId="65666122">
            <w:pP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r>
      <w:tr w14:paraId="5F99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pct"/>
            <w:vMerge w:val="continue"/>
            <w:vAlign w:val="center"/>
          </w:tcPr>
          <w:p w14:paraId="423B1E14">
            <w:pPr>
              <w:spacing w:line="240" w:lineRule="auto"/>
              <w:rPr>
                <w:rFonts w:hint="eastAsia" w:ascii="宋体" w:hAnsi="宋体" w:eastAsia="宋体" w:cs="宋体"/>
                <w:color w:val="auto"/>
                <w:sz w:val="24"/>
                <w:szCs w:val="24"/>
                <w:highlight w:val="none"/>
              </w:rPr>
            </w:pPr>
          </w:p>
        </w:tc>
        <w:tc>
          <w:tcPr>
            <w:tcW w:w="540" w:type="pct"/>
            <w:vMerge w:val="continue"/>
            <w:vAlign w:val="center"/>
          </w:tcPr>
          <w:p w14:paraId="398593DA">
            <w:pPr>
              <w:spacing w:line="240" w:lineRule="auto"/>
              <w:rPr>
                <w:rFonts w:hint="eastAsia" w:ascii="宋体" w:hAnsi="宋体" w:eastAsia="宋体" w:cs="宋体"/>
                <w:color w:val="auto"/>
                <w:sz w:val="24"/>
                <w:szCs w:val="24"/>
                <w:highlight w:val="none"/>
              </w:rPr>
            </w:pPr>
          </w:p>
        </w:tc>
        <w:tc>
          <w:tcPr>
            <w:tcW w:w="597" w:type="pct"/>
            <w:vAlign w:val="center"/>
          </w:tcPr>
          <w:p w14:paraId="5BA8C2AA">
            <w:pPr>
              <w:spacing w:line="380" w:lineRule="exact"/>
              <w:jc w:val="center"/>
              <w:rPr>
                <w:rFonts w:hint="eastAsia" w:ascii="宋体" w:hAnsi="宋体" w:cs="宋体"/>
                <w:color w:val="auto"/>
                <w:kern w:val="2"/>
                <w:sz w:val="24"/>
                <w:szCs w:val="24"/>
                <w:highlight w:val="none"/>
                <w:lang w:val="en-US" w:eastAsia="zh-CN" w:bidi="ar-SA"/>
              </w:rPr>
            </w:pPr>
            <w:r>
              <w:rPr>
                <w:rFonts w:hint="eastAsia" w:ascii="宋体" w:hAnsi="宋体" w:cs="宋体"/>
                <w:bCs/>
                <w:color w:val="auto"/>
                <w:sz w:val="24"/>
                <w:szCs w:val="24"/>
                <w:highlight w:val="none"/>
              </w:rPr>
              <w:t>施工方案与技术措施（</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w:t>
            </w:r>
            <w:r>
              <w:rPr>
                <w:rFonts w:hint="eastAsia" w:ascii="宋体" w:hAnsi="宋体" w:cs="宋体"/>
                <w:bCs/>
                <w:color w:val="auto"/>
                <w:sz w:val="24"/>
                <w:szCs w:val="24"/>
                <w:highlight w:val="none"/>
              </w:rPr>
              <w:t>）</w:t>
            </w:r>
          </w:p>
        </w:tc>
        <w:tc>
          <w:tcPr>
            <w:tcW w:w="3413" w:type="pct"/>
            <w:vAlign w:val="center"/>
          </w:tcPr>
          <w:p w14:paraId="5575D037">
            <w:pPr>
              <w:autoSpaceDE w:val="0"/>
              <w:autoSpaceDN w:val="0"/>
              <w:adjustRightInd w:val="0"/>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供应商根据磋商文件要求编制响应文件，包含但不限于以下几个方面：</w:t>
            </w:r>
          </w:p>
          <w:p w14:paraId="2C680D4B">
            <w:pPr>
              <w:autoSpaceDE w:val="0"/>
              <w:autoSpaceDN w:val="0"/>
              <w:adjustRightInd w:val="0"/>
              <w:jc w:val="left"/>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 1 \* GB3 </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①</w:t>
            </w:r>
            <w:r>
              <w:rPr>
                <w:rFonts w:hint="eastAsia" w:ascii="宋体" w:hAnsi="宋体" w:cs="宋体"/>
                <w:bCs/>
                <w:color w:val="auto"/>
                <w:sz w:val="24"/>
                <w:szCs w:val="24"/>
                <w:highlight w:val="none"/>
              </w:rPr>
              <w:fldChar w:fldCharType="end"/>
            </w:r>
            <w:r>
              <w:rPr>
                <w:rFonts w:hint="eastAsia" w:ascii="宋体" w:hAnsi="宋体" w:cs="宋体"/>
                <w:bCs/>
                <w:color w:val="auto"/>
                <w:sz w:val="24"/>
                <w:szCs w:val="24"/>
                <w:highlight w:val="none"/>
              </w:rPr>
              <w:t>施工内容</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 2 \* GB3 </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②</w:t>
            </w:r>
            <w:r>
              <w:rPr>
                <w:rFonts w:hint="eastAsia" w:ascii="宋体" w:hAnsi="宋体" w:cs="宋体"/>
                <w:bCs/>
                <w:color w:val="auto"/>
                <w:sz w:val="24"/>
                <w:szCs w:val="24"/>
                <w:highlight w:val="none"/>
              </w:rPr>
              <w:fldChar w:fldCharType="end"/>
            </w:r>
            <w:r>
              <w:rPr>
                <w:rFonts w:hint="eastAsia" w:ascii="宋体" w:hAnsi="宋体" w:cs="宋体"/>
                <w:bCs/>
                <w:color w:val="auto"/>
                <w:sz w:val="24"/>
                <w:szCs w:val="24"/>
                <w:highlight w:val="none"/>
              </w:rPr>
              <w:t>施工工艺及方法</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 3 \* GB3 </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③</w:t>
            </w:r>
            <w:r>
              <w:rPr>
                <w:rFonts w:hint="eastAsia" w:ascii="宋体" w:hAnsi="宋体" w:cs="宋体"/>
                <w:bCs/>
                <w:color w:val="auto"/>
                <w:sz w:val="24"/>
                <w:szCs w:val="24"/>
                <w:highlight w:val="none"/>
              </w:rPr>
              <w:fldChar w:fldCharType="end"/>
            </w:r>
            <w:r>
              <w:rPr>
                <w:rFonts w:hint="eastAsia" w:ascii="宋体" w:hAnsi="宋体" w:cs="宋体"/>
                <w:bCs/>
                <w:color w:val="auto"/>
                <w:sz w:val="24"/>
                <w:szCs w:val="24"/>
                <w:highlight w:val="none"/>
              </w:rPr>
              <w:t>施工流程</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 4 \* GB3 </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④</w:t>
            </w:r>
            <w:r>
              <w:rPr>
                <w:rFonts w:hint="eastAsia" w:ascii="宋体" w:hAnsi="宋体" w:cs="宋体"/>
                <w:bCs/>
                <w:color w:val="auto"/>
                <w:sz w:val="24"/>
                <w:szCs w:val="24"/>
                <w:highlight w:val="none"/>
              </w:rPr>
              <w:fldChar w:fldCharType="end"/>
            </w:r>
            <w:r>
              <w:rPr>
                <w:rFonts w:hint="eastAsia" w:hAnsi="宋体" w:cs="宋体"/>
                <w:bCs/>
                <w:color w:val="auto"/>
                <w:sz w:val="24"/>
                <w:szCs w:val="24"/>
                <w:highlight w:val="none"/>
              </w:rPr>
              <w:t>施工过程中风险预估</w:t>
            </w:r>
            <w:r>
              <w:rPr>
                <w:rFonts w:hint="eastAsia" w:hAnsi="宋体" w:cs="宋体"/>
                <w:bCs/>
                <w:color w:val="auto"/>
                <w:sz w:val="24"/>
                <w:szCs w:val="24"/>
                <w:highlight w:val="none"/>
                <w:lang w:eastAsia="zh-CN"/>
              </w:rPr>
              <w:t>；</w:t>
            </w:r>
          </w:p>
          <w:p w14:paraId="3701F7F5">
            <w:pP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以上每提供一小项内容适用于本项目得1</w:t>
            </w:r>
            <w:r>
              <w:rPr>
                <w:rFonts w:hint="eastAsia" w:hAnsi="宋体" w:cs="宋体"/>
                <w:bCs/>
                <w:color w:val="auto"/>
                <w:sz w:val="24"/>
                <w:szCs w:val="24"/>
                <w:highlight w:val="none"/>
                <w:lang w:val="en-US" w:eastAsia="zh-CN"/>
              </w:rPr>
              <w:t>.5</w:t>
            </w:r>
            <w:r>
              <w:rPr>
                <w:rFonts w:hint="eastAsia" w:ascii="宋体" w:hAnsi="宋体" w:cs="宋体"/>
                <w:bCs/>
                <w:color w:val="auto"/>
                <w:sz w:val="24"/>
                <w:szCs w:val="24"/>
                <w:highlight w:val="none"/>
                <w:lang w:val="zh-CN"/>
              </w:rPr>
              <w:t>分，满分</w:t>
            </w:r>
            <w:r>
              <w:rPr>
                <w:rFonts w:hint="eastAsia" w:ascii="宋体" w:hAnsi="宋体" w:cs="宋体"/>
                <w:bCs/>
                <w:color w:val="auto"/>
                <w:sz w:val="24"/>
                <w:szCs w:val="24"/>
                <w:highlight w:val="none"/>
              </w:rPr>
              <w:t>6</w:t>
            </w:r>
            <w:r>
              <w:rPr>
                <w:rFonts w:hint="eastAsia" w:ascii="宋体" w:hAnsi="宋体" w:cs="宋体"/>
                <w:bCs/>
                <w:color w:val="auto"/>
                <w:sz w:val="24"/>
                <w:szCs w:val="24"/>
                <w:highlight w:val="none"/>
                <w:lang w:val="zh-CN"/>
              </w:rPr>
              <w:t>分。</w:t>
            </w:r>
          </w:p>
          <w:p w14:paraId="704F0EF1">
            <w:pPr>
              <w:keepLines/>
              <w:autoSpaceDE w:val="0"/>
              <w:autoSpaceDN w:val="0"/>
              <w:adjustRightInd w:val="0"/>
              <w:spacing w:line="300" w:lineRule="exact"/>
              <w:jc w:val="left"/>
              <w:rPr>
                <w:rFonts w:hint="eastAsia" w:ascii="宋体" w:hAnsi="宋体" w:cs="宋体"/>
                <w:color w:val="auto"/>
                <w:kern w:val="2"/>
                <w:sz w:val="24"/>
                <w:szCs w:val="24"/>
                <w:highlight w:val="none"/>
                <w:lang w:val="en-US" w:eastAsia="zh-CN" w:bidi="ar-SA"/>
              </w:rPr>
            </w:pPr>
            <w:r>
              <w:rPr>
                <w:rFonts w:hint="eastAsia" w:ascii="宋体" w:hAnsi="宋体" w:cs="宋体"/>
                <w:bCs/>
                <w:color w:val="auto"/>
                <w:sz w:val="24"/>
                <w:szCs w:val="24"/>
                <w:highlight w:val="none"/>
                <w:lang w:val="zh-CN"/>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r>
      <w:tr w14:paraId="50C7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pct"/>
            <w:vMerge w:val="continue"/>
            <w:vAlign w:val="center"/>
          </w:tcPr>
          <w:p w14:paraId="2AE53DDA">
            <w:pPr>
              <w:spacing w:line="240" w:lineRule="auto"/>
              <w:rPr>
                <w:rFonts w:hint="eastAsia" w:ascii="宋体" w:hAnsi="宋体" w:eastAsia="宋体" w:cs="宋体"/>
                <w:color w:val="auto"/>
                <w:sz w:val="24"/>
                <w:szCs w:val="24"/>
                <w:highlight w:val="none"/>
              </w:rPr>
            </w:pPr>
          </w:p>
        </w:tc>
        <w:tc>
          <w:tcPr>
            <w:tcW w:w="540" w:type="pct"/>
            <w:vMerge w:val="continue"/>
            <w:vAlign w:val="center"/>
          </w:tcPr>
          <w:p w14:paraId="2D4EB64D">
            <w:pPr>
              <w:spacing w:line="240" w:lineRule="auto"/>
              <w:rPr>
                <w:rFonts w:hint="eastAsia" w:ascii="宋体" w:hAnsi="宋体" w:eastAsia="宋体" w:cs="宋体"/>
                <w:color w:val="auto"/>
                <w:sz w:val="24"/>
                <w:szCs w:val="24"/>
                <w:highlight w:val="none"/>
              </w:rPr>
            </w:pPr>
          </w:p>
        </w:tc>
        <w:tc>
          <w:tcPr>
            <w:tcW w:w="597" w:type="pct"/>
            <w:vAlign w:val="center"/>
          </w:tcPr>
          <w:p w14:paraId="6570409C">
            <w:pPr>
              <w:spacing w:line="380" w:lineRule="exact"/>
              <w:jc w:val="center"/>
              <w:rPr>
                <w:rFonts w:hint="eastAsia" w:ascii="宋体" w:hAnsi="宋体" w:cs="宋体"/>
                <w:color w:val="auto"/>
                <w:kern w:val="2"/>
                <w:sz w:val="24"/>
                <w:szCs w:val="24"/>
                <w:highlight w:val="none"/>
                <w:lang w:val="en-US" w:eastAsia="zh-CN" w:bidi="ar-SA"/>
              </w:rPr>
            </w:pPr>
            <w:r>
              <w:rPr>
                <w:rFonts w:hint="eastAsia" w:ascii="宋体" w:hAnsi="宋体" w:cs="宋体"/>
                <w:bCs/>
                <w:color w:val="auto"/>
                <w:sz w:val="24"/>
                <w:szCs w:val="24"/>
                <w:highlight w:val="none"/>
              </w:rPr>
              <w:t>质量管理体系与措施（</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分</w:t>
            </w:r>
            <w:r>
              <w:rPr>
                <w:rFonts w:hint="eastAsia" w:ascii="宋体" w:hAnsi="宋体" w:cs="宋体"/>
                <w:bCs/>
                <w:color w:val="auto"/>
                <w:sz w:val="24"/>
                <w:szCs w:val="24"/>
                <w:highlight w:val="none"/>
              </w:rPr>
              <w:t>）</w:t>
            </w:r>
          </w:p>
        </w:tc>
        <w:tc>
          <w:tcPr>
            <w:tcW w:w="3413" w:type="pct"/>
            <w:vAlign w:val="center"/>
          </w:tcPr>
          <w:p w14:paraId="084F3DB4">
            <w:pPr>
              <w:autoSpaceDE w:val="0"/>
              <w:autoSpaceDN w:val="0"/>
              <w:adjustRightInd w:val="0"/>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供应商根据磋商文件要求编制响应文件，包含但不限于以下几个方面： </w:t>
            </w:r>
          </w:p>
          <w:p w14:paraId="6994D2AB">
            <w:pPr>
              <w:autoSpaceDE w:val="0"/>
              <w:autoSpaceDN w:val="0"/>
              <w:adjustRightInd w:val="0"/>
              <w:rPr>
                <w:rFonts w:hint="eastAsia" w:hAnsi="宋体" w:cs="宋体"/>
                <w:color w:val="auto"/>
                <w:kern w:val="2"/>
                <w:sz w:val="24"/>
                <w:szCs w:val="24"/>
                <w:highlight w:val="none"/>
                <w:lang w:val="en-US" w:eastAsia="zh-CN"/>
              </w:rPr>
            </w:pPr>
            <w:r>
              <w:rPr>
                <w:rFonts w:hint="eastAsia" w:ascii="宋体" w:hAnsi="宋体" w:cs="宋体"/>
                <w:bCs/>
                <w:color w:val="auto"/>
                <w:sz w:val="24"/>
                <w:szCs w:val="24"/>
                <w:highlight w:val="none"/>
              </w:rPr>
              <w:t>①质量管理体系</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②质量管理措施</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③质量管理目标</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④</w:t>
            </w:r>
            <w:r>
              <w:rPr>
                <w:rFonts w:hint="eastAsia" w:hAnsi="宋体" w:cs="宋体"/>
                <w:color w:val="auto"/>
                <w:sz w:val="24"/>
                <w:szCs w:val="24"/>
                <w:highlight w:val="none"/>
              </w:rPr>
              <w:t>施工过程质量控制措施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⑤施工技术标准</w:t>
            </w:r>
            <w:r>
              <w:rPr>
                <w:rFonts w:hint="eastAsia" w:ascii="宋体" w:hAnsi="宋体" w:cs="宋体"/>
                <w:color w:val="auto"/>
                <w:sz w:val="24"/>
                <w:szCs w:val="24"/>
                <w:highlight w:val="none"/>
                <w:lang w:eastAsia="zh-CN"/>
              </w:rPr>
              <w:t>；</w:t>
            </w:r>
            <w:r>
              <w:rPr>
                <w:rFonts w:hint="eastAsia" w:hAnsi="宋体" w:cs="宋体"/>
                <w:color w:val="auto"/>
                <w:kern w:val="2"/>
                <w:sz w:val="24"/>
                <w:szCs w:val="24"/>
                <w:highlight w:val="none"/>
                <w:lang w:val="en-US" w:eastAsia="zh-CN"/>
              </w:rPr>
              <w:t>⑥质量通病防治；⑦检验检测标准；</w:t>
            </w:r>
          </w:p>
          <w:p w14:paraId="17F3FF5C">
            <w:pPr>
              <w:autoSpaceDE w:val="0"/>
              <w:autoSpaceDN w:val="0"/>
              <w:adjustRightInd w:val="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以上每提供一小项内容适用于本项目得1分，满分</w:t>
            </w:r>
            <w:r>
              <w:rPr>
                <w:rFonts w:hint="eastAsia" w:ascii="宋体" w:hAnsi="宋体" w:cs="宋体"/>
                <w:bCs/>
                <w:color w:val="auto"/>
                <w:sz w:val="24"/>
                <w:szCs w:val="24"/>
                <w:highlight w:val="none"/>
              </w:rPr>
              <w:t>7</w:t>
            </w:r>
            <w:r>
              <w:rPr>
                <w:rFonts w:hint="eastAsia" w:ascii="宋体" w:hAnsi="宋体" w:cs="宋体"/>
                <w:bCs/>
                <w:color w:val="auto"/>
                <w:sz w:val="24"/>
                <w:szCs w:val="24"/>
                <w:highlight w:val="none"/>
                <w:lang w:val="zh-CN"/>
              </w:rPr>
              <w:t>分。</w:t>
            </w:r>
          </w:p>
          <w:p w14:paraId="30EF72F2">
            <w:pPr>
              <w:keepLines/>
              <w:autoSpaceDE w:val="0"/>
              <w:autoSpaceDN w:val="0"/>
              <w:adjustRightInd w:val="0"/>
              <w:spacing w:line="300" w:lineRule="exact"/>
              <w:jc w:val="left"/>
              <w:rPr>
                <w:rFonts w:hint="eastAsia" w:ascii="宋体" w:hAnsi="宋体" w:cs="宋体"/>
                <w:color w:val="auto"/>
                <w:kern w:val="2"/>
                <w:sz w:val="24"/>
                <w:szCs w:val="24"/>
                <w:highlight w:val="none"/>
                <w:lang w:val="en-US" w:eastAsia="zh-CN" w:bidi="ar-SA"/>
              </w:rPr>
            </w:pPr>
            <w:r>
              <w:rPr>
                <w:rFonts w:hint="eastAsia" w:ascii="宋体" w:hAnsi="宋体" w:cs="宋体"/>
                <w:bCs/>
                <w:color w:val="auto"/>
                <w:sz w:val="24"/>
                <w:szCs w:val="24"/>
                <w:highlight w:val="none"/>
                <w:lang w:val="zh-CN"/>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r>
      <w:tr w14:paraId="3F9E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pct"/>
            <w:vMerge w:val="continue"/>
            <w:vAlign w:val="center"/>
          </w:tcPr>
          <w:p w14:paraId="31FFD8C5">
            <w:pPr>
              <w:spacing w:line="240" w:lineRule="auto"/>
              <w:rPr>
                <w:rFonts w:hint="eastAsia" w:ascii="宋体" w:hAnsi="宋体" w:eastAsia="宋体" w:cs="宋体"/>
                <w:color w:val="auto"/>
                <w:sz w:val="24"/>
                <w:szCs w:val="24"/>
                <w:highlight w:val="none"/>
              </w:rPr>
            </w:pPr>
          </w:p>
        </w:tc>
        <w:tc>
          <w:tcPr>
            <w:tcW w:w="540" w:type="pct"/>
            <w:vMerge w:val="continue"/>
            <w:vAlign w:val="center"/>
          </w:tcPr>
          <w:p w14:paraId="29948E6A">
            <w:pPr>
              <w:spacing w:line="240" w:lineRule="auto"/>
              <w:rPr>
                <w:rFonts w:hint="eastAsia" w:ascii="宋体" w:hAnsi="宋体" w:eastAsia="宋体" w:cs="宋体"/>
                <w:color w:val="auto"/>
                <w:sz w:val="24"/>
                <w:szCs w:val="24"/>
                <w:highlight w:val="none"/>
              </w:rPr>
            </w:pPr>
          </w:p>
        </w:tc>
        <w:tc>
          <w:tcPr>
            <w:tcW w:w="597" w:type="pct"/>
            <w:vAlign w:val="center"/>
          </w:tcPr>
          <w:p w14:paraId="0DFC3E58">
            <w:pPr>
              <w:spacing w:line="380" w:lineRule="exact"/>
              <w:jc w:val="center"/>
              <w:rPr>
                <w:rFonts w:hint="eastAsia" w:ascii="宋体" w:hAnsi="宋体" w:cs="宋体"/>
                <w:color w:val="auto"/>
                <w:kern w:val="2"/>
                <w:sz w:val="24"/>
                <w:szCs w:val="24"/>
                <w:highlight w:val="none"/>
                <w:lang w:val="en-US" w:eastAsia="zh-CN" w:bidi="ar-SA"/>
              </w:rPr>
            </w:pPr>
            <w:r>
              <w:rPr>
                <w:rFonts w:hint="eastAsia" w:ascii="宋体" w:hAnsi="宋体" w:cs="宋体"/>
                <w:bCs/>
                <w:color w:val="auto"/>
                <w:sz w:val="24"/>
                <w:szCs w:val="24"/>
                <w:highlight w:val="none"/>
              </w:rPr>
              <w:t>安全管理体系与措施（</w:t>
            </w:r>
            <w:r>
              <w:rPr>
                <w:rFonts w:hint="eastAsia" w:hAnsi="宋体" w:cs="宋体"/>
                <w:color w:val="auto"/>
                <w:sz w:val="24"/>
                <w:szCs w:val="24"/>
                <w:highlight w:val="none"/>
                <w:lang w:val="en-US" w:eastAsia="zh-CN"/>
              </w:rPr>
              <w:t>7</w:t>
            </w:r>
            <w:r>
              <w:rPr>
                <w:rFonts w:hint="eastAsia" w:ascii="宋体" w:hAnsi="宋体" w:cs="宋体"/>
                <w:color w:val="auto"/>
                <w:sz w:val="24"/>
                <w:szCs w:val="24"/>
                <w:highlight w:val="none"/>
              </w:rPr>
              <w:t>分</w:t>
            </w:r>
            <w:r>
              <w:rPr>
                <w:rFonts w:hint="eastAsia" w:ascii="宋体" w:hAnsi="宋体" w:cs="宋体"/>
                <w:bCs/>
                <w:color w:val="auto"/>
                <w:sz w:val="24"/>
                <w:szCs w:val="24"/>
                <w:highlight w:val="none"/>
              </w:rPr>
              <w:t>）</w:t>
            </w:r>
          </w:p>
        </w:tc>
        <w:tc>
          <w:tcPr>
            <w:tcW w:w="3413" w:type="pct"/>
            <w:vAlign w:val="center"/>
          </w:tcPr>
          <w:p w14:paraId="25377C4A">
            <w:pPr>
              <w:keepLines/>
              <w:autoSpaceDE w:val="0"/>
              <w:autoSpaceDN w:val="0"/>
              <w:adjustRightInd w:val="0"/>
              <w:spacing w:line="3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供应商根据磋商文件要求编制响应文件，包含但不限于以下几个方面：</w:t>
            </w:r>
          </w:p>
          <w:p w14:paraId="2A8C3B9F">
            <w:pPr>
              <w:keepLines/>
              <w:autoSpaceDE w:val="0"/>
              <w:autoSpaceDN w:val="0"/>
              <w:adjustRightInd w:val="0"/>
              <w:spacing w:line="300" w:lineRule="exact"/>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①安全管理体系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②安全生产责任制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③设立安全警示标志</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④安全施工保障措施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⑤全员安全培训计划</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⑥安全设施配备计划</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⑦安全检查及记录计划</w:t>
            </w:r>
            <w:r>
              <w:rPr>
                <w:rFonts w:hint="eastAsia" w:ascii="宋体" w:hAnsi="宋体" w:cs="宋体"/>
                <w:color w:val="auto"/>
                <w:sz w:val="24"/>
                <w:szCs w:val="24"/>
                <w:highlight w:val="none"/>
                <w:lang w:eastAsia="zh-CN"/>
              </w:rPr>
              <w:t>；</w:t>
            </w:r>
          </w:p>
          <w:p w14:paraId="2464AD66">
            <w:pPr>
              <w:keepLines/>
              <w:autoSpaceDE w:val="0"/>
              <w:autoSpaceDN w:val="0"/>
              <w:adjustRightInd w:val="0"/>
              <w:spacing w:line="3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以上每提供一小项内容适用于本项目得1分，满分</w:t>
            </w:r>
            <w:r>
              <w:rPr>
                <w:rFonts w:hint="eastAsia" w:hAnsi="宋体" w:cs="宋体"/>
                <w:color w:val="auto"/>
                <w:sz w:val="24"/>
                <w:szCs w:val="24"/>
                <w:highlight w:val="none"/>
                <w:lang w:val="en-US" w:eastAsia="zh-CN"/>
              </w:rPr>
              <w:t>7</w:t>
            </w:r>
            <w:r>
              <w:rPr>
                <w:rFonts w:hint="eastAsia" w:ascii="宋体" w:hAnsi="宋体" w:cs="宋体"/>
                <w:color w:val="auto"/>
                <w:sz w:val="24"/>
                <w:szCs w:val="24"/>
                <w:highlight w:val="none"/>
              </w:rPr>
              <w:t>分。</w:t>
            </w:r>
          </w:p>
          <w:p w14:paraId="21D0D65B">
            <w:pPr>
              <w:keepLines/>
              <w:autoSpaceDE w:val="0"/>
              <w:autoSpaceDN w:val="0"/>
              <w:adjustRightInd w:val="0"/>
              <w:spacing w:line="300" w:lineRule="exact"/>
              <w:jc w:val="left"/>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r>
      <w:tr w14:paraId="6302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pct"/>
            <w:vMerge w:val="continue"/>
            <w:vAlign w:val="center"/>
          </w:tcPr>
          <w:p w14:paraId="52360B02">
            <w:pPr>
              <w:spacing w:line="240" w:lineRule="auto"/>
              <w:rPr>
                <w:rFonts w:hint="eastAsia" w:ascii="宋体" w:hAnsi="宋体" w:eastAsia="宋体" w:cs="宋体"/>
                <w:color w:val="auto"/>
                <w:sz w:val="24"/>
                <w:szCs w:val="24"/>
                <w:highlight w:val="none"/>
              </w:rPr>
            </w:pPr>
          </w:p>
        </w:tc>
        <w:tc>
          <w:tcPr>
            <w:tcW w:w="540" w:type="pct"/>
            <w:vMerge w:val="continue"/>
            <w:vAlign w:val="center"/>
          </w:tcPr>
          <w:p w14:paraId="78820BBA">
            <w:pPr>
              <w:spacing w:line="240" w:lineRule="auto"/>
              <w:rPr>
                <w:rFonts w:hint="eastAsia" w:ascii="宋体" w:hAnsi="宋体" w:eastAsia="宋体" w:cs="宋体"/>
                <w:color w:val="auto"/>
                <w:sz w:val="24"/>
                <w:szCs w:val="24"/>
                <w:highlight w:val="none"/>
              </w:rPr>
            </w:pPr>
          </w:p>
        </w:tc>
        <w:tc>
          <w:tcPr>
            <w:tcW w:w="597" w:type="pct"/>
            <w:vAlign w:val="center"/>
          </w:tcPr>
          <w:p w14:paraId="2ADDC97B">
            <w:pPr>
              <w:spacing w:line="380" w:lineRule="exact"/>
              <w:jc w:val="center"/>
              <w:rPr>
                <w:rFonts w:hint="eastAsia" w:ascii="宋体" w:hAnsi="宋体" w:cs="宋体"/>
                <w:color w:val="auto"/>
                <w:kern w:val="2"/>
                <w:sz w:val="24"/>
                <w:szCs w:val="24"/>
                <w:highlight w:val="none"/>
                <w:lang w:val="en-US" w:eastAsia="zh-CN" w:bidi="ar-SA"/>
              </w:rPr>
            </w:pPr>
            <w:r>
              <w:rPr>
                <w:rFonts w:hint="eastAsia" w:ascii="宋体" w:hAnsi="宋体" w:cs="宋体"/>
                <w:bCs/>
                <w:color w:val="auto"/>
                <w:sz w:val="24"/>
                <w:szCs w:val="24"/>
                <w:highlight w:val="none"/>
              </w:rPr>
              <w:t>环境保护管理体系与措施（</w:t>
            </w:r>
            <w:r>
              <w:rPr>
                <w:rFonts w:hint="eastAsia" w:ascii="宋体" w:hAnsi="宋体" w:cs="宋体"/>
                <w:bCs/>
                <w:color w:val="auto"/>
                <w:sz w:val="24"/>
                <w:szCs w:val="24"/>
                <w:highlight w:val="none"/>
                <w:lang w:val="en-US" w:eastAsia="zh-CN"/>
              </w:rPr>
              <w:t>6</w:t>
            </w:r>
            <w:r>
              <w:rPr>
                <w:rFonts w:hint="eastAsia" w:ascii="宋体" w:hAnsi="宋体" w:cs="宋体"/>
                <w:color w:val="auto"/>
                <w:sz w:val="24"/>
                <w:szCs w:val="24"/>
                <w:highlight w:val="none"/>
              </w:rPr>
              <w:t>分</w:t>
            </w:r>
            <w:r>
              <w:rPr>
                <w:rFonts w:hint="eastAsia" w:ascii="宋体" w:hAnsi="宋体" w:cs="宋体"/>
                <w:bCs/>
                <w:color w:val="auto"/>
                <w:sz w:val="24"/>
                <w:szCs w:val="24"/>
                <w:highlight w:val="none"/>
              </w:rPr>
              <w:t>）</w:t>
            </w:r>
          </w:p>
        </w:tc>
        <w:tc>
          <w:tcPr>
            <w:tcW w:w="3413" w:type="pct"/>
            <w:vAlign w:val="center"/>
          </w:tcPr>
          <w:p w14:paraId="4276E44D">
            <w:pPr>
              <w:keepLines/>
              <w:spacing w:line="3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供应商根据磋商文件要求编制响应文件，包含但不限于以下几个方面： </w:t>
            </w:r>
          </w:p>
          <w:p w14:paraId="35FC07BB">
            <w:pPr>
              <w:keepLines/>
              <w:spacing w:line="30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①环境保护管理体系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②环境保护方针和目标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③环境保护的措施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④环境卫生责任划分；⑤污染防治措施；⑥针对施工过程中的环境风险因素提供解决措施；</w:t>
            </w:r>
          </w:p>
          <w:p w14:paraId="421BCD23">
            <w:pPr>
              <w:keepLines/>
              <w:spacing w:line="300" w:lineRule="exact"/>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以上每提供</w:t>
            </w:r>
            <w:r>
              <w:rPr>
                <w:rFonts w:hint="eastAsia" w:ascii="宋体" w:hAnsi="宋体" w:cs="宋体"/>
                <w:color w:val="auto"/>
                <w:sz w:val="24"/>
                <w:szCs w:val="24"/>
                <w:highlight w:val="none"/>
              </w:rPr>
              <w:t>一</w:t>
            </w:r>
            <w:r>
              <w:rPr>
                <w:rFonts w:hint="eastAsia" w:ascii="宋体" w:hAnsi="宋体" w:cs="宋体"/>
                <w:color w:val="auto"/>
                <w:sz w:val="24"/>
                <w:szCs w:val="24"/>
                <w:highlight w:val="none"/>
                <w:lang w:val="zh-CN"/>
              </w:rPr>
              <w:t>小项内容适用于本项目得1分，满分</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zh-CN"/>
              </w:rPr>
              <w:t>分。</w:t>
            </w:r>
          </w:p>
          <w:p w14:paraId="1D9C3697">
            <w:pPr>
              <w:keepLines/>
              <w:spacing w:line="300" w:lineRule="exact"/>
              <w:jc w:val="left"/>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val="zh-CN"/>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r>
      <w:tr w14:paraId="7414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pct"/>
            <w:vMerge w:val="continue"/>
            <w:vAlign w:val="center"/>
          </w:tcPr>
          <w:p w14:paraId="297A968B">
            <w:pPr>
              <w:spacing w:line="240" w:lineRule="auto"/>
              <w:rPr>
                <w:rFonts w:hint="eastAsia" w:ascii="宋体" w:hAnsi="宋体" w:eastAsia="宋体" w:cs="宋体"/>
                <w:color w:val="auto"/>
                <w:sz w:val="24"/>
                <w:szCs w:val="24"/>
                <w:highlight w:val="none"/>
              </w:rPr>
            </w:pPr>
          </w:p>
        </w:tc>
        <w:tc>
          <w:tcPr>
            <w:tcW w:w="540" w:type="pct"/>
            <w:vMerge w:val="continue"/>
            <w:vAlign w:val="center"/>
          </w:tcPr>
          <w:p w14:paraId="152BFF7A">
            <w:pPr>
              <w:spacing w:line="240" w:lineRule="auto"/>
              <w:rPr>
                <w:rFonts w:hint="eastAsia" w:ascii="宋体" w:hAnsi="宋体" w:eastAsia="宋体" w:cs="宋体"/>
                <w:color w:val="auto"/>
                <w:sz w:val="24"/>
                <w:szCs w:val="24"/>
                <w:highlight w:val="none"/>
              </w:rPr>
            </w:pPr>
          </w:p>
        </w:tc>
        <w:tc>
          <w:tcPr>
            <w:tcW w:w="597" w:type="pct"/>
            <w:vAlign w:val="center"/>
          </w:tcPr>
          <w:p w14:paraId="62FCF8F4">
            <w:pPr>
              <w:spacing w:line="380" w:lineRule="exact"/>
              <w:jc w:val="center"/>
              <w:rPr>
                <w:rFonts w:hint="eastAsia" w:ascii="宋体" w:hAnsi="宋体" w:cs="宋体"/>
                <w:color w:val="auto"/>
                <w:kern w:val="2"/>
                <w:sz w:val="24"/>
                <w:szCs w:val="24"/>
                <w:highlight w:val="none"/>
                <w:lang w:val="en-US" w:eastAsia="zh-CN" w:bidi="ar-SA"/>
              </w:rPr>
            </w:pPr>
            <w:r>
              <w:rPr>
                <w:rFonts w:hint="eastAsia" w:ascii="宋体" w:hAnsi="宋体" w:cs="宋体"/>
                <w:bCs/>
                <w:color w:val="auto"/>
                <w:sz w:val="24"/>
                <w:szCs w:val="24"/>
                <w:highlight w:val="none"/>
              </w:rPr>
              <w:t>工程进度计划与措施（</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w:t>
            </w:r>
            <w:r>
              <w:rPr>
                <w:rFonts w:hint="eastAsia" w:ascii="宋体" w:hAnsi="宋体" w:cs="宋体"/>
                <w:bCs/>
                <w:color w:val="auto"/>
                <w:sz w:val="24"/>
                <w:szCs w:val="24"/>
                <w:highlight w:val="none"/>
              </w:rPr>
              <w:t>）</w:t>
            </w:r>
          </w:p>
        </w:tc>
        <w:tc>
          <w:tcPr>
            <w:tcW w:w="3413" w:type="pct"/>
            <w:vAlign w:val="center"/>
          </w:tcPr>
          <w:p w14:paraId="519427EA">
            <w:pPr>
              <w:keepLines/>
              <w:autoSpaceDE w:val="0"/>
              <w:autoSpaceDN w:val="0"/>
              <w:adjustRightInd w:val="0"/>
              <w:spacing w:line="3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供应商根据磋商文件要求编制响应文件，包含但不限于以下几个方面：</w:t>
            </w:r>
          </w:p>
          <w:p w14:paraId="1D44698E">
            <w:pPr>
              <w:keepLines/>
              <w:autoSpaceDE w:val="0"/>
              <w:autoSpaceDN w:val="0"/>
              <w:adjustRightInd w:val="0"/>
              <w:spacing w:line="300" w:lineRule="exact"/>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①总体进度计划</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②月进度计划</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③分项工程工期计划</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④进度组织管理体系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⑤工期保证措施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⑥横道图或网络图</w:t>
            </w:r>
            <w:r>
              <w:rPr>
                <w:rFonts w:hint="eastAsia" w:ascii="宋体" w:hAnsi="宋体" w:cs="宋体"/>
                <w:color w:val="auto"/>
                <w:sz w:val="24"/>
                <w:szCs w:val="24"/>
                <w:highlight w:val="none"/>
                <w:lang w:eastAsia="zh-CN"/>
              </w:rPr>
              <w:t>；</w:t>
            </w:r>
          </w:p>
          <w:p w14:paraId="1795F72E">
            <w:pPr>
              <w:keepLines/>
              <w:autoSpaceDE w:val="0"/>
              <w:autoSpaceDN w:val="0"/>
              <w:adjustRightInd w:val="0"/>
              <w:spacing w:line="3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以上每提供一小项内容适用于本项目得1分，满分6分。</w:t>
            </w:r>
          </w:p>
          <w:p w14:paraId="236348F9">
            <w:pPr>
              <w:keepLines/>
              <w:autoSpaceDE w:val="0"/>
              <w:autoSpaceDN w:val="0"/>
              <w:adjustRightInd w:val="0"/>
              <w:spacing w:line="300" w:lineRule="exact"/>
              <w:jc w:val="left"/>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r>
      <w:tr w14:paraId="4DD1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pct"/>
            <w:vMerge w:val="continue"/>
            <w:vAlign w:val="center"/>
          </w:tcPr>
          <w:p w14:paraId="4100CF09">
            <w:pPr>
              <w:spacing w:line="240" w:lineRule="auto"/>
              <w:rPr>
                <w:rFonts w:hint="eastAsia" w:ascii="宋体" w:hAnsi="宋体" w:eastAsia="宋体" w:cs="宋体"/>
                <w:color w:val="auto"/>
                <w:sz w:val="24"/>
                <w:szCs w:val="24"/>
                <w:highlight w:val="none"/>
              </w:rPr>
            </w:pPr>
          </w:p>
        </w:tc>
        <w:tc>
          <w:tcPr>
            <w:tcW w:w="540" w:type="pct"/>
            <w:vMerge w:val="continue"/>
            <w:vAlign w:val="center"/>
          </w:tcPr>
          <w:p w14:paraId="70CB9822">
            <w:pPr>
              <w:spacing w:line="240" w:lineRule="auto"/>
              <w:rPr>
                <w:rFonts w:hint="eastAsia" w:ascii="宋体" w:hAnsi="宋体" w:eastAsia="宋体" w:cs="宋体"/>
                <w:color w:val="auto"/>
                <w:sz w:val="24"/>
                <w:szCs w:val="24"/>
                <w:highlight w:val="none"/>
              </w:rPr>
            </w:pPr>
          </w:p>
        </w:tc>
        <w:tc>
          <w:tcPr>
            <w:tcW w:w="597" w:type="pct"/>
            <w:vAlign w:val="center"/>
          </w:tcPr>
          <w:p w14:paraId="2728B53D">
            <w:pPr>
              <w:pStyle w:val="25"/>
              <w:tabs>
                <w:tab w:val="left" w:pos="900"/>
              </w:tabs>
              <w:spacing w:line="380" w:lineRule="exact"/>
              <w:ind w:left="0" w:leftChars="0" w:firstLine="0" w:firstLineChars="0"/>
              <w:jc w:val="center"/>
              <w:rPr>
                <w:rFonts w:hint="eastAsia" w:ascii="宋体" w:hAnsi="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资源配备计划（4分）</w:t>
            </w:r>
          </w:p>
        </w:tc>
        <w:tc>
          <w:tcPr>
            <w:tcW w:w="3413" w:type="pct"/>
            <w:vAlign w:val="center"/>
          </w:tcPr>
          <w:p w14:paraId="5A6E3F88">
            <w:pPr>
              <w:keepLines/>
              <w:spacing w:line="3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供应商根据磋商文件要求编制响应文件，包含但不限于以下几个方面：</w:t>
            </w:r>
          </w:p>
          <w:p w14:paraId="5EF75E50">
            <w:pPr>
              <w:keepLines/>
              <w:spacing w:line="300" w:lineRule="exact"/>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①资金配备计划</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②原材料进场计划</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③施工机械配置计划</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④施工设备配置计划</w:t>
            </w:r>
            <w:r>
              <w:rPr>
                <w:rFonts w:hint="eastAsia" w:ascii="宋体" w:hAnsi="宋体" w:cs="宋体"/>
                <w:color w:val="auto"/>
                <w:sz w:val="24"/>
                <w:szCs w:val="24"/>
                <w:highlight w:val="none"/>
                <w:lang w:eastAsia="zh-CN"/>
              </w:rPr>
              <w:t>；</w:t>
            </w:r>
          </w:p>
          <w:p w14:paraId="4ED5D5C0">
            <w:pPr>
              <w:keepLines/>
              <w:spacing w:line="3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以上每提供</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小项内容适用于本项目得1分，满分</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p>
          <w:p w14:paraId="2D70F15E">
            <w:pPr>
              <w:keepLines/>
              <w:spacing w:line="300" w:lineRule="exact"/>
              <w:jc w:val="left"/>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r>
      <w:tr w14:paraId="5874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pct"/>
            <w:vMerge w:val="continue"/>
            <w:vAlign w:val="center"/>
          </w:tcPr>
          <w:p w14:paraId="6642C493">
            <w:pPr>
              <w:spacing w:line="240" w:lineRule="auto"/>
              <w:rPr>
                <w:rFonts w:hint="eastAsia" w:ascii="宋体" w:hAnsi="宋体" w:eastAsia="宋体" w:cs="宋体"/>
                <w:color w:val="auto"/>
                <w:sz w:val="24"/>
                <w:szCs w:val="24"/>
                <w:highlight w:val="none"/>
              </w:rPr>
            </w:pPr>
          </w:p>
        </w:tc>
        <w:tc>
          <w:tcPr>
            <w:tcW w:w="540" w:type="pct"/>
            <w:vMerge w:val="continue"/>
            <w:vAlign w:val="center"/>
          </w:tcPr>
          <w:p w14:paraId="0C20D7AE">
            <w:pPr>
              <w:spacing w:line="240" w:lineRule="auto"/>
              <w:rPr>
                <w:rFonts w:hint="eastAsia" w:ascii="宋体" w:hAnsi="宋体" w:eastAsia="宋体" w:cs="宋体"/>
                <w:color w:val="auto"/>
                <w:sz w:val="24"/>
                <w:szCs w:val="24"/>
                <w:highlight w:val="none"/>
              </w:rPr>
            </w:pPr>
          </w:p>
        </w:tc>
        <w:tc>
          <w:tcPr>
            <w:tcW w:w="597" w:type="pct"/>
            <w:vAlign w:val="center"/>
          </w:tcPr>
          <w:p w14:paraId="4D3FDC5A">
            <w:pPr>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劳动力安排计划</w:t>
            </w:r>
            <w:r>
              <w:rPr>
                <w:rFonts w:hint="eastAsia" w:ascii="宋体" w:hAnsi="宋体" w:cs="宋体"/>
                <w:bCs/>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r>
              <w:rPr>
                <w:rFonts w:hint="eastAsia" w:ascii="宋体" w:hAnsi="宋体" w:cs="宋体"/>
                <w:bCs/>
                <w:color w:val="auto"/>
                <w:sz w:val="24"/>
                <w:szCs w:val="24"/>
                <w:highlight w:val="none"/>
              </w:rPr>
              <w:t>）</w:t>
            </w:r>
          </w:p>
        </w:tc>
        <w:tc>
          <w:tcPr>
            <w:tcW w:w="3413" w:type="pct"/>
          </w:tcPr>
          <w:p w14:paraId="2AA807AF">
            <w:pPr>
              <w:autoSpaceDE w:val="0"/>
              <w:autoSpaceDN w:val="0"/>
              <w:adjustRightInd w:val="0"/>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供应商根据磋商文件要求编制响应文件，包含但不限于以下几个方面： </w:t>
            </w:r>
          </w:p>
          <w:p w14:paraId="118FE5C4">
            <w:pPr>
              <w:widowControl/>
              <w:jc w:val="left"/>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①劳动力配备情况</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②劳动力管理计划</w:t>
            </w:r>
            <w:r>
              <w:rPr>
                <w:rFonts w:hint="eastAsia" w:ascii="宋体" w:hAnsi="宋体" w:cs="宋体"/>
                <w:bCs/>
                <w:color w:val="auto"/>
                <w:sz w:val="24"/>
                <w:szCs w:val="24"/>
                <w:highlight w:val="none"/>
                <w:lang w:eastAsia="zh-CN"/>
              </w:rPr>
              <w:t>；</w:t>
            </w:r>
          </w:p>
          <w:p w14:paraId="2BC0A800">
            <w:pPr>
              <w:pStyle w:val="15"/>
              <w:rPr>
                <w:rFonts w:hAnsi="宋体" w:cs="宋体"/>
                <w:bCs/>
                <w:color w:val="auto"/>
                <w:spacing w:val="-6"/>
                <w:kern w:val="2"/>
                <w:sz w:val="24"/>
                <w:szCs w:val="24"/>
                <w:highlight w:val="none"/>
                <w:lang w:val="en-US" w:eastAsia="zh-CN"/>
              </w:rPr>
            </w:pPr>
            <w:r>
              <w:rPr>
                <w:rFonts w:hint="eastAsia" w:hAnsi="宋体" w:cs="宋体"/>
                <w:bCs/>
                <w:color w:val="auto"/>
                <w:spacing w:val="-6"/>
                <w:kern w:val="2"/>
                <w:sz w:val="24"/>
                <w:szCs w:val="24"/>
                <w:highlight w:val="none"/>
                <w:lang w:val="en-US" w:eastAsia="zh-CN"/>
              </w:rPr>
              <w:t>以上每提供一小项内容适用于本项目得2分，满分4分。</w:t>
            </w:r>
          </w:p>
          <w:p w14:paraId="435A6998">
            <w:pPr>
              <w:rPr>
                <w:rFonts w:hint="eastAsia" w:ascii="宋体" w:hAnsi="宋体" w:cs="宋体"/>
                <w:color w:val="auto"/>
                <w:kern w:val="2"/>
                <w:sz w:val="24"/>
                <w:szCs w:val="24"/>
                <w:highlight w:val="none"/>
                <w:lang w:val="en-US" w:eastAsia="zh-CN" w:bidi="ar-SA"/>
              </w:rPr>
            </w:pPr>
            <w:r>
              <w:rPr>
                <w:rFonts w:hint="eastAsia" w:hAnsi="宋体" w:cs="宋体"/>
                <w:bCs/>
                <w:color w:val="auto"/>
                <w:spacing w:val="-6"/>
                <w:sz w:val="24"/>
                <w:szCs w:val="24"/>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r>
      <w:tr w14:paraId="13E4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pct"/>
            <w:vMerge w:val="continue"/>
            <w:vAlign w:val="center"/>
          </w:tcPr>
          <w:p w14:paraId="3C790721">
            <w:pPr>
              <w:spacing w:line="240" w:lineRule="auto"/>
              <w:rPr>
                <w:rFonts w:hint="eastAsia" w:ascii="宋体" w:hAnsi="宋体" w:eastAsia="宋体" w:cs="宋体"/>
                <w:color w:val="auto"/>
                <w:sz w:val="24"/>
                <w:szCs w:val="24"/>
                <w:highlight w:val="none"/>
              </w:rPr>
            </w:pPr>
          </w:p>
        </w:tc>
        <w:tc>
          <w:tcPr>
            <w:tcW w:w="540" w:type="pct"/>
            <w:vMerge w:val="continue"/>
            <w:vAlign w:val="center"/>
          </w:tcPr>
          <w:p w14:paraId="5E64FB39">
            <w:pPr>
              <w:spacing w:line="240" w:lineRule="auto"/>
              <w:rPr>
                <w:rFonts w:hint="eastAsia" w:ascii="宋体" w:hAnsi="宋体" w:eastAsia="宋体" w:cs="宋体"/>
                <w:color w:val="auto"/>
                <w:sz w:val="24"/>
                <w:szCs w:val="24"/>
                <w:highlight w:val="none"/>
              </w:rPr>
            </w:pPr>
          </w:p>
        </w:tc>
        <w:tc>
          <w:tcPr>
            <w:tcW w:w="597" w:type="pct"/>
            <w:vAlign w:val="center"/>
          </w:tcPr>
          <w:p w14:paraId="3CE4FEAF">
            <w:pPr>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成品保护措施（</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p>
        </w:tc>
        <w:tc>
          <w:tcPr>
            <w:tcW w:w="3413" w:type="pct"/>
            <w:vAlign w:val="center"/>
          </w:tcPr>
          <w:p w14:paraId="3DE6F5A7">
            <w:pPr>
              <w:autoSpaceDE w:val="0"/>
              <w:autoSpaceDN w:val="0"/>
              <w:adjustRightInd w:val="0"/>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供应商根据磋商文件要求编制响应文件，包含但不限于以下几个方面：</w:t>
            </w:r>
          </w:p>
          <w:p w14:paraId="17911D7B">
            <w:pPr>
              <w:autoSpaceDE w:val="0"/>
              <w:autoSpaceDN w:val="0"/>
              <w:adjustRightInd w:val="0"/>
              <w:rPr>
                <w:rFonts w:hint="eastAsia" w:ascii="宋体" w:hAnsi="宋体" w:cs="宋体"/>
                <w:color w:val="auto"/>
                <w:sz w:val="24"/>
                <w:szCs w:val="24"/>
                <w:highlight w:val="none"/>
              </w:rPr>
            </w:pPr>
            <w:r>
              <w:rPr>
                <w:rFonts w:hint="eastAsia" w:ascii="宋体" w:hAnsi="宋体" w:cs="宋体"/>
                <w:bCs/>
                <w:color w:val="auto"/>
                <w:sz w:val="24"/>
                <w:szCs w:val="24"/>
                <w:highlight w:val="none"/>
              </w:rPr>
              <w:t>①</w:t>
            </w:r>
            <w:r>
              <w:rPr>
                <w:rFonts w:hint="eastAsia" w:ascii="宋体" w:hAnsi="宋体" w:cs="宋体"/>
                <w:color w:val="auto"/>
                <w:sz w:val="24"/>
                <w:szCs w:val="24"/>
                <w:highlight w:val="none"/>
              </w:rPr>
              <w:t>施工期间对其他既有建筑物或构筑物的保护措施</w:t>
            </w:r>
          </w:p>
          <w:p w14:paraId="750CFA31">
            <w:pPr>
              <w:autoSpaceDE w:val="0"/>
              <w:autoSpaceDN w:val="0"/>
              <w:adjustRightInd w:val="0"/>
              <w:rPr>
                <w:rFonts w:hint="eastAsia" w:ascii="宋体" w:hAnsi="宋体" w:cs="宋体"/>
                <w:bCs/>
                <w:color w:val="auto"/>
                <w:sz w:val="24"/>
                <w:szCs w:val="24"/>
                <w:highlight w:val="none"/>
              </w:rPr>
            </w:pPr>
            <w:r>
              <w:rPr>
                <w:rFonts w:hint="eastAsia" w:ascii="宋体" w:hAnsi="宋体" w:cs="宋体"/>
                <w:bCs/>
                <w:color w:val="auto"/>
                <w:sz w:val="24"/>
                <w:szCs w:val="24"/>
                <w:highlight w:val="none"/>
              </w:rPr>
              <w:t>②</w:t>
            </w:r>
            <w:r>
              <w:rPr>
                <w:rFonts w:hint="eastAsia" w:ascii="宋体" w:hAnsi="宋体" w:cs="宋体"/>
                <w:color w:val="auto"/>
                <w:sz w:val="24"/>
                <w:szCs w:val="24"/>
                <w:highlight w:val="none"/>
              </w:rPr>
              <w:t>对已完工部分采取的成品保护措施</w:t>
            </w:r>
          </w:p>
          <w:p w14:paraId="4FC5C8F2">
            <w:pPr>
              <w:autoSpaceDE w:val="0"/>
              <w:autoSpaceDN w:val="0"/>
              <w:adjustRightInd w:val="0"/>
              <w:rPr>
                <w:rFonts w:hint="eastAsia" w:ascii="宋体" w:hAnsi="宋体" w:cs="宋体"/>
                <w:bCs/>
                <w:color w:val="auto"/>
                <w:sz w:val="24"/>
                <w:szCs w:val="24"/>
                <w:highlight w:val="none"/>
              </w:rPr>
            </w:pPr>
            <w:r>
              <w:rPr>
                <w:rFonts w:hint="eastAsia" w:ascii="宋体" w:hAnsi="宋体" w:cs="宋体"/>
                <w:bCs/>
                <w:color w:val="auto"/>
                <w:sz w:val="24"/>
                <w:szCs w:val="24"/>
                <w:highlight w:val="none"/>
              </w:rPr>
              <w:t>③</w:t>
            </w:r>
            <w:r>
              <w:rPr>
                <w:rFonts w:ascii="宋体" w:hAnsi="宋体" w:cs="宋体"/>
                <w:bCs/>
                <w:color w:val="auto"/>
                <w:sz w:val="24"/>
                <w:szCs w:val="24"/>
                <w:highlight w:val="none"/>
              </w:rPr>
              <w:t>成品保护维修措施承诺</w:t>
            </w:r>
          </w:p>
          <w:p w14:paraId="56FD0AD4">
            <w:pPr>
              <w:autoSpaceDE w:val="0"/>
              <w:autoSpaceDN w:val="0"/>
              <w:adjustRightInd w:val="0"/>
              <w:rPr>
                <w:rFonts w:ascii="宋体" w:hAnsi="宋体" w:cs="宋体"/>
                <w:bCs/>
                <w:color w:val="auto"/>
                <w:sz w:val="24"/>
                <w:szCs w:val="24"/>
                <w:highlight w:val="none"/>
              </w:rPr>
            </w:pPr>
            <w:r>
              <w:rPr>
                <w:rFonts w:hint="eastAsia" w:ascii="宋体" w:hAnsi="宋体" w:cs="宋体"/>
                <w:bCs/>
                <w:color w:val="auto"/>
                <w:sz w:val="24"/>
                <w:szCs w:val="24"/>
                <w:highlight w:val="none"/>
              </w:rPr>
              <w:t>④成品保护管理制度</w:t>
            </w:r>
          </w:p>
          <w:p w14:paraId="7412963E">
            <w:pPr>
              <w:autoSpaceDE w:val="0"/>
              <w:autoSpaceDN w:val="0"/>
              <w:adjustRightInd w:val="0"/>
              <w:rPr>
                <w:rFonts w:ascii="宋体" w:hAnsi="宋体" w:cs="宋体"/>
                <w:bCs/>
                <w:color w:val="auto"/>
                <w:sz w:val="24"/>
                <w:szCs w:val="24"/>
                <w:highlight w:val="none"/>
              </w:rPr>
            </w:pPr>
            <w:r>
              <w:rPr>
                <w:rFonts w:hint="eastAsia" w:ascii="宋体" w:hAnsi="宋体" w:cs="宋体"/>
                <w:bCs/>
                <w:color w:val="auto"/>
                <w:sz w:val="24"/>
                <w:szCs w:val="24"/>
                <w:highlight w:val="none"/>
              </w:rPr>
              <w:t>以上每提供一小项内容适用于本项目得1分，满分4分。</w:t>
            </w:r>
          </w:p>
          <w:p w14:paraId="288783B1">
            <w:pPr>
              <w:autoSpaceDE w:val="0"/>
              <w:autoSpaceDN w:val="0"/>
              <w:adjustRightInd w:val="0"/>
              <w:rPr>
                <w:rFonts w:hint="eastAsia" w:ascii="宋体" w:hAnsi="宋体" w:cs="宋体"/>
                <w:color w:val="auto"/>
                <w:kern w:val="2"/>
                <w:sz w:val="24"/>
                <w:szCs w:val="24"/>
                <w:highlight w:val="none"/>
                <w:lang w:val="en-US" w:eastAsia="zh-CN" w:bidi="ar-SA"/>
              </w:rPr>
            </w:pPr>
            <w:r>
              <w:rPr>
                <w:rFonts w:hint="eastAsia" w:ascii="宋体" w:hAnsi="宋体" w:cs="宋体"/>
                <w:bCs/>
                <w:color w:val="auto"/>
                <w:sz w:val="24"/>
                <w:szCs w:val="24"/>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r>
      <w:tr w14:paraId="564F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pct"/>
            <w:vMerge w:val="continue"/>
            <w:vAlign w:val="center"/>
          </w:tcPr>
          <w:p w14:paraId="6D2C056F">
            <w:pPr>
              <w:spacing w:line="240" w:lineRule="auto"/>
              <w:rPr>
                <w:rFonts w:hint="eastAsia" w:ascii="宋体" w:hAnsi="宋体" w:eastAsia="宋体" w:cs="宋体"/>
                <w:color w:val="auto"/>
                <w:sz w:val="24"/>
                <w:szCs w:val="24"/>
                <w:highlight w:val="none"/>
              </w:rPr>
            </w:pPr>
          </w:p>
        </w:tc>
        <w:tc>
          <w:tcPr>
            <w:tcW w:w="540" w:type="pct"/>
            <w:vMerge w:val="continue"/>
            <w:vAlign w:val="center"/>
          </w:tcPr>
          <w:p w14:paraId="77303FA2">
            <w:pPr>
              <w:spacing w:line="240" w:lineRule="auto"/>
              <w:rPr>
                <w:rFonts w:hint="eastAsia" w:ascii="宋体" w:hAnsi="宋体" w:eastAsia="宋体" w:cs="宋体"/>
                <w:color w:val="auto"/>
                <w:sz w:val="24"/>
                <w:szCs w:val="24"/>
                <w:highlight w:val="none"/>
              </w:rPr>
            </w:pPr>
          </w:p>
        </w:tc>
        <w:tc>
          <w:tcPr>
            <w:tcW w:w="597" w:type="pct"/>
            <w:vAlign w:val="center"/>
          </w:tcPr>
          <w:p w14:paraId="29665C4F">
            <w:pPr>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工程保修措施（</w:t>
            </w:r>
            <w:r>
              <w:rPr>
                <w:rFonts w:hint="eastAsia" w:hAnsi="宋体" w:cs="宋体"/>
                <w:color w:val="auto"/>
                <w:sz w:val="24"/>
                <w:szCs w:val="24"/>
                <w:highlight w:val="none"/>
                <w:lang w:val="en-US" w:eastAsia="zh-CN"/>
              </w:rPr>
              <w:t>3</w:t>
            </w:r>
            <w:r>
              <w:rPr>
                <w:rFonts w:hint="eastAsia" w:ascii="宋体" w:hAnsi="宋体" w:cs="宋体"/>
                <w:color w:val="auto"/>
                <w:sz w:val="24"/>
                <w:szCs w:val="24"/>
                <w:highlight w:val="none"/>
              </w:rPr>
              <w:t>分）</w:t>
            </w:r>
          </w:p>
        </w:tc>
        <w:tc>
          <w:tcPr>
            <w:tcW w:w="3413" w:type="pct"/>
          </w:tcPr>
          <w:p w14:paraId="54FBD6EA">
            <w:pPr>
              <w:autoSpaceDE w:val="0"/>
              <w:autoSpaceDN w:val="0"/>
              <w:adjustRightInd w:val="0"/>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供应商根据磋商文件要求编制响应文件，包含但不限于以下几个方面：</w:t>
            </w:r>
          </w:p>
          <w:p w14:paraId="203225A6">
            <w:pPr>
              <w:pStyle w:val="15"/>
              <w:rPr>
                <w:rFonts w:hint="eastAsia" w:hAnsi="宋体" w:cs="宋体"/>
                <w:bCs/>
                <w:color w:val="auto"/>
                <w:kern w:val="2"/>
                <w:sz w:val="24"/>
                <w:szCs w:val="24"/>
                <w:highlight w:val="none"/>
                <w:lang w:val="en-US" w:eastAsia="zh-CN"/>
              </w:rPr>
            </w:pPr>
            <w:r>
              <w:rPr>
                <w:rFonts w:hint="eastAsia" w:hAnsi="宋体" w:cs="宋体"/>
                <w:bCs/>
                <w:color w:val="auto"/>
                <w:kern w:val="2"/>
                <w:sz w:val="24"/>
                <w:szCs w:val="24"/>
                <w:highlight w:val="none"/>
                <w:lang w:val="en-US" w:eastAsia="zh-CN"/>
              </w:rPr>
              <w:fldChar w:fldCharType="begin"/>
            </w:r>
            <w:r>
              <w:rPr>
                <w:rFonts w:hint="eastAsia" w:hAnsi="宋体" w:cs="宋体"/>
                <w:bCs/>
                <w:color w:val="auto"/>
                <w:kern w:val="2"/>
                <w:sz w:val="24"/>
                <w:szCs w:val="24"/>
                <w:highlight w:val="none"/>
                <w:lang w:val="en-US" w:eastAsia="zh-CN"/>
              </w:rPr>
              <w:instrText xml:space="preserve"> = 1 \* GB3 </w:instrText>
            </w:r>
            <w:r>
              <w:rPr>
                <w:rFonts w:hint="eastAsia" w:hAnsi="宋体" w:cs="宋体"/>
                <w:bCs/>
                <w:color w:val="auto"/>
                <w:kern w:val="2"/>
                <w:sz w:val="24"/>
                <w:szCs w:val="24"/>
                <w:highlight w:val="none"/>
                <w:lang w:val="en-US" w:eastAsia="zh-CN"/>
              </w:rPr>
              <w:fldChar w:fldCharType="separate"/>
            </w:r>
            <w:r>
              <w:rPr>
                <w:rFonts w:hint="eastAsia" w:hAnsi="宋体" w:cs="宋体"/>
                <w:bCs/>
                <w:color w:val="auto"/>
                <w:kern w:val="2"/>
                <w:sz w:val="24"/>
                <w:szCs w:val="24"/>
                <w:highlight w:val="none"/>
                <w:lang w:val="en-US" w:eastAsia="zh-CN"/>
              </w:rPr>
              <w:t>①</w:t>
            </w:r>
            <w:r>
              <w:rPr>
                <w:rFonts w:hint="eastAsia" w:hAnsi="宋体" w:cs="宋体"/>
                <w:bCs/>
                <w:color w:val="auto"/>
                <w:kern w:val="2"/>
                <w:sz w:val="24"/>
                <w:szCs w:val="24"/>
                <w:highlight w:val="none"/>
                <w:lang w:val="en-US" w:eastAsia="zh-CN"/>
              </w:rPr>
              <w:fldChar w:fldCharType="end"/>
            </w:r>
            <w:r>
              <w:rPr>
                <w:rFonts w:hint="eastAsia" w:hAnsi="宋体" w:cs="宋体"/>
                <w:bCs/>
                <w:color w:val="auto"/>
                <w:kern w:val="2"/>
                <w:sz w:val="24"/>
                <w:szCs w:val="24"/>
                <w:highlight w:val="none"/>
                <w:lang w:val="en-US" w:eastAsia="zh-CN"/>
              </w:rPr>
              <w:t>维修方案</w:t>
            </w:r>
          </w:p>
          <w:p w14:paraId="5ED1284A">
            <w:pPr>
              <w:pStyle w:val="15"/>
              <w:rPr>
                <w:rFonts w:hint="eastAsia" w:hAnsi="宋体" w:cs="宋体"/>
                <w:bCs/>
                <w:color w:val="auto"/>
                <w:kern w:val="2"/>
                <w:sz w:val="24"/>
                <w:szCs w:val="24"/>
                <w:highlight w:val="none"/>
                <w:lang w:val="en-US" w:eastAsia="zh-CN"/>
              </w:rPr>
            </w:pPr>
            <w:r>
              <w:rPr>
                <w:rFonts w:hint="eastAsia" w:hAnsi="宋体" w:cs="宋体"/>
                <w:bCs/>
                <w:color w:val="auto"/>
                <w:kern w:val="2"/>
                <w:sz w:val="24"/>
                <w:szCs w:val="24"/>
                <w:highlight w:val="none"/>
                <w:lang w:val="en-US" w:eastAsia="zh-CN"/>
              </w:rPr>
              <w:fldChar w:fldCharType="begin"/>
            </w:r>
            <w:r>
              <w:rPr>
                <w:rFonts w:hint="eastAsia" w:hAnsi="宋体" w:cs="宋体"/>
                <w:bCs/>
                <w:color w:val="auto"/>
                <w:kern w:val="2"/>
                <w:sz w:val="24"/>
                <w:szCs w:val="24"/>
                <w:highlight w:val="none"/>
                <w:lang w:val="en-US" w:eastAsia="zh-CN"/>
              </w:rPr>
              <w:instrText xml:space="preserve"> = 2 \* GB3 </w:instrText>
            </w:r>
            <w:r>
              <w:rPr>
                <w:rFonts w:hint="eastAsia" w:hAnsi="宋体" w:cs="宋体"/>
                <w:bCs/>
                <w:color w:val="auto"/>
                <w:kern w:val="2"/>
                <w:sz w:val="24"/>
                <w:szCs w:val="24"/>
                <w:highlight w:val="none"/>
                <w:lang w:val="en-US" w:eastAsia="zh-CN"/>
              </w:rPr>
              <w:fldChar w:fldCharType="separate"/>
            </w:r>
            <w:r>
              <w:rPr>
                <w:rFonts w:hint="eastAsia" w:hAnsi="宋体" w:cs="宋体"/>
                <w:bCs/>
                <w:color w:val="auto"/>
                <w:kern w:val="2"/>
                <w:sz w:val="24"/>
                <w:szCs w:val="24"/>
                <w:highlight w:val="none"/>
                <w:lang w:val="en-US" w:eastAsia="zh-CN"/>
              </w:rPr>
              <w:t>②</w:t>
            </w:r>
            <w:r>
              <w:rPr>
                <w:rFonts w:hint="eastAsia" w:hAnsi="宋体" w:cs="宋体"/>
                <w:bCs/>
                <w:color w:val="auto"/>
                <w:kern w:val="2"/>
                <w:sz w:val="24"/>
                <w:szCs w:val="24"/>
                <w:highlight w:val="none"/>
                <w:lang w:val="en-US" w:eastAsia="zh-CN"/>
              </w:rPr>
              <w:fldChar w:fldCharType="end"/>
            </w:r>
            <w:r>
              <w:rPr>
                <w:rFonts w:hint="eastAsia" w:hAnsi="宋体" w:cs="宋体"/>
                <w:bCs/>
                <w:color w:val="auto"/>
                <w:kern w:val="2"/>
                <w:sz w:val="24"/>
                <w:szCs w:val="24"/>
                <w:highlight w:val="none"/>
                <w:lang w:val="en-US" w:eastAsia="zh-CN"/>
              </w:rPr>
              <w:t>及时响应维修应急预案</w:t>
            </w:r>
          </w:p>
          <w:p w14:paraId="35C95085">
            <w:pPr>
              <w:pStyle w:val="15"/>
              <w:rPr>
                <w:rFonts w:hAnsi="宋体" w:cs="宋体"/>
                <w:bCs/>
                <w:color w:val="auto"/>
                <w:kern w:val="2"/>
                <w:sz w:val="24"/>
                <w:szCs w:val="24"/>
                <w:highlight w:val="none"/>
                <w:lang w:val="en-US" w:eastAsia="zh-CN"/>
              </w:rPr>
            </w:pPr>
            <w:r>
              <w:rPr>
                <w:rFonts w:hint="eastAsia" w:hAnsi="宋体" w:cs="宋体"/>
                <w:color w:val="auto"/>
                <w:kern w:val="2"/>
                <w:sz w:val="24"/>
                <w:szCs w:val="24"/>
                <w:highlight w:val="none"/>
                <w:lang w:val="en-US" w:eastAsia="zh-CN"/>
              </w:rPr>
              <w:t>③有针对性的工程保修工作的管理措施</w:t>
            </w:r>
          </w:p>
          <w:p w14:paraId="18250B60">
            <w:pPr>
              <w:pStyle w:val="15"/>
              <w:rPr>
                <w:rFonts w:hAnsi="宋体" w:cs="宋体"/>
                <w:bCs/>
                <w:color w:val="auto"/>
                <w:kern w:val="2"/>
                <w:sz w:val="24"/>
                <w:szCs w:val="24"/>
                <w:highlight w:val="none"/>
                <w:lang w:val="en-US" w:eastAsia="zh-CN"/>
              </w:rPr>
            </w:pPr>
            <w:r>
              <w:rPr>
                <w:rFonts w:hint="eastAsia" w:hAnsi="宋体" w:cs="宋体"/>
                <w:bCs/>
                <w:color w:val="auto"/>
                <w:kern w:val="2"/>
                <w:sz w:val="24"/>
                <w:szCs w:val="24"/>
                <w:highlight w:val="none"/>
                <w:lang w:val="en-US" w:eastAsia="zh-CN"/>
              </w:rPr>
              <w:t>以上每提供一小项内容适用于本项目得1分，满分3分。</w:t>
            </w:r>
          </w:p>
          <w:p w14:paraId="0223AF8B">
            <w:pPr>
              <w:pStyle w:val="15"/>
              <w:rPr>
                <w:rFonts w:hint="eastAsia" w:ascii="宋体" w:hAnsi="宋体" w:cs="宋体"/>
                <w:color w:val="auto"/>
                <w:kern w:val="2"/>
                <w:sz w:val="24"/>
                <w:szCs w:val="24"/>
                <w:highlight w:val="none"/>
                <w:lang w:val="en-US" w:eastAsia="zh-CN" w:bidi="ar-SA"/>
              </w:rPr>
            </w:pPr>
            <w:r>
              <w:rPr>
                <w:rFonts w:hint="eastAsia" w:hAnsi="宋体" w:cs="宋体"/>
                <w:bCs/>
                <w:color w:val="auto"/>
                <w:kern w:val="2"/>
                <w:sz w:val="24"/>
                <w:szCs w:val="24"/>
                <w:highlight w:val="none"/>
                <w:lang w:val="en-US" w:eastAsia="zh-CN"/>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r>
      <w:tr w14:paraId="1F70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pct"/>
            <w:vMerge w:val="continue"/>
            <w:vAlign w:val="center"/>
          </w:tcPr>
          <w:p w14:paraId="16DB4894">
            <w:pPr>
              <w:spacing w:line="240" w:lineRule="auto"/>
              <w:rPr>
                <w:rFonts w:hint="eastAsia" w:ascii="宋体" w:hAnsi="宋体" w:eastAsia="宋体" w:cs="宋体"/>
                <w:color w:val="auto"/>
                <w:sz w:val="24"/>
                <w:szCs w:val="24"/>
                <w:highlight w:val="none"/>
              </w:rPr>
            </w:pPr>
          </w:p>
        </w:tc>
        <w:tc>
          <w:tcPr>
            <w:tcW w:w="540" w:type="pct"/>
            <w:vMerge w:val="continue"/>
            <w:vAlign w:val="center"/>
          </w:tcPr>
          <w:p w14:paraId="155C82E4">
            <w:pPr>
              <w:spacing w:line="240" w:lineRule="auto"/>
              <w:rPr>
                <w:rFonts w:hint="eastAsia" w:ascii="宋体" w:hAnsi="宋体" w:eastAsia="宋体" w:cs="宋体"/>
                <w:color w:val="auto"/>
                <w:sz w:val="24"/>
                <w:szCs w:val="24"/>
                <w:highlight w:val="none"/>
              </w:rPr>
            </w:pPr>
          </w:p>
        </w:tc>
        <w:tc>
          <w:tcPr>
            <w:tcW w:w="597" w:type="pct"/>
            <w:vAlign w:val="center"/>
          </w:tcPr>
          <w:p w14:paraId="0F453F1C">
            <w:pPr>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紧急情况的处理措施、预案以及抵抗风险的措施（</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tc>
        <w:tc>
          <w:tcPr>
            <w:tcW w:w="3413" w:type="pct"/>
            <w:vAlign w:val="center"/>
          </w:tcPr>
          <w:p w14:paraId="31D4BB5D">
            <w:pPr>
              <w:autoSpaceDE w:val="0"/>
              <w:autoSpaceDN w:val="0"/>
              <w:adjustRightInd w:val="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供应商根据磋商文件要求编制响应文件，包含但不限于以下几个方面：</w:t>
            </w:r>
          </w:p>
          <w:p w14:paraId="4C3188B0">
            <w:pPr>
              <w:autoSpaceDE w:val="0"/>
              <w:autoSpaceDN w:val="0"/>
              <w:adjustRightInd w:val="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t>①</w:t>
            </w:r>
            <w:r>
              <w:rPr>
                <w:rFonts w:hint="eastAsia" w:ascii="宋体" w:hAnsi="宋体" w:cs="宋体"/>
                <w:color w:val="auto"/>
                <w:sz w:val="24"/>
                <w:szCs w:val="24"/>
                <w:highlight w:val="none"/>
              </w:rPr>
              <w:t>施工期间可能发生的突发性事件或事故处理措施</w:t>
            </w:r>
          </w:p>
          <w:p w14:paraId="214E9FD3">
            <w:pPr>
              <w:autoSpaceDE w:val="0"/>
              <w:autoSpaceDN w:val="0"/>
              <w:adjustRightInd w:val="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t>②</w:t>
            </w:r>
            <w:r>
              <w:rPr>
                <w:rFonts w:hint="eastAsia" w:ascii="宋体" w:hAnsi="宋体" w:cs="宋体"/>
                <w:color w:val="auto"/>
                <w:sz w:val="24"/>
                <w:szCs w:val="24"/>
                <w:highlight w:val="none"/>
              </w:rPr>
              <w:t>引起有毒有害和易燃易爆等物质泄漏处理措施</w:t>
            </w:r>
          </w:p>
          <w:p w14:paraId="231A26D3">
            <w:pPr>
              <w:autoSpaceDE w:val="0"/>
              <w:autoSpaceDN w:val="0"/>
              <w:adjustRightInd w:val="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③</w:t>
            </w:r>
            <w:r>
              <w:rPr>
                <w:rFonts w:hint="eastAsia" w:ascii="宋体" w:hAnsi="宋体" w:cs="宋体"/>
                <w:color w:val="auto"/>
                <w:sz w:val="24"/>
                <w:szCs w:val="24"/>
                <w:highlight w:val="none"/>
              </w:rPr>
              <w:t>针对潜在的人身安全与环境影响预案</w:t>
            </w:r>
          </w:p>
          <w:p w14:paraId="1DCC3AC5">
            <w:pPr>
              <w:autoSpaceDE w:val="0"/>
              <w:autoSpaceDN w:val="0"/>
              <w:adjustRightInd w:val="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④</w:t>
            </w:r>
            <w:r>
              <w:rPr>
                <w:rFonts w:hint="eastAsia" w:ascii="宋体" w:hAnsi="宋体" w:cs="宋体"/>
                <w:color w:val="auto"/>
                <w:sz w:val="24"/>
                <w:szCs w:val="24"/>
                <w:highlight w:val="none"/>
              </w:rPr>
              <w:t>抵抗风险的措施</w:t>
            </w:r>
          </w:p>
          <w:p w14:paraId="49B9FE40">
            <w:pPr>
              <w:autoSpaceDE w:val="0"/>
              <w:autoSpaceDN w:val="0"/>
              <w:adjustRightInd w:val="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⑤安全事故应急救援预案</w:t>
            </w:r>
          </w:p>
          <w:p w14:paraId="12B45644">
            <w:pPr>
              <w:autoSpaceDE w:val="0"/>
              <w:autoSpaceDN w:val="0"/>
              <w:adjustRightInd w:val="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zh-CN"/>
              </w:rPr>
              <w:t>以上每提供一小项内容适用于本项目得1分</w:t>
            </w:r>
            <w:r>
              <w:rPr>
                <w:rFonts w:hint="eastAsia" w:ascii="宋体" w:hAnsi="宋体" w:cs="宋体"/>
                <w:bCs/>
                <w:color w:val="auto"/>
                <w:sz w:val="24"/>
                <w:szCs w:val="24"/>
                <w:highlight w:val="none"/>
              </w:rPr>
              <w:t>，满分5分。</w:t>
            </w:r>
          </w:p>
          <w:p w14:paraId="5986943B">
            <w:pPr>
              <w:jc w:val="left"/>
              <w:rPr>
                <w:rFonts w:hint="eastAsia" w:ascii="宋体" w:hAnsi="宋体" w:cs="宋体"/>
                <w:color w:val="auto"/>
                <w:kern w:val="2"/>
                <w:sz w:val="24"/>
                <w:szCs w:val="24"/>
                <w:highlight w:val="none"/>
                <w:lang w:val="en-US" w:eastAsia="zh-CN" w:bidi="ar-SA"/>
              </w:rPr>
            </w:pPr>
            <w:r>
              <w:rPr>
                <w:rFonts w:hint="eastAsia" w:ascii="宋体" w:hAnsi="宋体" w:cs="宋体"/>
                <w:bCs/>
                <w:color w:val="auto"/>
                <w:sz w:val="24"/>
                <w:szCs w:val="24"/>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评分办法中以下关于缺陷描述均按此要求执行。</w:t>
            </w:r>
          </w:p>
        </w:tc>
      </w:tr>
      <w:tr w14:paraId="74B5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pct"/>
            <w:vMerge w:val="restart"/>
            <w:vAlign w:val="center"/>
          </w:tcPr>
          <w:p w14:paraId="2E35AD8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2.2.4</w:t>
            </w:r>
          </w:p>
          <w:p w14:paraId="6C0CFF5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(2)</w:t>
            </w:r>
          </w:p>
        </w:tc>
        <w:tc>
          <w:tcPr>
            <w:tcW w:w="540" w:type="pct"/>
            <w:vMerge w:val="restart"/>
            <w:vAlign w:val="center"/>
          </w:tcPr>
          <w:p w14:paraId="7EAA0A1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项目管理机构评分标准（5分）</w:t>
            </w:r>
          </w:p>
        </w:tc>
        <w:tc>
          <w:tcPr>
            <w:tcW w:w="597" w:type="pct"/>
            <w:vAlign w:val="center"/>
          </w:tcPr>
          <w:p w14:paraId="02195A4E">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b w:val="0"/>
                <w:color w:val="auto"/>
                <w:kern w:val="0"/>
                <w:sz w:val="24"/>
                <w:szCs w:val="24"/>
                <w:highlight w:val="none"/>
                <w:lang w:val="en-US" w:eastAsia="zh-CN"/>
              </w:rPr>
              <w:t>项目经理业绩</w:t>
            </w:r>
            <w:r>
              <w:rPr>
                <w:rFonts w:hint="eastAsia" w:ascii="宋体" w:hAnsi="宋体" w:eastAsia="宋体" w:cs="宋体"/>
                <w:b w:val="0"/>
                <w:color w:val="auto"/>
                <w:kern w:val="2"/>
                <w:sz w:val="24"/>
                <w:szCs w:val="24"/>
                <w:highlight w:val="none"/>
                <w:lang w:val="en-US" w:eastAsia="zh-CN"/>
              </w:rPr>
              <w:t>（</w:t>
            </w:r>
            <w:r>
              <w:rPr>
                <w:rFonts w:hint="eastAsia" w:hAnsi="宋体" w:cs="宋体"/>
                <w:b w:val="0"/>
                <w:color w:val="auto"/>
                <w:kern w:val="2"/>
                <w:sz w:val="24"/>
                <w:szCs w:val="24"/>
                <w:highlight w:val="none"/>
                <w:u w:val="none"/>
                <w:lang w:val="en-US" w:eastAsia="zh-CN"/>
              </w:rPr>
              <w:t>2</w:t>
            </w:r>
            <w:r>
              <w:rPr>
                <w:rFonts w:hint="eastAsia" w:ascii="宋体" w:hAnsi="宋体" w:eastAsia="宋体" w:cs="宋体"/>
                <w:b w:val="0"/>
                <w:color w:val="auto"/>
                <w:kern w:val="2"/>
                <w:sz w:val="24"/>
                <w:szCs w:val="24"/>
                <w:highlight w:val="none"/>
                <w:lang w:val="en-US" w:eastAsia="zh-CN"/>
              </w:rPr>
              <w:t>分）</w:t>
            </w:r>
          </w:p>
        </w:tc>
        <w:tc>
          <w:tcPr>
            <w:tcW w:w="3413" w:type="pct"/>
            <w:vAlign w:val="center"/>
          </w:tcPr>
          <w:p w14:paraId="7FBD6412">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项目经理近三年（指202</w:t>
            </w:r>
            <w:r>
              <w:rPr>
                <w:rFonts w:hint="eastAsia" w:hAnsi="宋体" w:cs="宋体"/>
                <w:b w:val="0"/>
                <w:color w:val="auto"/>
                <w:kern w:val="2"/>
                <w:sz w:val="24"/>
                <w:szCs w:val="24"/>
                <w:highlight w:val="none"/>
                <w:lang w:val="en-US" w:eastAsia="zh-CN"/>
              </w:rPr>
              <w:t>2</w:t>
            </w:r>
            <w:r>
              <w:rPr>
                <w:rFonts w:hint="eastAsia" w:ascii="宋体" w:hAnsi="宋体" w:eastAsia="宋体" w:cs="宋体"/>
                <w:b w:val="0"/>
                <w:color w:val="auto"/>
                <w:kern w:val="2"/>
                <w:sz w:val="24"/>
                <w:szCs w:val="24"/>
                <w:highlight w:val="none"/>
                <w:lang w:val="en-US" w:eastAsia="zh-CN"/>
              </w:rPr>
              <w:t>年－至今）具有以项目经理身份主持与本项目相类似的已完成的业绩，每有一项得</w:t>
            </w:r>
            <w:r>
              <w:rPr>
                <w:rFonts w:hint="eastAsia" w:hAnsi="宋体" w:cs="宋体"/>
                <w:b w:val="0"/>
                <w:color w:val="auto"/>
                <w:kern w:val="2"/>
                <w:sz w:val="24"/>
                <w:szCs w:val="24"/>
                <w:highlight w:val="none"/>
                <w:lang w:val="en-US" w:eastAsia="zh-CN"/>
              </w:rPr>
              <w:t>2</w:t>
            </w:r>
            <w:r>
              <w:rPr>
                <w:rFonts w:hint="eastAsia" w:ascii="宋体" w:hAnsi="宋体" w:eastAsia="宋体" w:cs="宋体"/>
                <w:b w:val="0"/>
                <w:color w:val="auto"/>
                <w:kern w:val="2"/>
                <w:sz w:val="24"/>
                <w:szCs w:val="24"/>
                <w:highlight w:val="none"/>
                <w:lang w:val="en-US" w:eastAsia="zh-CN"/>
              </w:rPr>
              <w:t>分，满分</w:t>
            </w:r>
            <w:r>
              <w:rPr>
                <w:rFonts w:hint="eastAsia" w:hAnsi="宋体" w:cs="宋体"/>
                <w:b w:val="0"/>
                <w:color w:val="auto"/>
                <w:kern w:val="2"/>
                <w:sz w:val="24"/>
                <w:szCs w:val="24"/>
                <w:highlight w:val="none"/>
                <w:lang w:val="en-US" w:eastAsia="zh-CN"/>
              </w:rPr>
              <w:t>2</w:t>
            </w:r>
            <w:r>
              <w:rPr>
                <w:rFonts w:hint="eastAsia" w:ascii="宋体" w:hAnsi="宋体" w:eastAsia="宋体" w:cs="宋体"/>
                <w:b w:val="0"/>
                <w:color w:val="auto"/>
                <w:kern w:val="2"/>
                <w:sz w:val="24"/>
                <w:szCs w:val="24"/>
                <w:highlight w:val="none"/>
                <w:lang w:val="en-US" w:eastAsia="zh-CN"/>
              </w:rPr>
              <w:t>分。</w:t>
            </w:r>
          </w:p>
          <w:p w14:paraId="4E88FAEF">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en-US"/>
              </w:rPr>
            </w:pPr>
            <w:r>
              <w:rPr>
                <w:rFonts w:hint="eastAsia" w:ascii="宋体" w:hAnsi="宋体" w:eastAsia="宋体" w:cs="宋体"/>
                <w:b w:val="0"/>
                <w:color w:val="auto"/>
                <w:kern w:val="2"/>
                <w:sz w:val="24"/>
                <w:szCs w:val="24"/>
                <w:highlight w:val="none"/>
                <w:lang w:val="en-US" w:eastAsia="zh-CN"/>
              </w:rPr>
              <w:t>响应文件内附中标通知书或合同协议书或竣工验收报告证明复印件加盖单位公章。</w:t>
            </w:r>
          </w:p>
        </w:tc>
      </w:tr>
      <w:tr w14:paraId="329E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pct"/>
            <w:vMerge w:val="continue"/>
            <w:vAlign w:val="center"/>
          </w:tcPr>
          <w:p w14:paraId="6690FB01">
            <w:pPr>
              <w:spacing w:line="240" w:lineRule="auto"/>
              <w:rPr>
                <w:rFonts w:hint="eastAsia" w:ascii="宋体" w:hAnsi="宋体" w:eastAsia="宋体" w:cs="宋体"/>
                <w:color w:val="auto"/>
                <w:sz w:val="24"/>
                <w:szCs w:val="24"/>
                <w:highlight w:val="none"/>
              </w:rPr>
            </w:pPr>
          </w:p>
        </w:tc>
        <w:tc>
          <w:tcPr>
            <w:tcW w:w="540" w:type="pct"/>
            <w:vMerge w:val="continue"/>
            <w:vAlign w:val="center"/>
          </w:tcPr>
          <w:p w14:paraId="4C19C3A5">
            <w:pPr>
              <w:spacing w:line="240" w:lineRule="auto"/>
              <w:rPr>
                <w:rFonts w:hint="eastAsia" w:ascii="宋体" w:hAnsi="宋体" w:eastAsia="宋体" w:cs="宋体"/>
                <w:color w:val="auto"/>
                <w:sz w:val="24"/>
                <w:szCs w:val="24"/>
                <w:highlight w:val="none"/>
              </w:rPr>
            </w:pPr>
          </w:p>
        </w:tc>
        <w:tc>
          <w:tcPr>
            <w:tcW w:w="597" w:type="pct"/>
            <w:vAlign w:val="center"/>
          </w:tcPr>
          <w:p w14:paraId="33328D05">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项目管理机构配置（</w:t>
            </w:r>
            <w:r>
              <w:rPr>
                <w:rFonts w:hint="eastAsia" w:hAnsi="宋体" w:cs="宋体"/>
                <w:b w:val="0"/>
                <w:color w:val="auto"/>
                <w:kern w:val="2"/>
                <w:sz w:val="24"/>
                <w:szCs w:val="24"/>
                <w:highlight w:val="none"/>
                <w:lang w:val="en-US" w:eastAsia="zh-CN"/>
              </w:rPr>
              <w:t>3</w:t>
            </w:r>
            <w:r>
              <w:rPr>
                <w:rFonts w:hint="eastAsia" w:ascii="宋体" w:hAnsi="宋体" w:eastAsia="宋体" w:cs="宋体"/>
                <w:b w:val="0"/>
                <w:color w:val="auto"/>
                <w:kern w:val="2"/>
                <w:sz w:val="24"/>
                <w:szCs w:val="24"/>
                <w:highlight w:val="none"/>
                <w:lang w:val="en-US" w:eastAsia="zh-CN"/>
              </w:rPr>
              <w:t>分）</w:t>
            </w:r>
          </w:p>
        </w:tc>
        <w:tc>
          <w:tcPr>
            <w:tcW w:w="3413" w:type="pct"/>
            <w:vAlign w:val="center"/>
          </w:tcPr>
          <w:p w14:paraId="25818006">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zh-CN" w:eastAsia="zh-CN"/>
              </w:rPr>
              <w:t>除</w:t>
            </w:r>
            <w:r>
              <w:rPr>
                <w:rFonts w:hint="eastAsia" w:ascii="宋体" w:hAnsi="宋体" w:eastAsia="宋体" w:cs="宋体"/>
                <w:b w:val="0"/>
                <w:color w:val="auto"/>
                <w:kern w:val="2"/>
                <w:sz w:val="24"/>
                <w:szCs w:val="24"/>
                <w:highlight w:val="none"/>
                <w:lang w:val="en-US" w:eastAsia="zh-CN"/>
              </w:rPr>
              <w:t>项目经理外，</w:t>
            </w:r>
            <w:r>
              <w:rPr>
                <w:rFonts w:hint="eastAsia" w:ascii="宋体" w:hAnsi="宋体" w:eastAsia="宋体" w:cs="宋体"/>
                <w:b w:val="0"/>
                <w:color w:val="auto"/>
                <w:kern w:val="2"/>
                <w:sz w:val="24"/>
                <w:szCs w:val="24"/>
                <w:highlight w:val="none"/>
                <w:lang w:val="zh-CN" w:eastAsia="zh-CN"/>
              </w:rPr>
              <w:t>其他主要人员配备齐全（技术负责人、施工员、质量员、材料员、安全员）,满足基本要求基础上，每多一人得1分，满分</w:t>
            </w:r>
            <w:r>
              <w:rPr>
                <w:rFonts w:hint="eastAsia" w:hAnsi="宋体" w:cs="宋体"/>
                <w:b w:val="0"/>
                <w:color w:val="auto"/>
                <w:kern w:val="2"/>
                <w:sz w:val="24"/>
                <w:szCs w:val="24"/>
                <w:highlight w:val="none"/>
                <w:lang w:val="en-US" w:eastAsia="zh-CN"/>
              </w:rPr>
              <w:t>3</w:t>
            </w:r>
            <w:r>
              <w:rPr>
                <w:rFonts w:hint="eastAsia" w:ascii="宋体" w:hAnsi="宋体" w:eastAsia="宋体" w:cs="宋体"/>
                <w:b w:val="0"/>
                <w:color w:val="auto"/>
                <w:kern w:val="2"/>
                <w:sz w:val="24"/>
                <w:szCs w:val="24"/>
                <w:highlight w:val="none"/>
                <w:lang w:val="zh-CN" w:eastAsia="zh-CN"/>
              </w:rPr>
              <w:t>分，岗位</w:t>
            </w:r>
            <w:r>
              <w:rPr>
                <w:rFonts w:hint="eastAsia" w:ascii="宋体" w:hAnsi="宋体" w:eastAsia="宋体" w:cs="宋体"/>
                <w:b w:val="0"/>
                <w:color w:val="auto"/>
                <w:kern w:val="2"/>
                <w:sz w:val="24"/>
                <w:szCs w:val="24"/>
                <w:highlight w:val="none"/>
                <w:lang w:val="en-US" w:eastAsia="zh-CN"/>
              </w:rPr>
              <w:t>重复提供不计分</w:t>
            </w:r>
            <w:r>
              <w:rPr>
                <w:rFonts w:hint="eastAsia" w:ascii="宋体" w:hAnsi="宋体" w:eastAsia="宋体" w:cs="宋体"/>
                <w:b w:val="0"/>
                <w:color w:val="auto"/>
                <w:kern w:val="2"/>
                <w:sz w:val="24"/>
                <w:szCs w:val="24"/>
                <w:highlight w:val="none"/>
                <w:lang w:val="zh-CN" w:eastAsia="zh-CN"/>
              </w:rPr>
              <w:t>。（标书内附项目管理机构人员</w:t>
            </w:r>
            <w:r>
              <w:rPr>
                <w:rFonts w:hint="eastAsia" w:ascii="宋体" w:hAnsi="宋体" w:eastAsia="宋体" w:cs="宋体"/>
                <w:b w:val="0"/>
                <w:color w:val="auto"/>
                <w:kern w:val="2"/>
                <w:sz w:val="24"/>
                <w:szCs w:val="24"/>
                <w:highlight w:val="none"/>
                <w:lang w:val="en-US" w:eastAsia="zh-CN"/>
              </w:rPr>
              <w:t>职称证书或岗位证书</w:t>
            </w:r>
            <w:r>
              <w:rPr>
                <w:rFonts w:hint="eastAsia" w:ascii="宋体" w:hAnsi="宋体" w:eastAsia="宋体" w:cs="宋体"/>
                <w:b w:val="0"/>
                <w:color w:val="auto"/>
                <w:kern w:val="2"/>
                <w:sz w:val="24"/>
                <w:szCs w:val="24"/>
                <w:highlight w:val="none"/>
                <w:lang w:val="zh-CN" w:eastAsia="zh-CN"/>
              </w:rPr>
              <w:t>复印件加盖公章）。</w:t>
            </w:r>
          </w:p>
        </w:tc>
      </w:tr>
      <w:tr w14:paraId="2FDA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pct"/>
            <w:vAlign w:val="center"/>
          </w:tcPr>
          <w:p w14:paraId="5C48C6E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2.2.4</w:t>
            </w:r>
          </w:p>
          <w:p w14:paraId="01A7521A">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(3)</w:t>
            </w:r>
          </w:p>
        </w:tc>
        <w:tc>
          <w:tcPr>
            <w:tcW w:w="540" w:type="pct"/>
            <w:vAlign w:val="center"/>
          </w:tcPr>
          <w:p w14:paraId="6C6DD2EB">
            <w:pPr>
              <w:adjustRightInd w:val="0"/>
              <w:snapToGrid w:val="0"/>
              <w:spacing w:line="24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投标报价评分标准（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597" w:type="pct"/>
            <w:vAlign w:val="center"/>
          </w:tcPr>
          <w:p w14:paraId="1455DA09">
            <w:pPr>
              <w:autoSpaceDE w:val="0"/>
              <w:autoSpaceDN w:val="0"/>
              <w:adjustRightInd w:val="0"/>
              <w:spacing w:line="240" w:lineRule="auto"/>
              <w:jc w:val="center"/>
              <w:rPr>
                <w:rFonts w:hint="eastAsia" w:ascii="宋体" w:hAnsi="宋体" w:eastAsia="宋体" w:cs="宋体"/>
                <w:color w:val="auto"/>
                <w:kern w:val="2"/>
                <w:sz w:val="24"/>
                <w:szCs w:val="24"/>
                <w:highlight w:val="none"/>
              </w:rPr>
            </w:pPr>
            <w:r>
              <w:rPr>
                <w:rFonts w:hint="eastAsia" w:ascii="宋体" w:hAnsi="宋体" w:eastAsia="宋体" w:cs="宋体"/>
                <w:bCs/>
                <w:color w:val="auto"/>
                <w:sz w:val="24"/>
                <w:szCs w:val="24"/>
                <w:highlight w:val="none"/>
              </w:rPr>
              <w:t>磋商报价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3413" w:type="pct"/>
            <w:vAlign w:val="center"/>
          </w:tcPr>
          <w:p w14:paraId="13225049">
            <w:pPr>
              <w:spacing w:line="240" w:lineRule="auto"/>
              <w:rPr>
                <w:rFonts w:hint="eastAsia" w:ascii="宋体" w:hAnsi="宋体" w:eastAsia="宋体" w:cs="宋体"/>
                <w:color w:val="auto"/>
                <w:kern w:val="2"/>
                <w:sz w:val="24"/>
                <w:szCs w:val="24"/>
                <w:highlight w:val="none"/>
              </w:rPr>
            </w:pPr>
            <w:r>
              <w:rPr>
                <w:rFonts w:hint="eastAsia" w:ascii="宋体" w:hAnsi="宋体" w:eastAsia="宋体" w:cs="宋体"/>
                <w:bCs/>
                <w:color w:val="auto"/>
                <w:sz w:val="24"/>
                <w:szCs w:val="24"/>
                <w:highlight w:val="none"/>
              </w:rPr>
              <w:t>磋商报价得分=（磋商基准价/最后磋商报价）×价格权值×100</w:t>
            </w:r>
          </w:p>
        </w:tc>
      </w:tr>
      <w:tr w14:paraId="0B47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pct"/>
            <w:vMerge w:val="restart"/>
            <w:vAlign w:val="center"/>
          </w:tcPr>
          <w:p w14:paraId="3F73B2A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2.2.4</w:t>
            </w:r>
          </w:p>
          <w:p w14:paraId="21660B6E">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(4)</w:t>
            </w:r>
          </w:p>
          <w:p w14:paraId="4169592E">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p>
        </w:tc>
        <w:tc>
          <w:tcPr>
            <w:tcW w:w="540" w:type="pct"/>
            <w:vMerge w:val="restart"/>
            <w:vAlign w:val="center"/>
          </w:tcPr>
          <w:p w14:paraId="28AA4820">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其他因素评分标准（</w:t>
            </w:r>
            <w:r>
              <w:rPr>
                <w:rFonts w:hint="eastAsia" w:hAnsi="宋体" w:cs="宋体"/>
                <w:b w:val="0"/>
                <w:color w:val="auto"/>
                <w:kern w:val="2"/>
                <w:sz w:val="24"/>
                <w:szCs w:val="24"/>
                <w:highlight w:val="none"/>
                <w:lang w:val="en-US" w:eastAsia="zh-CN"/>
              </w:rPr>
              <w:t>10</w:t>
            </w:r>
            <w:r>
              <w:rPr>
                <w:rFonts w:hint="eastAsia" w:ascii="宋体" w:hAnsi="宋体" w:eastAsia="宋体" w:cs="宋体"/>
                <w:b w:val="0"/>
                <w:color w:val="auto"/>
                <w:kern w:val="2"/>
                <w:sz w:val="24"/>
                <w:szCs w:val="24"/>
                <w:highlight w:val="none"/>
                <w:lang w:val="en-US" w:eastAsia="zh-CN"/>
              </w:rPr>
              <w:t>分）</w:t>
            </w:r>
          </w:p>
          <w:p w14:paraId="58DBF4FE">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p>
        </w:tc>
        <w:tc>
          <w:tcPr>
            <w:tcW w:w="597" w:type="pct"/>
            <w:vAlign w:val="center"/>
          </w:tcPr>
          <w:p w14:paraId="02526DE3">
            <w:pPr>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bCs/>
                <w:color w:val="auto"/>
                <w:spacing w:val="-6"/>
                <w:kern w:val="2"/>
                <w:sz w:val="24"/>
                <w:szCs w:val="24"/>
                <w:highlight w:val="none"/>
              </w:rPr>
            </w:pPr>
            <w:r>
              <w:rPr>
                <w:rFonts w:hint="eastAsia" w:ascii="宋体" w:hAnsi="宋体" w:eastAsia="宋体" w:cs="宋体"/>
                <w:b w:val="0"/>
                <w:color w:val="auto"/>
                <w:kern w:val="0"/>
                <w:sz w:val="24"/>
                <w:szCs w:val="24"/>
                <w:highlight w:val="none"/>
                <w:lang w:val="en-US" w:eastAsia="zh-CN"/>
              </w:rPr>
              <w:t>类似项目业绩</w:t>
            </w:r>
            <w:r>
              <w:rPr>
                <w:rFonts w:hint="eastAsia" w:ascii="宋体" w:hAnsi="宋体" w:eastAsia="宋体" w:cs="宋体"/>
                <w:b w:val="0"/>
                <w:color w:val="auto"/>
                <w:kern w:val="2"/>
                <w:sz w:val="24"/>
                <w:szCs w:val="24"/>
                <w:highlight w:val="none"/>
                <w:lang w:val="en-US" w:eastAsia="zh-CN"/>
              </w:rPr>
              <w:t>（</w:t>
            </w:r>
            <w:r>
              <w:rPr>
                <w:rFonts w:hint="eastAsia" w:hAnsi="宋体" w:cs="宋体"/>
                <w:b w:val="0"/>
                <w:color w:val="auto"/>
                <w:kern w:val="2"/>
                <w:sz w:val="24"/>
                <w:szCs w:val="24"/>
                <w:highlight w:val="none"/>
                <w:lang w:val="en-US" w:eastAsia="zh-CN"/>
              </w:rPr>
              <w:t>4</w:t>
            </w:r>
            <w:r>
              <w:rPr>
                <w:rFonts w:hint="eastAsia" w:ascii="宋体" w:hAnsi="宋体" w:eastAsia="宋体" w:cs="宋体"/>
                <w:b w:val="0"/>
                <w:color w:val="auto"/>
                <w:kern w:val="2"/>
                <w:sz w:val="24"/>
                <w:szCs w:val="24"/>
                <w:highlight w:val="none"/>
                <w:lang w:val="en-US" w:eastAsia="zh-CN"/>
              </w:rPr>
              <w:t>分）</w:t>
            </w:r>
          </w:p>
        </w:tc>
        <w:tc>
          <w:tcPr>
            <w:tcW w:w="3413" w:type="pct"/>
            <w:vAlign w:val="center"/>
          </w:tcPr>
          <w:p w14:paraId="442987DE">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b w:val="0"/>
                <w:color w:val="auto"/>
                <w:kern w:val="2"/>
                <w:sz w:val="24"/>
                <w:szCs w:val="24"/>
                <w:highlight w:val="none"/>
                <w:lang w:val="en-US" w:eastAsia="zh-CN"/>
              </w:rPr>
              <w:t>近三年（指</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至今</w:t>
            </w:r>
            <w:r>
              <w:rPr>
                <w:rFonts w:hint="eastAsia" w:ascii="宋体" w:hAnsi="宋体" w:eastAsia="宋体" w:cs="宋体"/>
                <w:b w:val="0"/>
                <w:color w:val="auto"/>
                <w:kern w:val="2"/>
                <w:sz w:val="24"/>
                <w:szCs w:val="24"/>
                <w:highlight w:val="none"/>
                <w:lang w:val="en-US" w:eastAsia="zh-CN"/>
              </w:rPr>
              <w:t>）具有与本项目相类似的项目业绩，每有一项得</w:t>
            </w:r>
            <w:r>
              <w:rPr>
                <w:rFonts w:hint="eastAsia" w:hAnsi="宋体" w:cs="宋体"/>
                <w:b w:val="0"/>
                <w:color w:val="auto"/>
                <w:kern w:val="2"/>
                <w:sz w:val="24"/>
                <w:szCs w:val="24"/>
                <w:highlight w:val="none"/>
                <w:lang w:val="en-US" w:eastAsia="zh-CN"/>
              </w:rPr>
              <w:t>2</w:t>
            </w:r>
            <w:r>
              <w:rPr>
                <w:rFonts w:hint="eastAsia" w:ascii="宋体" w:hAnsi="宋体" w:eastAsia="宋体" w:cs="宋体"/>
                <w:b w:val="0"/>
                <w:color w:val="auto"/>
                <w:kern w:val="2"/>
                <w:sz w:val="24"/>
                <w:szCs w:val="24"/>
                <w:highlight w:val="none"/>
                <w:lang w:val="en-US" w:eastAsia="zh-CN"/>
              </w:rPr>
              <w:t>分，满分</w:t>
            </w:r>
            <w:r>
              <w:rPr>
                <w:rFonts w:hint="eastAsia" w:hAnsi="宋体" w:cs="宋体"/>
                <w:b w:val="0"/>
                <w:color w:val="auto"/>
                <w:kern w:val="2"/>
                <w:sz w:val="24"/>
                <w:szCs w:val="24"/>
                <w:highlight w:val="none"/>
                <w:lang w:val="en-US" w:eastAsia="zh-CN"/>
              </w:rPr>
              <w:t>4</w:t>
            </w:r>
            <w:r>
              <w:rPr>
                <w:rFonts w:hint="eastAsia" w:ascii="宋体" w:hAnsi="宋体" w:eastAsia="宋体" w:cs="宋体"/>
                <w:b w:val="0"/>
                <w:color w:val="auto"/>
                <w:kern w:val="2"/>
                <w:sz w:val="24"/>
                <w:szCs w:val="24"/>
                <w:highlight w:val="none"/>
                <w:lang w:val="en-US" w:eastAsia="zh-CN"/>
              </w:rPr>
              <w:t>分。</w:t>
            </w:r>
          </w:p>
          <w:p w14:paraId="67767344">
            <w:pPr>
              <w:keepNext w:val="0"/>
              <w:keepLines w:val="0"/>
              <w:widowControl w:val="0"/>
              <w:suppressLineNumbers w:val="0"/>
              <w:autoSpaceDE w:val="0"/>
              <w:autoSpaceDN w:val="0"/>
              <w:adjustRightInd w:val="0"/>
              <w:spacing w:before="0" w:beforeAutospacing="0" w:after="0" w:afterAutospacing="0" w:line="24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lang w:val="en-US" w:eastAsia="zh-CN"/>
              </w:rPr>
              <w:t>响应文件内附中标通知书或合同协议书或竣工验收报告证明复印件加盖单位公章。</w:t>
            </w:r>
          </w:p>
        </w:tc>
      </w:tr>
      <w:tr w14:paraId="034F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pct"/>
            <w:vMerge w:val="continue"/>
            <w:vAlign w:val="center"/>
          </w:tcPr>
          <w:p w14:paraId="0B2997DF">
            <w:pPr>
              <w:spacing w:line="240" w:lineRule="auto"/>
              <w:rPr>
                <w:rFonts w:hint="eastAsia" w:ascii="宋体" w:hAnsi="宋体" w:eastAsia="宋体" w:cs="宋体"/>
                <w:color w:val="auto"/>
                <w:sz w:val="24"/>
                <w:szCs w:val="24"/>
                <w:highlight w:val="none"/>
              </w:rPr>
            </w:pPr>
          </w:p>
        </w:tc>
        <w:tc>
          <w:tcPr>
            <w:tcW w:w="540" w:type="pct"/>
            <w:vMerge w:val="continue"/>
            <w:vAlign w:val="center"/>
          </w:tcPr>
          <w:p w14:paraId="2027BA9D">
            <w:pPr>
              <w:spacing w:line="240" w:lineRule="auto"/>
              <w:rPr>
                <w:rFonts w:hint="eastAsia" w:ascii="宋体" w:hAnsi="宋体" w:eastAsia="宋体" w:cs="宋体"/>
                <w:color w:val="auto"/>
                <w:sz w:val="24"/>
                <w:szCs w:val="24"/>
                <w:highlight w:val="none"/>
              </w:rPr>
            </w:pPr>
          </w:p>
        </w:tc>
        <w:tc>
          <w:tcPr>
            <w:tcW w:w="597" w:type="pct"/>
            <w:vAlign w:val="center"/>
          </w:tcPr>
          <w:p w14:paraId="5E6A6C4F">
            <w:pPr>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b w:val="0"/>
                <w:color w:val="auto"/>
                <w:kern w:val="0"/>
                <w:sz w:val="24"/>
                <w:szCs w:val="24"/>
                <w:highlight w:val="none"/>
                <w:lang w:val="en-US" w:eastAsia="zh-CN"/>
              </w:rPr>
              <w:t>优惠条件</w:t>
            </w:r>
            <w:r>
              <w:rPr>
                <w:rFonts w:hint="eastAsia" w:ascii="宋体" w:hAnsi="宋体" w:eastAsia="宋体" w:cs="宋体"/>
                <w:b w:val="0"/>
                <w:color w:val="auto"/>
                <w:kern w:val="2"/>
                <w:sz w:val="24"/>
                <w:szCs w:val="24"/>
                <w:highlight w:val="none"/>
                <w:lang w:val="en-US" w:eastAsia="zh-CN"/>
              </w:rPr>
              <w:t>（</w:t>
            </w:r>
            <w:r>
              <w:rPr>
                <w:rFonts w:hint="eastAsia" w:hAnsi="宋体" w:cs="宋体"/>
                <w:b w:val="0"/>
                <w:color w:val="auto"/>
                <w:kern w:val="2"/>
                <w:sz w:val="24"/>
                <w:szCs w:val="24"/>
                <w:highlight w:val="none"/>
                <w:lang w:val="en-US" w:eastAsia="zh-CN"/>
              </w:rPr>
              <w:t>3</w:t>
            </w:r>
            <w:r>
              <w:rPr>
                <w:rFonts w:hint="eastAsia" w:ascii="宋体" w:hAnsi="宋体" w:eastAsia="宋体" w:cs="宋体"/>
                <w:b w:val="0"/>
                <w:color w:val="auto"/>
                <w:kern w:val="2"/>
                <w:sz w:val="24"/>
                <w:szCs w:val="24"/>
                <w:highlight w:val="none"/>
                <w:lang w:val="en-US" w:eastAsia="zh-CN"/>
              </w:rPr>
              <w:t>分）</w:t>
            </w:r>
          </w:p>
        </w:tc>
        <w:tc>
          <w:tcPr>
            <w:tcW w:w="3413" w:type="pct"/>
            <w:vAlign w:val="center"/>
          </w:tcPr>
          <w:p w14:paraId="70386800">
            <w:pPr>
              <w:keepNext w:val="0"/>
              <w:keepLines w:val="0"/>
              <w:widowControl w:val="0"/>
              <w:suppressLineNumbers w:val="0"/>
              <w:autoSpaceDE w:val="0"/>
              <w:autoSpaceDN w:val="0"/>
              <w:adjustRightInd w:val="0"/>
              <w:spacing w:before="0" w:beforeAutospacing="0" w:after="0" w:afterAutospacing="0" w:line="24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对</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b w:val="0"/>
                <w:color w:val="auto"/>
                <w:kern w:val="2"/>
                <w:sz w:val="24"/>
                <w:szCs w:val="24"/>
                <w:highlight w:val="none"/>
                <w:lang w:val="en-US" w:eastAsia="zh-CN"/>
              </w:rPr>
              <w:t>提出的采购人可以接受的具有实质性优惠条件进行综合评价，优得3分，良得2分，一般得1分，无不得分。</w:t>
            </w:r>
          </w:p>
        </w:tc>
      </w:tr>
      <w:tr w14:paraId="6105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pct"/>
            <w:vMerge w:val="continue"/>
            <w:vAlign w:val="center"/>
          </w:tcPr>
          <w:p w14:paraId="5EEEBF16">
            <w:pPr>
              <w:spacing w:line="240" w:lineRule="auto"/>
              <w:rPr>
                <w:rFonts w:hint="eastAsia" w:ascii="宋体" w:hAnsi="宋体" w:eastAsia="宋体" w:cs="宋体"/>
                <w:color w:val="auto"/>
                <w:sz w:val="24"/>
                <w:szCs w:val="24"/>
                <w:highlight w:val="none"/>
              </w:rPr>
            </w:pPr>
          </w:p>
        </w:tc>
        <w:tc>
          <w:tcPr>
            <w:tcW w:w="540" w:type="pct"/>
            <w:vMerge w:val="continue"/>
            <w:vAlign w:val="center"/>
          </w:tcPr>
          <w:p w14:paraId="75640FCD">
            <w:pPr>
              <w:spacing w:line="240" w:lineRule="auto"/>
              <w:rPr>
                <w:rFonts w:hint="eastAsia" w:ascii="宋体" w:hAnsi="宋体" w:eastAsia="宋体" w:cs="宋体"/>
                <w:color w:val="auto"/>
                <w:sz w:val="24"/>
                <w:szCs w:val="24"/>
                <w:highlight w:val="none"/>
              </w:rPr>
            </w:pPr>
          </w:p>
        </w:tc>
        <w:tc>
          <w:tcPr>
            <w:tcW w:w="597" w:type="pct"/>
            <w:vAlign w:val="center"/>
          </w:tcPr>
          <w:p w14:paraId="07908C07">
            <w:pPr>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b w:val="0"/>
                <w:color w:val="auto"/>
                <w:kern w:val="0"/>
                <w:sz w:val="24"/>
                <w:szCs w:val="24"/>
                <w:highlight w:val="none"/>
                <w:lang w:val="en-US" w:eastAsia="zh-CN"/>
              </w:rPr>
              <w:t>服务承诺</w:t>
            </w:r>
            <w:r>
              <w:rPr>
                <w:rFonts w:hint="eastAsia" w:ascii="宋体" w:hAnsi="宋体" w:eastAsia="宋体" w:cs="宋体"/>
                <w:b w:val="0"/>
                <w:color w:val="auto"/>
                <w:kern w:val="2"/>
                <w:sz w:val="24"/>
                <w:szCs w:val="24"/>
                <w:highlight w:val="none"/>
                <w:lang w:val="en-US" w:eastAsia="zh-CN"/>
              </w:rPr>
              <w:t>（</w:t>
            </w:r>
            <w:r>
              <w:rPr>
                <w:rFonts w:hint="eastAsia" w:hAnsi="宋体" w:cs="宋体"/>
                <w:b w:val="0"/>
                <w:color w:val="auto"/>
                <w:kern w:val="2"/>
                <w:sz w:val="24"/>
                <w:szCs w:val="24"/>
                <w:highlight w:val="none"/>
                <w:lang w:val="en-US" w:eastAsia="zh-CN"/>
              </w:rPr>
              <w:t>3</w:t>
            </w:r>
            <w:r>
              <w:rPr>
                <w:rFonts w:hint="eastAsia" w:ascii="宋体" w:hAnsi="宋体" w:eastAsia="宋体" w:cs="宋体"/>
                <w:b w:val="0"/>
                <w:color w:val="auto"/>
                <w:kern w:val="2"/>
                <w:sz w:val="24"/>
                <w:szCs w:val="24"/>
                <w:highlight w:val="none"/>
                <w:lang w:val="en-US" w:eastAsia="zh-CN"/>
              </w:rPr>
              <w:t>分）</w:t>
            </w:r>
          </w:p>
        </w:tc>
        <w:tc>
          <w:tcPr>
            <w:tcW w:w="3413" w:type="pct"/>
            <w:vAlign w:val="center"/>
          </w:tcPr>
          <w:p w14:paraId="73C4AA95">
            <w:pPr>
              <w:keepNext w:val="0"/>
              <w:keepLines w:val="0"/>
              <w:widowControl w:val="0"/>
              <w:suppressLineNumbers w:val="0"/>
              <w:autoSpaceDE w:val="0"/>
              <w:autoSpaceDN w:val="0"/>
              <w:adjustRightInd w:val="0"/>
              <w:spacing w:before="0" w:beforeAutospacing="0" w:after="0" w:afterAutospacing="0" w:line="24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对</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b w:val="0"/>
                <w:color w:val="auto"/>
                <w:kern w:val="2"/>
                <w:sz w:val="24"/>
                <w:szCs w:val="24"/>
                <w:highlight w:val="none"/>
                <w:lang w:val="en-US" w:eastAsia="zh-CN"/>
              </w:rPr>
              <w:t>提出的采购人可以接受的具有实质性服务承诺进行综合评价，优得3分，良得2分，一般得1分，无不得分。</w:t>
            </w:r>
          </w:p>
        </w:tc>
      </w:tr>
    </w:tbl>
    <w:p w14:paraId="107816C1">
      <w:pPr>
        <w:pStyle w:val="23"/>
        <w:jc w:val="center"/>
        <w:rPr>
          <w:rFonts w:hint="eastAsia" w:ascii="宋体" w:hAnsi="宋体" w:eastAsia="宋体" w:cs="宋体"/>
          <w:color w:val="auto"/>
          <w:sz w:val="24"/>
          <w:szCs w:val="24"/>
          <w:highlight w:val="none"/>
        </w:rPr>
      </w:pPr>
      <w:bookmarkStart w:id="352" w:name="_Toc13652"/>
      <w:r>
        <w:rPr>
          <w:rFonts w:hint="eastAsia" w:ascii="宋体" w:hAnsi="宋体" w:eastAsia="宋体" w:cs="宋体"/>
          <w:color w:val="auto"/>
          <w:sz w:val="24"/>
          <w:szCs w:val="24"/>
          <w:highlight w:val="none"/>
        </w:rPr>
        <w:t>5、编写评标报告</w:t>
      </w:r>
      <w:r>
        <w:rPr>
          <w:rFonts w:hint="eastAsia" w:ascii="宋体" w:hAnsi="宋体" w:eastAsia="宋体" w:cs="宋体"/>
          <w:color w:val="auto"/>
          <w:sz w:val="24"/>
          <w:szCs w:val="24"/>
          <w:highlight w:val="none"/>
          <w:lang w:val="zh-CN"/>
        </w:rPr>
        <w:t>。</w:t>
      </w:r>
      <w:bookmarkEnd w:id="352"/>
    </w:p>
    <w:p w14:paraId="28B2B3F9">
      <w:pPr>
        <w:tabs>
          <w:tab w:val="left" w:pos="616"/>
        </w:tabs>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shd w:val="clear" w:color="auto" w:fill="FFFFFF"/>
        </w:rPr>
        <w:t>磋商小组根据全体评标成员签字的原始评标记录和评标结果编写</w:t>
      </w:r>
      <w:r>
        <w:rPr>
          <w:rFonts w:hint="eastAsia" w:ascii="宋体" w:hAnsi="宋体" w:eastAsia="宋体" w:cs="宋体"/>
          <w:color w:val="auto"/>
          <w:sz w:val="24"/>
          <w:szCs w:val="24"/>
          <w:highlight w:val="none"/>
          <w:shd w:val="clear" w:color="auto" w:fill="FFFFFF"/>
          <w:lang w:val="zh-CN"/>
        </w:rPr>
        <w:t>竞争性磋商</w:t>
      </w:r>
      <w:r>
        <w:rPr>
          <w:rFonts w:hint="eastAsia" w:ascii="宋体" w:hAnsi="宋体" w:eastAsia="宋体" w:cs="宋体"/>
          <w:color w:val="auto"/>
          <w:sz w:val="24"/>
          <w:szCs w:val="24"/>
          <w:highlight w:val="none"/>
          <w:shd w:val="clear" w:color="auto" w:fill="FFFFFF"/>
        </w:rPr>
        <w:t>评标报告。</w:t>
      </w:r>
      <w:r>
        <w:rPr>
          <w:rFonts w:hint="eastAsia" w:ascii="宋体" w:hAnsi="宋体" w:eastAsia="宋体" w:cs="宋体"/>
          <w:color w:val="auto"/>
          <w:sz w:val="24"/>
          <w:szCs w:val="24"/>
          <w:highlight w:val="none"/>
          <w:lang w:val="zh-CN"/>
        </w:rPr>
        <w:t>磋商小组应当在评标报告上签字，对自己的评审意见承担法律责任。对评标报告有异议的，应当在评标报告上签署不同意见，并说明理由，否则视为同意评标报告。</w:t>
      </w:r>
    </w:p>
    <w:p w14:paraId="6FDD7048">
      <w:pPr>
        <w:pStyle w:val="23"/>
        <w:spacing w:line="240" w:lineRule="auto"/>
        <w:jc w:val="left"/>
        <w:rPr>
          <w:rFonts w:hint="eastAsia" w:ascii="宋体" w:hAnsi="宋体" w:eastAsia="宋体" w:cs="宋体"/>
          <w:b w:val="0"/>
          <w:color w:val="auto"/>
          <w:kern w:val="2"/>
          <w:sz w:val="24"/>
          <w:szCs w:val="24"/>
          <w:highlight w:val="none"/>
          <w:shd w:val="clear" w:color="auto" w:fill="FFFFFF"/>
          <w:lang w:val="zh-CN"/>
        </w:rPr>
      </w:pPr>
      <w:bookmarkStart w:id="353" w:name="_Toc3961"/>
      <w:r>
        <w:rPr>
          <w:rFonts w:hint="eastAsia" w:ascii="宋体" w:hAnsi="宋体" w:eastAsia="宋体" w:cs="宋体"/>
          <w:b w:val="0"/>
          <w:color w:val="auto"/>
          <w:kern w:val="2"/>
          <w:sz w:val="24"/>
          <w:szCs w:val="24"/>
          <w:highlight w:val="none"/>
          <w:shd w:val="clear" w:color="auto" w:fill="FFFFFF"/>
        </w:rPr>
        <w:t>5.1</w:t>
      </w:r>
      <w:r>
        <w:rPr>
          <w:rFonts w:hint="eastAsia" w:ascii="宋体" w:hAnsi="宋体" w:eastAsia="宋体" w:cs="宋体"/>
          <w:b w:val="0"/>
          <w:color w:val="auto"/>
          <w:kern w:val="2"/>
          <w:sz w:val="24"/>
          <w:szCs w:val="24"/>
          <w:highlight w:val="none"/>
          <w:shd w:val="clear" w:color="auto" w:fill="FFFFFF"/>
          <w:lang w:val="zh-CN"/>
        </w:rPr>
        <w:t>在评标过程中，磋商小组可以书面形式要求供应商对所提交响应文件中不明确的内容进行书面澄清或说明，或者对细微偏差进行补正。磋商小组不接受供应商主动提出的澄清、说明或补正。</w:t>
      </w:r>
      <w:bookmarkEnd w:id="353"/>
    </w:p>
    <w:p w14:paraId="3DFF9B3C">
      <w:pPr>
        <w:pStyle w:val="23"/>
        <w:spacing w:line="240" w:lineRule="auto"/>
        <w:jc w:val="left"/>
        <w:rPr>
          <w:rFonts w:hint="eastAsia" w:ascii="宋体" w:hAnsi="宋体" w:eastAsia="宋体" w:cs="宋体"/>
          <w:b w:val="0"/>
          <w:color w:val="auto"/>
          <w:kern w:val="2"/>
          <w:sz w:val="24"/>
          <w:szCs w:val="24"/>
          <w:highlight w:val="none"/>
          <w:shd w:val="clear" w:color="auto" w:fill="FFFFFF"/>
          <w:lang w:val="zh-CN"/>
        </w:rPr>
      </w:pPr>
      <w:bookmarkStart w:id="354" w:name="_Toc15453"/>
      <w:r>
        <w:rPr>
          <w:rFonts w:hint="eastAsia" w:ascii="宋体" w:hAnsi="宋体" w:eastAsia="宋体" w:cs="宋体"/>
          <w:b w:val="0"/>
          <w:color w:val="auto"/>
          <w:kern w:val="2"/>
          <w:sz w:val="24"/>
          <w:szCs w:val="24"/>
          <w:highlight w:val="none"/>
          <w:shd w:val="clear" w:color="auto" w:fill="FFFFFF"/>
        </w:rPr>
        <w:t>5.2</w:t>
      </w:r>
      <w:r>
        <w:rPr>
          <w:rFonts w:hint="eastAsia" w:ascii="宋体" w:hAnsi="宋体" w:eastAsia="宋体" w:cs="宋体"/>
          <w:b w:val="0"/>
          <w:color w:val="auto"/>
          <w:kern w:val="2"/>
          <w:sz w:val="24"/>
          <w:szCs w:val="24"/>
          <w:highlight w:val="none"/>
          <w:shd w:val="clear" w:color="auto" w:fill="FFFFFF"/>
          <w:lang w:val="zh-CN"/>
        </w:rPr>
        <w:t>澄清、说明和补正不得改变响应文件的实质性内容。供应商的书面澄清、说明和补正属于响应文件的组成部分。</w:t>
      </w:r>
      <w:bookmarkEnd w:id="354"/>
    </w:p>
    <w:p w14:paraId="5D41976F">
      <w:pPr>
        <w:pStyle w:val="23"/>
        <w:spacing w:line="240" w:lineRule="auto"/>
        <w:jc w:val="left"/>
        <w:rPr>
          <w:rFonts w:hint="eastAsia" w:ascii="宋体" w:hAnsi="宋体" w:eastAsia="宋体" w:cs="宋体"/>
          <w:b w:val="0"/>
          <w:color w:val="auto"/>
          <w:kern w:val="2"/>
          <w:sz w:val="24"/>
          <w:szCs w:val="24"/>
          <w:highlight w:val="none"/>
          <w:shd w:val="clear" w:color="auto" w:fill="FFFFFF"/>
          <w:lang w:val="zh-CN"/>
        </w:rPr>
      </w:pPr>
      <w:bookmarkStart w:id="355" w:name="_Toc1379"/>
      <w:r>
        <w:rPr>
          <w:rFonts w:hint="eastAsia" w:ascii="宋体" w:hAnsi="宋体" w:eastAsia="宋体" w:cs="宋体"/>
          <w:b w:val="0"/>
          <w:color w:val="auto"/>
          <w:kern w:val="2"/>
          <w:sz w:val="24"/>
          <w:szCs w:val="24"/>
          <w:highlight w:val="none"/>
          <w:shd w:val="clear" w:color="auto" w:fill="FFFFFF"/>
        </w:rPr>
        <w:t>5.3</w:t>
      </w:r>
      <w:r>
        <w:rPr>
          <w:rFonts w:hint="eastAsia" w:ascii="宋体" w:hAnsi="宋体" w:eastAsia="宋体" w:cs="宋体"/>
          <w:b w:val="0"/>
          <w:color w:val="auto"/>
          <w:kern w:val="2"/>
          <w:sz w:val="24"/>
          <w:szCs w:val="24"/>
          <w:highlight w:val="none"/>
          <w:shd w:val="clear" w:color="auto" w:fill="FFFFFF"/>
          <w:lang w:val="zh-CN"/>
        </w:rPr>
        <w:t>磋商小组对供应商提交的澄清、说明或补正有疑问的，可以要求供应商进一步澄清、说明或补正，直至满足磋商小组的要求。</w:t>
      </w:r>
      <w:bookmarkEnd w:id="355"/>
    </w:p>
    <w:p w14:paraId="4129B651">
      <w:pPr>
        <w:pStyle w:val="23"/>
        <w:spacing w:line="240" w:lineRule="auto"/>
        <w:jc w:val="left"/>
        <w:rPr>
          <w:rFonts w:hint="eastAsia" w:ascii="宋体" w:hAnsi="宋体" w:eastAsia="宋体" w:cs="宋体"/>
          <w:b w:val="0"/>
          <w:color w:val="auto"/>
          <w:kern w:val="2"/>
          <w:sz w:val="24"/>
          <w:szCs w:val="24"/>
          <w:highlight w:val="none"/>
          <w:shd w:val="clear" w:color="auto" w:fill="FFFFFF"/>
          <w:lang w:val="zh-CN"/>
        </w:rPr>
      </w:pPr>
      <w:bookmarkStart w:id="356" w:name="_Toc246996251"/>
      <w:bookmarkStart w:id="357" w:name="_Toc179632626"/>
      <w:bookmarkStart w:id="358" w:name="_Toc247085766"/>
      <w:bookmarkStart w:id="359" w:name="_Toc152045608"/>
      <w:bookmarkStart w:id="360" w:name="_Toc144974576"/>
      <w:bookmarkStart w:id="361" w:name="_Toc246996994"/>
      <w:bookmarkStart w:id="362" w:name="_Toc152042386"/>
      <w:bookmarkStart w:id="363" w:name="_Toc30251"/>
      <w:r>
        <w:rPr>
          <w:rFonts w:hint="eastAsia" w:ascii="宋体" w:hAnsi="宋体" w:eastAsia="宋体" w:cs="宋体"/>
          <w:b w:val="0"/>
          <w:color w:val="auto"/>
          <w:kern w:val="2"/>
          <w:sz w:val="24"/>
          <w:szCs w:val="24"/>
          <w:highlight w:val="none"/>
          <w:shd w:val="clear" w:color="auto" w:fill="FFFFFF"/>
        </w:rPr>
        <w:t>5.4</w:t>
      </w:r>
      <w:r>
        <w:rPr>
          <w:rFonts w:hint="eastAsia" w:ascii="宋体" w:hAnsi="宋体" w:eastAsia="宋体" w:cs="宋体"/>
          <w:b w:val="0"/>
          <w:color w:val="auto"/>
          <w:kern w:val="2"/>
          <w:sz w:val="24"/>
          <w:szCs w:val="24"/>
          <w:highlight w:val="none"/>
          <w:shd w:val="clear" w:color="auto" w:fill="FFFFFF"/>
          <w:lang w:val="zh-CN"/>
        </w:rPr>
        <w:t>评标结果</w:t>
      </w:r>
      <w:bookmarkEnd w:id="356"/>
      <w:bookmarkEnd w:id="357"/>
      <w:bookmarkEnd w:id="358"/>
      <w:bookmarkEnd w:id="359"/>
      <w:bookmarkEnd w:id="360"/>
      <w:bookmarkEnd w:id="361"/>
      <w:bookmarkEnd w:id="362"/>
      <w:bookmarkEnd w:id="363"/>
    </w:p>
    <w:p w14:paraId="48A7567A">
      <w:pPr>
        <w:pStyle w:val="23"/>
        <w:spacing w:line="240" w:lineRule="auto"/>
        <w:jc w:val="left"/>
        <w:rPr>
          <w:rFonts w:hint="eastAsia" w:ascii="宋体" w:hAnsi="宋体" w:eastAsia="宋体" w:cs="宋体"/>
          <w:b w:val="0"/>
          <w:color w:val="auto"/>
          <w:kern w:val="2"/>
          <w:sz w:val="24"/>
          <w:szCs w:val="24"/>
          <w:highlight w:val="none"/>
          <w:shd w:val="clear" w:color="auto" w:fill="FFFFFF"/>
          <w:lang w:val="zh-CN"/>
        </w:rPr>
      </w:pPr>
      <w:bookmarkStart w:id="364" w:name="_Toc20343"/>
      <w:r>
        <w:rPr>
          <w:rFonts w:hint="eastAsia" w:ascii="宋体" w:hAnsi="宋体" w:eastAsia="宋体" w:cs="宋体"/>
          <w:b w:val="0"/>
          <w:color w:val="auto"/>
          <w:kern w:val="2"/>
          <w:sz w:val="24"/>
          <w:szCs w:val="24"/>
          <w:highlight w:val="none"/>
          <w:shd w:val="clear" w:color="auto" w:fill="FFFFFF"/>
        </w:rPr>
        <w:t>5.4.1</w:t>
      </w:r>
      <w:r>
        <w:rPr>
          <w:rFonts w:hint="eastAsia" w:ascii="宋体" w:hAnsi="宋体" w:eastAsia="宋体" w:cs="宋体"/>
          <w:b w:val="0"/>
          <w:color w:val="auto"/>
          <w:kern w:val="2"/>
          <w:sz w:val="24"/>
          <w:szCs w:val="24"/>
          <w:highlight w:val="none"/>
          <w:shd w:val="clear" w:color="auto" w:fill="FFFFFF"/>
          <w:lang w:val="zh-CN"/>
        </w:rPr>
        <w:t>除第二章“供应商须知”前附表授权直接确定中标人外，磋商小组按照得分由高到低的顺序推荐中标候选人。 综合评分相等时，以投标报价低的优先；投标报价也相等的，由采购人或其授权的磋商小组自行确定。</w:t>
      </w:r>
      <w:bookmarkEnd w:id="364"/>
    </w:p>
    <w:p w14:paraId="4D37DBFA">
      <w:pPr>
        <w:pStyle w:val="23"/>
        <w:spacing w:line="240" w:lineRule="auto"/>
        <w:jc w:val="left"/>
        <w:rPr>
          <w:rFonts w:hint="eastAsia" w:ascii="宋体" w:hAnsi="宋体" w:eastAsia="宋体" w:cs="宋体"/>
          <w:b w:val="0"/>
          <w:color w:val="auto"/>
          <w:kern w:val="2"/>
          <w:sz w:val="24"/>
          <w:szCs w:val="24"/>
          <w:highlight w:val="none"/>
          <w:shd w:val="clear" w:color="auto" w:fill="FFFFFF"/>
          <w:lang w:val="zh-CN"/>
        </w:rPr>
      </w:pPr>
      <w:r>
        <w:rPr>
          <w:rFonts w:hint="eastAsia" w:ascii="宋体" w:hAnsi="宋体" w:eastAsia="宋体" w:cs="宋体"/>
          <w:b w:val="0"/>
          <w:color w:val="auto"/>
          <w:kern w:val="2"/>
          <w:sz w:val="24"/>
          <w:szCs w:val="24"/>
          <w:highlight w:val="none"/>
          <w:shd w:val="clear" w:color="auto" w:fill="FFFFFF"/>
          <w:lang w:val="zh-CN"/>
        </w:rPr>
        <w:t>原则上推荐排名位于第一名的成交候选供应商为成交供应商。若排名第一的成交候选供应商放弃中标、因不可抗力提出不能履行合同或磋商文件规定应当提交履约保证金而在规定的期限内未能提交的，采购人有权选择重新招标，或者采购人确定排名第二的成交候选供应商为成交供应商，以此类推。</w:t>
      </w:r>
    </w:p>
    <w:p w14:paraId="127CC29F">
      <w:pPr>
        <w:pStyle w:val="23"/>
        <w:spacing w:line="240" w:lineRule="auto"/>
        <w:jc w:val="left"/>
        <w:rPr>
          <w:rFonts w:hint="eastAsia" w:ascii="宋体" w:hAnsi="宋体" w:eastAsia="宋体" w:cs="宋体"/>
          <w:b w:val="0"/>
          <w:color w:val="auto"/>
          <w:kern w:val="2"/>
          <w:sz w:val="24"/>
          <w:szCs w:val="24"/>
          <w:highlight w:val="none"/>
          <w:shd w:val="clear" w:color="auto" w:fill="FFFFFF"/>
          <w:lang w:val="zh-CN"/>
        </w:rPr>
      </w:pPr>
      <w:bookmarkStart w:id="365" w:name="_Toc21278"/>
      <w:r>
        <w:rPr>
          <w:rFonts w:hint="eastAsia" w:ascii="宋体" w:hAnsi="宋体" w:eastAsia="宋体" w:cs="宋体"/>
          <w:b w:val="0"/>
          <w:color w:val="auto"/>
          <w:kern w:val="2"/>
          <w:sz w:val="24"/>
          <w:szCs w:val="24"/>
          <w:highlight w:val="none"/>
          <w:shd w:val="clear" w:color="auto" w:fill="FFFFFF"/>
        </w:rPr>
        <w:t>5.4.2</w:t>
      </w:r>
      <w:r>
        <w:rPr>
          <w:rFonts w:hint="eastAsia" w:ascii="宋体" w:hAnsi="宋体" w:eastAsia="宋体" w:cs="宋体"/>
          <w:b w:val="0"/>
          <w:color w:val="auto"/>
          <w:kern w:val="2"/>
          <w:sz w:val="24"/>
          <w:szCs w:val="24"/>
          <w:highlight w:val="none"/>
          <w:shd w:val="clear" w:color="auto" w:fill="FFFFFF"/>
          <w:lang w:val="zh-CN"/>
        </w:rPr>
        <w:t>磋商小组完成评标后，应当向采购人提交书面评标报告。</w:t>
      </w:r>
      <w:bookmarkEnd w:id="365"/>
    </w:p>
    <w:p w14:paraId="60CD1981">
      <w:pPr>
        <w:rPr>
          <w:rFonts w:hint="eastAsia" w:ascii="宋体" w:hAnsi="宋体" w:eastAsia="宋体" w:cs="宋体"/>
          <w:b/>
          <w:color w:val="auto"/>
          <w:sz w:val="24"/>
          <w:szCs w:val="24"/>
          <w:highlight w:val="none"/>
        </w:rPr>
      </w:pPr>
      <w:bookmarkStart w:id="366" w:name="_Toc247085767"/>
      <w:bookmarkStart w:id="367" w:name="_Toc8760"/>
      <w:bookmarkStart w:id="368" w:name="_Toc246996995"/>
      <w:bookmarkStart w:id="369" w:name="_Toc152042387"/>
      <w:bookmarkStart w:id="370" w:name="_Toc144974577"/>
      <w:bookmarkStart w:id="371" w:name="_Toc179632627"/>
      <w:bookmarkStart w:id="372" w:name="_Toc152045609"/>
      <w:bookmarkStart w:id="373" w:name="_Toc246996252"/>
      <w:r>
        <w:rPr>
          <w:rFonts w:hint="eastAsia" w:ascii="宋体" w:hAnsi="宋体" w:eastAsia="宋体" w:cs="宋体"/>
          <w:b/>
          <w:color w:val="auto"/>
          <w:sz w:val="24"/>
          <w:szCs w:val="24"/>
          <w:highlight w:val="none"/>
        </w:rPr>
        <w:br w:type="page"/>
      </w:r>
    </w:p>
    <w:p w14:paraId="3E8E4CF7">
      <w:pPr>
        <w:spacing w:line="30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p>
    <w:p w14:paraId="451FE5CA">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147" w:right="0"/>
        <w:jc w:val="center"/>
        <w:textAlignment w:val="auto"/>
        <w:rPr>
          <w:rFonts w:hint="eastAsia" w:ascii="宋体" w:hAnsi="宋体" w:eastAsia="宋体" w:cs="宋体"/>
          <w:b/>
          <w:bCs/>
          <w:color w:val="auto"/>
          <w:sz w:val="24"/>
          <w:szCs w:val="24"/>
          <w:highlight w:val="none"/>
        </w:rPr>
      </w:pPr>
      <w:bookmarkStart w:id="374" w:name="_Toc3462"/>
      <w:bookmarkStart w:id="375" w:name="_Toc5223"/>
      <w:r>
        <w:rPr>
          <w:rFonts w:hint="eastAsia" w:ascii="宋体" w:hAnsi="宋体" w:eastAsia="宋体" w:cs="宋体"/>
          <w:b/>
          <w:bCs/>
          <w:color w:val="auto"/>
          <w:sz w:val="24"/>
          <w:szCs w:val="24"/>
          <w:highlight w:val="none"/>
          <w:shd w:val="clear" w:color="auto" w:fill="FFFFFF"/>
        </w:rPr>
        <w:t>关于进一步加大政府采购支持中小企业力度的通知</w:t>
      </w:r>
      <w:bookmarkEnd w:id="374"/>
      <w:bookmarkEnd w:id="375"/>
    </w:p>
    <w:p w14:paraId="6354116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150" w:afterAutospacing="0" w:line="450" w:lineRule="atLeast"/>
        <w:ind w:left="150" w:right="0"/>
        <w:jc w:val="center"/>
        <w:rPr>
          <w:rFonts w:hint="eastAsia" w:ascii="宋体" w:hAnsi="宋体" w:eastAsia="宋体" w:cs="宋体"/>
          <w:color w:val="auto"/>
          <w:sz w:val="24"/>
          <w:szCs w:val="24"/>
          <w:highlight w:val="none"/>
          <w:u w:val="none"/>
        </w:rPr>
      </w:pPr>
      <w:r>
        <w:rPr>
          <w:rFonts w:hint="eastAsia" w:ascii="宋体" w:hAnsi="宋体" w:eastAsia="宋体" w:cs="宋体"/>
          <w:color w:val="auto"/>
          <w:kern w:val="0"/>
          <w:sz w:val="24"/>
          <w:szCs w:val="24"/>
          <w:highlight w:val="none"/>
          <w:u w:val="none"/>
          <w:shd w:val="clear" w:color="auto" w:fill="FFFFFF"/>
          <w:lang w:val="en-US" w:eastAsia="zh-CN"/>
        </w:rPr>
        <w:t> </w:t>
      </w:r>
      <w:r>
        <w:rPr>
          <w:rFonts w:hint="eastAsia" w:ascii="宋体" w:hAnsi="宋体" w:eastAsia="宋体" w:cs="宋体"/>
          <w:b/>
          <w:bCs/>
          <w:color w:val="auto"/>
          <w:kern w:val="0"/>
          <w:sz w:val="24"/>
          <w:szCs w:val="24"/>
          <w:highlight w:val="none"/>
          <w:u w:val="none"/>
          <w:shd w:val="clear" w:color="auto" w:fill="FFFFFF"/>
          <w:lang w:val="en-US" w:eastAsia="zh-CN"/>
        </w:rPr>
        <w:t>财库〔2022〕19号</w:t>
      </w:r>
    </w:p>
    <w:p w14:paraId="0DEB515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4"/>
          <w:szCs w:val="24"/>
          <w:highlight w:val="none"/>
          <w:u w:val="none"/>
          <w:shd w:val="clear" w:color="auto" w:fill="FFFFFF"/>
        </w:rPr>
      </w:pPr>
      <w:r>
        <w:rPr>
          <w:rFonts w:hint="eastAsia" w:ascii="宋体" w:hAnsi="宋体" w:eastAsia="宋体" w:cs="宋体"/>
          <w:color w:val="auto"/>
          <w:sz w:val="24"/>
          <w:szCs w:val="24"/>
          <w:highlight w:val="none"/>
          <w:u w:val="none"/>
          <w:shd w:val="clear" w:color="auto" w:fill="FFFFFF"/>
        </w:rPr>
        <w:t>各中央预算单位，各省、自治区、直辖市、计划单列市财政厅（局），新疆生产建设兵团财政局：</w:t>
      </w:r>
    </w:p>
    <w:p w14:paraId="0FDCDCF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shd w:val="clear" w:color="auto" w:fill="FFFFFF"/>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0AC8607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shd w:val="clear" w:color="auto" w:fill="FFFFFF"/>
        </w:rPr>
        <w:t>　　</w:t>
      </w:r>
      <w:r>
        <w:rPr>
          <w:rFonts w:hint="eastAsia" w:ascii="宋体" w:hAnsi="宋体" w:eastAsia="宋体" w:cs="宋体"/>
          <w:b/>
          <w:bCs/>
          <w:color w:val="auto"/>
          <w:sz w:val="24"/>
          <w:szCs w:val="24"/>
          <w:highlight w:val="none"/>
          <w:u w:val="none"/>
          <w:shd w:val="clear" w:color="auto" w:fill="FFFFFF"/>
        </w:rPr>
        <w:t>一、严格落实支持中小企业政府采购政策。</w:t>
      </w:r>
      <w:r>
        <w:rPr>
          <w:rFonts w:hint="eastAsia" w:ascii="宋体" w:hAnsi="宋体" w:eastAsia="宋体" w:cs="宋体"/>
          <w:color w:val="auto"/>
          <w:sz w:val="24"/>
          <w:szCs w:val="24"/>
          <w:highlight w:val="none"/>
          <w:u w:val="none"/>
          <w:shd w:val="clear" w:color="auto" w:fill="FFFFFF"/>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71ACDE8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shd w:val="clear" w:color="auto" w:fill="FFFFFF"/>
        </w:rPr>
        <w:t>　　</w:t>
      </w:r>
      <w:r>
        <w:rPr>
          <w:rFonts w:hint="eastAsia" w:ascii="宋体" w:hAnsi="宋体" w:eastAsia="宋体" w:cs="宋体"/>
          <w:b/>
          <w:bCs/>
          <w:color w:val="auto"/>
          <w:sz w:val="24"/>
          <w:szCs w:val="24"/>
          <w:highlight w:val="none"/>
          <w:u w:val="none"/>
          <w:shd w:val="clear" w:color="auto" w:fill="FFFFFF"/>
        </w:rPr>
        <w:t>二、调整对小微企业的价格评审优惠幅度。</w:t>
      </w:r>
      <w:r>
        <w:rPr>
          <w:rFonts w:hint="eastAsia" w:ascii="宋体" w:hAnsi="宋体" w:eastAsia="宋体" w:cs="宋体"/>
          <w:color w:val="auto"/>
          <w:sz w:val="24"/>
          <w:szCs w:val="24"/>
          <w:highlight w:val="none"/>
          <w:u w:val="none"/>
          <w:shd w:val="clear" w:color="auto" w:fill="FFFFFF"/>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4D7345E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shd w:val="clear" w:color="auto" w:fill="FFFFFF"/>
        </w:rPr>
        <w:t>　　</w:t>
      </w:r>
      <w:r>
        <w:rPr>
          <w:rFonts w:hint="eastAsia" w:ascii="宋体" w:hAnsi="宋体" w:eastAsia="宋体" w:cs="宋体"/>
          <w:b/>
          <w:bCs/>
          <w:color w:val="auto"/>
          <w:sz w:val="24"/>
          <w:szCs w:val="24"/>
          <w:highlight w:val="none"/>
          <w:u w:val="none"/>
          <w:shd w:val="clear" w:color="auto" w:fill="FFFFFF"/>
        </w:rPr>
        <w:t>三、提高政府采购工程面向中小企业预留份额。</w:t>
      </w:r>
      <w:r>
        <w:rPr>
          <w:rFonts w:hint="eastAsia" w:ascii="宋体" w:hAnsi="宋体" w:eastAsia="宋体" w:cs="宋体"/>
          <w:color w:val="auto"/>
          <w:sz w:val="24"/>
          <w:szCs w:val="24"/>
          <w:highlight w:val="none"/>
          <w:u w:val="none"/>
          <w:shd w:val="clear" w:color="auto" w:fill="FFFFFF"/>
        </w:rPr>
        <w:t>400万元以下的工程采购项目适宜由中小企业提供的，采购人应当专门面向中小企业采购。超过400万元的工程采购项目中适宜由中小企业提供的，在坚持公开公正、公平竞争原则和统一</w:t>
      </w:r>
      <w:r>
        <w:rPr>
          <w:rFonts w:hint="eastAsia" w:ascii="宋体" w:hAnsi="宋体" w:eastAsia="宋体" w:cs="宋体"/>
          <w:color w:val="auto"/>
          <w:sz w:val="24"/>
          <w:szCs w:val="24"/>
          <w:highlight w:val="none"/>
          <w:u w:val="none"/>
          <w:shd w:val="clear" w:color="auto" w:fill="FFFFFF"/>
          <w:lang w:eastAsia="zh-CN"/>
        </w:rPr>
        <w:t>服务标准</w:t>
      </w:r>
      <w:r>
        <w:rPr>
          <w:rFonts w:hint="eastAsia" w:ascii="宋体" w:hAnsi="宋体" w:eastAsia="宋体" w:cs="宋体"/>
          <w:color w:val="auto"/>
          <w:sz w:val="24"/>
          <w:szCs w:val="24"/>
          <w:highlight w:val="none"/>
          <w:u w:val="none"/>
          <w:shd w:val="clear" w:color="auto" w:fill="FFFFFF"/>
        </w:rPr>
        <w:t>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1585EB6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shd w:val="clear" w:color="auto" w:fill="FFFFFF"/>
        </w:rPr>
        <w:t>　　</w:t>
      </w:r>
      <w:r>
        <w:rPr>
          <w:rFonts w:hint="eastAsia" w:ascii="宋体" w:hAnsi="宋体" w:eastAsia="宋体" w:cs="宋体"/>
          <w:b/>
          <w:bCs/>
          <w:color w:val="auto"/>
          <w:sz w:val="24"/>
          <w:szCs w:val="24"/>
          <w:highlight w:val="none"/>
          <w:u w:val="none"/>
          <w:shd w:val="clear" w:color="auto" w:fill="FFFFFF"/>
        </w:rPr>
        <w:t>四、认真做好组织实施。</w:t>
      </w:r>
      <w:r>
        <w:rPr>
          <w:rFonts w:hint="eastAsia" w:ascii="宋体" w:hAnsi="宋体" w:eastAsia="宋体" w:cs="宋体"/>
          <w:color w:val="auto"/>
          <w:sz w:val="24"/>
          <w:szCs w:val="24"/>
          <w:highlight w:val="none"/>
          <w:u w:val="none"/>
          <w:shd w:val="clear" w:color="auto" w:fill="FFFFFF"/>
        </w:rPr>
        <w:t>各地区、各部门应当加强组织领导，明确工作责任，细化执行要求，强化监督检查，确保国务院部署落实到位，对通知执行中出现的问题要及时向财政部报告。</w:t>
      </w:r>
    </w:p>
    <w:p w14:paraId="1651319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shd w:val="clear" w:color="auto" w:fill="FFFFFF"/>
        </w:rPr>
        <w:t>　　本通知自2022年7月1日起执行。</w:t>
      </w:r>
    </w:p>
    <w:p w14:paraId="26454664">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left="150" w:right="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shd w:val="clear" w:color="auto" w:fill="FFFFFF"/>
        </w:rPr>
        <w:t>　　财  政  部</w:t>
      </w:r>
    </w:p>
    <w:p w14:paraId="51B85F35">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left="150" w:right="0"/>
        <w:jc w:val="right"/>
        <w:rPr>
          <w:rFonts w:hint="eastAsia" w:ascii="宋体" w:hAnsi="宋体" w:eastAsia="宋体" w:cs="宋体"/>
          <w:b/>
          <w:color w:val="auto"/>
          <w:kern w:val="2"/>
          <w:sz w:val="24"/>
          <w:szCs w:val="24"/>
          <w:highlight w:val="none"/>
        </w:rPr>
      </w:pPr>
      <w:r>
        <w:rPr>
          <w:rFonts w:hint="eastAsia" w:ascii="宋体" w:hAnsi="宋体" w:eastAsia="宋体" w:cs="宋体"/>
          <w:color w:val="auto"/>
          <w:sz w:val="24"/>
          <w:szCs w:val="24"/>
          <w:highlight w:val="none"/>
          <w:u w:val="none"/>
          <w:shd w:val="clear" w:color="auto" w:fill="FFFFFF"/>
        </w:rPr>
        <w:t>　　2022年5月30日</w:t>
      </w:r>
    </w:p>
    <w:p w14:paraId="417701C1">
      <w:pPr>
        <w:widowControl w:val="0"/>
        <w:shd w:val="clear" w:color="auto" w:fill="auto"/>
        <w:spacing w:line="400" w:lineRule="exact"/>
        <w:jc w:val="both"/>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附件：</w:t>
      </w:r>
    </w:p>
    <w:p w14:paraId="0A18487D">
      <w:pPr>
        <w:shd w:val="clear" w:color="auto" w:fill="auto"/>
        <w:spacing w:line="300" w:lineRule="auto"/>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政府采购促进中小企业发展管理办法</w:t>
      </w:r>
    </w:p>
    <w:p w14:paraId="4A18E6A7">
      <w:pPr>
        <w:shd w:val="clear" w:color="auto" w:fill="auto"/>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第一条</w:t>
      </w:r>
    </w:p>
    <w:p w14:paraId="3F260419">
      <w:pPr>
        <w:shd w:val="clear" w:color="auto" w:fill="auto"/>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为了发挥政府采购的政策功能，促进中小企业健康发展，根据《中华人民共和国政府采购法》、《中华人民共和国中小企业促进法》等有关法律法规，制定本办法。</w:t>
      </w:r>
    </w:p>
    <w:p w14:paraId="3A49B690">
      <w:pPr>
        <w:shd w:val="clear" w:color="auto" w:fill="auto"/>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第二条</w:t>
      </w:r>
    </w:p>
    <w:p w14:paraId="37B504C1">
      <w:pPr>
        <w:shd w:val="clear" w:color="auto" w:fill="auto"/>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44B9259">
      <w:pPr>
        <w:shd w:val="clear" w:color="auto" w:fill="auto"/>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0A6D52BE">
      <w:pPr>
        <w:shd w:val="clear" w:color="auto" w:fill="auto"/>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w:t>
      </w:r>
    </w:p>
    <w:p w14:paraId="6B9B846F">
      <w:pPr>
        <w:shd w:val="clear" w:color="auto" w:fill="auto"/>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采购人在政府采购活动中应当通过加强采购需求管理，落实预留采购份额、价格评审优惠、优先采购等措施，提高中小企业在政府采购中的份额，支持中小企业发展。</w:t>
      </w:r>
    </w:p>
    <w:p w14:paraId="5CFFE5DD">
      <w:pPr>
        <w:shd w:val="clear" w:color="auto" w:fill="auto"/>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w:t>
      </w:r>
    </w:p>
    <w:p w14:paraId="22984DCB">
      <w:pPr>
        <w:shd w:val="clear" w:color="auto" w:fill="auto"/>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在政府采购活动中，供应商提供的货物、工程或者服务符合下列情形的，享受本办法规定的中小企业扶持政策：</w:t>
      </w:r>
    </w:p>
    <w:p w14:paraId="5D587E28">
      <w:pPr>
        <w:shd w:val="clear" w:color="auto" w:fill="auto"/>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（一）在货物采购项目中，货物由中小企业制造，即货物由中小企业生产且使用该中小企业商号或者注册商标；</w:t>
      </w:r>
    </w:p>
    <w:p w14:paraId="512A2934">
      <w:pPr>
        <w:shd w:val="clear" w:color="auto" w:fill="auto"/>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（二）在工程采购项目中，工程由中小企业承建，即工程施工单位为中小企业；</w:t>
      </w:r>
    </w:p>
    <w:p w14:paraId="166D748E">
      <w:pPr>
        <w:shd w:val="clear" w:color="auto" w:fill="auto"/>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14:paraId="3D7915D3">
      <w:pPr>
        <w:shd w:val="clear" w:color="auto" w:fill="auto"/>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4AB6F3F1">
      <w:pPr>
        <w:shd w:val="clear" w:color="auto" w:fill="auto"/>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w:t>
      </w:r>
    </w:p>
    <w:p w14:paraId="41EED730">
      <w:pPr>
        <w:shd w:val="clear" w:color="auto" w:fill="auto"/>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23739FD">
      <w:pPr>
        <w:shd w:val="clear" w:color="auto" w:fill="auto"/>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w:t>
      </w:r>
    </w:p>
    <w:p w14:paraId="07C9CAE9">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593824D">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符合下列情形之一的，可不专门面向中小企业预留采购份额：</w:t>
      </w:r>
    </w:p>
    <w:p w14:paraId="7AE2967A">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（一）法律法规和国家有关政策明确规定优先或者应当面向事业单位、社会组织等非企业主体采购的；</w:t>
      </w:r>
    </w:p>
    <w:p w14:paraId="176E0B6E">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（二）因确需使用不可替代的专利、专有技术，基础设施限制，或者提供特定公共服务等原因，只能从中小企业之外的供应商处采购的；</w:t>
      </w:r>
    </w:p>
    <w:p w14:paraId="2A9D4293">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（三）按照本办法规定预留采购份额无法确保充分供应、充分竞争，或者存在可能影响政府采购目标实现的情形；</w:t>
      </w:r>
    </w:p>
    <w:p w14:paraId="30AB510E">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（四）框架协议采购项目；</w:t>
      </w:r>
    </w:p>
    <w:p w14:paraId="4170DFD8">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（五）省级以上人民政府财政部门规定的其他情形。</w:t>
      </w:r>
    </w:p>
    <w:p w14:paraId="63A50A94">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除上述情形外，其他均为适宜由中小企业提供的情形。</w:t>
      </w:r>
    </w:p>
    <w:p w14:paraId="2519377A">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w:t>
      </w:r>
    </w:p>
    <w:p w14:paraId="0816AA26">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采购限额标准以上，200 万元以下的货物和服务采购项目、400 万元以下的工程采购项目，适宜由中小企业提供的，采购人应当专门面向中小企业采购。</w:t>
      </w:r>
    </w:p>
    <w:p w14:paraId="4A11326A">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第八条</w:t>
      </w:r>
    </w:p>
    <w:p w14:paraId="77B1C9A2">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1A17B57A">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（一）将采购项目整体或者设置采购包专门面向中小企业采购；</w:t>
      </w:r>
    </w:p>
    <w:p w14:paraId="5583B168">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（二）要求供应商以联合体形式参加采购活动，且联合体中中小企业承担的部分达到一定比例；</w:t>
      </w:r>
    </w:p>
    <w:p w14:paraId="429D0BF0">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（三）要求获得采购合同的供应商将采购项目中的一定比例分包给一家或者多家中小企业。组成联合体或者接受分包合同的中小企业与联合体内其他企业、分包企业之间不得存在直接控股、管理关系。</w:t>
      </w:r>
    </w:p>
    <w:p w14:paraId="1965A8DC">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第九条</w:t>
      </w:r>
    </w:p>
    <w:p w14:paraId="11877B1B">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0AC0BFDD">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B6379A9">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第十条</w:t>
      </w:r>
    </w:p>
    <w:p w14:paraId="7786483B">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3304260F">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第十一条</w:t>
      </w:r>
    </w:p>
    <w:p w14:paraId="662D3B92">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中小企业参加政府采购活动，应当出具本办法规定的《中小企业声明函》（附 1），否则不得享受相关中小企业扶持政策。任何单位和个人不得要求供应商提供《中小企业声明函》之外的中小企业身份证明文件。</w:t>
      </w:r>
    </w:p>
    <w:p w14:paraId="5A18E378">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第十二条</w:t>
      </w:r>
    </w:p>
    <w:p w14:paraId="17D81C1B">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采购项目涉及中小企业采购的，采购文件应当明确以下内容：</w:t>
      </w:r>
    </w:p>
    <w:p w14:paraId="71EC70EE">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（一）预留份额的采购项目或者采购包，明确该项目或相关采购包专门面向中小企业采购，以及相关标的及预算金额；</w:t>
      </w:r>
    </w:p>
    <w:p w14:paraId="1C35C6AD">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（二）要求以联合体形式参加或者合同分包的，明确联合协议或者分包意向协议中中小企业合同金额应当达到的比例，并作为供应商资格条件；</w:t>
      </w:r>
    </w:p>
    <w:p w14:paraId="1A26FCDA">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（三）非预留份额的采购项目或者采购包，明确有关价格扣除比例或者价格分加分比例；</w:t>
      </w:r>
    </w:p>
    <w:p w14:paraId="55069901">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（四）规定依据本办法规定享受扶持政策获得政府采购合同的，小微企业不得将合同分包给大中型企业，中型企业不得将合同分包给大型企业；</w:t>
      </w:r>
    </w:p>
    <w:p w14:paraId="0D60E44D">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（五）采购人认为具备相关条件的，明确对中小企业在资金支付期限、预付款比例等方面的优惠措施；</w:t>
      </w:r>
    </w:p>
    <w:p w14:paraId="501982AC">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（六）明确采购标的对应的中小企业划分标准所属行业；</w:t>
      </w:r>
    </w:p>
    <w:p w14:paraId="777A9753">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（七）法律法规和省级以上人民政府财政部门规定的其他事项。</w:t>
      </w:r>
    </w:p>
    <w:p w14:paraId="6BF7124E">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第十三条</w:t>
      </w:r>
    </w:p>
    <w:p w14:paraId="341B984C">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中标、成交供应商享受本办法规定的中小企业扶持政策的，采购人、采购代理机构应当</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rPr>
        <w:t>中标、成交结果公开中标、成交供应商的《中小企业声明函》。适用招标投标法的政府采购工程建设项目，应当在公示中标候选人时公开中标候选人的《中小企业声明函》。</w:t>
      </w:r>
    </w:p>
    <w:p w14:paraId="7C45BFBE">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第十四条</w:t>
      </w:r>
    </w:p>
    <w:p w14:paraId="2C5E08EF">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DB8C2F0">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第十五条</w:t>
      </w:r>
    </w:p>
    <w:p w14:paraId="4DED424B">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鼓励各地区、各部门在采购活动中允许中小企业引入信用担保手段，为中小企业在投标（响应）保证、履约保证等方面提供专业化服务。鼓励中小企业依法合规通过政府采购合同融资。</w:t>
      </w:r>
    </w:p>
    <w:p w14:paraId="4441108A">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第十六条</w:t>
      </w:r>
    </w:p>
    <w:p w14:paraId="5B94252A">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 10 个工作日内做出书面答复。</w:t>
      </w:r>
    </w:p>
    <w:p w14:paraId="66D66C7C">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第十七条</w:t>
      </w:r>
    </w:p>
    <w:p w14:paraId="41BB94EE">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各地区、各部门应当对涉及中小企业采购的预算项目实施全过程绩效管理，合理设置绩效目标和指标，落实扶持中小企业有关政策要求，定期开展绩效监控和评价，强化绩效评价结果应用。</w:t>
      </w:r>
    </w:p>
    <w:p w14:paraId="0D781423">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第十八条</w:t>
      </w:r>
    </w:p>
    <w:p w14:paraId="2694735A">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主管预算单位应当自 2022 年起向同级财政部门报告本部门上一年度面向中小企业预留份额和采购的具体情况，并在中国政府采购网公开预留项目执行情况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附2)。未达到本办法规定的预留份额比例的，应当作出说明。</w:t>
      </w:r>
    </w:p>
    <w:p w14:paraId="084CAB50">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第十九条</w:t>
      </w:r>
    </w:p>
    <w:p w14:paraId="268A157D">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0E2A7134">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第二十条</w:t>
      </w:r>
    </w:p>
    <w:p w14:paraId="57690575">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14:paraId="37419441">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第二十一条</w:t>
      </w:r>
    </w:p>
    <w:p w14:paraId="5F16DB80">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w:t>
      </w:r>
    </w:p>
    <w:p w14:paraId="406B09DB">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有关规定追究相应责任；涉嫌犯罪的，依法移送有关国家机关处理。</w:t>
      </w:r>
    </w:p>
    <w:p w14:paraId="151BBCC4">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第二十二条</w:t>
      </w:r>
    </w:p>
    <w:p w14:paraId="48973833">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对外援助项目、国家相关资格或者资质管理制度另有规定的项目，不适用本办法。</w:t>
      </w:r>
    </w:p>
    <w:p w14:paraId="2EF3ED4E">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第二十三条</w:t>
      </w:r>
    </w:p>
    <w:p w14:paraId="3664A840">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关于视同中小企业的其他主体的政府采购扶持政策，由财政部会同有关部门另行规定。</w:t>
      </w:r>
    </w:p>
    <w:p w14:paraId="49E2433A">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第二十四条</w:t>
      </w:r>
    </w:p>
    <w:p w14:paraId="71C0DEDA">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省级财政部门可以会同中小企业主管部门根据本办法的规定制定具体实施办法。</w:t>
      </w:r>
    </w:p>
    <w:p w14:paraId="0DAEAF48">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第二十五条</w:t>
      </w:r>
    </w:p>
    <w:p w14:paraId="50013B68">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本办法自2021 年1月1日起施行。 财政部工业和信息化部关于印发〈政府采购促进中小企业发展暂行办法〉的通知》（财库﹝2011﹞181 号）同时废止。</w:t>
      </w:r>
    </w:p>
    <w:p w14:paraId="4D8ABBB3">
      <w:pPr>
        <w:jc w:val="center"/>
        <w:rPr>
          <w:rFonts w:hint="eastAsia" w:ascii="宋体" w:hAnsi="宋体" w:eastAsia="宋体" w:cs="宋体"/>
          <w:b/>
          <w:bCs/>
          <w:color w:val="auto"/>
          <w:sz w:val="24"/>
          <w:szCs w:val="24"/>
          <w:highlight w:val="none"/>
          <w:lang w:val="zh-CN"/>
        </w:rPr>
      </w:pPr>
    </w:p>
    <w:p w14:paraId="326875EA">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r>
        <w:rPr>
          <w:rFonts w:hint="eastAsia" w:ascii="宋体" w:hAnsi="宋体" w:eastAsia="宋体" w:cs="宋体"/>
          <w:color w:val="auto"/>
          <w:kern w:val="0"/>
          <w:sz w:val="24"/>
          <w:szCs w:val="24"/>
          <w:highlight w:val="none"/>
        </w:rPr>
        <w:t>统计上大中小微型企业划分标准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1416"/>
        <w:gridCol w:w="733"/>
        <w:gridCol w:w="1163"/>
        <w:gridCol w:w="1759"/>
        <w:gridCol w:w="1475"/>
        <w:gridCol w:w="1026"/>
      </w:tblGrid>
      <w:tr w14:paraId="6552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3FAEA385">
            <w:pPr>
              <w:widowControl/>
              <w:spacing w:line="2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行业名称</w:t>
            </w:r>
          </w:p>
        </w:tc>
        <w:tc>
          <w:tcPr>
            <w:tcW w:w="1416" w:type="dxa"/>
            <w:vAlign w:val="center"/>
          </w:tcPr>
          <w:p w14:paraId="7E3673BE">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指标名称</w:t>
            </w:r>
          </w:p>
        </w:tc>
        <w:tc>
          <w:tcPr>
            <w:tcW w:w="733" w:type="dxa"/>
            <w:vAlign w:val="center"/>
          </w:tcPr>
          <w:p w14:paraId="0C6E03A3">
            <w:pPr>
              <w:widowControl/>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计量</w:t>
            </w:r>
          </w:p>
          <w:p w14:paraId="043326C1">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1163" w:type="dxa"/>
            <w:vAlign w:val="center"/>
          </w:tcPr>
          <w:p w14:paraId="197A546F">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大型</w:t>
            </w:r>
          </w:p>
        </w:tc>
        <w:tc>
          <w:tcPr>
            <w:tcW w:w="1759" w:type="dxa"/>
            <w:vAlign w:val="center"/>
          </w:tcPr>
          <w:p w14:paraId="5DFCA067">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中型</w:t>
            </w:r>
          </w:p>
        </w:tc>
        <w:tc>
          <w:tcPr>
            <w:tcW w:w="1475" w:type="dxa"/>
            <w:vAlign w:val="center"/>
          </w:tcPr>
          <w:p w14:paraId="4C606B63">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小型</w:t>
            </w:r>
          </w:p>
        </w:tc>
        <w:tc>
          <w:tcPr>
            <w:tcW w:w="1026" w:type="dxa"/>
            <w:vAlign w:val="center"/>
          </w:tcPr>
          <w:p w14:paraId="5A77C1F8">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微型</w:t>
            </w:r>
          </w:p>
        </w:tc>
      </w:tr>
      <w:tr w14:paraId="112A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08E45BBF">
            <w:pPr>
              <w:widowControl/>
              <w:spacing w:line="2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农、林、牧、渔业</w:t>
            </w:r>
          </w:p>
        </w:tc>
        <w:tc>
          <w:tcPr>
            <w:tcW w:w="1416" w:type="dxa"/>
            <w:vAlign w:val="center"/>
          </w:tcPr>
          <w:p w14:paraId="4BAD1C1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Y)</w:t>
            </w:r>
          </w:p>
        </w:tc>
        <w:tc>
          <w:tcPr>
            <w:tcW w:w="733" w:type="dxa"/>
            <w:vAlign w:val="center"/>
          </w:tcPr>
          <w:p w14:paraId="3C0C576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163" w:type="dxa"/>
            <w:vAlign w:val="center"/>
          </w:tcPr>
          <w:p w14:paraId="3D26549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Y≥20000</w:t>
            </w:r>
          </w:p>
        </w:tc>
        <w:tc>
          <w:tcPr>
            <w:tcW w:w="1759" w:type="dxa"/>
            <w:vAlign w:val="center"/>
          </w:tcPr>
          <w:p w14:paraId="1C5E300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500≤Y＜20000</w:t>
            </w:r>
          </w:p>
        </w:tc>
        <w:tc>
          <w:tcPr>
            <w:tcW w:w="1475" w:type="dxa"/>
            <w:vAlign w:val="center"/>
          </w:tcPr>
          <w:p w14:paraId="264B9CF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50≤Y＜500</w:t>
            </w:r>
          </w:p>
        </w:tc>
        <w:tc>
          <w:tcPr>
            <w:tcW w:w="1026" w:type="dxa"/>
            <w:vAlign w:val="center"/>
          </w:tcPr>
          <w:p w14:paraId="60DEAD7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w:t>
            </w:r>
          </w:p>
        </w:tc>
      </w:tr>
      <w:tr w14:paraId="38D0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Merge w:val="restart"/>
            <w:vAlign w:val="center"/>
          </w:tcPr>
          <w:p w14:paraId="300ED638">
            <w:pPr>
              <w:widowControl/>
              <w:spacing w:line="2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工业 *</w:t>
            </w:r>
          </w:p>
        </w:tc>
        <w:tc>
          <w:tcPr>
            <w:tcW w:w="1416" w:type="dxa"/>
            <w:vAlign w:val="center"/>
          </w:tcPr>
          <w:p w14:paraId="095DB31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X)</w:t>
            </w:r>
          </w:p>
        </w:tc>
        <w:tc>
          <w:tcPr>
            <w:tcW w:w="733" w:type="dxa"/>
            <w:vAlign w:val="center"/>
          </w:tcPr>
          <w:p w14:paraId="5C46219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163" w:type="dxa"/>
            <w:vAlign w:val="center"/>
          </w:tcPr>
          <w:p w14:paraId="7293D2B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X≥1000</w:t>
            </w:r>
          </w:p>
        </w:tc>
        <w:tc>
          <w:tcPr>
            <w:tcW w:w="1759" w:type="dxa"/>
            <w:vAlign w:val="center"/>
          </w:tcPr>
          <w:p w14:paraId="637142B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475" w:type="dxa"/>
            <w:vAlign w:val="center"/>
          </w:tcPr>
          <w:p w14:paraId="226AED6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20≤X＜300</w:t>
            </w:r>
          </w:p>
        </w:tc>
        <w:tc>
          <w:tcPr>
            <w:tcW w:w="1026" w:type="dxa"/>
            <w:vAlign w:val="center"/>
          </w:tcPr>
          <w:p w14:paraId="21C259A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3B02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Merge w:val="continue"/>
            <w:vAlign w:val="center"/>
          </w:tcPr>
          <w:p w14:paraId="48EA1EDA">
            <w:pPr>
              <w:widowControl/>
              <w:jc w:val="left"/>
              <w:rPr>
                <w:rFonts w:hint="eastAsia" w:ascii="宋体" w:hAnsi="宋体" w:eastAsia="宋体" w:cs="宋体"/>
                <w:color w:val="auto"/>
                <w:kern w:val="0"/>
                <w:sz w:val="24"/>
                <w:szCs w:val="24"/>
                <w:highlight w:val="none"/>
              </w:rPr>
            </w:pPr>
          </w:p>
        </w:tc>
        <w:tc>
          <w:tcPr>
            <w:tcW w:w="1416" w:type="dxa"/>
            <w:vAlign w:val="center"/>
          </w:tcPr>
          <w:p w14:paraId="7C2E1245">
            <w:pPr>
              <w:widowControl/>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Y)</w:t>
            </w:r>
          </w:p>
        </w:tc>
        <w:tc>
          <w:tcPr>
            <w:tcW w:w="733" w:type="dxa"/>
            <w:vAlign w:val="center"/>
          </w:tcPr>
          <w:p w14:paraId="2123B5C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163" w:type="dxa"/>
            <w:vAlign w:val="center"/>
          </w:tcPr>
          <w:p w14:paraId="0625770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Y≥40000</w:t>
            </w:r>
          </w:p>
        </w:tc>
        <w:tc>
          <w:tcPr>
            <w:tcW w:w="1759" w:type="dxa"/>
            <w:vAlign w:val="center"/>
          </w:tcPr>
          <w:p w14:paraId="2F1BD88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2000≤Y＜40000</w:t>
            </w:r>
          </w:p>
        </w:tc>
        <w:tc>
          <w:tcPr>
            <w:tcW w:w="1475" w:type="dxa"/>
            <w:vAlign w:val="center"/>
          </w:tcPr>
          <w:p w14:paraId="360F10E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300≤Y＜2000</w:t>
            </w:r>
          </w:p>
        </w:tc>
        <w:tc>
          <w:tcPr>
            <w:tcW w:w="1026" w:type="dxa"/>
            <w:vAlign w:val="center"/>
          </w:tcPr>
          <w:p w14:paraId="7A6758D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14:paraId="4149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Merge w:val="restart"/>
            <w:vAlign w:val="center"/>
          </w:tcPr>
          <w:p w14:paraId="73EC59A3">
            <w:pPr>
              <w:widowControl/>
              <w:spacing w:line="2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建筑业</w:t>
            </w:r>
          </w:p>
        </w:tc>
        <w:tc>
          <w:tcPr>
            <w:tcW w:w="1416" w:type="dxa"/>
            <w:vAlign w:val="center"/>
          </w:tcPr>
          <w:p w14:paraId="6D6DCED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Y)</w:t>
            </w:r>
          </w:p>
        </w:tc>
        <w:tc>
          <w:tcPr>
            <w:tcW w:w="733" w:type="dxa"/>
            <w:vAlign w:val="center"/>
          </w:tcPr>
          <w:p w14:paraId="1B6FF39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163" w:type="dxa"/>
            <w:vAlign w:val="center"/>
          </w:tcPr>
          <w:p w14:paraId="53A407C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Y≥80000</w:t>
            </w:r>
          </w:p>
        </w:tc>
        <w:tc>
          <w:tcPr>
            <w:tcW w:w="1759" w:type="dxa"/>
            <w:vAlign w:val="center"/>
          </w:tcPr>
          <w:p w14:paraId="66B034D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6000≤Y＜80000</w:t>
            </w:r>
          </w:p>
        </w:tc>
        <w:tc>
          <w:tcPr>
            <w:tcW w:w="1475" w:type="dxa"/>
            <w:vAlign w:val="center"/>
          </w:tcPr>
          <w:p w14:paraId="3C60A53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300≤Y＜6000</w:t>
            </w:r>
          </w:p>
        </w:tc>
        <w:tc>
          <w:tcPr>
            <w:tcW w:w="1026" w:type="dxa"/>
            <w:vAlign w:val="center"/>
          </w:tcPr>
          <w:p w14:paraId="5365FF3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14:paraId="3911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Merge w:val="continue"/>
            <w:vAlign w:val="center"/>
          </w:tcPr>
          <w:p w14:paraId="51F7E20B">
            <w:pPr>
              <w:widowControl/>
              <w:jc w:val="left"/>
              <w:rPr>
                <w:rFonts w:hint="eastAsia" w:ascii="宋体" w:hAnsi="宋体" w:eastAsia="宋体" w:cs="宋体"/>
                <w:color w:val="auto"/>
                <w:kern w:val="0"/>
                <w:sz w:val="24"/>
                <w:szCs w:val="24"/>
                <w:highlight w:val="none"/>
              </w:rPr>
            </w:pPr>
          </w:p>
        </w:tc>
        <w:tc>
          <w:tcPr>
            <w:tcW w:w="1416" w:type="dxa"/>
            <w:vAlign w:val="center"/>
          </w:tcPr>
          <w:p w14:paraId="17E46E60">
            <w:pPr>
              <w:widowControl/>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Z)</w:t>
            </w:r>
          </w:p>
        </w:tc>
        <w:tc>
          <w:tcPr>
            <w:tcW w:w="733" w:type="dxa"/>
            <w:vAlign w:val="center"/>
          </w:tcPr>
          <w:p w14:paraId="5B91EFF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163" w:type="dxa"/>
            <w:vAlign w:val="center"/>
          </w:tcPr>
          <w:p w14:paraId="3BF9579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Z≥80000</w:t>
            </w:r>
          </w:p>
        </w:tc>
        <w:tc>
          <w:tcPr>
            <w:tcW w:w="1759" w:type="dxa"/>
            <w:vAlign w:val="center"/>
          </w:tcPr>
          <w:p w14:paraId="67C6C37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5000≤Z＜80000</w:t>
            </w:r>
          </w:p>
        </w:tc>
        <w:tc>
          <w:tcPr>
            <w:tcW w:w="1475" w:type="dxa"/>
            <w:vAlign w:val="center"/>
          </w:tcPr>
          <w:p w14:paraId="6BEA262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300≤Z＜5000</w:t>
            </w:r>
          </w:p>
        </w:tc>
        <w:tc>
          <w:tcPr>
            <w:tcW w:w="1026" w:type="dxa"/>
            <w:vAlign w:val="center"/>
          </w:tcPr>
          <w:p w14:paraId="35AF3B8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Z＜300</w:t>
            </w:r>
          </w:p>
        </w:tc>
      </w:tr>
      <w:tr w14:paraId="181D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Merge w:val="restart"/>
            <w:vAlign w:val="center"/>
          </w:tcPr>
          <w:p w14:paraId="47F6DE2C">
            <w:pPr>
              <w:widowControl/>
              <w:spacing w:line="2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批发业</w:t>
            </w:r>
          </w:p>
        </w:tc>
        <w:tc>
          <w:tcPr>
            <w:tcW w:w="1416" w:type="dxa"/>
            <w:vAlign w:val="center"/>
          </w:tcPr>
          <w:p w14:paraId="3FFE282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X)</w:t>
            </w:r>
          </w:p>
        </w:tc>
        <w:tc>
          <w:tcPr>
            <w:tcW w:w="733" w:type="dxa"/>
            <w:vAlign w:val="center"/>
          </w:tcPr>
          <w:p w14:paraId="26DA3BA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163" w:type="dxa"/>
            <w:vAlign w:val="center"/>
          </w:tcPr>
          <w:p w14:paraId="24922F7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X≥200</w:t>
            </w:r>
          </w:p>
        </w:tc>
        <w:tc>
          <w:tcPr>
            <w:tcW w:w="1759" w:type="dxa"/>
            <w:vAlign w:val="center"/>
          </w:tcPr>
          <w:p w14:paraId="78D6FAF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20≤X＜200</w:t>
            </w:r>
          </w:p>
        </w:tc>
        <w:tc>
          <w:tcPr>
            <w:tcW w:w="1475" w:type="dxa"/>
            <w:vAlign w:val="center"/>
          </w:tcPr>
          <w:p w14:paraId="00D9252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5≤X＜20</w:t>
            </w:r>
          </w:p>
        </w:tc>
        <w:tc>
          <w:tcPr>
            <w:tcW w:w="1026" w:type="dxa"/>
            <w:vAlign w:val="center"/>
          </w:tcPr>
          <w:p w14:paraId="3E2973F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X＜5</w:t>
            </w:r>
          </w:p>
        </w:tc>
      </w:tr>
      <w:tr w14:paraId="66BC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Merge w:val="continue"/>
            <w:vAlign w:val="center"/>
          </w:tcPr>
          <w:p w14:paraId="23FDA6F2">
            <w:pPr>
              <w:widowControl/>
              <w:jc w:val="left"/>
              <w:rPr>
                <w:rFonts w:hint="eastAsia" w:ascii="宋体" w:hAnsi="宋体" w:eastAsia="宋体" w:cs="宋体"/>
                <w:color w:val="auto"/>
                <w:kern w:val="0"/>
                <w:sz w:val="24"/>
                <w:szCs w:val="24"/>
                <w:highlight w:val="none"/>
              </w:rPr>
            </w:pPr>
          </w:p>
        </w:tc>
        <w:tc>
          <w:tcPr>
            <w:tcW w:w="1416" w:type="dxa"/>
            <w:vAlign w:val="center"/>
          </w:tcPr>
          <w:p w14:paraId="24E3C3B0">
            <w:pPr>
              <w:widowControl/>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Y)</w:t>
            </w:r>
          </w:p>
        </w:tc>
        <w:tc>
          <w:tcPr>
            <w:tcW w:w="733" w:type="dxa"/>
            <w:vAlign w:val="center"/>
          </w:tcPr>
          <w:p w14:paraId="0A5FBB2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163" w:type="dxa"/>
            <w:vAlign w:val="center"/>
          </w:tcPr>
          <w:p w14:paraId="643CE50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Y≥40000</w:t>
            </w:r>
          </w:p>
        </w:tc>
        <w:tc>
          <w:tcPr>
            <w:tcW w:w="1759" w:type="dxa"/>
            <w:vAlign w:val="center"/>
          </w:tcPr>
          <w:p w14:paraId="46D7184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5000≤Y＜40000</w:t>
            </w:r>
          </w:p>
        </w:tc>
        <w:tc>
          <w:tcPr>
            <w:tcW w:w="1475" w:type="dxa"/>
            <w:vAlign w:val="center"/>
          </w:tcPr>
          <w:p w14:paraId="5F0FA68C">
            <w:pPr>
              <w:widowControl/>
              <w:ind w:left="-2" w:leftChars="-1" w:hang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026" w:type="dxa"/>
            <w:vAlign w:val="center"/>
          </w:tcPr>
          <w:p w14:paraId="444C3D3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Y＜1000</w:t>
            </w:r>
          </w:p>
        </w:tc>
      </w:tr>
      <w:tr w14:paraId="77C8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Merge w:val="restart"/>
            <w:vAlign w:val="center"/>
          </w:tcPr>
          <w:p w14:paraId="113F7940">
            <w:pPr>
              <w:widowControl/>
              <w:spacing w:line="2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零售业</w:t>
            </w:r>
          </w:p>
        </w:tc>
        <w:tc>
          <w:tcPr>
            <w:tcW w:w="1416" w:type="dxa"/>
            <w:vAlign w:val="center"/>
          </w:tcPr>
          <w:p w14:paraId="78BC571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X)</w:t>
            </w:r>
          </w:p>
        </w:tc>
        <w:tc>
          <w:tcPr>
            <w:tcW w:w="733" w:type="dxa"/>
            <w:vAlign w:val="center"/>
          </w:tcPr>
          <w:p w14:paraId="708FB9F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163" w:type="dxa"/>
            <w:vAlign w:val="center"/>
          </w:tcPr>
          <w:p w14:paraId="4D4436B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X≥300</w:t>
            </w:r>
          </w:p>
        </w:tc>
        <w:tc>
          <w:tcPr>
            <w:tcW w:w="1759" w:type="dxa"/>
            <w:vAlign w:val="center"/>
          </w:tcPr>
          <w:p w14:paraId="5831391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50≤X＜300</w:t>
            </w:r>
          </w:p>
        </w:tc>
        <w:tc>
          <w:tcPr>
            <w:tcW w:w="1475" w:type="dxa"/>
            <w:vAlign w:val="center"/>
          </w:tcPr>
          <w:p w14:paraId="165F5707">
            <w:pPr>
              <w:widowControl/>
              <w:ind w:left="-2" w:leftChars="-1" w:hang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10≤X＜50 </w:t>
            </w:r>
          </w:p>
        </w:tc>
        <w:tc>
          <w:tcPr>
            <w:tcW w:w="1026" w:type="dxa"/>
            <w:vAlign w:val="center"/>
          </w:tcPr>
          <w:p w14:paraId="37F0DFC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0DCB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Merge w:val="continue"/>
            <w:vAlign w:val="center"/>
          </w:tcPr>
          <w:p w14:paraId="668CD6C7">
            <w:pPr>
              <w:widowControl/>
              <w:jc w:val="left"/>
              <w:rPr>
                <w:rFonts w:hint="eastAsia" w:ascii="宋体" w:hAnsi="宋体" w:eastAsia="宋体" w:cs="宋体"/>
                <w:color w:val="auto"/>
                <w:kern w:val="0"/>
                <w:sz w:val="24"/>
                <w:szCs w:val="24"/>
                <w:highlight w:val="none"/>
              </w:rPr>
            </w:pPr>
          </w:p>
        </w:tc>
        <w:tc>
          <w:tcPr>
            <w:tcW w:w="1416" w:type="dxa"/>
            <w:vAlign w:val="center"/>
          </w:tcPr>
          <w:p w14:paraId="1CFA92AC">
            <w:pPr>
              <w:widowControl/>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Y)</w:t>
            </w:r>
          </w:p>
        </w:tc>
        <w:tc>
          <w:tcPr>
            <w:tcW w:w="733" w:type="dxa"/>
            <w:vAlign w:val="center"/>
          </w:tcPr>
          <w:p w14:paraId="4F001CA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163" w:type="dxa"/>
            <w:vAlign w:val="center"/>
          </w:tcPr>
          <w:p w14:paraId="05FDC32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Y≥20000</w:t>
            </w:r>
          </w:p>
        </w:tc>
        <w:tc>
          <w:tcPr>
            <w:tcW w:w="1759" w:type="dxa"/>
            <w:vAlign w:val="center"/>
          </w:tcPr>
          <w:p w14:paraId="2D79C87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500≤Y＜20000</w:t>
            </w:r>
          </w:p>
        </w:tc>
        <w:tc>
          <w:tcPr>
            <w:tcW w:w="1475" w:type="dxa"/>
            <w:vAlign w:val="center"/>
          </w:tcPr>
          <w:p w14:paraId="41F8F54D">
            <w:pPr>
              <w:widowControl/>
              <w:ind w:left="-2" w:leftChars="-1" w:hang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100≤Y＜500 </w:t>
            </w:r>
          </w:p>
        </w:tc>
        <w:tc>
          <w:tcPr>
            <w:tcW w:w="1026" w:type="dxa"/>
            <w:vAlign w:val="center"/>
          </w:tcPr>
          <w:p w14:paraId="718F5D9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13E2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Merge w:val="restart"/>
            <w:vAlign w:val="center"/>
          </w:tcPr>
          <w:p w14:paraId="077CEA4E">
            <w:pPr>
              <w:widowControl/>
              <w:spacing w:line="2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交通运输业 *</w:t>
            </w:r>
          </w:p>
        </w:tc>
        <w:tc>
          <w:tcPr>
            <w:tcW w:w="1416" w:type="dxa"/>
            <w:vAlign w:val="center"/>
          </w:tcPr>
          <w:p w14:paraId="7A8E3AC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X)</w:t>
            </w:r>
          </w:p>
        </w:tc>
        <w:tc>
          <w:tcPr>
            <w:tcW w:w="733" w:type="dxa"/>
            <w:vAlign w:val="center"/>
          </w:tcPr>
          <w:p w14:paraId="5DE9F8E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163" w:type="dxa"/>
            <w:vAlign w:val="center"/>
          </w:tcPr>
          <w:p w14:paraId="2AC797D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X≥1000</w:t>
            </w:r>
          </w:p>
        </w:tc>
        <w:tc>
          <w:tcPr>
            <w:tcW w:w="1759" w:type="dxa"/>
            <w:vAlign w:val="center"/>
          </w:tcPr>
          <w:p w14:paraId="6FB3CFC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475" w:type="dxa"/>
            <w:vAlign w:val="center"/>
          </w:tcPr>
          <w:p w14:paraId="40A045A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20≤X＜300</w:t>
            </w:r>
          </w:p>
        </w:tc>
        <w:tc>
          <w:tcPr>
            <w:tcW w:w="1026" w:type="dxa"/>
            <w:vAlign w:val="center"/>
          </w:tcPr>
          <w:p w14:paraId="35E8619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372B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Merge w:val="continue"/>
            <w:vAlign w:val="center"/>
          </w:tcPr>
          <w:p w14:paraId="31158371">
            <w:pPr>
              <w:widowControl/>
              <w:jc w:val="left"/>
              <w:rPr>
                <w:rFonts w:hint="eastAsia" w:ascii="宋体" w:hAnsi="宋体" w:eastAsia="宋体" w:cs="宋体"/>
                <w:color w:val="auto"/>
                <w:kern w:val="0"/>
                <w:sz w:val="24"/>
                <w:szCs w:val="24"/>
                <w:highlight w:val="none"/>
              </w:rPr>
            </w:pPr>
          </w:p>
        </w:tc>
        <w:tc>
          <w:tcPr>
            <w:tcW w:w="1416" w:type="dxa"/>
            <w:vAlign w:val="center"/>
          </w:tcPr>
          <w:p w14:paraId="1C97EAB6">
            <w:pPr>
              <w:widowControl/>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Y)</w:t>
            </w:r>
          </w:p>
        </w:tc>
        <w:tc>
          <w:tcPr>
            <w:tcW w:w="733" w:type="dxa"/>
            <w:vAlign w:val="center"/>
          </w:tcPr>
          <w:p w14:paraId="31FB7CD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163" w:type="dxa"/>
            <w:vAlign w:val="center"/>
          </w:tcPr>
          <w:p w14:paraId="03AFB61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Y≥30000</w:t>
            </w:r>
          </w:p>
        </w:tc>
        <w:tc>
          <w:tcPr>
            <w:tcW w:w="1759" w:type="dxa"/>
            <w:vAlign w:val="center"/>
          </w:tcPr>
          <w:p w14:paraId="1E9ED04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3000≤Y＜30000</w:t>
            </w:r>
          </w:p>
        </w:tc>
        <w:tc>
          <w:tcPr>
            <w:tcW w:w="1475" w:type="dxa"/>
            <w:vAlign w:val="center"/>
          </w:tcPr>
          <w:p w14:paraId="63F52C2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200≤Y＜3000</w:t>
            </w:r>
          </w:p>
        </w:tc>
        <w:tc>
          <w:tcPr>
            <w:tcW w:w="1026" w:type="dxa"/>
            <w:vAlign w:val="center"/>
          </w:tcPr>
          <w:p w14:paraId="5ED1505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w:t>
            </w:r>
          </w:p>
        </w:tc>
      </w:tr>
      <w:tr w14:paraId="577C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Merge w:val="restart"/>
            <w:vAlign w:val="center"/>
          </w:tcPr>
          <w:p w14:paraId="785DA0E6">
            <w:pPr>
              <w:widowControl/>
              <w:spacing w:line="2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仓储业*</w:t>
            </w:r>
          </w:p>
        </w:tc>
        <w:tc>
          <w:tcPr>
            <w:tcW w:w="1416" w:type="dxa"/>
            <w:vAlign w:val="center"/>
          </w:tcPr>
          <w:p w14:paraId="154AD9C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X)</w:t>
            </w:r>
          </w:p>
        </w:tc>
        <w:tc>
          <w:tcPr>
            <w:tcW w:w="733" w:type="dxa"/>
            <w:vAlign w:val="center"/>
          </w:tcPr>
          <w:p w14:paraId="2767BC9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163" w:type="dxa"/>
            <w:vAlign w:val="center"/>
          </w:tcPr>
          <w:p w14:paraId="5234E23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X≥200</w:t>
            </w:r>
          </w:p>
        </w:tc>
        <w:tc>
          <w:tcPr>
            <w:tcW w:w="1759" w:type="dxa"/>
            <w:vAlign w:val="center"/>
          </w:tcPr>
          <w:p w14:paraId="308CB711">
            <w:pPr>
              <w:widowControl/>
              <w:ind w:left="-29" w:leftChars="-51" w:hanging="144" w:hangingChars="6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100≤X＜200</w:t>
            </w:r>
          </w:p>
        </w:tc>
        <w:tc>
          <w:tcPr>
            <w:tcW w:w="1475" w:type="dxa"/>
            <w:vAlign w:val="center"/>
          </w:tcPr>
          <w:p w14:paraId="2204411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20≤X＜100</w:t>
            </w:r>
          </w:p>
        </w:tc>
        <w:tc>
          <w:tcPr>
            <w:tcW w:w="1026" w:type="dxa"/>
            <w:vAlign w:val="center"/>
          </w:tcPr>
          <w:p w14:paraId="08DF508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7853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Merge w:val="continue"/>
            <w:vAlign w:val="center"/>
          </w:tcPr>
          <w:p w14:paraId="74378273">
            <w:pPr>
              <w:widowControl/>
              <w:jc w:val="left"/>
              <w:rPr>
                <w:rFonts w:hint="eastAsia" w:ascii="宋体" w:hAnsi="宋体" w:eastAsia="宋体" w:cs="宋体"/>
                <w:color w:val="auto"/>
                <w:kern w:val="0"/>
                <w:sz w:val="24"/>
                <w:szCs w:val="24"/>
                <w:highlight w:val="none"/>
              </w:rPr>
            </w:pPr>
          </w:p>
        </w:tc>
        <w:tc>
          <w:tcPr>
            <w:tcW w:w="1416" w:type="dxa"/>
            <w:vAlign w:val="center"/>
          </w:tcPr>
          <w:p w14:paraId="253B2EA5">
            <w:pPr>
              <w:widowControl/>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Y)</w:t>
            </w:r>
          </w:p>
        </w:tc>
        <w:tc>
          <w:tcPr>
            <w:tcW w:w="733" w:type="dxa"/>
            <w:vAlign w:val="center"/>
          </w:tcPr>
          <w:p w14:paraId="0AA38B8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163" w:type="dxa"/>
            <w:vAlign w:val="center"/>
          </w:tcPr>
          <w:p w14:paraId="60B13DF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Y≥30000</w:t>
            </w:r>
          </w:p>
        </w:tc>
        <w:tc>
          <w:tcPr>
            <w:tcW w:w="1759" w:type="dxa"/>
            <w:vAlign w:val="center"/>
          </w:tcPr>
          <w:p w14:paraId="5DE959A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1000≤Y＜30000</w:t>
            </w:r>
          </w:p>
        </w:tc>
        <w:tc>
          <w:tcPr>
            <w:tcW w:w="1475" w:type="dxa"/>
            <w:vAlign w:val="center"/>
          </w:tcPr>
          <w:p w14:paraId="6D064E9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100≤Y＜1000</w:t>
            </w:r>
          </w:p>
        </w:tc>
        <w:tc>
          <w:tcPr>
            <w:tcW w:w="1026" w:type="dxa"/>
            <w:vAlign w:val="center"/>
          </w:tcPr>
          <w:p w14:paraId="617069E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422C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Merge w:val="restart"/>
            <w:vAlign w:val="center"/>
          </w:tcPr>
          <w:p w14:paraId="36528D54">
            <w:pPr>
              <w:widowControl/>
              <w:spacing w:line="2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邮政业</w:t>
            </w:r>
          </w:p>
        </w:tc>
        <w:tc>
          <w:tcPr>
            <w:tcW w:w="1416" w:type="dxa"/>
            <w:vAlign w:val="center"/>
          </w:tcPr>
          <w:p w14:paraId="54156F7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X)</w:t>
            </w:r>
          </w:p>
        </w:tc>
        <w:tc>
          <w:tcPr>
            <w:tcW w:w="733" w:type="dxa"/>
            <w:vAlign w:val="center"/>
          </w:tcPr>
          <w:p w14:paraId="6E27D39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163" w:type="dxa"/>
            <w:vAlign w:val="center"/>
          </w:tcPr>
          <w:p w14:paraId="5DF2DE7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X≥1000</w:t>
            </w:r>
          </w:p>
        </w:tc>
        <w:tc>
          <w:tcPr>
            <w:tcW w:w="1759" w:type="dxa"/>
            <w:vAlign w:val="center"/>
          </w:tcPr>
          <w:p w14:paraId="66E0B52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475" w:type="dxa"/>
            <w:vAlign w:val="center"/>
          </w:tcPr>
          <w:p w14:paraId="368EF43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20≤X＜300</w:t>
            </w:r>
          </w:p>
        </w:tc>
        <w:tc>
          <w:tcPr>
            <w:tcW w:w="1026" w:type="dxa"/>
            <w:vAlign w:val="center"/>
          </w:tcPr>
          <w:p w14:paraId="1FE2DE4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3D988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Merge w:val="continue"/>
            <w:vAlign w:val="center"/>
          </w:tcPr>
          <w:p w14:paraId="19A073E1">
            <w:pPr>
              <w:widowControl/>
              <w:jc w:val="left"/>
              <w:rPr>
                <w:rFonts w:hint="eastAsia" w:ascii="宋体" w:hAnsi="宋体" w:eastAsia="宋体" w:cs="宋体"/>
                <w:color w:val="auto"/>
                <w:kern w:val="0"/>
                <w:sz w:val="24"/>
                <w:szCs w:val="24"/>
                <w:highlight w:val="none"/>
              </w:rPr>
            </w:pPr>
          </w:p>
        </w:tc>
        <w:tc>
          <w:tcPr>
            <w:tcW w:w="1416" w:type="dxa"/>
            <w:vAlign w:val="center"/>
          </w:tcPr>
          <w:p w14:paraId="3FD79D95">
            <w:pPr>
              <w:widowControl/>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Y)</w:t>
            </w:r>
          </w:p>
        </w:tc>
        <w:tc>
          <w:tcPr>
            <w:tcW w:w="733" w:type="dxa"/>
            <w:vAlign w:val="center"/>
          </w:tcPr>
          <w:p w14:paraId="4CFC258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163" w:type="dxa"/>
            <w:vAlign w:val="center"/>
          </w:tcPr>
          <w:p w14:paraId="59DEF4F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Y≥30000</w:t>
            </w:r>
          </w:p>
        </w:tc>
        <w:tc>
          <w:tcPr>
            <w:tcW w:w="1759" w:type="dxa"/>
            <w:vAlign w:val="center"/>
          </w:tcPr>
          <w:p w14:paraId="068A22E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2000≤Y＜30000</w:t>
            </w:r>
          </w:p>
        </w:tc>
        <w:tc>
          <w:tcPr>
            <w:tcW w:w="1475" w:type="dxa"/>
            <w:vAlign w:val="center"/>
          </w:tcPr>
          <w:p w14:paraId="1D35F68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100≤Y＜2000</w:t>
            </w:r>
          </w:p>
        </w:tc>
        <w:tc>
          <w:tcPr>
            <w:tcW w:w="1026" w:type="dxa"/>
            <w:vAlign w:val="center"/>
          </w:tcPr>
          <w:p w14:paraId="7A37F9B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6DA9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Merge w:val="restart"/>
            <w:vAlign w:val="center"/>
          </w:tcPr>
          <w:p w14:paraId="5FFB108E">
            <w:pPr>
              <w:widowControl/>
              <w:spacing w:line="2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住宿业</w:t>
            </w:r>
          </w:p>
        </w:tc>
        <w:tc>
          <w:tcPr>
            <w:tcW w:w="1416" w:type="dxa"/>
            <w:vAlign w:val="center"/>
          </w:tcPr>
          <w:p w14:paraId="7A5909E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X)</w:t>
            </w:r>
          </w:p>
        </w:tc>
        <w:tc>
          <w:tcPr>
            <w:tcW w:w="733" w:type="dxa"/>
            <w:vAlign w:val="center"/>
          </w:tcPr>
          <w:p w14:paraId="219F1B8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163" w:type="dxa"/>
            <w:vAlign w:val="center"/>
          </w:tcPr>
          <w:p w14:paraId="6DEDCF6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X≥300</w:t>
            </w:r>
          </w:p>
        </w:tc>
        <w:tc>
          <w:tcPr>
            <w:tcW w:w="1759" w:type="dxa"/>
            <w:vAlign w:val="center"/>
          </w:tcPr>
          <w:p w14:paraId="1F9141B4">
            <w:pPr>
              <w:widowControl/>
              <w:ind w:left="-29" w:leftChars="-51" w:hanging="144" w:hangingChars="6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100≤X＜300 </w:t>
            </w:r>
          </w:p>
        </w:tc>
        <w:tc>
          <w:tcPr>
            <w:tcW w:w="1475" w:type="dxa"/>
            <w:vAlign w:val="center"/>
          </w:tcPr>
          <w:p w14:paraId="361D000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10≤X＜100</w:t>
            </w:r>
          </w:p>
        </w:tc>
        <w:tc>
          <w:tcPr>
            <w:tcW w:w="1026" w:type="dxa"/>
            <w:vAlign w:val="center"/>
          </w:tcPr>
          <w:p w14:paraId="3AF8A41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78CC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Merge w:val="continue"/>
            <w:vAlign w:val="center"/>
          </w:tcPr>
          <w:p w14:paraId="7ABC1B9F">
            <w:pPr>
              <w:widowControl/>
              <w:jc w:val="left"/>
              <w:rPr>
                <w:rFonts w:hint="eastAsia" w:ascii="宋体" w:hAnsi="宋体" w:eastAsia="宋体" w:cs="宋体"/>
                <w:color w:val="auto"/>
                <w:kern w:val="0"/>
                <w:sz w:val="24"/>
                <w:szCs w:val="24"/>
                <w:highlight w:val="none"/>
              </w:rPr>
            </w:pPr>
          </w:p>
        </w:tc>
        <w:tc>
          <w:tcPr>
            <w:tcW w:w="1416" w:type="dxa"/>
            <w:vAlign w:val="center"/>
          </w:tcPr>
          <w:p w14:paraId="36B4D72A">
            <w:pPr>
              <w:widowControl/>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Y)</w:t>
            </w:r>
          </w:p>
        </w:tc>
        <w:tc>
          <w:tcPr>
            <w:tcW w:w="733" w:type="dxa"/>
            <w:vAlign w:val="center"/>
          </w:tcPr>
          <w:p w14:paraId="3868392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163" w:type="dxa"/>
            <w:vAlign w:val="center"/>
          </w:tcPr>
          <w:p w14:paraId="261CBFC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Y≥10000</w:t>
            </w:r>
          </w:p>
        </w:tc>
        <w:tc>
          <w:tcPr>
            <w:tcW w:w="1759" w:type="dxa"/>
            <w:vAlign w:val="center"/>
          </w:tcPr>
          <w:p w14:paraId="05A6652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475" w:type="dxa"/>
            <w:vAlign w:val="center"/>
          </w:tcPr>
          <w:p w14:paraId="4332D53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100≤Y＜2000</w:t>
            </w:r>
          </w:p>
        </w:tc>
        <w:tc>
          <w:tcPr>
            <w:tcW w:w="1026" w:type="dxa"/>
            <w:vAlign w:val="center"/>
          </w:tcPr>
          <w:p w14:paraId="4D005FF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2C95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Merge w:val="restart"/>
            <w:vAlign w:val="center"/>
          </w:tcPr>
          <w:p w14:paraId="710F12B6">
            <w:pPr>
              <w:widowControl/>
              <w:spacing w:line="2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餐饮业</w:t>
            </w:r>
          </w:p>
        </w:tc>
        <w:tc>
          <w:tcPr>
            <w:tcW w:w="1416" w:type="dxa"/>
            <w:vAlign w:val="center"/>
          </w:tcPr>
          <w:p w14:paraId="6BB594C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X)</w:t>
            </w:r>
          </w:p>
        </w:tc>
        <w:tc>
          <w:tcPr>
            <w:tcW w:w="733" w:type="dxa"/>
            <w:vAlign w:val="center"/>
          </w:tcPr>
          <w:p w14:paraId="79B2CEB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163" w:type="dxa"/>
            <w:vAlign w:val="center"/>
          </w:tcPr>
          <w:p w14:paraId="481A0D9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X≥300</w:t>
            </w:r>
          </w:p>
        </w:tc>
        <w:tc>
          <w:tcPr>
            <w:tcW w:w="1759" w:type="dxa"/>
            <w:vAlign w:val="center"/>
          </w:tcPr>
          <w:p w14:paraId="5089EDDE">
            <w:pPr>
              <w:widowControl/>
              <w:ind w:left="-29" w:leftChars="-51" w:hanging="144" w:hangingChars="6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100≤X＜300 </w:t>
            </w:r>
          </w:p>
        </w:tc>
        <w:tc>
          <w:tcPr>
            <w:tcW w:w="1475" w:type="dxa"/>
            <w:vAlign w:val="center"/>
          </w:tcPr>
          <w:p w14:paraId="5A1C1D9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10≤X＜100</w:t>
            </w:r>
          </w:p>
        </w:tc>
        <w:tc>
          <w:tcPr>
            <w:tcW w:w="1026" w:type="dxa"/>
            <w:vAlign w:val="center"/>
          </w:tcPr>
          <w:p w14:paraId="75FA468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51B1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Merge w:val="continue"/>
            <w:vAlign w:val="center"/>
          </w:tcPr>
          <w:p w14:paraId="40AF093E">
            <w:pPr>
              <w:widowControl/>
              <w:jc w:val="left"/>
              <w:rPr>
                <w:rFonts w:hint="eastAsia" w:ascii="宋体" w:hAnsi="宋体" w:eastAsia="宋体" w:cs="宋体"/>
                <w:color w:val="auto"/>
                <w:kern w:val="0"/>
                <w:sz w:val="24"/>
                <w:szCs w:val="24"/>
                <w:highlight w:val="none"/>
              </w:rPr>
            </w:pPr>
          </w:p>
        </w:tc>
        <w:tc>
          <w:tcPr>
            <w:tcW w:w="1416" w:type="dxa"/>
            <w:vAlign w:val="center"/>
          </w:tcPr>
          <w:p w14:paraId="099FE036">
            <w:pPr>
              <w:widowControl/>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Y)</w:t>
            </w:r>
          </w:p>
        </w:tc>
        <w:tc>
          <w:tcPr>
            <w:tcW w:w="733" w:type="dxa"/>
            <w:vAlign w:val="center"/>
          </w:tcPr>
          <w:p w14:paraId="0169FB7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163" w:type="dxa"/>
            <w:vAlign w:val="center"/>
          </w:tcPr>
          <w:p w14:paraId="6A80471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Y≥10000</w:t>
            </w:r>
          </w:p>
        </w:tc>
        <w:tc>
          <w:tcPr>
            <w:tcW w:w="1759" w:type="dxa"/>
            <w:vAlign w:val="center"/>
          </w:tcPr>
          <w:p w14:paraId="1006492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475" w:type="dxa"/>
            <w:vAlign w:val="center"/>
          </w:tcPr>
          <w:p w14:paraId="04DAB0E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100≤Y＜2000</w:t>
            </w:r>
          </w:p>
        </w:tc>
        <w:tc>
          <w:tcPr>
            <w:tcW w:w="1026" w:type="dxa"/>
            <w:vAlign w:val="center"/>
          </w:tcPr>
          <w:p w14:paraId="2BB4D42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7177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Merge w:val="restart"/>
            <w:vAlign w:val="center"/>
          </w:tcPr>
          <w:p w14:paraId="2ACF8867">
            <w:pPr>
              <w:widowControl/>
              <w:spacing w:line="2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信息传输业 *</w:t>
            </w:r>
          </w:p>
        </w:tc>
        <w:tc>
          <w:tcPr>
            <w:tcW w:w="1416" w:type="dxa"/>
            <w:vAlign w:val="center"/>
          </w:tcPr>
          <w:p w14:paraId="3069846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X)</w:t>
            </w:r>
          </w:p>
        </w:tc>
        <w:tc>
          <w:tcPr>
            <w:tcW w:w="733" w:type="dxa"/>
            <w:vAlign w:val="center"/>
          </w:tcPr>
          <w:p w14:paraId="3C9D753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163" w:type="dxa"/>
            <w:vAlign w:val="center"/>
          </w:tcPr>
          <w:p w14:paraId="4B3FBAC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X≥2000</w:t>
            </w:r>
          </w:p>
        </w:tc>
        <w:tc>
          <w:tcPr>
            <w:tcW w:w="1759" w:type="dxa"/>
            <w:vAlign w:val="center"/>
          </w:tcPr>
          <w:p w14:paraId="2B50259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100≤X＜2000</w:t>
            </w:r>
          </w:p>
        </w:tc>
        <w:tc>
          <w:tcPr>
            <w:tcW w:w="1475" w:type="dxa"/>
            <w:vAlign w:val="center"/>
          </w:tcPr>
          <w:p w14:paraId="47A2029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10≤X＜100</w:t>
            </w:r>
          </w:p>
        </w:tc>
        <w:tc>
          <w:tcPr>
            <w:tcW w:w="1026" w:type="dxa"/>
            <w:vAlign w:val="center"/>
          </w:tcPr>
          <w:p w14:paraId="2765215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070F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Merge w:val="continue"/>
            <w:vAlign w:val="center"/>
          </w:tcPr>
          <w:p w14:paraId="1C169603">
            <w:pPr>
              <w:widowControl/>
              <w:jc w:val="left"/>
              <w:rPr>
                <w:rFonts w:hint="eastAsia" w:ascii="宋体" w:hAnsi="宋体" w:eastAsia="宋体" w:cs="宋体"/>
                <w:color w:val="auto"/>
                <w:kern w:val="0"/>
                <w:sz w:val="24"/>
                <w:szCs w:val="24"/>
                <w:highlight w:val="none"/>
              </w:rPr>
            </w:pPr>
          </w:p>
        </w:tc>
        <w:tc>
          <w:tcPr>
            <w:tcW w:w="1416" w:type="dxa"/>
            <w:vAlign w:val="center"/>
          </w:tcPr>
          <w:p w14:paraId="4BE9679A">
            <w:pPr>
              <w:widowControl/>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Y)</w:t>
            </w:r>
          </w:p>
        </w:tc>
        <w:tc>
          <w:tcPr>
            <w:tcW w:w="733" w:type="dxa"/>
            <w:vAlign w:val="center"/>
          </w:tcPr>
          <w:p w14:paraId="3C589F4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163" w:type="dxa"/>
            <w:vAlign w:val="center"/>
          </w:tcPr>
          <w:p w14:paraId="6DB4F3C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Y≥100000</w:t>
            </w:r>
          </w:p>
        </w:tc>
        <w:tc>
          <w:tcPr>
            <w:tcW w:w="1759" w:type="dxa"/>
            <w:vAlign w:val="center"/>
          </w:tcPr>
          <w:p w14:paraId="69A9402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1000≤Y＜100000</w:t>
            </w:r>
          </w:p>
        </w:tc>
        <w:tc>
          <w:tcPr>
            <w:tcW w:w="1475" w:type="dxa"/>
            <w:vAlign w:val="center"/>
          </w:tcPr>
          <w:p w14:paraId="63BA276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100≤Y＜1000</w:t>
            </w:r>
          </w:p>
        </w:tc>
        <w:tc>
          <w:tcPr>
            <w:tcW w:w="1026" w:type="dxa"/>
            <w:vAlign w:val="center"/>
          </w:tcPr>
          <w:p w14:paraId="757731F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42EB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Merge w:val="restart"/>
            <w:vAlign w:val="center"/>
          </w:tcPr>
          <w:p w14:paraId="4AFDC187">
            <w:pPr>
              <w:widowControl/>
              <w:spacing w:line="240" w:lineRule="exact"/>
              <w:jc w:val="left"/>
              <w:rPr>
                <w:rFonts w:hint="eastAsia" w:ascii="宋体" w:hAnsi="宋体" w:eastAsia="宋体" w:cs="宋体"/>
                <w:color w:val="auto"/>
                <w:spacing w:val="-12"/>
                <w:kern w:val="0"/>
                <w:sz w:val="24"/>
                <w:szCs w:val="24"/>
                <w:highlight w:val="none"/>
              </w:rPr>
            </w:pPr>
            <w:r>
              <w:rPr>
                <w:rFonts w:hint="eastAsia" w:ascii="宋体" w:hAnsi="宋体" w:eastAsia="宋体" w:cs="宋体"/>
                <w:color w:val="auto"/>
                <w:spacing w:val="-12"/>
                <w:kern w:val="0"/>
                <w:sz w:val="24"/>
                <w:szCs w:val="24"/>
                <w:highlight w:val="none"/>
              </w:rPr>
              <w:t>软件和信息技术服</w:t>
            </w:r>
            <w:r>
              <w:rPr>
                <w:rFonts w:hint="eastAsia" w:ascii="宋体" w:hAnsi="宋体" w:eastAsia="宋体" w:cs="宋体"/>
                <w:color w:val="auto"/>
                <w:kern w:val="0"/>
                <w:sz w:val="24"/>
                <w:szCs w:val="24"/>
                <w:highlight w:val="none"/>
              </w:rPr>
              <w:t>务业</w:t>
            </w:r>
          </w:p>
        </w:tc>
        <w:tc>
          <w:tcPr>
            <w:tcW w:w="1416" w:type="dxa"/>
            <w:vAlign w:val="center"/>
          </w:tcPr>
          <w:p w14:paraId="52BD532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X)</w:t>
            </w:r>
          </w:p>
        </w:tc>
        <w:tc>
          <w:tcPr>
            <w:tcW w:w="733" w:type="dxa"/>
            <w:vAlign w:val="center"/>
          </w:tcPr>
          <w:p w14:paraId="31C48F6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163" w:type="dxa"/>
            <w:vAlign w:val="center"/>
          </w:tcPr>
          <w:p w14:paraId="0AF555E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X≥300</w:t>
            </w:r>
          </w:p>
        </w:tc>
        <w:tc>
          <w:tcPr>
            <w:tcW w:w="1759" w:type="dxa"/>
            <w:vAlign w:val="center"/>
          </w:tcPr>
          <w:p w14:paraId="28DDF7FF">
            <w:pPr>
              <w:widowControl/>
              <w:ind w:left="-29" w:leftChars="-51" w:hanging="144" w:hangingChars="6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100≤X＜300 </w:t>
            </w:r>
          </w:p>
        </w:tc>
        <w:tc>
          <w:tcPr>
            <w:tcW w:w="1475" w:type="dxa"/>
            <w:vAlign w:val="center"/>
          </w:tcPr>
          <w:p w14:paraId="44DF37F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10≤X＜100</w:t>
            </w:r>
          </w:p>
        </w:tc>
        <w:tc>
          <w:tcPr>
            <w:tcW w:w="1026" w:type="dxa"/>
            <w:vAlign w:val="center"/>
          </w:tcPr>
          <w:p w14:paraId="778C66E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63D0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Merge w:val="continue"/>
            <w:vAlign w:val="center"/>
          </w:tcPr>
          <w:p w14:paraId="6223736E">
            <w:pPr>
              <w:widowControl/>
              <w:jc w:val="left"/>
              <w:rPr>
                <w:rFonts w:hint="eastAsia" w:ascii="宋体" w:hAnsi="宋体" w:eastAsia="宋体" w:cs="宋体"/>
                <w:color w:val="auto"/>
                <w:spacing w:val="-12"/>
                <w:kern w:val="0"/>
                <w:sz w:val="24"/>
                <w:szCs w:val="24"/>
                <w:highlight w:val="none"/>
              </w:rPr>
            </w:pPr>
          </w:p>
        </w:tc>
        <w:tc>
          <w:tcPr>
            <w:tcW w:w="1416" w:type="dxa"/>
            <w:vAlign w:val="center"/>
          </w:tcPr>
          <w:p w14:paraId="63315FE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Y)</w:t>
            </w:r>
          </w:p>
        </w:tc>
        <w:tc>
          <w:tcPr>
            <w:tcW w:w="733" w:type="dxa"/>
            <w:vAlign w:val="center"/>
          </w:tcPr>
          <w:p w14:paraId="3EDA7ED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163" w:type="dxa"/>
            <w:vAlign w:val="center"/>
          </w:tcPr>
          <w:p w14:paraId="71EA449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Y≥10000</w:t>
            </w:r>
          </w:p>
        </w:tc>
        <w:tc>
          <w:tcPr>
            <w:tcW w:w="1759" w:type="dxa"/>
            <w:vAlign w:val="center"/>
          </w:tcPr>
          <w:p w14:paraId="379A152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1000≤Y＜10000</w:t>
            </w:r>
          </w:p>
        </w:tc>
        <w:tc>
          <w:tcPr>
            <w:tcW w:w="1475" w:type="dxa"/>
            <w:vAlign w:val="center"/>
          </w:tcPr>
          <w:p w14:paraId="149A998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50≤Y＜1000</w:t>
            </w:r>
          </w:p>
        </w:tc>
        <w:tc>
          <w:tcPr>
            <w:tcW w:w="1026" w:type="dxa"/>
            <w:vAlign w:val="center"/>
          </w:tcPr>
          <w:p w14:paraId="37204CD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w:t>
            </w:r>
          </w:p>
        </w:tc>
      </w:tr>
      <w:tr w14:paraId="63AF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Merge w:val="restart"/>
            <w:vAlign w:val="center"/>
          </w:tcPr>
          <w:p w14:paraId="0723DD93">
            <w:pPr>
              <w:widowControl/>
              <w:spacing w:line="2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房地产开发经营</w:t>
            </w:r>
          </w:p>
        </w:tc>
        <w:tc>
          <w:tcPr>
            <w:tcW w:w="1416" w:type="dxa"/>
            <w:vAlign w:val="center"/>
          </w:tcPr>
          <w:p w14:paraId="523C212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Y)</w:t>
            </w:r>
          </w:p>
        </w:tc>
        <w:tc>
          <w:tcPr>
            <w:tcW w:w="733" w:type="dxa"/>
            <w:vAlign w:val="center"/>
          </w:tcPr>
          <w:p w14:paraId="787A693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163" w:type="dxa"/>
            <w:vAlign w:val="center"/>
          </w:tcPr>
          <w:p w14:paraId="4CFCBE5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Y≥200000</w:t>
            </w:r>
          </w:p>
        </w:tc>
        <w:tc>
          <w:tcPr>
            <w:tcW w:w="1759" w:type="dxa"/>
            <w:vAlign w:val="center"/>
          </w:tcPr>
          <w:p w14:paraId="3FAB8ED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1000≤Y＜200000</w:t>
            </w:r>
          </w:p>
        </w:tc>
        <w:tc>
          <w:tcPr>
            <w:tcW w:w="1475" w:type="dxa"/>
            <w:vAlign w:val="center"/>
          </w:tcPr>
          <w:p w14:paraId="3C06C16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100≤Y＜1000</w:t>
            </w:r>
          </w:p>
        </w:tc>
        <w:tc>
          <w:tcPr>
            <w:tcW w:w="1026" w:type="dxa"/>
            <w:vAlign w:val="center"/>
          </w:tcPr>
          <w:p w14:paraId="508C31C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3300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Merge w:val="continue"/>
            <w:vAlign w:val="center"/>
          </w:tcPr>
          <w:p w14:paraId="45DA58AA">
            <w:pPr>
              <w:widowControl/>
              <w:jc w:val="left"/>
              <w:rPr>
                <w:rFonts w:hint="eastAsia" w:ascii="宋体" w:hAnsi="宋体" w:eastAsia="宋体" w:cs="宋体"/>
                <w:color w:val="auto"/>
                <w:kern w:val="0"/>
                <w:sz w:val="24"/>
                <w:szCs w:val="24"/>
                <w:highlight w:val="none"/>
              </w:rPr>
            </w:pPr>
          </w:p>
        </w:tc>
        <w:tc>
          <w:tcPr>
            <w:tcW w:w="1416" w:type="dxa"/>
            <w:vAlign w:val="center"/>
          </w:tcPr>
          <w:p w14:paraId="7E951CA8">
            <w:pPr>
              <w:widowControl/>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Z)</w:t>
            </w:r>
          </w:p>
        </w:tc>
        <w:tc>
          <w:tcPr>
            <w:tcW w:w="733" w:type="dxa"/>
            <w:vAlign w:val="center"/>
          </w:tcPr>
          <w:p w14:paraId="77749D7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163" w:type="dxa"/>
            <w:vAlign w:val="center"/>
          </w:tcPr>
          <w:p w14:paraId="5AF1208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Z≥10000</w:t>
            </w:r>
          </w:p>
        </w:tc>
        <w:tc>
          <w:tcPr>
            <w:tcW w:w="1759" w:type="dxa"/>
            <w:vAlign w:val="center"/>
          </w:tcPr>
          <w:p w14:paraId="7F4D36B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5000≤Z＜10000</w:t>
            </w:r>
          </w:p>
        </w:tc>
        <w:tc>
          <w:tcPr>
            <w:tcW w:w="1475" w:type="dxa"/>
            <w:vAlign w:val="center"/>
          </w:tcPr>
          <w:p w14:paraId="4DF36A3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2000≤Z＜5000   </w:t>
            </w:r>
          </w:p>
        </w:tc>
        <w:tc>
          <w:tcPr>
            <w:tcW w:w="1026" w:type="dxa"/>
            <w:vAlign w:val="center"/>
          </w:tcPr>
          <w:p w14:paraId="65C6943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Z＜2000</w:t>
            </w:r>
          </w:p>
        </w:tc>
      </w:tr>
      <w:tr w14:paraId="32DE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Merge w:val="restart"/>
            <w:vAlign w:val="center"/>
          </w:tcPr>
          <w:p w14:paraId="3D2F7D65">
            <w:pPr>
              <w:widowControl/>
              <w:spacing w:line="2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物业管理</w:t>
            </w:r>
          </w:p>
        </w:tc>
        <w:tc>
          <w:tcPr>
            <w:tcW w:w="1416" w:type="dxa"/>
            <w:vAlign w:val="center"/>
          </w:tcPr>
          <w:p w14:paraId="4CDB7B9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X)</w:t>
            </w:r>
          </w:p>
        </w:tc>
        <w:tc>
          <w:tcPr>
            <w:tcW w:w="733" w:type="dxa"/>
            <w:vAlign w:val="center"/>
          </w:tcPr>
          <w:p w14:paraId="7B75717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163" w:type="dxa"/>
            <w:vAlign w:val="center"/>
          </w:tcPr>
          <w:p w14:paraId="3E17F22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X≥1000</w:t>
            </w:r>
          </w:p>
        </w:tc>
        <w:tc>
          <w:tcPr>
            <w:tcW w:w="1759" w:type="dxa"/>
            <w:vAlign w:val="center"/>
          </w:tcPr>
          <w:p w14:paraId="7B39A35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475" w:type="dxa"/>
            <w:vAlign w:val="center"/>
          </w:tcPr>
          <w:p w14:paraId="6463CC8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100≤X＜300 </w:t>
            </w:r>
          </w:p>
        </w:tc>
        <w:tc>
          <w:tcPr>
            <w:tcW w:w="1026" w:type="dxa"/>
            <w:vAlign w:val="center"/>
          </w:tcPr>
          <w:p w14:paraId="775935D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14:paraId="0B0F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Merge w:val="continue"/>
            <w:vAlign w:val="center"/>
          </w:tcPr>
          <w:p w14:paraId="34AD0ACB">
            <w:pPr>
              <w:widowControl/>
              <w:jc w:val="left"/>
              <w:rPr>
                <w:rFonts w:hint="eastAsia" w:ascii="宋体" w:hAnsi="宋体" w:eastAsia="宋体" w:cs="宋体"/>
                <w:color w:val="auto"/>
                <w:kern w:val="0"/>
                <w:sz w:val="24"/>
                <w:szCs w:val="24"/>
                <w:highlight w:val="none"/>
              </w:rPr>
            </w:pPr>
          </w:p>
        </w:tc>
        <w:tc>
          <w:tcPr>
            <w:tcW w:w="1416" w:type="dxa"/>
            <w:vAlign w:val="center"/>
          </w:tcPr>
          <w:p w14:paraId="7EBFCC68">
            <w:pPr>
              <w:widowControl/>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Y)</w:t>
            </w:r>
          </w:p>
        </w:tc>
        <w:tc>
          <w:tcPr>
            <w:tcW w:w="733" w:type="dxa"/>
            <w:vAlign w:val="center"/>
          </w:tcPr>
          <w:p w14:paraId="79167E3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163" w:type="dxa"/>
            <w:vAlign w:val="center"/>
          </w:tcPr>
          <w:p w14:paraId="1493B4A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Y≥5000</w:t>
            </w:r>
          </w:p>
        </w:tc>
        <w:tc>
          <w:tcPr>
            <w:tcW w:w="1759" w:type="dxa"/>
            <w:vAlign w:val="center"/>
          </w:tcPr>
          <w:p w14:paraId="27E919F2">
            <w:pPr>
              <w:widowControl/>
              <w:ind w:left="-29" w:leftChars="-51" w:hanging="144" w:hangingChars="6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1000≤Y＜5000 </w:t>
            </w:r>
          </w:p>
        </w:tc>
        <w:tc>
          <w:tcPr>
            <w:tcW w:w="1475" w:type="dxa"/>
            <w:vAlign w:val="center"/>
          </w:tcPr>
          <w:p w14:paraId="49C9977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500≤Y＜1000</w:t>
            </w:r>
          </w:p>
        </w:tc>
        <w:tc>
          <w:tcPr>
            <w:tcW w:w="1026" w:type="dxa"/>
            <w:vAlign w:val="center"/>
          </w:tcPr>
          <w:p w14:paraId="13D54E2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Y＜500</w:t>
            </w:r>
          </w:p>
        </w:tc>
      </w:tr>
      <w:tr w14:paraId="54C7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Merge w:val="restart"/>
            <w:vAlign w:val="center"/>
          </w:tcPr>
          <w:p w14:paraId="15D1EFD2">
            <w:pPr>
              <w:widowControl/>
              <w:spacing w:line="2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租赁和商务服务业</w:t>
            </w:r>
          </w:p>
        </w:tc>
        <w:tc>
          <w:tcPr>
            <w:tcW w:w="1416" w:type="dxa"/>
            <w:vAlign w:val="center"/>
          </w:tcPr>
          <w:p w14:paraId="33F7B60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X)</w:t>
            </w:r>
          </w:p>
        </w:tc>
        <w:tc>
          <w:tcPr>
            <w:tcW w:w="733" w:type="dxa"/>
            <w:vAlign w:val="center"/>
          </w:tcPr>
          <w:p w14:paraId="27C6B95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163" w:type="dxa"/>
            <w:vAlign w:val="center"/>
          </w:tcPr>
          <w:p w14:paraId="493DFCF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X≥300</w:t>
            </w:r>
          </w:p>
        </w:tc>
        <w:tc>
          <w:tcPr>
            <w:tcW w:w="1759" w:type="dxa"/>
            <w:vAlign w:val="center"/>
          </w:tcPr>
          <w:p w14:paraId="27A61ABB">
            <w:pPr>
              <w:widowControl/>
              <w:ind w:left="-29" w:leftChars="-51" w:hanging="144" w:hangingChars="6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100≤X＜300 </w:t>
            </w:r>
          </w:p>
        </w:tc>
        <w:tc>
          <w:tcPr>
            <w:tcW w:w="1475" w:type="dxa"/>
            <w:vAlign w:val="center"/>
          </w:tcPr>
          <w:p w14:paraId="7929D96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10≤X＜100</w:t>
            </w:r>
          </w:p>
        </w:tc>
        <w:tc>
          <w:tcPr>
            <w:tcW w:w="1026" w:type="dxa"/>
            <w:vAlign w:val="center"/>
          </w:tcPr>
          <w:p w14:paraId="06F7406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7F77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Merge w:val="continue"/>
            <w:vAlign w:val="center"/>
          </w:tcPr>
          <w:p w14:paraId="750884BF">
            <w:pPr>
              <w:widowControl/>
              <w:jc w:val="left"/>
              <w:rPr>
                <w:rFonts w:hint="eastAsia" w:ascii="宋体" w:hAnsi="宋体" w:eastAsia="宋体" w:cs="宋体"/>
                <w:color w:val="auto"/>
                <w:kern w:val="0"/>
                <w:sz w:val="24"/>
                <w:szCs w:val="24"/>
                <w:highlight w:val="none"/>
              </w:rPr>
            </w:pPr>
          </w:p>
        </w:tc>
        <w:tc>
          <w:tcPr>
            <w:tcW w:w="1416" w:type="dxa"/>
            <w:vAlign w:val="center"/>
          </w:tcPr>
          <w:p w14:paraId="39E15856">
            <w:pPr>
              <w:widowControl/>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Z)</w:t>
            </w:r>
          </w:p>
        </w:tc>
        <w:tc>
          <w:tcPr>
            <w:tcW w:w="733" w:type="dxa"/>
            <w:vAlign w:val="center"/>
          </w:tcPr>
          <w:p w14:paraId="7B35D30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163" w:type="dxa"/>
            <w:vAlign w:val="center"/>
          </w:tcPr>
          <w:p w14:paraId="51ADE59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Z≥120000</w:t>
            </w:r>
          </w:p>
        </w:tc>
        <w:tc>
          <w:tcPr>
            <w:tcW w:w="1759" w:type="dxa"/>
            <w:vAlign w:val="center"/>
          </w:tcPr>
          <w:p w14:paraId="3610E77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8000≤Z＜120000</w:t>
            </w:r>
          </w:p>
        </w:tc>
        <w:tc>
          <w:tcPr>
            <w:tcW w:w="1475" w:type="dxa"/>
            <w:vAlign w:val="center"/>
          </w:tcPr>
          <w:p w14:paraId="21F0C97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100≤Z＜8000</w:t>
            </w:r>
          </w:p>
        </w:tc>
        <w:tc>
          <w:tcPr>
            <w:tcW w:w="1026" w:type="dxa"/>
            <w:vAlign w:val="center"/>
          </w:tcPr>
          <w:p w14:paraId="6890E7F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Z＜100</w:t>
            </w:r>
          </w:p>
        </w:tc>
      </w:tr>
      <w:tr w14:paraId="1C86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649279ED">
            <w:pPr>
              <w:widowControl/>
              <w:spacing w:line="2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其他未列明行业 *</w:t>
            </w:r>
          </w:p>
        </w:tc>
        <w:tc>
          <w:tcPr>
            <w:tcW w:w="1416" w:type="dxa"/>
            <w:vAlign w:val="center"/>
          </w:tcPr>
          <w:p w14:paraId="316638E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X)</w:t>
            </w:r>
          </w:p>
        </w:tc>
        <w:tc>
          <w:tcPr>
            <w:tcW w:w="733" w:type="dxa"/>
            <w:vAlign w:val="center"/>
          </w:tcPr>
          <w:p w14:paraId="0F813FF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163" w:type="dxa"/>
            <w:vAlign w:val="center"/>
          </w:tcPr>
          <w:p w14:paraId="39B5AC4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X≥300</w:t>
            </w:r>
          </w:p>
        </w:tc>
        <w:tc>
          <w:tcPr>
            <w:tcW w:w="1759" w:type="dxa"/>
            <w:vAlign w:val="center"/>
          </w:tcPr>
          <w:p w14:paraId="0E6F47D6">
            <w:pPr>
              <w:widowControl/>
              <w:ind w:left="-29" w:leftChars="-51" w:hanging="144" w:hangingChars="6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100≤X＜300 </w:t>
            </w:r>
          </w:p>
        </w:tc>
        <w:tc>
          <w:tcPr>
            <w:tcW w:w="1475" w:type="dxa"/>
            <w:vAlign w:val="center"/>
          </w:tcPr>
          <w:p w14:paraId="06C0CEA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10≤X＜100</w:t>
            </w:r>
          </w:p>
        </w:tc>
        <w:tc>
          <w:tcPr>
            <w:tcW w:w="1026" w:type="dxa"/>
            <w:vAlign w:val="center"/>
          </w:tcPr>
          <w:p w14:paraId="4847041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bl>
    <w:p w14:paraId="4DD07BB9">
      <w:pPr>
        <w:widowControl/>
        <w:spacing w:line="360" w:lineRule="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说明：</w:t>
      </w:r>
    </w:p>
    <w:p w14:paraId="1B631D71">
      <w:pPr>
        <w:spacing w:line="360" w:lineRule="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　　1.大型、中型和小型企业须同时满足所列指标的下限，否则下划一档；微型企业只须满足所列指标中的一项即可。</w:t>
      </w:r>
    </w:p>
    <w:p w14:paraId="7BB538FB">
      <w:pPr>
        <w:spacing w:line="360" w:lineRule="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700662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8"/>
          <w:kern w:val="0"/>
          <w:sz w:val="24"/>
          <w:szCs w:val="24"/>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264B77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w:t>
      </w:r>
    </w:p>
    <w:p w14:paraId="7688D47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《统计上大中小微型企业划分办法（2017）》修订说明</w:t>
      </w:r>
    </w:p>
    <w:p w14:paraId="727EBE1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一、修订背景</w:t>
      </w:r>
    </w:p>
    <w:p w14:paraId="00F045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27376ED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252E0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二、修订主要内容</w:t>
      </w:r>
    </w:p>
    <w:p w14:paraId="3158D4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01782E4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将交通运输业中包括的“装卸搬运和运输代理业”修改为“多式联运和运输代理业、装卸搬运”。</w:t>
      </w:r>
    </w:p>
    <w:p w14:paraId="50D15FAF">
      <w:pPr>
        <w:spacing w:line="360" w:lineRule="auto"/>
        <w:ind w:firstLine="51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8"/>
          <w:kern w:val="0"/>
          <w:sz w:val="24"/>
          <w:szCs w:val="24"/>
          <w:highlight w:val="none"/>
        </w:rPr>
        <w:t>仓储业所包括的行业中类，根据《国民经济行业分类》</w:t>
      </w:r>
      <w:r>
        <w:rPr>
          <w:rFonts w:hint="eastAsia" w:ascii="宋体" w:hAnsi="宋体" w:eastAsia="宋体" w:cs="宋体"/>
          <w:color w:val="auto"/>
          <w:sz w:val="24"/>
          <w:szCs w:val="24"/>
          <w:highlight w:val="none"/>
        </w:rPr>
        <w:t>（GB/T 4754—2017）</w:t>
      </w:r>
      <w:r>
        <w:rPr>
          <w:rFonts w:hint="eastAsia" w:ascii="宋体" w:hAnsi="宋体" w:eastAsia="宋体" w:cs="宋体"/>
          <w:color w:val="auto"/>
          <w:spacing w:val="8"/>
          <w:kern w:val="0"/>
          <w:sz w:val="24"/>
          <w:szCs w:val="24"/>
          <w:highlight w:val="none"/>
        </w:rPr>
        <w:t>调整为“通用仓储，低温仓储，危险品仓储，谷物、棉花等农产品仓储，中药材仓储和其他仓储业”。</w:t>
      </w:r>
    </w:p>
    <w:p w14:paraId="763147CC">
      <w:pPr>
        <w:spacing w:line="360" w:lineRule="auto"/>
        <w:jc w:val="center"/>
        <w:rPr>
          <w:rFonts w:hint="eastAsia" w:ascii="宋体" w:hAnsi="宋体" w:eastAsia="宋体" w:cs="宋体"/>
          <w:b/>
          <w:bCs/>
          <w:color w:val="auto"/>
          <w:sz w:val="24"/>
          <w:szCs w:val="24"/>
          <w:highlight w:val="none"/>
          <w:lang w:val="zh-CN"/>
        </w:rPr>
      </w:pPr>
    </w:p>
    <w:p w14:paraId="5D78DBE2">
      <w:pPr>
        <w:pStyle w:val="25"/>
        <w:tabs>
          <w:tab w:val="left" w:pos="900"/>
        </w:tabs>
        <w:spacing w:line="360" w:lineRule="auto"/>
        <w:ind w:left="0" w:leftChars="0" w:firstLine="0" w:firstLineChars="0"/>
        <w:rPr>
          <w:rFonts w:hint="eastAsia" w:ascii="宋体" w:hAnsi="宋体" w:eastAsia="宋体" w:cs="宋体"/>
          <w:b/>
          <w:bCs/>
          <w:color w:val="auto"/>
          <w:sz w:val="24"/>
          <w:szCs w:val="24"/>
          <w:highlight w:val="none"/>
          <w:lang w:val="zh-CN"/>
        </w:rPr>
      </w:pPr>
    </w:p>
    <w:p w14:paraId="4B717A5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val="en-US" w:eastAsia="zh-CN"/>
        </w:rPr>
      </w:pPr>
    </w:p>
    <w:p w14:paraId="377B069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r>
        <w:rPr>
          <w:rFonts w:hint="eastAsia" w:ascii="宋体" w:hAnsi="宋体" w:eastAsia="宋体" w:cs="宋体"/>
          <w:color w:val="auto"/>
          <w:sz w:val="24"/>
          <w:szCs w:val="24"/>
          <w:highlight w:val="none"/>
          <w:lang w:val="en-US" w:eastAsia="zh-CN"/>
        </w:rPr>
        <w:t>附件1</w:t>
      </w:r>
    </w:p>
    <w:p w14:paraId="3CA53C5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《中小企业划型标准规定（修订征求意见稿）》</w:t>
      </w:r>
    </w:p>
    <w:p w14:paraId="0CE05B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p>
    <w:p w14:paraId="1B20B7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一、根据《中华人民共和国中小企业促进法》和国民经济社会发展需要，制定本规定。</w:t>
      </w:r>
    </w:p>
    <w:p w14:paraId="238B55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二、中小企业划分为中型、小型、微型三种类型，具体标准根据企业从业人员、营业收入、资产总额等指标以及企业控股</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情况，结合行业特点制定。</w:t>
      </w:r>
    </w:p>
    <w:p w14:paraId="5656D3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三、本规定适用于《国民经济行业分类》中的以下行业：农、林、牧、渔业，采矿业，制造业，电力、热力、燃气及水生产和供应业，建筑业，批发</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零售业，交通运输、仓储和邮政业，住宿和餐饮业，信息传输、软件和信息技术服务业，房地产业，租赁和商务服务业，科学研究和技术服务业，水利、环境和公共设施管理业，居民服务、修理和其他服务业，教育，卫生和社会工作，文化、体育和娱乐业。</w:t>
      </w:r>
    </w:p>
    <w:p w14:paraId="697E11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四、各行业中小企业划型定量标准为：</w:t>
      </w:r>
    </w:p>
    <w:p w14:paraId="41254F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（一）农、林、牧、渔业。营业收入2亿元以下的为中小微型企业。其中：营业收入300万元以下的为微型企业；营业收入3000万元以下的为小型企业；营业收入2亿元以下的为中型企业。</w:t>
      </w:r>
    </w:p>
    <w:p w14:paraId="4F8A6A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采矿业，制造业，电力、热力、燃气及水生产和供应业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通运输、仓储和邮政业。从业人员1000人以下且营业收入20亿元以下的为中小微型企业。其中：从业人员20人以下且营业收入2000万元以下的为微型企业；从业人员300人以下且营业收入2亿元以下的为小型企业；从业人员1000人以下且营业收入20亿元以下的为中型企业。</w:t>
      </w:r>
    </w:p>
    <w:p w14:paraId="1361CA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筑业，组织管理服务。营业收入8亿元以下且资产总额10亿元以下的为中小微型企业。其中：营业收入800万元以下且资产总额1000万元以下的为微型企业；营业收入8000万元以下且资产总额1亿元以下的为小型企业；营业收入8亿元以下且资产总额10亿元以下的为中型企业。</w:t>
      </w:r>
    </w:p>
    <w:p w14:paraId="101F9E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批发业。从业人员200人以下且营业收入20亿元以下的为中小微型企业。其中：从业人员5人以下且营业收入2000万元以下的为微型企业；从业人员20人以下且营业收入2亿元以下的为小型企业；从业人员200人以下且营业收入20亿元以下的为中型企业。</w:t>
      </w:r>
    </w:p>
    <w:p w14:paraId="559382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（五）零售业。从业人员300人以下且营业收入5亿元以下的为中小微型企业。其中：从业人员10人以下且营业收入500万元以下的为微型企业；从业人员50人</w:t>
      </w:r>
      <w:r>
        <w:rPr>
          <w:rFonts w:hint="eastAsia" w:ascii="宋体" w:hAnsi="宋体" w:eastAsia="宋体" w:cs="宋体"/>
          <w:color w:val="auto"/>
          <w:sz w:val="24"/>
          <w:szCs w:val="24"/>
          <w:highlight w:val="none"/>
          <w:lang w:eastAsia="zh-CN"/>
        </w:rPr>
        <w:t>以下</w:t>
      </w:r>
      <w:r>
        <w:rPr>
          <w:rFonts w:hint="eastAsia" w:ascii="宋体" w:hAnsi="宋体" w:eastAsia="宋体" w:cs="宋体"/>
          <w:color w:val="auto"/>
          <w:sz w:val="24"/>
          <w:szCs w:val="24"/>
          <w:highlight w:val="none"/>
        </w:rPr>
        <w:t>且营业收入5000万元</w:t>
      </w:r>
      <w:r>
        <w:rPr>
          <w:rFonts w:hint="eastAsia" w:ascii="宋体" w:hAnsi="宋体" w:eastAsia="宋体" w:cs="宋体"/>
          <w:color w:val="auto"/>
          <w:sz w:val="24"/>
          <w:szCs w:val="24"/>
          <w:highlight w:val="none"/>
          <w:lang w:eastAsia="zh-CN"/>
        </w:rPr>
        <w:t>以下</w:t>
      </w:r>
      <w:r>
        <w:rPr>
          <w:rFonts w:hint="eastAsia" w:ascii="宋体" w:hAnsi="宋体" w:eastAsia="宋体" w:cs="宋体"/>
          <w:color w:val="auto"/>
          <w:sz w:val="24"/>
          <w:szCs w:val="24"/>
          <w:highlight w:val="none"/>
        </w:rPr>
        <w:t>的为小型企业；从业人员300人</w:t>
      </w:r>
      <w:r>
        <w:rPr>
          <w:rFonts w:hint="eastAsia" w:ascii="宋体" w:hAnsi="宋体" w:eastAsia="宋体" w:cs="宋体"/>
          <w:color w:val="auto"/>
          <w:sz w:val="24"/>
          <w:szCs w:val="24"/>
          <w:highlight w:val="none"/>
          <w:lang w:eastAsia="zh-CN"/>
        </w:rPr>
        <w:t>以下</w:t>
      </w:r>
      <w:r>
        <w:rPr>
          <w:rFonts w:hint="eastAsia" w:ascii="宋体" w:hAnsi="宋体" w:eastAsia="宋体" w:cs="宋体"/>
          <w:color w:val="auto"/>
          <w:sz w:val="24"/>
          <w:szCs w:val="24"/>
          <w:highlight w:val="none"/>
        </w:rPr>
        <w:t>且营业收入5亿元</w:t>
      </w:r>
      <w:r>
        <w:rPr>
          <w:rFonts w:hint="eastAsia" w:ascii="宋体" w:hAnsi="宋体" w:eastAsia="宋体" w:cs="宋体"/>
          <w:color w:val="auto"/>
          <w:sz w:val="24"/>
          <w:szCs w:val="24"/>
          <w:highlight w:val="none"/>
          <w:lang w:eastAsia="zh-CN"/>
        </w:rPr>
        <w:t>以下</w:t>
      </w:r>
      <w:r>
        <w:rPr>
          <w:rFonts w:hint="eastAsia" w:ascii="宋体" w:hAnsi="宋体" w:eastAsia="宋体" w:cs="宋体"/>
          <w:color w:val="auto"/>
          <w:sz w:val="24"/>
          <w:szCs w:val="24"/>
          <w:highlight w:val="none"/>
        </w:rPr>
        <w:t>的为中型企业。</w:t>
      </w:r>
    </w:p>
    <w:p w14:paraId="18920B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住宿和餐饮业。从业人员300人以下且营业收入4亿元以下的为中小微型企业。其中：从业人员10人以下且营业收入200万元以下的为微型企业；从业人员100人以下且营业收入4000万元以下的为小型企业；从业人员300人以下且营业收入4亿元以下的为中型企业。</w:t>
      </w:r>
    </w:p>
    <w:p w14:paraId="3FD9AB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（七）信息传输、软件和信息技术服务业。从业人员500人</w:t>
      </w:r>
      <w:r>
        <w:rPr>
          <w:rFonts w:hint="eastAsia" w:ascii="宋体" w:hAnsi="宋体" w:eastAsia="宋体" w:cs="宋体"/>
          <w:color w:val="auto"/>
          <w:sz w:val="24"/>
          <w:szCs w:val="24"/>
          <w:highlight w:val="none"/>
          <w:lang w:eastAsia="zh-CN"/>
        </w:rPr>
        <w:t>以下</w:t>
      </w:r>
      <w:r>
        <w:rPr>
          <w:rFonts w:hint="eastAsia" w:ascii="宋体" w:hAnsi="宋体" w:eastAsia="宋体" w:cs="宋体"/>
          <w:color w:val="auto"/>
          <w:sz w:val="24"/>
          <w:szCs w:val="24"/>
          <w:highlight w:val="none"/>
        </w:rPr>
        <w:t>且营业收入10亿元</w:t>
      </w:r>
      <w:r>
        <w:rPr>
          <w:rFonts w:hint="eastAsia" w:ascii="宋体" w:hAnsi="宋体" w:eastAsia="宋体" w:cs="宋体"/>
          <w:color w:val="auto"/>
          <w:sz w:val="24"/>
          <w:szCs w:val="24"/>
          <w:highlight w:val="none"/>
          <w:lang w:eastAsia="zh-CN"/>
        </w:rPr>
        <w:t>以下</w:t>
      </w:r>
      <w:r>
        <w:rPr>
          <w:rFonts w:hint="eastAsia" w:ascii="宋体" w:hAnsi="宋体" w:eastAsia="宋体" w:cs="宋体"/>
          <w:color w:val="auto"/>
          <w:sz w:val="24"/>
          <w:szCs w:val="24"/>
          <w:highlight w:val="none"/>
        </w:rPr>
        <w:t>的为中小微型企业。其中：从业人员10人</w:t>
      </w:r>
      <w:r>
        <w:rPr>
          <w:rFonts w:hint="eastAsia" w:ascii="宋体" w:hAnsi="宋体" w:eastAsia="宋体" w:cs="宋体"/>
          <w:color w:val="auto"/>
          <w:sz w:val="24"/>
          <w:szCs w:val="24"/>
          <w:highlight w:val="none"/>
          <w:lang w:eastAsia="zh-CN"/>
        </w:rPr>
        <w:t>以下</w:t>
      </w:r>
      <w:r>
        <w:rPr>
          <w:rFonts w:hint="eastAsia" w:ascii="宋体" w:hAnsi="宋体" w:eastAsia="宋体" w:cs="宋体"/>
          <w:color w:val="auto"/>
          <w:sz w:val="24"/>
          <w:szCs w:val="24"/>
          <w:highlight w:val="none"/>
        </w:rPr>
        <w:t>且营业收入1000万元</w:t>
      </w:r>
      <w:r>
        <w:rPr>
          <w:rFonts w:hint="eastAsia" w:ascii="宋体" w:hAnsi="宋体" w:eastAsia="宋体" w:cs="宋体"/>
          <w:color w:val="auto"/>
          <w:sz w:val="24"/>
          <w:szCs w:val="24"/>
          <w:highlight w:val="none"/>
          <w:lang w:eastAsia="zh-CN"/>
        </w:rPr>
        <w:t>以下</w:t>
      </w:r>
      <w:r>
        <w:rPr>
          <w:rFonts w:hint="eastAsia" w:ascii="宋体" w:hAnsi="宋体" w:eastAsia="宋体" w:cs="宋体"/>
          <w:color w:val="auto"/>
          <w:sz w:val="24"/>
          <w:szCs w:val="24"/>
          <w:highlight w:val="none"/>
        </w:rPr>
        <w:t>的为微型企业；从业人员100人</w:t>
      </w:r>
      <w:r>
        <w:rPr>
          <w:rFonts w:hint="eastAsia" w:ascii="宋体" w:hAnsi="宋体" w:eastAsia="宋体" w:cs="宋体"/>
          <w:color w:val="auto"/>
          <w:sz w:val="24"/>
          <w:szCs w:val="24"/>
          <w:highlight w:val="none"/>
          <w:lang w:eastAsia="zh-CN"/>
        </w:rPr>
        <w:t>以下</w:t>
      </w:r>
      <w:r>
        <w:rPr>
          <w:rFonts w:hint="eastAsia" w:ascii="宋体" w:hAnsi="宋体" w:eastAsia="宋体" w:cs="宋体"/>
          <w:color w:val="auto"/>
          <w:sz w:val="24"/>
          <w:szCs w:val="24"/>
          <w:highlight w:val="none"/>
        </w:rPr>
        <w:t>且营业收入1亿元</w:t>
      </w:r>
      <w:r>
        <w:rPr>
          <w:rFonts w:hint="eastAsia" w:ascii="宋体" w:hAnsi="宋体" w:eastAsia="宋体" w:cs="宋体"/>
          <w:color w:val="auto"/>
          <w:sz w:val="24"/>
          <w:szCs w:val="24"/>
          <w:highlight w:val="none"/>
          <w:lang w:eastAsia="zh-CN"/>
        </w:rPr>
        <w:t>以下</w:t>
      </w:r>
      <w:r>
        <w:rPr>
          <w:rFonts w:hint="eastAsia" w:ascii="宋体" w:hAnsi="宋体" w:eastAsia="宋体" w:cs="宋体"/>
          <w:color w:val="auto"/>
          <w:sz w:val="24"/>
          <w:szCs w:val="24"/>
          <w:highlight w:val="none"/>
        </w:rPr>
        <w:t>的为小型企业；从业人员500人</w:t>
      </w:r>
      <w:r>
        <w:rPr>
          <w:rFonts w:hint="eastAsia" w:ascii="宋体" w:hAnsi="宋体" w:eastAsia="宋体" w:cs="宋体"/>
          <w:color w:val="auto"/>
          <w:sz w:val="24"/>
          <w:szCs w:val="24"/>
          <w:highlight w:val="none"/>
          <w:lang w:eastAsia="zh-CN"/>
        </w:rPr>
        <w:t>以下</w:t>
      </w:r>
      <w:r>
        <w:rPr>
          <w:rFonts w:hint="eastAsia" w:ascii="宋体" w:hAnsi="宋体" w:eastAsia="宋体" w:cs="宋体"/>
          <w:color w:val="auto"/>
          <w:sz w:val="24"/>
          <w:szCs w:val="24"/>
          <w:highlight w:val="none"/>
        </w:rPr>
        <w:t>且营业收入10亿元</w:t>
      </w:r>
      <w:r>
        <w:rPr>
          <w:rFonts w:hint="eastAsia" w:ascii="宋体" w:hAnsi="宋体" w:eastAsia="宋体" w:cs="宋体"/>
          <w:color w:val="auto"/>
          <w:sz w:val="24"/>
          <w:szCs w:val="24"/>
          <w:highlight w:val="none"/>
          <w:lang w:eastAsia="zh-CN"/>
        </w:rPr>
        <w:t>以下</w:t>
      </w:r>
      <w:r>
        <w:rPr>
          <w:rFonts w:hint="eastAsia" w:ascii="宋体" w:hAnsi="宋体" w:eastAsia="宋体" w:cs="宋体"/>
          <w:color w:val="auto"/>
          <w:sz w:val="24"/>
          <w:szCs w:val="24"/>
          <w:highlight w:val="none"/>
        </w:rPr>
        <w:t>的为中型企业。</w:t>
      </w:r>
    </w:p>
    <w:p w14:paraId="34298C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房地产开发经营。营业收入10亿元以下且资产总额50亿元以下的为中小微型企业。其中：营业收入1000万元以下且资产总额5000万元以下的为微型企业；营业收入1亿元以下且资产总额5亿元以下的为小型企业；营业收入10亿元以下且资产总额50亿元以下的为中型企业。</w:t>
      </w:r>
    </w:p>
    <w:p w14:paraId="057F49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房地产业（不含房地产开发经营），租赁和商务服务业（不含组织管理服务），科学研究和技术服务业，水利、环境和公共设施管理业，居民服务、修理和其他服务业，教育，卫生和社会工作，文化、体育和娱乐业。从业人员300人以下且营业收入5亿元以下的为中小微型企业。其中：从业人员10人以下且营业收入500万元以下的为微型企业；从业人员100人以下且营业收入5000万元以下的为小型企业；从业人员300人以下且营业收入5亿元以下的为中型企业。</w:t>
      </w:r>
    </w:p>
    <w:p w14:paraId="47338B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、企业规模类型划分以企业有关指标上年度数据为定量依据。</w:t>
      </w:r>
    </w:p>
    <w:p w14:paraId="1E206F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没有上年度完整数据的企业规模类型划分，从业人员、资产总额以划型时的数据为定量依据，营业收入按照以下公式计算：</w:t>
      </w:r>
    </w:p>
    <w:p w14:paraId="225B93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营业收入（年）=企业实际存续期间营业收入/企业实际存续月数*12。</w:t>
      </w:r>
    </w:p>
    <w:p w14:paraId="5CAF3E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、不符合中小企业划型定量标准的企业即为大型企业。国家统计部门据此制定大中小微型企业的统计分类。</w:t>
      </w:r>
    </w:p>
    <w:p w14:paraId="4A7CAF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、本规定适用于在中华人民共和国境内依法设立的企业，企业的分支机构除外。</w:t>
      </w:r>
    </w:p>
    <w:p w14:paraId="5114CC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符合中小企业划型定量标准，但有下列情形之一的，视同大型企业：</w:t>
      </w:r>
    </w:p>
    <w:p w14:paraId="54CBA7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单个</w:t>
      </w:r>
      <w:r>
        <w:rPr>
          <w:rFonts w:hint="eastAsia" w:ascii="宋体" w:hAnsi="宋体" w:eastAsia="宋体" w:cs="宋体"/>
          <w:color w:val="auto"/>
          <w:sz w:val="24"/>
          <w:szCs w:val="24"/>
          <w:highlight w:val="none"/>
        </w:rPr>
        <w:t>大型企业或大型企业全资子公司直接控股超过50%的企业；</w:t>
      </w:r>
    </w:p>
    <w:p w14:paraId="16A1EF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两个以上</w:t>
      </w:r>
      <w:r>
        <w:rPr>
          <w:rFonts w:hint="eastAsia" w:ascii="宋体" w:hAnsi="宋体" w:eastAsia="宋体" w:cs="宋体"/>
          <w:color w:val="auto"/>
          <w:sz w:val="24"/>
          <w:szCs w:val="24"/>
          <w:highlight w:val="none"/>
        </w:rPr>
        <w:t>大型企业或大型企业全资子公司直接控股超过50%的企业；</w:t>
      </w:r>
    </w:p>
    <w:p w14:paraId="0BA5EC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）与大型企业或大型企业全资子公司的法定代表人为同一人的企业。</w:t>
      </w:r>
    </w:p>
    <w:p w14:paraId="26E261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、企业规模类型采用自我声明的方式，企业对自我声明内容的真实性负责。</w:t>
      </w:r>
    </w:p>
    <w:p w14:paraId="7C1E15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在监督检查、投诉处理中对中小企业规模类型有争议的，有关部门可以向有争议的企业登记所在地同级负责中小企业促进工作综合管理部门书面提请认定。</w:t>
      </w:r>
    </w:p>
    <w:p w14:paraId="74A912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九、本规定由国务院负责中小企业促进工作综合管理部门、国家统计部门会同有关部门根据经济社会发展情况，每5年定期评估，根据评估情况适时修订。</w:t>
      </w:r>
    </w:p>
    <w:p w14:paraId="442A44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十、本规定由国务院负责中小企业促进工作综合管理部门、国家统计部门会同有关部门负责解释。各部门各地区不得制定与本规定不一致的中小企业划型标准。</w:t>
      </w:r>
    </w:p>
    <w:p w14:paraId="19D510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十一、个体工商户参照本规定进行划型。</w:t>
      </w:r>
    </w:p>
    <w:p w14:paraId="11B0AC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十二、本规定自发布之日起执行，工业和信息化部、国家统计局、国家发展和改革委员会、财政部2011年颁布的《中小企业划型标准规定》同时废止。</w:t>
      </w:r>
    </w:p>
    <w:p w14:paraId="469194D7">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p>
    <w:p w14:paraId="07951C1B">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r>
        <w:rPr>
          <w:rFonts w:hint="eastAsia" w:ascii="宋体" w:hAnsi="宋体" w:eastAsia="宋体" w:cs="宋体"/>
          <w:color w:val="auto"/>
          <w:sz w:val="24"/>
          <w:szCs w:val="24"/>
          <w:highlight w:val="none"/>
          <w:lang w:val="en-US" w:eastAsia="zh-CN"/>
        </w:rPr>
        <w:t>附件2</w:t>
      </w:r>
    </w:p>
    <w:p w14:paraId="31C8B3A0">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关于《</w:t>
      </w:r>
      <w:r>
        <w:rPr>
          <w:rFonts w:hint="eastAsia" w:ascii="宋体" w:hAnsi="宋体" w:eastAsia="宋体" w:cs="宋体"/>
          <w:b w:val="0"/>
          <w:bCs/>
          <w:color w:val="auto"/>
          <w:sz w:val="24"/>
          <w:szCs w:val="24"/>
          <w:highlight w:val="none"/>
        </w:rPr>
        <w:t>中小企业划型标准规定</w:t>
      </w:r>
      <w:r>
        <w:rPr>
          <w:rFonts w:hint="eastAsia" w:ascii="宋体" w:hAnsi="宋体" w:eastAsia="宋体" w:cs="宋体"/>
          <w:color w:val="auto"/>
          <w:sz w:val="24"/>
          <w:szCs w:val="24"/>
          <w:highlight w:val="none"/>
          <w:lang w:eastAsia="zh-CN"/>
        </w:rPr>
        <w:t>》修订情况的说明</w:t>
      </w:r>
    </w:p>
    <w:p w14:paraId="7F318CFE">
      <w:pPr>
        <w:pStyle w:val="11"/>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一、修订背景</w:t>
      </w:r>
    </w:p>
    <w:p w14:paraId="0A446820">
      <w:pPr>
        <w:spacing w:line="24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rPr>
        <w:t>现行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中小企业划型标准</w:t>
      </w:r>
      <w:r>
        <w:rPr>
          <w:rFonts w:hint="eastAsia" w:ascii="宋体" w:hAnsi="宋体" w:eastAsia="宋体" w:cs="宋体"/>
          <w:color w:val="auto"/>
          <w:sz w:val="24"/>
          <w:szCs w:val="24"/>
          <w:highlight w:val="none"/>
          <w:lang w:eastAsia="zh-CN"/>
        </w:rPr>
        <w:t>规定》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工信部联企业〔</w:t>
      </w:r>
      <w:r>
        <w:rPr>
          <w:rFonts w:hint="eastAsia" w:ascii="宋体" w:hAnsi="宋体" w:eastAsia="宋体" w:cs="宋体"/>
          <w:color w:val="auto"/>
          <w:sz w:val="24"/>
          <w:szCs w:val="24"/>
          <w:highlight w:val="none"/>
          <w:lang w:val="en-US" w:eastAsia="zh-CN"/>
        </w:rPr>
        <w:t>2011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300号，</w:t>
      </w:r>
      <w:r>
        <w:rPr>
          <w:rFonts w:hint="eastAsia" w:ascii="宋体" w:hAnsi="宋体" w:eastAsia="宋体" w:cs="宋体"/>
          <w:color w:val="auto"/>
          <w:sz w:val="24"/>
          <w:szCs w:val="24"/>
          <w:highlight w:val="none"/>
        </w:rPr>
        <w:t>以下简称《划型标准》）是经国务院同意，由工业和信息化部、</w:t>
      </w:r>
      <w:r>
        <w:rPr>
          <w:rFonts w:hint="eastAsia" w:ascii="宋体" w:hAnsi="宋体" w:eastAsia="宋体" w:cs="宋体"/>
          <w:color w:val="auto"/>
          <w:sz w:val="24"/>
          <w:szCs w:val="24"/>
          <w:highlight w:val="none"/>
          <w:lang w:eastAsia="zh-CN"/>
        </w:rPr>
        <w:t>国家</w:t>
      </w:r>
      <w:r>
        <w:rPr>
          <w:rFonts w:hint="eastAsia" w:ascii="宋体" w:hAnsi="宋体" w:eastAsia="宋体" w:cs="宋体"/>
          <w:color w:val="auto"/>
          <w:sz w:val="24"/>
          <w:szCs w:val="24"/>
          <w:highlight w:val="none"/>
        </w:rPr>
        <w:t>统计局、</w:t>
      </w:r>
      <w:r>
        <w:rPr>
          <w:rFonts w:hint="eastAsia" w:ascii="宋体" w:hAnsi="宋体" w:eastAsia="宋体" w:cs="宋体"/>
          <w:color w:val="auto"/>
          <w:sz w:val="24"/>
          <w:szCs w:val="24"/>
          <w:highlight w:val="none"/>
          <w:lang w:eastAsia="zh-CN"/>
        </w:rPr>
        <w:t>国家</w:t>
      </w:r>
      <w:r>
        <w:rPr>
          <w:rFonts w:hint="eastAsia" w:ascii="宋体" w:hAnsi="宋体" w:eastAsia="宋体" w:cs="宋体"/>
          <w:color w:val="auto"/>
          <w:sz w:val="24"/>
          <w:szCs w:val="24"/>
          <w:highlight w:val="none"/>
        </w:rPr>
        <w:t>发展</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改革</w:t>
      </w:r>
      <w:r>
        <w:rPr>
          <w:rFonts w:hint="eastAsia" w:ascii="宋体" w:hAnsi="宋体" w:eastAsia="宋体" w:cs="宋体"/>
          <w:color w:val="auto"/>
          <w:sz w:val="24"/>
          <w:szCs w:val="24"/>
          <w:highlight w:val="none"/>
          <w:lang w:eastAsia="zh-CN"/>
        </w:rPr>
        <w:t>委员会</w:t>
      </w:r>
      <w:r>
        <w:rPr>
          <w:rFonts w:hint="eastAsia" w:ascii="宋体" w:hAnsi="宋体" w:eastAsia="宋体" w:cs="宋体"/>
          <w:color w:val="auto"/>
          <w:sz w:val="24"/>
          <w:szCs w:val="24"/>
          <w:highlight w:val="none"/>
        </w:rPr>
        <w:t>、财政部于2011年6月发布的。《划型标准》</w:t>
      </w:r>
      <w:r>
        <w:rPr>
          <w:rFonts w:hint="eastAsia" w:ascii="宋体" w:hAnsi="宋体" w:eastAsia="宋体" w:cs="宋体"/>
          <w:color w:val="auto"/>
          <w:sz w:val="24"/>
          <w:szCs w:val="24"/>
          <w:highlight w:val="none"/>
          <w:lang w:eastAsia="zh-CN"/>
        </w:rPr>
        <w:t>作为促进中小企业发展政策实施和国民经济统计分类的基础依据，发布十年来，得到了较好地执行，</w:t>
      </w:r>
      <w:r>
        <w:rPr>
          <w:rFonts w:hint="eastAsia" w:ascii="宋体" w:hAnsi="宋体" w:eastAsia="宋体" w:cs="宋体"/>
          <w:color w:val="auto"/>
          <w:sz w:val="24"/>
          <w:szCs w:val="24"/>
          <w:highlight w:val="none"/>
          <w:lang w:val="en-US" w:eastAsia="zh-CN"/>
        </w:rPr>
        <w:t>为各级政府部门制定和实施促进中小企业特别是小微企业发展政策提供了基础数据和决策参考。但随着经济发展和产业结构调整，执行中也遇到了一些问题，主要是：</w:t>
      </w:r>
      <w:r>
        <w:rPr>
          <w:rFonts w:hint="eastAsia" w:ascii="宋体" w:hAnsi="宋体" w:eastAsia="宋体" w:cs="宋体"/>
          <w:b w:val="0"/>
          <w:bCs w:val="0"/>
          <w:color w:val="auto"/>
          <w:sz w:val="24"/>
          <w:szCs w:val="24"/>
          <w:highlight w:val="none"/>
          <w:lang w:val="en-US" w:eastAsia="zh-CN"/>
        </w:rPr>
        <w:t>一是</w:t>
      </w:r>
      <w:r>
        <w:rPr>
          <w:rFonts w:hint="eastAsia" w:ascii="宋体" w:hAnsi="宋体" w:eastAsia="宋体" w:cs="宋体"/>
          <w:b w:val="0"/>
          <w:bCs w:val="0"/>
          <w:color w:val="auto"/>
          <w:sz w:val="24"/>
          <w:szCs w:val="24"/>
          <w:highlight w:val="none"/>
        </w:rPr>
        <w:t>部分中小企业规模过大</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lang w:val="en-US" w:eastAsia="zh-CN"/>
        </w:rPr>
        <w:t>因采用从业人员、营业收入或资产总额双指标并集划型，导致少数从业人员少而营业收入高或资产规模大的企业划入中小企业。</w:t>
      </w:r>
      <w:r>
        <w:rPr>
          <w:rFonts w:hint="eastAsia" w:ascii="宋体" w:hAnsi="宋体" w:eastAsia="宋体" w:cs="宋体"/>
          <w:b w:val="0"/>
          <w:bCs w:val="0"/>
          <w:color w:val="auto"/>
          <w:sz w:val="24"/>
          <w:szCs w:val="24"/>
          <w:highlight w:val="none"/>
          <w:lang w:val="en-US" w:eastAsia="zh-CN"/>
        </w:rPr>
        <w:t>二是</w:t>
      </w:r>
      <w:r>
        <w:rPr>
          <w:rFonts w:hint="eastAsia" w:ascii="宋体" w:hAnsi="宋体" w:eastAsia="宋体" w:cs="宋体"/>
          <w:b w:val="0"/>
          <w:bCs w:val="0"/>
          <w:color w:val="auto"/>
          <w:sz w:val="24"/>
          <w:szCs w:val="24"/>
          <w:highlight w:val="none"/>
        </w:rPr>
        <w:t>行业分类复杂繁琐</w:t>
      </w:r>
      <w:r>
        <w:rPr>
          <w:rFonts w:hint="eastAsia" w:ascii="宋体" w:hAnsi="宋体" w:eastAsia="宋体" w:cs="宋体"/>
          <w:b w:val="0"/>
          <w:bCs w:val="0"/>
          <w:color w:val="auto"/>
          <w:sz w:val="24"/>
          <w:szCs w:val="24"/>
          <w:highlight w:val="none"/>
          <w:lang w:eastAsia="zh-CN"/>
        </w:rPr>
        <w:t>，且未覆盖</w:t>
      </w:r>
      <w:r>
        <w:rPr>
          <w:rFonts w:hint="eastAsia" w:ascii="宋体" w:hAnsi="宋体" w:eastAsia="宋体" w:cs="宋体"/>
          <w:color w:val="auto"/>
          <w:sz w:val="24"/>
          <w:szCs w:val="24"/>
          <w:highlight w:val="none"/>
        </w:rPr>
        <w:t>“教育”门类和“卫生”大类</w:t>
      </w:r>
      <w:r>
        <w:rPr>
          <w:rFonts w:hint="eastAsia" w:ascii="宋体" w:hAnsi="宋体" w:eastAsia="宋体" w:cs="宋体"/>
          <w:b w:val="0"/>
          <w:bCs w:val="0"/>
          <w:color w:val="auto"/>
          <w:sz w:val="24"/>
          <w:szCs w:val="24"/>
          <w:highlight w:val="none"/>
          <w:lang w:eastAsia="zh-CN"/>
        </w:rPr>
        <w:t>。</w:t>
      </w:r>
      <w:bookmarkStart w:id="376" w:name="_Toc534744176"/>
      <w:bookmarkStart w:id="377" w:name="_Toc536690535"/>
      <w:bookmarkStart w:id="378" w:name="_Toc534726769"/>
      <w:r>
        <w:rPr>
          <w:rFonts w:hint="eastAsia" w:ascii="宋体" w:hAnsi="宋体" w:eastAsia="宋体" w:cs="宋体"/>
          <w:b w:val="0"/>
          <w:bCs w:val="0"/>
          <w:color w:val="auto"/>
          <w:sz w:val="24"/>
          <w:szCs w:val="24"/>
          <w:highlight w:val="none"/>
          <w:lang w:val="en-US" w:eastAsia="zh-CN"/>
        </w:rPr>
        <w:t>三是</w:t>
      </w:r>
      <w:r>
        <w:rPr>
          <w:rFonts w:hint="eastAsia" w:ascii="宋体" w:hAnsi="宋体" w:eastAsia="宋体" w:cs="宋体"/>
          <w:b w:val="0"/>
          <w:bCs w:val="0"/>
          <w:color w:val="auto"/>
          <w:sz w:val="24"/>
          <w:szCs w:val="24"/>
          <w:highlight w:val="none"/>
        </w:rPr>
        <w:t>定性标准缺位</w:t>
      </w:r>
      <w:r>
        <w:rPr>
          <w:rFonts w:hint="eastAsia" w:ascii="宋体" w:hAnsi="宋体" w:eastAsia="宋体" w:cs="宋体"/>
          <w:b w:val="0"/>
          <w:bCs w:val="0"/>
          <w:color w:val="auto"/>
          <w:sz w:val="24"/>
          <w:szCs w:val="24"/>
          <w:highlight w:val="none"/>
          <w:lang w:eastAsia="zh-CN"/>
        </w:rPr>
        <w:t>。四</w:t>
      </w:r>
      <w:r>
        <w:rPr>
          <w:rFonts w:hint="eastAsia" w:ascii="宋体" w:hAnsi="宋体" w:eastAsia="宋体" w:cs="宋体"/>
          <w:b w:val="0"/>
          <w:bCs w:val="0"/>
          <w:color w:val="auto"/>
          <w:sz w:val="24"/>
          <w:szCs w:val="24"/>
          <w:highlight w:val="none"/>
          <w:lang w:val="en-US" w:eastAsia="zh-CN"/>
        </w:rPr>
        <w:t>是</w:t>
      </w:r>
      <w:r>
        <w:rPr>
          <w:rFonts w:hint="eastAsia" w:ascii="宋体" w:hAnsi="宋体" w:eastAsia="宋体" w:cs="宋体"/>
          <w:b w:val="0"/>
          <w:bCs w:val="0"/>
          <w:color w:val="auto"/>
          <w:sz w:val="24"/>
          <w:szCs w:val="24"/>
          <w:highlight w:val="none"/>
        </w:rPr>
        <w:t>部分行业划型指标不适合行业大多数企业经营特征</w:t>
      </w:r>
      <w:r>
        <w:rPr>
          <w:rFonts w:hint="eastAsia" w:ascii="宋体" w:hAnsi="宋体" w:eastAsia="宋体" w:cs="宋体"/>
          <w:b w:val="0"/>
          <w:bCs w:val="0"/>
          <w:color w:val="auto"/>
          <w:sz w:val="24"/>
          <w:szCs w:val="24"/>
          <w:highlight w:val="none"/>
          <w:lang w:eastAsia="zh-CN"/>
        </w:rPr>
        <w:t>。五是</w:t>
      </w:r>
      <w:r>
        <w:rPr>
          <w:rFonts w:hint="eastAsia" w:ascii="宋体" w:hAnsi="宋体" w:eastAsia="宋体" w:cs="宋体"/>
          <w:b w:val="0"/>
          <w:bCs w:val="0"/>
          <w:color w:val="auto"/>
          <w:sz w:val="24"/>
          <w:szCs w:val="24"/>
          <w:highlight w:val="none"/>
        </w:rPr>
        <w:t>定量标准需随劳动生产率提高</w:t>
      </w:r>
      <w:r>
        <w:rPr>
          <w:rFonts w:hint="eastAsia" w:ascii="宋体" w:hAnsi="宋体" w:eastAsia="宋体" w:cs="宋体"/>
          <w:b w:val="0"/>
          <w:bCs w:val="0"/>
          <w:color w:val="auto"/>
          <w:sz w:val="24"/>
          <w:szCs w:val="24"/>
          <w:highlight w:val="none"/>
          <w:lang w:eastAsia="zh-CN"/>
        </w:rPr>
        <w:t>等</w:t>
      </w:r>
      <w:r>
        <w:rPr>
          <w:rFonts w:hint="eastAsia" w:ascii="宋体" w:hAnsi="宋体" w:eastAsia="宋体" w:cs="宋体"/>
          <w:b w:val="0"/>
          <w:bCs w:val="0"/>
          <w:color w:val="auto"/>
          <w:sz w:val="24"/>
          <w:szCs w:val="24"/>
          <w:highlight w:val="none"/>
        </w:rPr>
        <w:t>进行调整</w:t>
      </w:r>
      <w:r>
        <w:rPr>
          <w:rFonts w:hint="eastAsia" w:ascii="宋体" w:hAnsi="宋体" w:eastAsia="宋体" w:cs="宋体"/>
          <w:b w:val="0"/>
          <w:bCs w:val="0"/>
          <w:color w:val="auto"/>
          <w:sz w:val="24"/>
          <w:szCs w:val="24"/>
          <w:highlight w:val="none"/>
          <w:lang w:eastAsia="zh-CN"/>
        </w:rPr>
        <w:t>。</w:t>
      </w:r>
    </w:p>
    <w:bookmarkEnd w:id="376"/>
    <w:bookmarkEnd w:id="377"/>
    <w:bookmarkEnd w:id="378"/>
    <w:p w14:paraId="1CB613A5">
      <w:pPr>
        <w:spacing w:line="240" w:lineRule="auto"/>
        <w:ind w:firstLine="480" w:firstLineChars="200"/>
        <w:outlineLvl w:val="9"/>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二、修订的原则</w:t>
      </w:r>
    </w:p>
    <w:p w14:paraId="49A18F6C">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一</w:t>
      </w:r>
      <w:r>
        <w:rPr>
          <w:rFonts w:hint="eastAsia" w:ascii="宋体" w:hAnsi="宋体" w:eastAsia="宋体" w:cs="宋体"/>
          <w:b w:val="0"/>
          <w:bCs w:val="0"/>
          <w:color w:val="auto"/>
          <w:sz w:val="24"/>
          <w:szCs w:val="24"/>
          <w:highlight w:val="none"/>
        </w:rPr>
        <w:t>是坚持问题导向。</w:t>
      </w:r>
      <w:r>
        <w:rPr>
          <w:rFonts w:hint="eastAsia" w:ascii="宋体" w:hAnsi="宋体" w:eastAsia="宋体" w:cs="宋体"/>
          <w:color w:val="auto"/>
          <w:sz w:val="24"/>
          <w:szCs w:val="24"/>
          <w:highlight w:val="none"/>
        </w:rPr>
        <w:t>针对</w:t>
      </w:r>
      <w:r>
        <w:rPr>
          <w:rFonts w:hint="eastAsia" w:ascii="宋体" w:hAnsi="宋体" w:eastAsia="宋体" w:cs="宋体"/>
          <w:color w:val="auto"/>
          <w:sz w:val="24"/>
          <w:szCs w:val="24"/>
          <w:highlight w:val="none"/>
          <w:lang w:eastAsia="zh-CN"/>
        </w:rPr>
        <w:t>《划型标准》</w:t>
      </w:r>
      <w:r>
        <w:rPr>
          <w:rFonts w:hint="eastAsia" w:ascii="宋体" w:hAnsi="宋体" w:eastAsia="宋体" w:cs="宋体"/>
          <w:color w:val="auto"/>
          <w:sz w:val="24"/>
          <w:szCs w:val="24"/>
          <w:highlight w:val="none"/>
        </w:rPr>
        <w:t>执行中存在的问题，提出解决的方法和路径</w:t>
      </w:r>
      <w:r>
        <w:rPr>
          <w:rFonts w:hint="eastAsia" w:ascii="宋体" w:hAnsi="宋体" w:eastAsia="宋体" w:cs="宋体"/>
          <w:color w:val="auto"/>
          <w:sz w:val="24"/>
          <w:szCs w:val="24"/>
          <w:highlight w:val="none"/>
          <w:lang w:eastAsia="zh-CN"/>
        </w:rPr>
        <w:t>。</w:t>
      </w:r>
    </w:p>
    <w:p w14:paraId="7E87F86B">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二</w:t>
      </w:r>
      <w:r>
        <w:rPr>
          <w:rFonts w:hint="eastAsia" w:ascii="宋体" w:hAnsi="宋体" w:eastAsia="宋体" w:cs="宋体"/>
          <w:b w:val="0"/>
          <w:bCs w:val="0"/>
          <w:color w:val="auto"/>
          <w:sz w:val="24"/>
          <w:szCs w:val="24"/>
          <w:highlight w:val="none"/>
        </w:rPr>
        <w:t>是综合现实发展需要和历史衔接。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划型标准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修订既要适应国</w:t>
      </w:r>
      <w:r>
        <w:rPr>
          <w:rFonts w:hint="eastAsia" w:ascii="宋体" w:hAnsi="宋体" w:eastAsia="宋体" w:cs="宋体"/>
          <w:color w:val="auto"/>
          <w:sz w:val="24"/>
          <w:szCs w:val="24"/>
          <w:highlight w:val="none"/>
          <w:lang w:eastAsia="zh-CN"/>
        </w:rPr>
        <w:t>民</w:t>
      </w:r>
      <w:r>
        <w:rPr>
          <w:rFonts w:hint="eastAsia" w:ascii="宋体" w:hAnsi="宋体" w:eastAsia="宋体" w:cs="宋体"/>
          <w:color w:val="auto"/>
          <w:sz w:val="24"/>
          <w:szCs w:val="24"/>
          <w:highlight w:val="none"/>
        </w:rPr>
        <w:t>经济和促进中小企业发展需要，又要保持相对的稳定性和连续性</w:t>
      </w:r>
      <w:r>
        <w:rPr>
          <w:rFonts w:hint="eastAsia" w:ascii="宋体" w:hAnsi="宋体" w:eastAsia="宋体" w:cs="宋体"/>
          <w:color w:val="auto"/>
          <w:sz w:val="24"/>
          <w:szCs w:val="24"/>
          <w:highlight w:val="none"/>
          <w:lang w:eastAsia="zh-CN"/>
        </w:rPr>
        <w:t>。</w:t>
      </w:r>
    </w:p>
    <w:p w14:paraId="6E9A5547">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rPr>
        <w:t>三是注重与国际一般标准的可比性。</w:t>
      </w:r>
      <w:r>
        <w:rPr>
          <w:rFonts w:hint="eastAsia" w:ascii="宋体" w:hAnsi="宋体" w:eastAsia="宋体" w:cs="宋体"/>
          <w:color w:val="auto"/>
          <w:sz w:val="24"/>
          <w:szCs w:val="24"/>
          <w:highlight w:val="none"/>
        </w:rPr>
        <w:t>借鉴国际经验，结合我国实际</w:t>
      </w:r>
      <w:r>
        <w:rPr>
          <w:rFonts w:hint="eastAsia" w:ascii="宋体" w:hAnsi="宋体" w:eastAsia="宋体" w:cs="宋体"/>
          <w:color w:val="auto"/>
          <w:sz w:val="24"/>
          <w:szCs w:val="24"/>
          <w:highlight w:val="none"/>
          <w:lang w:eastAsia="zh-CN"/>
        </w:rPr>
        <w:t>确定各行业划型指标及标准</w:t>
      </w:r>
      <w:r>
        <w:rPr>
          <w:rFonts w:hint="eastAsia" w:ascii="宋体" w:hAnsi="宋体" w:eastAsia="宋体" w:cs="宋体"/>
          <w:color w:val="auto"/>
          <w:sz w:val="24"/>
          <w:szCs w:val="24"/>
          <w:highlight w:val="none"/>
        </w:rPr>
        <w:t>，为中小企业发展国际比较提供参照</w:t>
      </w:r>
      <w:r>
        <w:rPr>
          <w:rFonts w:hint="eastAsia" w:ascii="宋体" w:hAnsi="宋体" w:eastAsia="宋体" w:cs="宋体"/>
          <w:color w:val="auto"/>
          <w:sz w:val="24"/>
          <w:szCs w:val="24"/>
          <w:highlight w:val="none"/>
          <w:lang w:eastAsia="zh-CN"/>
        </w:rPr>
        <w:t>。</w:t>
      </w:r>
    </w:p>
    <w:p w14:paraId="109C40A9">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四是注重简单易行，便于操作。</w:t>
      </w:r>
      <w:r>
        <w:rPr>
          <w:rFonts w:hint="eastAsia" w:ascii="宋体" w:hAnsi="宋体" w:eastAsia="宋体" w:cs="宋体"/>
          <w:color w:val="auto"/>
          <w:sz w:val="24"/>
          <w:szCs w:val="24"/>
          <w:highlight w:val="none"/>
        </w:rPr>
        <w:t>从实际出发，</w:t>
      </w:r>
      <w:r>
        <w:rPr>
          <w:rFonts w:hint="eastAsia" w:ascii="宋体" w:hAnsi="宋体" w:eastAsia="宋体" w:cs="宋体"/>
          <w:color w:val="auto"/>
          <w:sz w:val="24"/>
          <w:szCs w:val="24"/>
          <w:highlight w:val="none"/>
          <w:lang w:eastAsia="zh-CN"/>
        </w:rPr>
        <w:t>注重</w:t>
      </w:r>
      <w:r>
        <w:rPr>
          <w:rFonts w:hint="eastAsia" w:ascii="宋体" w:hAnsi="宋体" w:eastAsia="宋体" w:cs="宋体"/>
          <w:color w:val="auto"/>
          <w:sz w:val="24"/>
          <w:szCs w:val="24"/>
          <w:highlight w:val="none"/>
        </w:rPr>
        <w:t>易于理解、识别和执行。</w:t>
      </w:r>
    </w:p>
    <w:p w14:paraId="10EC3FA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三、修订的主要内容</w:t>
      </w:r>
    </w:p>
    <w:p w14:paraId="2AA65965">
      <w:pPr>
        <w:spacing w:line="24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关于行业分类的修订</w:t>
      </w:r>
    </w:p>
    <w:p w14:paraId="493D7733">
      <w:pPr>
        <w:spacing w:line="24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一是</w:t>
      </w:r>
      <w:r>
        <w:rPr>
          <w:rFonts w:hint="eastAsia" w:ascii="宋体" w:hAnsi="宋体" w:eastAsia="宋体" w:cs="宋体"/>
          <w:b w:val="0"/>
          <w:bCs w:val="0"/>
          <w:color w:val="auto"/>
          <w:sz w:val="24"/>
          <w:szCs w:val="24"/>
          <w:highlight w:val="none"/>
        </w:rPr>
        <w:t>部分行业分类保持不变</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包括农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渔业，工业，建筑业，批发业，零售业</w:t>
      </w:r>
      <w:r>
        <w:rPr>
          <w:rFonts w:hint="eastAsia" w:ascii="宋体" w:hAnsi="宋体" w:eastAsia="宋体" w:cs="宋体"/>
          <w:color w:val="auto"/>
          <w:sz w:val="24"/>
          <w:szCs w:val="24"/>
          <w:highlight w:val="none"/>
          <w:lang w:eastAsia="zh-CN"/>
        </w:rPr>
        <w:t>，房地产开发经营业等（涉及企业数量约占</w:t>
      </w:r>
      <w:r>
        <w:rPr>
          <w:rFonts w:hint="eastAsia" w:ascii="宋体" w:hAnsi="宋体" w:eastAsia="宋体" w:cs="宋体"/>
          <w:color w:val="auto"/>
          <w:sz w:val="24"/>
          <w:szCs w:val="24"/>
          <w:highlight w:val="none"/>
          <w:lang w:val="en-US" w:eastAsia="zh-CN"/>
        </w:rPr>
        <w:t>60%）。</w:t>
      </w:r>
    </w:p>
    <w:p w14:paraId="683718D2">
      <w:pPr>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二是</w:t>
      </w:r>
      <w:r>
        <w:rPr>
          <w:rFonts w:hint="eastAsia" w:ascii="宋体" w:hAnsi="宋体" w:eastAsia="宋体" w:cs="宋体"/>
          <w:b w:val="0"/>
          <w:bCs w:val="0"/>
          <w:color w:val="auto"/>
          <w:sz w:val="24"/>
          <w:szCs w:val="24"/>
          <w:highlight w:val="none"/>
        </w:rPr>
        <w:t>以门类为基础调整简并行业分类。</w:t>
      </w:r>
      <w:r>
        <w:rPr>
          <w:rFonts w:hint="eastAsia" w:ascii="宋体" w:hAnsi="宋体" w:eastAsia="宋体" w:cs="宋体"/>
          <w:b w:val="0"/>
          <w:bCs w:val="0"/>
          <w:color w:val="auto"/>
          <w:sz w:val="24"/>
          <w:szCs w:val="24"/>
          <w:highlight w:val="none"/>
          <w:lang w:eastAsia="zh-CN"/>
        </w:rPr>
        <w:t>如</w:t>
      </w:r>
      <w:r>
        <w:rPr>
          <w:rFonts w:hint="eastAsia" w:ascii="宋体" w:hAnsi="宋体" w:eastAsia="宋体" w:cs="宋体"/>
          <w:color w:val="auto"/>
          <w:sz w:val="24"/>
          <w:szCs w:val="24"/>
          <w:highlight w:val="none"/>
        </w:rPr>
        <w:t>将住宿业、餐饮业合并，按“住宿和餐饮业”门类统一划型</w:t>
      </w:r>
      <w:r>
        <w:rPr>
          <w:rFonts w:hint="eastAsia" w:ascii="宋体" w:hAnsi="宋体" w:eastAsia="宋体" w:cs="宋体"/>
          <w:color w:val="auto"/>
          <w:sz w:val="24"/>
          <w:szCs w:val="24"/>
          <w:highlight w:val="none"/>
          <w:lang w:eastAsia="zh-CN"/>
        </w:rPr>
        <w:t>；将信息传输业、软件和信息技术服务业合并，按“信息传输、软件和信息技术服务业”门类统一划型；</w:t>
      </w:r>
      <w:r>
        <w:rPr>
          <w:rFonts w:hint="eastAsia" w:ascii="宋体" w:hAnsi="宋体" w:eastAsia="宋体" w:cs="宋体"/>
          <w:b w:val="0"/>
          <w:color w:val="auto"/>
          <w:sz w:val="24"/>
          <w:szCs w:val="24"/>
          <w:highlight w:val="none"/>
        </w:rPr>
        <w:t>将交通运输业、仓储业、邮政业合并，按“交通运输、仓储和邮政业”门类</w:t>
      </w:r>
      <w:r>
        <w:rPr>
          <w:rFonts w:hint="eastAsia" w:ascii="宋体" w:hAnsi="宋体" w:eastAsia="宋体" w:cs="宋体"/>
          <w:b w:val="0"/>
          <w:color w:val="auto"/>
          <w:sz w:val="24"/>
          <w:szCs w:val="24"/>
          <w:highlight w:val="none"/>
          <w:lang w:eastAsia="zh-CN"/>
        </w:rPr>
        <w:t>与工业统一划型。</w:t>
      </w:r>
    </w:p>
    <w:p w14:paraId="631D969B">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三是</w:t>
      </w:r>
      <w:r>
        <w:rPr>
          <w:rFonts w:hint="eastAsia" w:ascii="宋体" w:hAnsi="宋体" w:eastAsia="宋体" w:cs="宋体"/>
          <w:b w:val="0"/>
          <w:bCs w:val="0"/>
          <w:color w:val="auto"/>
          <w:sz w:val="24"/>
          <w:szCs w:val="24"/>
          <w:highlight w:val="none"/>
        </w:rPr>
        <w:t>增加《划型标准》尚未覆盖的行业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如“教育”门类和“卫生”大类。</w:t>
      </w:r>
    </w:p>
    <w:p w14:paraId="4C6575E0">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四是</w:t>
      </w:r>
      <w:r>
        <w:rPr>
          <w:rFonts w:hint="eastAsia" w:ascii="宋体" w:hAnsi="宋体" w:eastAsia="宋体" w:cs="宋体"/>
          <w:b w:val="0"/>
          <w:bCs w:val="0"/>
          <w:color w:val="auto"/>
          <w:sz w:val="24"/>
          <w:szCs w:val="24"/>
          <w:highlight w:val="none"/>
        </w:rPr>
        <w:t>行业性质或特征相近的行业</w:t>
      </w:r>
      <w:r>
        <w:rPr>
          <w:rFonts w:hint="eastAsia" w:ascii="宋体" w:hAnsi="宋体" w:eastAsia="宋体" w:cs="宋体"/>
          <w:b w:val="0"/>
          <w:bCs w:val="0"/>
          <w:color w:val="auto"/>
          <w:sz w:val="24"/>
          <w:szCs w:val="24"/>
          <w:highlight w:val="none"/>
          <w:lang w:eastAsia="zh-CN"/>
        </w:rPr>
        <w:t>归并</w:t>
      </w:r>
      <w:r>
        <w:rPr>
          <w:rFonts w:hint="eastAsia" w:ascii="宋体" w:hAnsi="宋体" w:eastAsia="宋体" w:cs="宋体"/>
          <w:b w:val="0"/>
          <w:bCs w:val="0"/>
          <w:color w:val="auto"/>
          <w:sz w:val="24"/>
          <w:szCs w:val="24"/>
          <w:highlight w:val="none"/>
        </w:rPr>
        <w:t>划型。</w:t>
      </w:r>
      <w:r>
        <w:rPr>
          <w:rFonts w:hint="eastAsia" w:ascii="宋体" w:hAnsi="宋体" w:eastAsia="宋体" w:cs="宋体"/>
          <w:color w:val="auto"/>
          <w:sz w:val="24"/>
          <w:szCs w:val="24"/>
          <w:highlight w:val="none"/>
        </w:rPr>
        <w:t>将房地产业（房地产开发经营除外），租赁与商务服务业（组织管理服务除外），科学研究和技术服务业，水利、环境和公共设施管理业，居民服务、修理和其他服务业，社会工作，文化、体育和娱乐业，</w:t>
      </w:r>
      <w:r>
        <w:rPr>
          <w:rFonts w:hint="eastAsia" w:ascii="宋体" w:hAnsi="宋体" w:eastAsia="宋体" w:cs="宋体"/>
          <w:color w:val="auto"/>
          <w:sz w:val="24"/>
          <w:szCs w:val="24"/>
          <w:highlight w:val="none"/>
          <w:lang w:eastAsia="zh-CN"/>
        </w:rPr>
        <w:t>以及</w:t>
      </w:r>
      <w:r>
        <w:rPr>
          <w:rFonts w:hint="eastAsia" w:ascii="宋体" w:hAnsi="宋体" w:eastAsia="宋体" w:cs="宋体"/>
          <w:color w:val="auto"/>
          <w:sz w:val="24"/>
          <w:szCs w:val="24"/>
          <w:highlight w:val="none"/>
        </w:rPr>
        <w:t>新增的教育、卫生等八个行业门类归并统一划型。</w:t>
      </w:r>
    </w:p>
    <w:p w14:paraId="4E5F9A5D">
      <w:pPr>
        <w:spacing w:line="240" w:lineRule="auto"/>
        <w:ind w:firstLine="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五是</w:t>
      </w:r>
      <w:r>
        <w:rPr>
          <w:rFonts w:hint="eastAsia" w:ascii="宋体" w:hAnsi="宋体" w:eastAsia="宋体" w:cs="宋体"/>
          <w:b w:val="0"/>
          <w:bCs w:val="0"/>
          <w:color w:val="auto"/>
          <w:sz w:val="24"/>
          <w:szCs w:val="24"/>
          <w:highlight w:val="none"/>
          <w:lang w:eastAsia="zh-CN"/>
        </w:rPr>
        <w:t>将</w:t>
      </w:r>
      <w:r>
        <w:rPr>
          <w:rFonts w:hint="eastAsia" w:ascii="宋体" w:hAnsi="宋体" w:eastAsia="宋体" w:cs="宋体"/>
          <w:b w:val="0"/>
          <w:bCs w:val="0"/>
          <w:color w:val="auto"/>
          <w:sz w:val="24"/>
          <w:szCs w:val="24"/>
          <w:highlight w:val="none"/>
        </w:rPr>
        <w:t>不属于中小企业</w:t>
      </w:r>
      <w:r>
        <w:rPr>
          <w:rFonts w:hint="eastAsia" w:ascii="宋体" w:hAnsi="宋体" w:eastAsia="宋体" w:cs="宋体"/>
          <w:b w:val="0"/>
          <w:bCs w:val="0"/>
          <w:color w:val="auto"/>
          <w:sz w:val="24"/>
          <w:szCs w:val="24"/>
          <w:highlight w:val="none"/>
          <w:lang w:eastAsia="zh-CN"/>
        </w:rPr>
        <w:t>扶持重点领域</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组织管理服务</w:t>
      </w:r>
      <w:r>
        <w:rPr>
          <w:rFonts w:hint="eastAsia" w:ascii="宋体" w:hAnsi="宋体" w:eastAsia="宋体" w:cs="宋体"/>
          <w:b w:val="0"/>
          <w:bCs w:val="0"/>
          <w:color w:val="auto"/>
          <w:sz w:val="24"/>
          <w:szCs w:val="24"/>
          <w:highlight w:val="none"/>
          <w:lang w:eastAsia="zh-CN"/>
        </w:rPr>
        <w:t>”（属于租赁和商务服务业门类，主要包括“企业总部管理”“投资与资产管理”“资源与产权交易服务”等</w:t>
      </w:r>
      <w:r>
        <w:rPr>
          <w:rFonts w:hint="eastAsia" w:ascii="宋体" w:hAnsi="宋体" w:eastAsia="宋体" w:cs="宋体"/>
          <w:color w:val="auto"/>
          <w:sz w:val="24"/>
          <w:szCs w:val="24"/>
          <w:highlight w:val="none"/>
          <w:lang w:eastAsia="zh-CN"/>
        </w:rPr>
        <w:t>资产密集型</w:t>
      </w:r>
      <w:r>
        <w:rPr>
          <w:rFonts w:hint="eastAsia" w:ascii="宋体" w:hAnsi="宋体" w:eastAsia="宋体" w:cs="宋体"/>
          <w:b w:val="0"/>
          <w:bCs w:val="0"/>
          <w:color w:val="auto"/>
          <w:sz w:val="24"/>
          <w:szCs w:val="24"/>
          <w:highlight w:val="none"/>
          <w:lang w:eastAsia="zh-CN"/>
        </w:rPr>
        <w:t>行业小类）</w:t>
      </w:r>
      <w:r>
        <w:rPr>
          <w:rFonts w:hint="eastAsia" w:ascii="宋体" w:hAnsi="宋体" w:eastAsia="宋体" w:cs="宋体"/>
          <w:color w:val="auto"/>
          <w:sz w:val="24"/>
          <w:szCs w:val="24"/>
          <w:highlight w:val="none"/>
          <w:lang w:eastAsia="zh-CN"/>
        </w:rPr>
        <w:t>采用建筑业指标划型，</w:t>
      </w:r>
      <w:r>
        <w:rPr>
          <w:rFonts w:hint="eastAsia" w:ascii="宋体" w:hAnsi="宋体" w:eastAsia="宋体" w:cs="宋体"/>
          <w:b w:val="0"/>
          <w:color w:val="auto"/>
          <w:sz w:val="24"/>
          <w:szCs w:val="24"/>
          <w:highlight w:val="none"/>
        </w:rPr>
        <w:t>降低其小微企业占比。</w:t>
      </w:r>
    </w:p>
    <w:p w14:paraId="172EC3D5">
      <w:pPr>
        <w:spacing w:line="24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本次</w:t>
      </w:r>
      <w:r>
        <w:rPr>
          <w:rFonts w:hint="eastAsia" w:ascii="宋体" w:hAnsi="宋体" w:eastAsia="宋体" w:cs="宋体"/>
          <w:color w:val="auto"/>
          <w:sz w:val="24"/>
          <w:szCs w:val="24"/>
          <w:highlight w:val="none"/>
        </w:rPr>
        <w:t>修订后，</w:t>
      </w:r>
      <w:r>
        <w:rPr>
          <w:rFonts w:hint="eastAsia" w:ascii="宋体" w:hAnsi="宋体" w:eastAsia="宋体" w:cs="宋体"/>
          <w:color w:val="auto"/>
          <w:sz w:val="24"/>
          <w:szCs w:val="24"/>
          <w:highlight w:val="none"/>
          <w:lang w:eastAsia="zh-CN"/>
        </w:rPr>
        <w:t>行业分类由原来的</w:t>
      </w:r>
      <w:r>
        <w:rPr>
          <w:rFonts w:hint="eastAsia" w:ascii="宋体" w:hAnsi="宋体" w:eastAsia="宋体" w:cs="宋体"/>
          <w:color w:val="auto"/>
          <w:sz w:val="24"/>
          <w:szCs w:val="24"/>
          <w:highlight w:val="none"/>
          <w:lang w:val="en-US" w:eastAsia="zh-CN"/>
        </w:rPr>
        <w:t>16类减少为9</w:t>
      </w:r>
      <w:r>
        <w:rPr>
          <w:rFonts w:hint="eastAsia" w:ascii="宋体" w:hAnsi="宋体" w:eastAsia="宋体" w:cs="宋体"/>
          <w:color w:val="auto"/>
          <w:sz w:val="24"/>
          <w:szCs w:val="24"/>
          <w:highlight w:val="none"/>
          <w:lang w:eastAsia="zh-CN"/>
        </w:rPr>
        <w:t>类，</w:t>
      </w:r>
      <w:r>
        <w:rPr>
          <w:rFonts w:hint="eastAsia" w:ascii="宋体" w:hAnsi="宋体" w:eastAsia="宋体" w:cs="宋体"/>
          <w:color w:val="auto"/>
          <w:sz w:val="24"/>
          <w:szCs w:val="24"/>
          <w:highlight w:val="none"/>
        </w:rPr>
        <w:t>覆盖</w:t>
      </w:r>
      <w:r>
        <w:rPr>
          <w:rFonts w:hint="eastAsia" w:ascii="宋体" w:hAnsi="宋体" w:eastAsia="宋体" w:cs="宋体"/>
          <w:color w:val="auto"/>
          <w:sz w:val="24"/>
          <w:szCs w:val="24"/>
          <w:highlight w:val="none"/>
          <w:lang w:eastAsia="zh-CN"/>
        </w:rPr>
        <w:t>《国民经济行业分类》（</w:t>
      </w:r>
      <w:r>
        <w:rPr>
          <w:rFonts w:hint="eastAsia" w:ascii="宋体" w:hAnsi="宋体" w:eastAsia="宋体" w:cs="宋体"/>
          <w:color w:val="auto"/>
          <w:sz w:val="24"/>
          <w:szCs w:val="24"/>
          <w:highlight w:val="none"/>
          <w:lang w:val="en-US" w:eastAsia="zh-CN"/>
        </w:rPr>
        <w:t>GB/T 4754-2017）</w:t>
      </w:r>
      <w:r>
        <w:rPr>
          <w:rFonts w:hint="eastAsia" w:ascii="宋体" w:hAnsi="宋体" w:eastAsia="宋体" w:cs="宋体"/>
          <w:color w:val="auto"/>
          <w:sz w:val="24"/>
          <w:szCs w:val="24"/>
          <w:highlight w:val="none"/>
          <w:lang w:eastAsia="zh-CN"/>
        </w:rPr>
        <w:t>除</w:t>
      </w:r>
      <w:r>
        <w:rPr>
          <w:rFonts w:hint="eastAsia" w:ascii="宋体" w:hAnsi="宋体" w:eastAsia="宋体" w:cs="宋体"/>
          <w:color w:val="auto"/>
          <w:sz w:val="24"/>
          <w:szCs w:val="24"/>
          <w:highlight w:val="none"/>
        </w:rPr>
        <w:t>金融业、公共管理和社会组织、国际组织</w:t>
      </w:r>
      <w:r>
        <w:rPr>
          <w:rFonts w:hint="eastAsia" w:ascii="宋体" w:hAnsi="宋体" w:eastAsia="宋体" w:cs="宋体"/>
          <w:color w:val="auto"/>
          <w:sz w:val="24"/>
          <w:szCs w:val="24"/>
          <w:highlight w:val="none"/>
          <w:lang w:eastAsia="zh-CN"/>
        </w:rPr>
        <w:t>三个门类之外的所有</w:t>
      </w:r>
      <w:r>
        <w:rPr>
          <w:rFonts w:hint="eastAsia" w:ascii="宋体" w:hAnsi="宋体" w:eastAsia="宋体" w:cs="宋体"/>
          <w:color w:val="auto"/>
          <w:sz w:val="24"/>
          <w:szCs w:val="24"/>
          <w:highlight w:val="none"/>
        </w:rPr>
        <w:t>行业企业。</w:t>
      </w:r>
    </w:p>
    <w:p w14:paraId="14F73360">
      <w:pPr>
        <w:spacing w:line="24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（二）关于划型指标的修订</w:t>
      </w:r>
    </w:p>
    <w:p w14:paraId="61395D9F">
      <w:pPr>
        <w:spacing w:line="240" w:lineRule="auto"/>
        <w:ind w:firstLine="480" w:firstLineChars="200"/>
        <w:jc w:val="both"/>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各行业划型指标基本</w:t>
      </w:r>
      <w:r>
        <w:rPr>
          <w:rFonts w:hint="eastAsia" w:ascii="宋体" w:hAnsi="宋体" w:eastAsia="宋体" w:cs="宋体"/>
          <w:b w:val="0"/>
          <w:color w:val="auto"/>
          <w:sz w:val="24"/>
          <w:szCs w:val="24"/>
          <w:highlight w:val="none"/>
        </w:rPr>
        <w:t>沿用</w:t>
      </w:r>
      <w:r>
        <w:rPr>
          <w:rFonts w:hint="eastAsia" w:ascii="宋体" w:hAnsi="宋体" w:eastAsia="宋体" w:cs="宋体"/>
          <w:b w:val="0"/>
          <w:color w:val="auto"/>
          <w:sz w:val="24"/>
          <w:szCs w:val="24"/>
          <w:highlight w:val="none"/>
          <w:lang w:eastAsia="zh-CN"/>
        </w:rPr>
        <w:t>现行</w:t>
      </w:r>
      <w:r>
        <w:rPr>
          <w:rFonts w:hint="eastAsia" w:ascii="宋体" w:hAnsi="宋体" w:eastAsia="宋体" w:cs="宋体"/>
          <w:b w:val="0"/>
          <w:color w:val="auto"/>
          <w:sz w:val="24"/>
          <w:szCs w:val="24"/>
          <w:highlight w:val="none"/>
        </w:rPr>
        <w:t>《划型标准》，</w:t>
      </w:r>
      <w:r>
        <w:rPr>
          <w:rFonts w:hint="eastAsia" w:ascii="宋体" w:hAnsi="宋体" w:eastAsia="宋体" w:cs="宋体"/>
          <w:b w:val="0"/>
          <w:color w:val="auto"/>
          <w:sz w:val="24"/>
          <w:szCs w:val="24"/>
          <w:highlight w:val="none"/>
          <w:lang w:eastAsia="zh-CN"/>
        </w:rPr>
        <w:t>主要是采用从业人员和营业收入双指标划型，仅有农业采用营业收入、建筑业和组织管理服务采用营业收入和资产总额划型。</w:t>
      </w:r>
    </w:p>
    <w:p w14:paraId="72A6EAC7">
      <w:pPr>
        <w:spacing w:line="24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关于双指标并集转交集的调整</w:t>
      </w:r>
    </w:p>
    <w:p w14:paraId="2FD30D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本次修订</w:t>
      </w:r>
      <w:r>
        <w:rPr>
          <w:rFonts w:hint="eastAsia" w:ascii="宋体" w:hAnsi="宋体" w:eastAsia="宋体" w:cs="宋体"/>
          <w:color w:val="auto"/>
          <w:sz w:val="24"/>
          <w:szCs w:val="24"/>
          <w:highlight w:val="none"/>
          <w:lang w:eastAsia="zh-CN"/>
        </w:rPr>
        <w:t>借鉴欧盟</w:t>
      </w:r>
      <w:r>
        <w:rPr>
          <w:rFonts w:hint="eastAsia" w:ascii="宋体" w:hAnsi="宋体" w:eastAsia="宋体" w:cs="宋体"/>
          <w:color w:val="auto"/>
          <w:sz w:val="24"/>
          <w:szCs w:val="24"/>
          <w:highlight w:val="none"/>
        </w:rPr>
        <w:t>双指标</w:t>
      </w:r>
      <w:r>
        <w:rPr>
          <w:rFonts w:hint="eastAsia" w:ascii="宋体" w:hAnsi="宋体" w:eastAsia="宋体" w:cs="宋体"/>
          <w:color w:val="auto"/>
          <w:sz w:val="24"/>
          <w:szCs w:val="24"/>
          <w:highlight w:val="none"/>
          <w:lang w:eastAsia="zh-CN"/>
        </w:rPr>
        <w:t>交</w:t>
      </w:r>
      <w:r>
        <w:rPr>
          <w:rFonts w:hint="eastAsia" w:ascii="宋体" w:hAnsi="宋体" w:eastAsia="宋体" w:cs="宋体"/>
          <w:color w:val="auto"/>
          <w:sz w:val="24"/>
          <w:szCs w:val="24"/>
          <w:highlight w:val="none"/>
        </w:rPr>
        <w:t>集模式，</w:t>
      </w:r>
      <w:r>
        <w:rPr>
          <w:rFonts w:hint="eastAsia" w:ascii="宋体" w:hAnsi="宋体" w:eastAsia="宋体" w:cs="宋体"/>
          <w:b w:val="0"/>
          <w:color w:val="auto"/>
          <w:sz w:val="24"/>
          <w:szCs w:val="24"/>
          <w:highlight w:val="none"/>
        </w:rPr>
        <w:t>即双指标同时低于微型、小型、中型</w:t>
      </w:r>
      <w:r>
        <w:rPr>
          <w:rFonts w:hint="eastAsia" w:ascii="宋体" w:hAnsi="宋体" w:eastAsia="宋体" w:cs="宋体"/>
          <w:b w:val="0"/>
          <w:color w:val="auto"/>
          <w:sz w:val="24"/>
          <w:szCs w:val="24"/>
          <w:highlight w:val="none"/>
          <w:lang w:eastAsia="zh-CN"/>
        </w:rPr>
        <w:t>企业</w:t>
      </w:r>
      <w:r>
        <w:rPr>
          <w:rFonts w:hint="eastAsia" w:ascii="宋体" w:hAnsi="宋体" w:eastAsia="宋体" w:cs="宋体"/>
          <w:b w:val="0"/>
          <w:color w:val="auto"/>
          <w:sz w:val="24"/>
          <w:szCs w:val="24"/>
          <w:highlight w:val="none"/>
        </w:rPr>
        <w:t>的阈值标准，才能划入相应</w:t>
      </w:r>
      <w:r>
        <w:rPr>
          <w:rFonts w:hint="eastAsia" w:ascii="宋体" w:hAnsi="宋体" w:eastAsia="宋体" w:cs="宋体"/>
          <w:b w:val="0"/>
          <w:color w:val="auto"/>
          <w:sz w:val="24"/>
          <w:szCs w:val="24"/>
          <w:highlight w:val="none"/>
          <w:lang w:eastAsia="zh-CN"/>
        </w:rPr>
        <w:t>规模</w:t>
      </w:r>
      <w:r>
        <w:rPr>
          <w:rFonts w:hint="eastAsia" w:ascii="宋体" w:hAnsi="宋体" w:eastAsia="宋体" w:cs="宋体"/>
          <w:b w:val="0"/>
          <w:color w:val="auto"/>
          <w:sz w:val="24"/>
          <w:szCs w:val="24"/>
          <w:highlight w:val="none"/>
        </w:rPr>
        <w:t>类型</w:t>
      </w:r>
      <w:r>
        <w:rPr>
          <w:rFonts w:hint="eastAsia" w:ascii="宋体" w:hAnsi="宋体" w:eastAsia="宋体" w:cs="宋体"/>
          <w:b w:val="0"/>
          <w:color w:val="auto"/>
          <w:sz w:val="24"/>
          <w:szCs w:val="24"/>
          <w:highlight w:val="none"/>
          <w:lang w:eastAsia="zh-CN"/>
        </w:rPr>
        <w:t>，</w:t>
      </w:r>
      <w:r>
        <w:rPr>
          <w:rFonts w:hint="eastAsia" w:ascii="宋体" w:hAnsi="宋体" w:eastAsia="宋体" w:cs="宋体"/>
          <w:color w:val="auto"/>
          <w:sz w:val="24"/>
          <w:szCs w:val="24"/>
          <w:highlight w:val="none"/>
        </w:rPr>
        <w:t>强调“小企业要有小企业的样子”</w:t>
      </w:r>
      <w:r>
        <w:rPr>
          <w:rFonts w:hint="eastAsia" w:ascii="宋体" w:hAnsi="宋体" w:eastAsia="宋体" w:cs="宋体"/>
          <w:color w:val="auto"/>
          <w:sz w:val="24"/>
          <w:szCs w:val="24"/>
          <w:highlight w:val="none"/>
          <w:lang w:eastAsia="zh-CN"/>
        </w:rPr>
        <w:t>。这样可有效解决从业人员少、营业收入高或资产总额大的企业划入中小企业的问题，</w:t>
      </w:r>
      <w:r>
        <w:rPr>
          <w:rFonts w:hint="eastAsia" w:ascii="宋体" w:hAnsi="宋体" w:eastAsia="宋体" w:cs="宋体"/>
          <w:color w:val="auto"/>
          <w:sz w:val="24"/>
          <w:szCs w:val="24"/>
          <w:highlight w:val="none"/>
        </w:rPr>
        <w:t>更为客观地反映中小企业的经营规模</w:t>
      </w:r>
      <w:r>
        <w:rPr>
          <w:rFonts w:hint="eastAsia" w:ascii="宋体" w:hAnsi="宋体" w:eastAsia="宋体" w:cs="宋体"/>
          <w:color w:val="auto"/>
          <w:sz w:val="24"/>
          <w:szCs w:val="24"/>
          <w:highlight w:val="none"/>
          <w:lang w:eastAsia="zh-CN"/>
        </w:rPr>
        <w:t>，并可降低从业人员统计口径对企业规模变化的影响。</w:t>
      </w:r>
    </w:p>
    <w:p w14:paraId="129ED13E">
      <w:pPr>
        <w:spacing w:line="24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关于定量指标阈值的调整</w:t>
      </w:r>
    </w:p>
    <w:p w14:paraId="4FA22048">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关于从业人员指标</w:t>
      </w:r>
      <w:r>
        <w:rPr>
          <w:rFonts w:hint="eastAsia" w:ascii="宋体" w:hAnsi="宋体" w:eastAsia="宋体" w:cs="宋体"/>
          <w:b w:val="0"/>
          <w:bCs w:val="0"/>
          <w:color w:val="auto"/>
          <w:sz w:val="24"/>
          <w:szCs w:val="24"/>
          <w:highlight w:val="none"/>
          <w:lang w:eastAsia="zh-CN"/>
        </w:rPr>
        <w:t>阈值。鉴于</w:t>
      </w:r>
      <w:r>
        <w:rPr>
          <w:rFonts w:hint="eastAsia" w:ascii="宋体" w:hAnsi="宋体" w:eastAsia="宋体" w:cs="宋体"/>
          <w:b w:val="0"/>
          <w:bCs w:val="0"/>
          <w:color w:val="auto"/>
          <w:sz w:val="24"/>
          <w:szCs w:val="24"/>
          <w:highlight w:val="none"/>
        </w:rPr>
        <w:t>现行《</w:t>
      </w:r>
      <w:r>
        <w:rPr>
          <w:rFonts w:hint="eastAsia" w:ascii="宋体" w:hAnsi="宋体" w:eastAsia="宋体" w:cs="宋体"/>
          <w:b w:val="0"/>
          <w:bCs w:val="0"/>
          <w:color w:val="auto"/>
          <w:sz w:val="24"/>
          <w:szCs w:val="24"/>
          <w:highlight w:val="none"/>
          <w:lang w:eastAsia="zh-CN"/>
        </w:rPr>
        <w:t>划型</w:t>
      </w:r>
      <w:r>
        <w:rPr>
          <w:rFonts w:hint="eastAsia" w:ascii="宋体" w:hAnsi="宋体" w:eastAsia="宋体" w:cs="宋体"/>
          <w:b w:val="0"/>
          <w:bCs w:val="0"/>
          <w:color w:val="auto"/>
          <w:sz w:val="24"/>
          <w:szCs w:val="24"/>
          <w:highlight w:val="none"/>
        </w:rPr>
        <w:t>标准》从业人员指标标准基本具有国际可比性且符合国情</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rPr>
        <w:t>微型企</w:t>
      </w:r>
      <w:r>
        <w:rPr>
          <w:rFonts w:hint="eastAsia" w:ascii="宋体" w:hAnsi="宋体" w:eastAsia="宋体" w:cs="宋体"/>
          <w:b w:val="0"/>
          <w:color w:val="auto"/>
          <w:sz w:val="24"/>
          <w:szCs w:val="24"/>
          <w:highlight w:val="none"/>
        </w:rPr>
        <w:t>业的人员标准基本与其他国家接近</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中型和小型企业标准与其他国家有</w:t>
      </w:r>
      <w:r>
        <w:rPr>
          <w:rFonts w:hint="eastAsia" w:ascii="宋体" w:hAnsi="宋体" w:eastAsia="宋体" w:cs="宋体"/>
          <w:b w:val="0"/>
          <w:color w:val="auto"/>
          <w:sz w:val="24"/>
          <w:szCs w:val="24"/>
          <w:highlight w:val="none"/>
          <w:lang w:eastAsia="zh-CN"/>
        </w:rPr>
        <w:t>所</w:t>
      </w:r>
      <w:r>
        <w:rPr>
          <w:rFonts w:hint="eastAsia" w:ascii="宋体" w:hAnsi="宋体" w:eastAsia="宋体" w:cs="宋体"/>
          <w:b w:val="0"/>
          <w:color w:val="auto"/>
          <w:sz w:val="24"/>
          <w:szCs w:val="24"/>
          <w:highlight w:val="none"/>
        </w:rPr>
        <w:t>差异，但</w:t>
      </w:r>
      <w:r>
        <w:rPr>
          <w:rFonts w:hint="eastAsia" w:ascii="宋体" w:hAnsi="宋体" w:eastAsia="宋体" w:cs="宋体"/>
          <w:b w:val="0"/>
          <w:color w:val="auto"/>
          <w:sz w:val="24"/>
          <w:szCs w:val="24"/>
          <w:highlight w:val="none"/>
          <w:lang w:eastAsia="zh-CN"/>
        </w:rPr>
        <w:t>基本适应</w:t>
      </w:r>
      <w:r>
        <w:rPr>
          <w:rFonts w:hint="eastAsia" w:ascii="宋体" w:hAnsi="宋体" w:eastAsia="宋体" w:cs="宋体"/>
          <w:b w:val="0"/>
          <w:color w:val="auto"/>
          <w:sz w:val="24"/>
          <w:szCs w:val="24"/>
          <w:highlight w:val="none"/>
        </w:rPr>
        <w:t>我国</w:t>
      </w:r>
      <w:r>
        <w:rPr>
          <w:rFonts w:hint="eastAsia" w:ascii="宋体" w:hAnsi="宋体" w:eastAsia="宋体" w:cs="宋体"/>
          <w:color w:val="auto"/>
          <w:sz w:val="24"/>
          <w:szCs w:val="24"/>
          <w:highlight w:val="none"/>
        </w:rPr>
        <w:t>人口众多</w:t>
      </w:r>
      <w:r>
        <w:rPr>
          <w:rFonts w:hint="eastAsia" w:ascii="宋体" w:hAnsi="宋体" w:eastAsia="宋体" w:cs="宋体"/>
          <w:color w:val="auto"/>
          <w:sz w:val="24"/>
          <w:szCs w:val="24"/>
          <w:highlight w:val="none"/>
          <w:lang w:eastAsia="zh-CN"/>
        </w:rPr>
        <w:t>、</w:t>
      </w:r>
      <w:r>
        <w:rPr>
          <w:rFonts w:hint="eastAsia" w:ascii="宋体" w:hAnsi="宋体" w:eastAsia="宋体" w:cs="宋体"/>
          <w:b w:val="0"/>
          <w:color w:val="auto"/>
          <w:sz w:val="24"/>
          <w:szCs w:val="24"/>
          <w:highlight w:val="none"/>
        </w:rPr>
        <w:t>劳动生产率</w:t>
      </w:r>
      <w:r>
        <w:rPr>
          <w:rFonts w:hint="eastAsia" w:ascii="宋体" w:hAnsi="宋体" w:eastAsia="宋体" w:cs="宋体"/>
          <w:b w:val="0"/>
          <w:color w:val="auto"/>
          <w:sz w:val="24"/>
          <w:szCs w:val="24"/>
          <w:highlight w:val="none"/>
          <w:lang w:eastAsia="zh-CN"/>
        </w:rPr>
        <w:t>相对</w:t>
      </w:r>
      <w:r>
        <w:rPr>
          <w:rFonts w:hint="eastAsia" w:ascii="宋体" w:hAnsi="宋体" w:eastAsia="宋体" w:cs="宋体"/>
          <w:b w:val="0"/>
          <w:color w:val="auto"/>
          <w:sz w:val="24"/>
          <w:szCs w:val="24"/>
          <w:highlight w:val="none"/>
        </w:rPr>
        <w:t>较低</w:t>
      </w:r>
      <w:r>
        <w:rPr>
          <w:rFonts w:hint="eastAsia" w:ascii="宋体" w:hAnsi="宋体" w:eastAsia="宋体" w:cs="宋体"/>
          <w:color w:val="auto"/>
          <w:sz w:val="24"/>
          <w:szCs w:val="24"/>
          <w:highlight w:val="none"/>
        </w:rPr>
        <w:t>的基本国情。</w:t>
      </w:r>
      <w:r>
        <w:rPr>
          <w:rFonts w:hint="eastAsia" w:ascii="宋体" w:hAnsi="宋体" w:eastAsia="宋体" w:cs="宋体"/>
          <w:color w:val="auto"/>
          <w:sz w:val="24"/>
          <w:szCs w:val="24"/>
          <w:highlight w:val="none"/>
          <w:lang w:eastAsia="zh-CN"/>
        </w:rPr>
        <w:t>因此，</w:t>
      </w:r>
      <w:r>
        <w:rPr>
          <w:rFonts w:hint="eastAsia" w:ascii="宋体" w:hAnsi="宋体" w:eastAsia="宋体" w:cs="宋体"/>
          <w:color w:val="auto"/>
          <w:sz w:val="24"/>
          <w:szCs w:val="24"/>
          <w:highlight w:val="none"/>
        </w:rPr>
        <w:t>本次修订</w:t>
      </w:r>
      <w:r>
        <w:rPr>
          <w:rFonts w:hint="eastAsia" w:ascii="宋体" w:hAnsi="宋体" w:eastAsia="宋体" w:cs="宋体"/>
          <w:color w:val="auto"/>
          <w:sz w:val="24"/>
          <w:szCs w:val="24"/>
          <w:highlight w:val="none"/>
          <w:lang w:eastAsia="zh-CN"/>
        </w:rPr>
        <w:t>中</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lang w:eastAsia="zh-CN"/>
        </w:rPr>
        <w:t>指标阈值</w:t>
      </w:r>
      <w:r>
        <w:rPr>
          <w:rFonts w:hint="eastAsia" w:ascii="宋体" w:hAnsi="宋体" w:eastAsia="宋体" w:cs="宋体"/>
          <w:color w:val="auto"/>
          <w:sz w:val="24"/>
          <w:szCs w:val="24"/>
          <w:highlight w:val="none"/>
        </w:rPr>
        <w:t>主要沿用现行《</w:t>
      </w:r>
      <w:r>
        <w:rPr>
          <w:rFonts w:hint="eastAsia" w:ascii="宋体" w:hAnsi="宋体" w:eastAsia="宋体" w:cs="宋体"/>
          <w:color w:val="auto"/>
          <w:sz w:val="24"/>
          <w:szCs w:val="24"/>
          <w:highlight w:val="none"/>
          <w:lang w:eastAsia="zh-CN"/>
        </w:rPr>
        <w:t>划型</w:t>
      </w:r>
      <w:r>
        <w:rPr>
          <w:rFonts w:hint="eastAsia" w:ascii="宋体" w:hAnsi="宋体" w:eastAsia="宋体" w:cs="宋体"/>
          <w:color w:val="auto"/>
          <w:sz w:val="24"/>
          <w:szCs w:val="24"/>
          <w:highlight w:val="none"/>
        </w:rPr>
        <w:t>标准》，仅对</w:t>
      </w:r>
      <w:r>
        <w:rPr>
          <w:rFonts w:hint="eastAsia" w:ascii="宋体" w:hAnsi="宋体" w:eastAsia="宋体" w:cs="宋体"/>
          <w:color w:val="auto"/>
          <w:sz w:val="24"/>
          <w:szCs w:val="24"/>
          <w:highlight w:val="none"/>
          <w:lang w:eastAsia="zh-CN"/>
        </w:rPr>
        <w:t>仓储业，信息传输业、软件和信息技术服务业，</w:t>
      </w:r>
      <w:r>
        <w:rPr>
          <w:rFonts w:hint="eastAsia" w:ascii="宋体" w:hAnsi="宋体" w:eastAsia="宋体" w:cs="宋体"/>
          <w:color w:val="auto"/>
          <w:sz w:val="24"/>
          <w:szCs w:val="24"/>
          <w:highlight w:val="none"/>
        </w:rPr>
        <w:t>物业管理业</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少数</w:t>
      </w:r>
      <w:r>
        <w:rPr>
          <w:rFonts w:hint="eastAsia" w:ascii="宋体" w:hAnsi="宋体" w:eastAsia="宋体" w:cs="宋体"/>
          <w:color w:val="auto"/>
          <w:sz w:val="24"/>
          <w:szCs w:val="24"/>
          <w:highlight w:val="none"/>
          <w:lang w:eastAsia="zh-CN"/>
        </w:rPr>
        <w:t>涉及行业分类调整的从业人员指标</w:t>
      </w:r>
      <w:r>
        <w:rPr>
          <w:rFonts w:hint="eastAsia" w:ascii="宋体" w:hAnsi="宋体" w:eastAsia="宋体" w:cs="宋体"/>
          <w:color w:val="auto"/>
          <w:sz w:val="24"/>
          <w:szCs w:val="24"/>
          <w:highlight w:val="none"/>
        </w:rPr>
        <w:t>进行调整。</w:t>
      </w:r>
    </w:p>
    <w:p w14:paraId="633090E7">
      <w:pPr>
        <w:spacing w:line="240" w:lineRule="auto"/>
        <w:ind w:firstLine="64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关于财务指标阈值</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参考国际经验，结合我国国情，</w:t>
      </w:r>
      <w:r>
        <w:rPr>
          <w:rFonts w:hint="eastAsia" w:ascii="宋体" w:hAnsi="宋体" w:eastAsia="宋体" w:cs="宋体"/>
          <w:color w:val="auto"/>
          <w:sz w:val="24"/>
          <w:szCs w:val="24"/>
          <w:highlight w:val="none"/>
          <w:lang w:eastAsia="zh-CN"/>
        </w:rPr>
        <w:t>本次修订</w:t>
      </w:r>
      <w:r>
        <w:rPr>
          <w:rFonts w:hint="eastAsia" w:ascii="宋体" w:hAnsi="宋体" w:eastAsia="宋体" w:cs="宋体"/>
          <w:color w:val="auto"/>
          <w:sz w:val="24"/>
          <w:szCs w:val="24"/>
          <w:highlight w:val="none"/>
        </w:rPr>
        <w:t>主要考虑四方面因素影响</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一是</w:t>
      </w:r>
      <w:r>
        <w:rPr>
          <w:rFonts w:hint="eastAsia" w:ascii="宋体" w:hAnsi="宋体" w:eastAsia="宋体" w:cs="宋体"/>
          <w:b w:val="0"/>
          <w:bCs w:val="0"/>
          <w:color w:val="auto"/>
          <w:sz w:val="24"/>
          <w:szCs w:val="24"/>
          <w:highlight w:val="none"/>
        </w:rPr>
        <w:t>劳动生产率提高的影响</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二是双指标划型区间并集转交集的影响</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rPr>
        <w:t>三是定量指标阈值调整与</w:t>
      </w:r>
      <w:r>
        <w:rPr>
          <w:rFonts w:hint="eastAsia" w:ascii="宋体" w:hAnsi="宋体" w:eastAsia="宋体" w:cs="宋体"/>
          <w:b w:val="0"/>
          <w:bCs w:val="0"/>
          <w:color w:val="auto"/>
          <w:sz w:val="24"/>
          <w:szCs w:val="24"/>
          <w:highlight w:val="none"/>
          <w:lang w:eastAsia="zh-CN"/>
        </w:rPr>
        <w:t>部分行业</w:t>
      </w:r>
      <w:r>
        <w:rPr>
          <w:rFonts w:hint="eastAsia" w:ascii="宋体" w:hAnsi="宋体" w:eastAsia="宋体" w:cs="宋体"/>
          <w:b w:val="0"/>
          <w:bCs w:val="0"/>
          <w:color w:val="auto"/>
          <w:sz w:val="24"/>
          <w:szCs w:val="24"/>
          <w:highlight w:val="none"/>
        </w:rPr>
        <w:t>现有统计规模（或限额）口径衔接</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四是各行业规模类型</w:t>
      </w:r>
      <w:r>
        <w:rPr>
          <w:rFonts w:hint="eastAsia" w:ascii="宋体" w:hAnsi="宋体" w:eastAsia="宋体" w:cs="宋体"/>
          <w:b w:val="0"/>
          <w:bCs w:val="0"/>
          <w:color w:val="auto"/>
          <w:sz w:val="24"/>
          <w:szCs w:val="24"/>
          <w:highlight w:val="none"/>
          <w:lang w:eastAsia="zh-CN"/>
        </w:rPr>
        <w:t>比例相对稳定</w:t>
      </w:r>
      <w:r>
        <w:rPr>
          <w:rFonts w:hint="eastAsia" w:ascii="宋体" w:hAnsi="宋体" w:eastAsia="宋体" w:cs="宋体"/>
          <w:b w:val="0"/>
          <w:bCs w:val="0"/>
          <w:color w:val="auto"/>
          <w:sz w:val="24"/>
          <w:szCs w:val="24"/>
          <w:highlight w:val="none"/>
        </w:rPr>
        <w:t>。</w:t>
      </w:r>
    </w:p>
    <w:p w14:paraId="73580AA6">
      <w:pPr>
        <w:spacing w:line="240" w:lineRule="auto"/>
        <w:ind w:firstLine="64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修订</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各行业</w:t>
      </w:r>
      <w:r>
        <w:rPr>
          <w:rFonts w:hint="eastAsia" w:ascii="宋体" w:hAnsi="宋体" w:eastAsia="宋体" w:cs="宋体"/>
          <w:color w:val="auto"/>
          <w:sz w:val="24"/>
          <w:szCs w:val="24"/>
          <w:highlight w:val="none"/>
        </w:rPr>
        <w:t>各类型企业比例与《划型标准》制定时的大中小微企业类型分布比例</w:t>
      </w:r>
      <w:r>
        <w:rPr>
          <w:rFonts w:hint="eastAsia" w:ascii="宋体" w:hAnsi="宋体" w:eastAsia="宋体" w:cs="宋体"/>
          <w:color w:val="auto"/>
          <w:sz w:val="24"/>
          <w:szCs w:val="24"/>
          <w:highlight w:val="none"/>
          <w:lang w:eastAsia="zh-CN"/>
        </w:rPr>
        <w:t>相对稳定，</w:t>
      </w:r>
      <w:r>
        <w:rPr>
          <w:rFonts w:hint="eastAsia" w:ascii="宋体" w:hAnsi="宋体" w:eastAsia="宋体" w:cs="宋体"/>
          <w:color w:val="auto"/>
          <w:sz w:val="24"/>
          <w:szCs w:val="24"/>
          <w:highlight w:val="none"/>
        </w:rPr>
        <w:t>中小企业特别是小微企业分布维持相对合理比例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所有行业的规模（限额）以上企业中将不再含有微型企业，微型企业均为规模（限额）以下企业。</w:t>
      </w:r>
    </w:p>
    <w:p w14:paraId="5A63AFE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2" w:firstLineChars="200"/>
        <w:jc w:val="left"/>
        <w:textAlignment w:val="auto"/>
        <w:outlineLvl w:val="9"/>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rPr>
        <w:t>增加定性标准</w:t>
      </w:r>
    </w:p>
    <w:p w14:paraId="4F5A67B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为解决实践中大型企业所属子公司因符合中小企业划型定量标准，挤占中小企业有限的政策资源或悬空大型企业法律责任义务问题，借鉴欧美日等设置中小企业独立经营方面定性标准的经验，增加“定性”标准，即规定“符合中小企业划型定量标准，但有下列情形之一的，视同大型企业：单个大型企业或大型企业全资子公司直接控股超过50%的企业；两个以上大型企业或大型企业全资子公司直接控股超过50%的企业；与大型企业或大型企业全资子公司的法定代表人为同一人的企业。”将大型企业所属或直接控制企业排除在中小企业之外</w:t>
      </w:r>
      <w:r>
        <w:rPr>
          <w:rFonts w:hint="eastAsia" w:ascii="宋体" w:hAnsi="宋体" w:eastAsia="宋体" w:cs="宋体"/>
          <w:color w:val="auto"/>
          <w:sz w:val="24"/>
          <w:szCs w:val="24"/>
          <w:highlight w:val="none"/>
        </w:rPr>
        <w:t>。</w:t>
      </w:r>
    </w:p>
    <w:p w14:paraId="7037B3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（六）增加有关</w:t>
      </w:r>
      <w:r>
        <w:rPr>
          <w:rFonts w:hint="eastAsia" w:ascii="宋体" w:hAnsi="宋体" w:eastAsia="宋体" w:cs="宋体"/>
          <w:b/>
          <w:bCs w:val="0"/>
          <w:color w:val="auto"/>
          <w:sz w:val="24"/>
          <w:szCs w:val="24"/>
          <w:highlight w:val="none"/>
        </w:rPr>
        <w:t>中小企业规模类型</w:t>
      </w:r>
      <w:r>
        <w:rPr>
          <w:rFonts w:hint="eastAsia" w:ascii="宋体" w:hAnsi="宋体" w:eastAsia="宋体" w:cs="宋体"/>
          <w:b/>
          <w:bCs w:val="0"/>
          <w:color w:val="auto"/>
          <w:sz w:val="24"/>
          <w:szCs w:val="24"/>
          <w:highlight w:val="none"/>
          <w:lang w:eastAsia="zh-CN"/>
        </w:rPr>
        <w:t>自我声明及</w:t>
      </w:r>
      <w:r>
        <w:rPr>
          <w:rFonts w:hint="eastAsia" w:ascii="宋体" w:hAnsi="宋体" w:eastAsia="宋体" w:cs="宋体"/>
          <w:b/>
          <w:bCs w:val="0"/>
          <w:color w:val="auto"/>
          <w:sz w:val="24"/>
          <w:szCs w:val="24"/>
          <w:highlight w:val="none"/>
        </w:rPr>
        <w:t>认定</w:t>
      </w:r>
      <w:r>
        <w:rPr>
          <w:rFonts w:hint="eastAsia" w:ascii="宋体" w:hAnsi="宋体" w:eastAsia="宋体" w:cs="宋体"/>
          <w:b/>
          <w:bCs w:val="0"/>
          <w:color w:val="auto"/>
          <w:sz w:val="24"/>
          <w:szCs w:val="24"/>
          <w:highlight w:val="none"/>
          <w:lang w:eastAsia="zh-CN"/>
        </w:rPr>
        <w:t>内容</w:t>
      </w:r>
    </w:p>
    <w:p w14:paraId="2DF92D4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按照《国务院办公厅关于全面推行证明事项和涉企经营许可事项告知承诺制的指导意见》和《政府采购促进中小企业发展管理办法》的实践做法，《划型标准》修订中明确“</w:t>
      </w:r>
      <w:r>
        <w:rPr>
          <w:rFonts w:hint="eastAsia" w:ascii="宋体" w:hAnsi="宋体" w:eastAsia="宋体" w:cs="宋体"/>
          <w:color w:val="auto"/>
          <w:sz w:val="24"/>
          <w:szCs w:val="24"/>
          <w:highlight w:val="none"/>
        </w:rPr>
        <w:t>中小企业规模类型采用自我声明的方式，企业对自我声明内容的真实性负责</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bidi="ar-SA"/>
        </w:rPr>
        <w:t>同时，明确“</w:t>
      </w:r>
      <w:r>
        <w:rPr>
          <w:rFonts w:hint="eastAsia" w:ascii="宋体" w:hAnsi="宋体" w:eastAsia="宋体" w:cs="宋体"/>
          <w:color w:val="auto"/>
          <w:sz w:val="24"/>
          <w:szCs w:val="24"/>
          <w:highlight w:val="none"/>
        </w:rPr>
        <w:t>在监督检查、投诉处理中对中小企业规模类型有争议的，有关部门可以向有争议的企业登记所在地同级负责中小企业促进工作综合管理部门书面提请认定</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w:t>
      </w:r>
    </w:p>
    <w:p w14:paraId="2B5947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（七）</w:t>
      </w:r>
      <w:r>
        <w:rPr>
          <w:rFonts w:hint="eastAsia" w:ascii="宋体" w:hAnsi="宋体" w:eastAsia="宋体" w:cs="宋体"/>
          <w:b/>
          <w:bCs w:val="0"/>
          <w:color w:val="auto"/>
          <w:sz w:val="24"/>
          <w:szCs w:val="24"/>
          <w:highlight w:val="none"/>
        </w:rPr>
        <w:t>建立《划型标准》定期评估制度</w:t>
      </w:r>
    </w:p>
    <w:p w14:paraId="201125E0">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借鉴国际经验，设立我国中小企业划型标准定期评估制度：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由国务院促进中小企业发展综合管理部门、国家统计部门会同有关部门根据经济社会发展情况，每5年定期评估，根据评估情况适时修订。</w:t>
      </w:r>
      <w:r>
        <w:rPr>
          <w:rFonts w:hint="eastAsia" w:ascii="宋体" w:hAnsi="宋体" w:eastAsia="宋体" w:cs="宋体"/>
          <w:color w:val="auto"/>
          <w:sz w:val="24"/>
          <w:szCs w:val="24"/>
          <w:highlight w:val="none"/>
          <w:lang w:eastAsia="zh-CN"/>
        </w:rPr>
        <w:t>”</w:t>
      </w:r>
    </w:p>
    <w:p w14:paraId="2DF2BCCF">
      <w:pPr>
        <w:pStyle w:val="25"/>
        <w:tabs>
          <w:tab w:val="left" w:pos="900"/>
        </w:tabs>
        <w:rPr>
          <w:rFonts w:hint="eastAsia" w:ascii="宋体" w:hAnsi="宋体" w:eastAsia="宋体" w:cs="宋体"/>
          <w:color w:val="auto"/>
          <w:sz w:val="24"/>
          <w:szCs w:val="24"/>
          <w:highlight w:val="none"/>
        </w:rPr>
      </w:pPr>
    </w:p>
    <w:p w14:paraId="6E1B7A2B">
      <w:pPr>
        <w:pStyle w:val="25"/>
        <w:tabs>
          <w:tab w:val="left" w:pos="900"/>
        </w:tabs>
        <w:ind w:left="0" w:leftChars="0" w:firstLine="0" w:firstLineChars="0"/>
        <w:rPr>
          <w:rFonts w:hint="eastAsia" w:ascii="宋体" w:hAnsi="宋体" w:eastAsia="宋体" w:cs="宋体"/>
          <w:color w:val="auto"/>
          <w:sz w:val="24"/>
          <w:szCs w:val="24"/>
          <w:highlight w:val="none"/>
        </w:rPr>
      </w:pPr>
    </w:p>
    <w:p w14:paraId="22DBAA03">
      <w:pPr>
        <w:keepNext w:val="0"/>
        <w:keepLines w:val="0"/>
        <w:widowControl/>
        <w:suppressLineNumbers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rPr>
        <w:br w:type="page"/>
      </w:r>
      <w:r>
        <w:rPr>
          <w:rFonts w:hint="eastAsia" w:ascii="宋体" w:hAnsi="宋体" w:eastAsia="宋体" w:cs="宋体"/>
          <w:b/>
          <w:bCs/>
          <w:color w:val="auto"/>
          <w:kern w:val="0"/>
          <w:sz w:val="24"/>
          <w:szCs w:val="24"/>
          <w:highlight w:val="none"/>
          <w:lang w:val="en-US" w:eastAsia="zh-CN"/>
        </w:rPr>
        <w:t>财政部 司法部</w:t>
      </w:r>
    </w:p>
    <w:p w14:paraId="3B8166FD">
      <w:pPr>
        <w:keepNext w:val="0"/>
        <w:keepLines w:val="0"/>
        <w:widowControl/>
        <w:suppressLineNumbers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rPr>
        <w:t>关于政府采购支持监狱企业发展有关问题的通知</w:t>
      </w:r>
    </w:p>
    <w:p w14:paraId="44CA7077">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 xml:space="preserve">财库〔2014〕68 号 </w:t>
      </w:r>
    </w:p>
    <w:p w14:paraId="2060BBE1">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 xml:space="preserve">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 </w:t>
      </w:r>
    </w:p>
    <w:p w14:paraId="53BFCB74">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 xml:space="preserve">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 号)精神，发挥政府采购支持监狱企业发展的作用，现就有关事项通知如下：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 </w:t>
      </w:r>
    </w:p>
    <w:p w14:paraId="5C864D32">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 xml:space="preserve">二、在政府采购活动中，监狱企业视同小型、微型企业，享受预留份额、评审中价格扣除等政府采购促进中小企业发展的政府采购政策。向监狱企业采购的金额，计入面向中小企业采购的统计数据。 </w:t>
      </w:r>
    </w:p>
    <w:p w14:paraId="68A7710F">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 xml:space="preserve">三、各地区、各部门要积极通过预留采购份额支持监狱企业。有制服采购项目的部门，应加强对政府采购预算和计划编制工作的统筹，预留本部门制服采购项目预算总额的 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 </w:t>
      </w:r>
    </w:p>
    <w:p w14:paraId="290E88BE">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 xml:space="preserve">四、各地区可以结合本地区实际，对监狱企业生产的办公用品、家具用具、车辆维修和提供的保养服务、消防设备等，提出预留份额等政府采购支持措施，加大对监狱企业产品的采购力度。 </w:t>
      </w:r>
    </w:p>
    <w:p w14:paraId="25FDA17D">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3EE409E">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第四章 合同条款及格式</w:t>
      </w:r>
      <w:bookmarkEnd w:id="366"/>
      <w:bookmarkEnd w:id="367"/>
      <w:bookmarkEnd w:id="368"/>
      <w:bookmarkEnd w:id="369"/>
      <w:bookmarkEnd w:id="370"/>
      <w:bookmarkEnd w:id="371"/>
      <w:bookmarkEnd w:id="372"/>
      <w:bookmarkEnd w:id="373"/>
    </w:p>
    <w:p w14:paraId="26DE59BB">
      <w:pPr>
        <w:pageBreakBefore w:val="0"/>
        <w:widowControl w:val="0"/>
        <w:kinsoku/>
        <w:wordWrap/>
        <w:overflowPunct/>
        <w:topLinePunct w:val="0"/>
        <w:bidi w:val="0"/>
        <w:snapToGrid/>
        <w:spacing w:line="260" w:lineRule="exact"/>
        <w:jc w:val="center"/>
        <w:rPr>
          <w:rFonts w:eastAsia="华文中宋"/>
          <w:b/>
          <w:color w:val="000000"/>
          <w:sz w:val="36"/>
          <w:szCs w:val="36"/>
          <w:highlight w:val="none"/>
        </w:rPr>
      </w:pPr>
      <w:bookmarkStart w:id="379" w:name="_Toc179632789"/>
      <w:bookmarkStart w:id="380" w:name="_Toc152042554"/>
      <w:bookmarkStart w:id="381" w:name="_Toc152045772"/>
      <w:bookmarkStart w:id="382" w:name="_Toc246996340"/>
      <w:bookmarkStart w:id="383" w:name="_Toc144974834"/>
      <w:bookmarkStart w:id="384" w:name="_Toc246997083"/>
      <w:bookmarkStart w:id="385" w:name="_Toc247085855"/>
    </w:p>
    <w:p w14:paraId="0CD9B63D">
      <w:pPr>
        <w:ind w:firstLine="2720" w:firstLineChars="800"/>
        <w:rPr>
          <w:rFonts w:hint="eastAsia" w:hAnsi="宋体" w:cs="宋体"/>
          <w:color w:val="auto"/>
          <w:highlight w:val="none"/>
          <w:lang w:val="en-US" w:eastAsia="zh-CN"/>
        </w:rPr>
      </w:pPr>
      <w:r>
        <w:rPr>
          <w:rFonts w:hint="eastAsia" w:hAnsi="宋体" w:cs="宋体"/>
          <w:color w:val="auto"/>
          <w:highlight w:val="none"/>
          <w:lang w:val="en-US" w:eastAsia="zh-CN"/>
        </w:rPr>
        <w:t>最终以实际签订合同为准</w:t>
      </w:r>
    </w:p>
    <w:p w14:paraId="1386DFE3">
      <w:pPr>
        <w:rPr>
          <w:rFonts w:hint="eastAsia" w:hAnsi="宋体" w:cs="宋体"/>
          <w:color w:val="auto"/>
          <w:highlight w:val="none"/>
          <w:lang w:val="en-US" w:eastAsia="zh-CN"/>
        </w:rPr>
      </w:pPr>
      <w:r>
        <w:rPr>
          <w:rFonts w:hint="eastAsia" w:hAnsi="宋体" w:cs="宋体"/>
          <w:color w:val="auto"/>
          <w:highlight w:val="none"/>
          <w:lang w:val="en-US" w:eastAsia="zh-CN"/>
        </w:rPr>
        <w:br w:type="page"/>
      </w:r>
    </w:p>
    <w:p w14:paraId="5DE2D447">
      <w:pPr>
        <w:jc w:val="center"/>
        <w:rPr>
          <w:rFonts w:hint="eastAsia" w:eastAsia="楷体_GB2312"/>
          <w:b/>
          <w:sz w:val="52"/>
          <w:szCs w:val="52"/>
          <w:highlight w:val="none"/>
          <w:lang w:val="en-US" w:eastAsia="zh-CN"/>
        </w:rPr>
      </w:pPr>
      <w:r>
        <w:rPr>
          <w:rFonts w:hint="eastAsia" w:eastAsia="楷体_GB2312"/>
          <w:b/>
          <w:sz w:val="52"/>
          <w:szCs w:val="52"/>
          <w:highlight w:val="none"/>
          <w:lang w:val="en-US" w:eastAsia="zh-CN"/>
        </w:rPr>
        <w:t>长春市殡葬服务中心息园2025年</w:t>
      </w:r>
    </w:p>
    <w:p w14:paraId="3B43E40E">
      <w:pPr>
        <w:jc w:val="center"/>
        <w:rPr>
          <w:rFonts w:hint="eastAsia" w:eastAsia="楷体_GB2312"/>
          <w:b/>
          <w:sz w:val="52"/>
          <w:szCs w:val="52"/>
          <w:highlight w:val="none"/>
          <w:lang w:val="en-US" w:eastAsia="zh-CN"/>
        </w:rPr>
      </w:pPr>
      <w:r>
        <w:rPr>
          <w:rFonts w:hint="eastAsia" w:eastAsia="楷体_GB2312"/>
          <w:b/>
          <w:sz w:val="52"/>
          <w:szCs w:val="52"/>
          <w:highlight w:val="none"/>
          <w:lang w:val="en-US" w:eastAsia="zh-CN"/>
        </w:rPr>
        <w:t>清A区挡土墙修缮及墓穴项目</w:t>
      </w:r>
    </w:p>
    <w:p w14:paraId="17409B59">
      <w:pPr>
        <w:jc w:val="center"/>
        <w:rPr>
          <w:rFonts w:eastAsia="楷体_GB2312"/>
          <w:b/>
          <w:sz w:val="52"/>
          <w:szCs w:val="52"/>
          <w:highlight w:val="none"/>
        </w:rPr>
      </w:pPr>
    </w:p>
    <w:p w14:paraId="32A0A487">
      <w:pPr>
        <w:jc w:val="center"/>
        <w:rPr>
          <w:rFonts w:eastAsia="楷体_GB2312"/>
          <w:b/>
          <w:sz w:val="13"/>
          <w:szCs w:val="13"/>
          <w:highlight w:val="none"/>
        </w:rPr>
      </w:pPr>
    </w:p>
    <w:p w14:paraId="5F4883A6">
      <w:pPr>
        <w:jc w:val="center"/>
        <w:rPr>
          <w:rFonts w:eastAsia="楷体_GB2312"/>
          <w:b/>
          <w:sz w:val="72"/>
          <w:szCs w:val="72"/>
          <w:highlight w:val="none"/>
        </w:rPr>
      </w:pPr>
    </w:p>
    <w:p w14:paraId="6F4C5706">
      <w:pPr>
        <w:jc w:val="center"/>
        <w:rPr>
          <w:rFonts w:eastAsia="楷体_GB2312"/>
          <w:b/>
          <w:sz w:val="84"/>
          <w:szCs w:val="84"/>
          <w:highlight w:val="none"/>
        </w:rPr>
      </w:pPr>
      <w:r>
        <w:rPr>
          <w:rFonts w:hint="eastAsia" w:eastAsia="楷体_GB2312"/>
          <w:b/>
          <w:sz w:val="84"/>
          <w:szCs w:val="84"/>
          <w:highlight w:val="none"/>
        </w:rPr>
        <w:t>采购合同</w:t>
      </w:r>
    </w:p>
    <w:p w14:paraId="6F9B1751">
      <w:pPr>
        <w:jc w:val="center"/>
        <w:rPr>
          <w:rFonts w:eastAsia="楷体_GB2312"/>
          <w:b/>
          <w:sz w:val="72"/>
          <w:szCs w:val="72"/>
          <w:highlight w:val="none"/>
        </w:rPr>
      </w:pPr>
    </w:p>
    <w:p w14:paraId="1F031BB4">
      <w:pPr>
        <w:jc w:val="center"/>
        <w:rPr>
          <w:rFonts w:eastAsia="楷体_GB2312"/>
          <w:b/>
          <w:sz w:val="72"/>
          <w:szCs w:val="72"/>
          <w:highlight w:val="none"/>
        </w:rPr>
      </w:pPr>
    </w:p>
    <w:p w14:paraId="18768688">
      <w:pPr>
        <w:jc w:val="center"/>
        <w:rPr>
          <w:rFonts w:eastAsia="楷体_GB2312"/>
          <w:b/>
          <w:sz w:val="72"/>
          <w:szCs w:val="72"/>
          <w:highlight w:val="none"/>
        </w:rPr>
      </w:pPr>
    </w:p>
    <w:p w14:paraId="42CDD537">
      <w:pPr>
        <w:jc w:val="center"/>
        <w:rPr>
          <w:rFonts w:eastAsia="黑体"/>
          <w:b/>
          <w:sz w:val="52"/>
          <w:szCs w:val="52"/>
          <w:highlight w:val="none"/>
        </w:rPr>
      </w:pPr>
    </w:p>
    <w:p w14:paraId="2723C747">
      <w:pPr>
        <w:rPr>
          <w:b/>
          <w:sz w:val="28"/>
          <w:szCs w:val="28"/>
          <w:highlight w:val="none"/>
        </w:rPr>
      </w:pPr>
    </w:p>
    <w:p w14:paraId="700589A8">
      <w:pPr>
        <w:ind w:firstLine="2249" w:firstLineChars="700"/>
        <w:rPr>
          <w:b/>
          <w:sz w:val="32"/>
          <w:szCs w:val="32"/>
          <w:highlight w:val="none"/>
        </w:rPr>
      </w:pPr>
      <w:r>
        <w:rPr>
          <w:rFonts w:hint="eastAsia"/>
          <w:b/>
          <w:sz w:val="32"/>
          <w:szCs w:val="32"/>
          <w:highlight w:val="none"/>
        </w:rPr>
        <w:t>签订日期：    年    月   日</w:t>
      </w:r>
    </w:p>
    <w:p w14:paraId="08CF3D7A">
      <w:pPr>
        <w:rPr>
          <w:b/>
          <w:sz w:val="28"/>
          <w:szCs w:val="28"/>
          <w:highlight w:val="none"/>
        </w:rPr>
      </w:pPr>
    </w:p>
    <w:p w14:paraId="7E038D68">
      <w:pPr>
        <w:rPr>
          <w:b/>
          <w:sz w:val="28"/>
          <w:szCs w:val="28"/>
          <w:highlight w:val="none"/>
        </w:rPr>
      </w:pPr>
    </w:p>
    <w:p w14:paraId="64C39F8E">
      <w:pPr>
        <w:spacing w:line="360" w:lineRule="auto"/>
        <w:rPr>
          <w:rFonts w:eastAsia="仿宋_GB2312"/>
          <w:b/>
          <w:sz w:val="24"/>
          <w:highlight w:val="none"/>
        </w:rPr>
      </w:pPr>
    </w:p>
    <w:p w14:paraId="7827B733">
      <w:pPr>
        <w:spacing w:line="360" w:lineRule="auto"/>
        <w:rPr>
          <w:rFonts w:eastAsia="仿宋_GB2312"/>
          <w:b/>
          <w:sz w:val="24"/>
          <w:highlight w:val="none"/>
        </w:rPr>
      </w:pPr>
    </w:p>
    <w:p w14:paraId="4FADE9C1">
      <w:pPr>
        <w:snapToGrid w:val="0"/>
        <w:spacing w:line="360" w:lineRule="auto"/>
        <w:rPr>
          <w:rFonts w:eastAsia="仿宋_GB2312"/>
          <w:b/>
          <w:sz w:val="28"/>
          <w:szCs w:val="28"/>
          <w:highlight w:val="none"/>
          <w:u w:val="single"/>
        </w:rPr>
      </w:pPr>
      <w:r>
        <w:rPr>
          <w:rFonts w:hint="eastAsia" w:eastAsia="仿宋_GB2312"/>
          <w:b/>
          <w:sz w:val="28"/>
          <w:szCs w:val="28"/>
          <w:highlight w:val="none"/>
        </w:rPr>
        <w:t>采购方</w:t>
      </w:r>
      <w:r>
        <w:rPr>
          <w:rFonts w:eastAsia="仿宋_GB2312"/>
          <w:b/>
          <w:sz w:val="28"/>
          <w:szCs w:val="28"/>
          <w:highlight w:val="none"/>
        </w:rPr>
        <w:t>（</w:t>
      </w:r>
      <w:r>
        <w:rPr>
          <w:rFonts w:hint="eastAsia" w:eastAsia="仿宋_GB2312"/>
          <w:b/>
          <w:sz w:val="28"/>
          <w:szCs w:val="28"/>
          <w:highlight w:val="none"/>
          <w:lang w:eastAsia="zh-CN"/>
        </w:rPr>
        <w:t>采购方</w:t>
      </w:r>
      <w:r>
        <w:rPr>
          <w:rFonts w:eastAsia="仿宋_GB2312"/>
          <w:b/>
          <w:sz w:val="28"/>
          <w:szCs w:val="28"/>
          <w:highlight w:val="none"/>
        </w:rPr>
        <w:t>）：</w:t>
      </w:r>
      <w:r>
        <w:rPr>
          <w:rFonts w:eastAsia="仿宋_GB2312"/>
          <w:b/>
          <w:sz w:val="28"/>
          <w:szCs w:val="28"/>
          <w:highlight w:val="none"/>
          <w:u w:val="single"/>
        </w:rPr>
        <w:t></w:t>
      </w:r>
      <w:r>
        <w:rPr>
          <w:rFonts w:hint="eastAsia" w:eastAsia="仿宋_GB2312"/>
          <w:b/>
          <w:sz w:val="28"/>
          <w:szCs w:val="28"/>
          <w:highlight w:val="none"/>
          <w:u w:val="single"/>
        </w:rPr>
        <w:t>长春市殡葬服务中心</w:t>
      </w:r>
      <w:r>
        <w:rPr>
          <w:rFonts w:eastAsia="仿宋_GB2312"/>
          <w:b/>
          <w:sz w:val="28"/>
          <w:szCs w:val="28"/>
          <w:highlight w:val="none"/>
          <w:u w:val="single"/>
        </w:rPr>
        <w:t xml:space="preserve">     </w:t>
      </w:r>
      <w:r>
        <w:rPr>
          <w:rFonts w:hint="eastAsia" w:eastAsia="仿宋_GB2312"/>
          <w:b/>
          <w:sz w:val="28"/>
          <w:szCs w:val="28"/>
          <w:highlight w:val="none"/>
          <w:u w:val="single"/>
        </w:rPr>
        <w:t xml:space="preserve"> </w:t>
      </w:r>
      <w:r>
        <w:rPr>
          <w:rFonts w:eastAsia="仿宋_GB2312"/>
          <w:b/>
          <w:sz w:val="28"/>
          <w:szCs w:val="28"/>
          <w:highlight w:val="none"/>
          <w:u w:val="single"/>
        </w:rPr>
        <w:t xml:space="preserve">    </w:t>
      </w:r>
      <w:r>
        <w:rPr>
          <w:rFonts w:hint="eastAsia" w:eastAsia="仿宋_GB2312"/>
          <w:b/>
          <w:sz w:val="28"/>
          <w:szCs w:val="28"/>
          <w:highlight w:val="none"/>
          <w:u w:val="single"/>
        </w:rPr>
        <w:t xml:space="preserve"> </w:t>
      </w:r>
      <w:r>
        <w:rPr>
          <w:rFonts w:eastAsia="仿宋_GB2312"/>
          <w:b/>
          <w:sz w:val="28"/>
          <w:szCs w:val="28"/>
          <w:highlight w:val="none"/>
          <w:u w:val="single"/>
        </w:rPr>
        <w:t xml:space="preserve">   </w:t>
      </w:r>
    </w:p>
    <w:p w14:paraId="47C320B6">
      <w:pPr>
        <w:snapToGrid w:val="0"/>
        <w:spacing w:line="360" w:lineRule="auto"/>
        <w:rPr>
          <w:rFonts w:eastAsia="仿宋_GB2312"/>
          <w:b/>
          <w:sz w:val="28"/>
          <w:szCs w:val="28"/>
          <w:highlight w:val="none"/>
          <w:u w:val="single"/>
        </w:rPr>
      </w:pPr>
      <w:r>
        <w:rPr>
          <w:rFonts w:hint="eastAsia" w:eastAsia="仿宋_GB2312"/>
          <w:b/>
          <w:sz w:val="28"/>
          <w:szCs w:val="28"/>
          <w:highlight w:val="none"/>
          <w:lang w:eastAsia="zh-CN"/>
        </w:rPr>
        <w:t>供应方</w:t>
      </w:r>
      <w:r>
        <w:rPr>
          <w:rFonts w:eastAsia="仿宋_GB2312"/>
          <w:b/>
          <w:sz w:val="28"/>
          <w:szCs w:val="28"/>
          <w:highlight w:val="none"/>
        </w:rPr>
        <w:t>（</w:t>
      </w:r>
      <w:r>
        <w:rPr>
          <w:rFonts w:hint="eastAsia" w:eastAsia="仿宋_GB2312"/>
          <w:b/>
          <w:sz w:val="28"/>
          <w:szCs w:val="28"/>
          <w:highlight w:val="none"/>
          <w:lang w:eastAsia="zh-CN"/>
        </w:rPr>
        <w:t>供应方</w:t>
      </w:r>
      <w:r>
        <w:rPr>
          <w:rFonts w:eastAsia="仿宋_GB2312"/>
          <w:b/>
          <w:sz w:val="28"/>
          <w:szCs w:val="28"/>
          <w:highlight w:val="none"/>
        </w:rPr>
        <w:t>）：</w:t>
      </w:r>
      <w:r>
        <w:rPr>
          <w:rFonts w:eastAsia="仿宋_GB2312"/>
          <w:b/>
          <w:sz w:val="28"/>
          <w:szCs w:val="28"/>
          <w:highlight w:val="none"/>
          <w:u w:val="single"/>
        </w:rPr>
        <w:t xml:space="preserve">  </w:t>
      </w:r>
      <w:r>
        <w:rPr>
          <w:rFonts w:hint="eastAsia" w:eastAsia="仿宋_GB2312"/>
          <w:b/>
          <w:sz w:val="28"/>
          <w:szCs w:val="28"/>
          <w:highlight w:val="none"/>
          <w:u w:val="single"/>
        </w:rPr>
        <w:t xml:space="preserve"> </w:t>
      </w:r>
      <w:r>
        <w:rPr>
          <w:rFonts w:eastAsia="仿宋_GB2312"/>
          <w:b/>
          <w:sz w:val="28"/>
          <w:szCs w:val="28"/>
          <w:highlight w:val="none"/>
          <w:u w:val="single"/>
        </w:rPr>
        <w:t xml:space="preserve">       </w:t>
      </w:r>
      <w:r>
        <w:rPr>
          <w:rFonts w:hint="eastAsia" w:eastAsia="仿宋_GB2312"/>
          <w:b/>
          <w:sz w:val="28"/>
          <w:szCs w:val="28"/>
          <w:highlight w:val="none"/>
          <w:u w:val="single"/>
        </w:rPr>
        <w:t xml:space="preserve"> </w:t>
      </w:r>
      <w:r>
        <w:rPr>
          <w:rFonts w:eastAsia="仿宋_GB2312"/>
          <w:b/>
          <w:sz w:val="28"/>
          <w:szCs w:val="28"/>
          <w:highlight w:val="none"/>
          <w:u w:val="single"/>
        </w:rPr>
        <w:t xml:space="preserve">   </w:t>
      </w:r>
      <w:r>
        <w:rPr>
          <w:rFonts w:hint="eastAsia" w:eastAsia="仿宋_GB2312"/>
          <w:b/>
          <w:sz w:val="28"/>
          <w:szCs w:val="28"/>
          <w:highlight w:val="none"/>
          <w:u w:val="single"/>
        </w:rPr>
        <w:t xml:space="preserve">   </w:t>
      </w:r>
      <w:r>
        <w:rPr>
          <w:rFonts w:eastAsia="仿宋_GB2312"/>
          <w:b/>
          <w:sz w:val="28"/>
          <w:szCs w:val="28"/>
          <w:highlight w:val="none"/>
          <w:u w:val="single"/>
        </w:rPr>
        <w:t xml:space="preserve"> </w:t>
      </w:r>
      <w:r>
        <w:rPr>
          <w:rFonts w:hint="eastAsia" w:eastAsia="仿宋_GB2312"/>
          <w:b/>
          <w:sz w:val="28"/>
          <w:szCs w:val="28"/>
          <w:highlight w:val="none"/>
          <w:u w:val="single"/>
        </w:rPr>
        <w:t xml:space="preserve">  </w:t>
      </w:r>
      <w:r>
        <w:rPr>
          <w:rFonts w:eastAsia="仿宋_GB2312"/>
          <w:b/>
          <w:sz w:val="28"/>
          <w:szCs w:val="28"/>
          <w:highlight w:val="none"/>
          <w:u w:val="single"/>
        </w:rPr>
        <w:t></w:t>
      </w:r>
      <w:r>
        <w:rPr>
          <w:rFonts w:hint="eastAsia" w:eastAsia="仿宋_GB2312"/>
          <w:b/>
          <w:sz w:val="28"/>
          <w:szCs w:val="28"/>
          <w:highlight w:val="none"/>
          <w:u w:val="single"/>
        </w:rPr>
        <w:t xml:space="preserve">  </w:t>
      </w:r>
      <w:r>
        <w:rPr>
          <w:rFonts w:eastAsia="仿宋_GB2312"/>
          <w:b/>
          <w:sz w:val="28"/>
          <w:szCs w:val="28"/>
          <w:highlight w:val="none"/>
          <w:u w:val="single"/>
        </w:rPr>
        <w:t></w:t>
      </w:r>
    </w:p>
    <w:p w14:paraId="53B6DF28">
      <w:pPr>
        <w:snapToGrid w:val="0"/>
        <w:spacing w:line="360" w:lineRule="auto"/>
        <w:ind w:firstLine="560" w:firstLineChars="200"/>
        <w:rPr>
          <w:rFonts w:eastAsia="仿宋_GB2312"/>
          <w:sz w:val="28"/>
          <w:szCs w:val="28"/>
          <w:highlight w:val="none"/>
        </w:rPr>
      </w:pPr>
    </w:p>
    <w:p w14:paraId="7F8C4958">
      <w:pPr>
        <w:snapToGrid w:val="0"/>
        <w:spacing w:line="520" w:lineRule="exact"/>
        <w:ind w:firstLine="560" w:firstLineChars="200"/>
        <w:rPr>
          <w:rFonts w:ascii="仿宋" w:hAnsi="仿宋" w:eastAsia="仿宋" w:cs="仿宋"/>
          <w:sz w:val="28"/>
          <w:szCs w:val="28"/>
          <w:highlight w:val="none"/>
        </w:rPr>
        <w:sectPr>
          <w:headerReference r:id="rId9" w:type="default"/>
          <w:footerReference r:id="rId10" w:type="default"/>
          <w:pgSz w:w="11906" w:h="16838"/>
          <w:pgMar w:top="1440" w:right="1800" w:bottom="1440" w:left="1800" w:header="851" w:footer="992" w:gutter="0"/>
          <w:pgNumType w:start="1"/>
          <w:cols w:space="425" w:num="1"/>
          <w:docGrid w:type="lines" w:linePitch="312" w:charSpace="0"/>
        </w:sectPr>
      </w:pPr>
    </w:p>
    <w:p w14:paraId="5B441190">
      <w:pPr>
        <w:snapToGrid w:val="0"/>
        <w:spacing w:line="520" w:lineRule="exact"/>
        <w:ind w:firstLine="420" w:firstLineChars="200"/>
        <w:rPr>
          <w:rFonts w:ascii="宋体" w:hAnsi="宋体" w:cs="宋体"/>
          <w:bCs/>
          <w:color w:val="000000"/>
          <w:sz w:val="21"/>
          <w:szCs w:val="21"/>
          <w:highlight w:val="none"/>
        </w:rPr>
      </w:pPr>
      <w:r>
        <w:rPr>
          <w:rFonts w:hint="eastAsia" w:ascii="宋体" w:hAnsi="宋体" w:cs="宋体"/>
          <w:bCs/>
          <w:color w:val="000000"/>
          <w:sz w:val="21"/>
          <w:szCs w:val="21"/>
          <w:highlight w:val="none"/>
        </w:rPr>
        <w:t>采购方（</w:t>
      </w:r>
      <w:r>
        <w:rPr>
          <w:rFonts w:hint="eastAsia" w:ascii="宋体" w:hAnsi="宋体" w:cs="宋体"/>
          <w:bCs/>
          <w:color w:val="000000"/>
          <w:sz w:val="21"/>
          <w:szCs w:val="21"/>
          <w:highlight w:val="none"/>
          <w:lang w:eastAsia="zh-CN"/>
        </w:rPr>
        <w:t>采购方</w:t>
      </w:r>
      <w:r>
        <w:rPr>
          <w:rFonts w:hint="eastAsia" w:ascii="宋体" w:hAnsi="宋体" w:cs="宋体"/>
          <w:bCs/>
          <w:color w:val="000000"/>
          <w:sz w:val="21"/>
          <w:szCs w:val="21"/>
          <w:highlight w:val="none"/>
        </w:rPr>
        <w:t>）：</w:t>
      </w:r>
    </w:p>
    <w:p w14:paraId="42E2B9F5">
      <w:pPr>
        <w:snapToGrid w:val="0"/>
        <w:spacing w:line="520" w:lineRule="exact"/>
        <w:ind w:firstLine="420" w:firstLineChars="200"/>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法定代表人（负责人）：</w:t>
      </w:r>
    </w:p>
    <w:p w14:paraId="7762EE0D">
      <w:pPr>
        <w:snapToGrid w:val="0"/>
        <w:spacing w:line="520" w:lineRule="exact"/>
        <w:ind w:firstLine="420" w:firstLineChars="200"/>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联系人：</w:t>
      </w:r>
    </w:p>
    <w:p w14:paraId="6CD0AC33">
      <w:pPr>
        <w:snapToGrid w:val="0"/>
        <w:spacing w:line="520" w:lineRule="exact"/>
        <w:ind w:firstLine="420" w:firstLineChars="200"/>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联系方式：</w:t>
      </w:r>
    </w:p>
    <w:p w14:paraId="07473A6E">
      <w:pPr>
        <w:snapToGrid w:val="0"/>
        <w:spacing w:line="520" w:lineRule="exact"/>
        <w:ind w:firstLine="420" w:firstLineChars="200"/>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联系地址：</w:t>
      </w:r>
    </w:p>
    <w:p w14:paraId="5509EEBB">
      <w:pPr>
        <w:snapToGrid w:val="0"/>
        <w:spacing w:line="520" w:lineRule="exact"/>
        <w:ind w:firstLine="420" w:firstLineChars="200"/>
        <w:rPr>
          <w:rFonts w:hint="eastAsia" w:ascii="宋体" w:hAnsi="宋体" w:cs="宋体"/>
          <w:bCs/>
          <w:color w:val="000000"/>
          <w:sz w:val="21"/>
          <w:szCs w:val="21"/>
          <w:highlight w:val="none"/>
        </w:rPr>
      </w:pPr>
    </w:p>
    <w:p w14:paraId="6745C246">
      <w:pPr>
        <w:snapToGrid w:val="0"/>
        <w:spacing w:line="520" w:lineRule="exact"/>
        <w:ind w:firstLine="420" w:firstLineChars="200"/>
        <w:rPr>
          <w:rFonts w:hint="eastAsia" w:ascii="宋体" w:hAnsi="宋体" w:cs="宋体"/>
          <w:bCs/>
          <w:color w:val="000000"/>
          <w:sz w:val="21"/>
          <w:szCs w:val="21"/>
          <w:highlight w:val="none"/>
        </w:rPr>
      </w:pPr>
      <w:r>
        <w:rPr>
          <w:rFonts w:hint="eastAsia" w:ascii="宋体" w:hAnsi="宋体" w:cs="宋体"/>
          <w:bCs/>
          <w:color w:val="000000"/>
          <w:sz w:val="21"/>
          <w:szCs w:val="21"/>
          <w:highlight w:val="none"/>
          <w:lang w:eastAsia="zh-CN"/>
        </w:rPr>
        <w:t>供应方</w:t>
      </w:r>
      <w:r>
        <w:rPr>
          <w:rFonts w:hint="eastAsia" w:ascii="宋体" w:hAnsi="宋体" w:cs="宋体"/>
          <w:bCs/>
          <w:color w:val="000000"/>
          <w:sz w:val="21"/>
          <w:szCs w:val="21"/>
          <w:highlight w:val="none"/>
        </w:rPr>
        <w:t>（</w:t>
      </w:r>
      <w:r>
        <w:rPr>
          <w:rFonts w:hint="eastAsia" w:ascii="宋体" w:hAnsi="宋体" w:cs="宋体"/>
          <w:bCs/>
          <w:color w:val="000000"/>
          <w:sz w:val="21"/>
          <w:szCs w:val="21"/>
          <w:highlight w:val="none"/>
          <w:lang w:eastAsia="zh-CN"/>
        </w:rPr>
        <w:t>供应方</w:t>
      </w:r>
      <w:r>
        <w:rPr>
          <w:rFonts w:hint="eastAsia" w:ascii="宋体" w:hAnsi="宋体" w:cs="宋体"/>
          <w:bCs/>
          <w:color w:val="000000"/>
          <w:sz w:val="21"/>
          <w:szCs w:val="21"/>
          <w:highlight w:val="none"/>
        </w:rPr>
        <w:t>）：</w:t>
      </w:r>
    </w:p>
    <w:p w14:paraId="1B9B96AE">
      <w:pPr>
        <w:snapToGrid w:val="0"/>
        <w:spacing w:line="520" w:lineRule="exact"/>
        <w:ind w:firstLine="420" w:firstLineChars="200"/>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法定代表人：</w:t>
      </w:r>
    </w:p>
    <w:p w14:paraId="7E616AAD">
      <w:pPr>
        <w:snapToGrid w:val="0"/>
        <w:spacing w:line="520" w:lineRule="exact"/>
        <w:ind w:firstLine="420" w:firstLineChars="200"/>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联系人：</w:t>
      </w:r>
    </w:p>
    <w:p w14:paraId="348696AF">
      <w:pPr>
        <w:snapToGrid w:val="0"/>
        <w:spacing w:line="520" w:lineRule="exact"/>
        <w:ind w:firstLine="420" w:firstLineChars="200"/>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联系方式：</w:t>
      </w:r>
    </w:p>
    <w:p w14:paraId="48898A19">
      <w:pPr>
        <w:snapToGrid w:val="0"/>
        <w:spacing w:line="520" w:lineRule="exact"/>
        <w:ind w:firstLine="420" w:firstLineChars="200"/>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联系地址：</w:t>
      </w:r>
    </w:p>
    <w:p w14:paraId="7722957F">
      <w:pPr>
        <w:snapToGrid w:val="0"/>
        <w:spacing w:line="520" w:lineRule="exact"/>
        <w:ind w:firstLine="422" w:firstLineChars="200"/>
        <w:rPr>
          <w:rFonts w:ascii="宋体" w:hAnsi="宋体" w:cs="宋体"/>
          <w:b/>
          <w:sz w:val="21"/>
          <w:szCs w:val="21"/>
          <w:highlight w:val="none"/>
        </w:rPr>
      </w:pPr>
    </w:p>
    <w:p w14:paraId="2085798F">
      <w:pPr>
        <w:snapToGrid w:val="0"/>
        <w:spacing w:line="520" w:lineRule="exact"/>
        <w:ind w:firstLine="420" w:firstLineChars="200"/>
        <w:rPr>
          <w:rFonts w:ascii="宋体" w:hAnsi="宋体" w:cs="宋体"/>
          <w:sz w:val="21"/>
          <w:szCs w:val="21"/>
          <w:highlight w:val="none"/>
        </w:rPr>
      </w:pPr>
      <w:r>
        <w:rPr>
          <w:rFonts w:hint="eastAsia" w:ascii="宋体" w:hAnsi="宋体" w:cs="宋体"/>
          <w:sz w:val="21"/>
          <w:szCs w:val="21"/>
          <w:highlight w:val="none"/>
        </w:rPr>
        <w:t>根据《中华人民共和国民法典》《中华人民共和国政府采购法》及有关法律法规的规定，遵循平等、自愿、公平和诚实信用的原则，双方就</w:t>
      </w:r>
      <w:r>
        <w:rPr>
          <w:rFonts w:hint="eastAsia" w:hAnsi="宋体" w:cs="宋体"/>
          <w:sz w:val="21"/>
          <w:szCs w:val="21"/>
          <w:highlight w:val="none"/>
          <w:u w:val="single"/>
          <w:lang w:eastAsia="zh-CN"/>
        </w:rPr>
        <w:t>长春市殡葬服务中心2025年清A区挡土墙修缮及墓穴项目</w:t>
      </w:r>
      <w:r>
        <w:rPr>
          <w:rFonts w:hint="eastAsia" w:ascii="宋体" w:hAnsi="宋体" w:cs="宋体"/>
          <w:sz w:val="21"/>
          <w:szCs w:val="21"/>
          <w:highlight w:val="none"/>
        </w:rPr>
        <w:t>及有关事项，经协商一致，达成如下协议，以兹共同遵守：</w:t>
      </w:r>
    </w:p>
    <w:p w14:paraId="50EF9C4F">
      <w:pPr>
        <w:pStyle w:val="5"/>
        <w:snapToGrid w:val="0"/>
        <w:spacing w:line="520" w:lineRule="exact"/>
        <w:ind w:firstLine="422" w:firstLineChars="200"/>
        <w:rPr>
          <w:rFonts w:hAnsi="宋体" w:cs="宋体"/>
          <w:sz w:val="21"/>
          <w:szCs w:val="21"/>
          <w:highlight w:val="none"/>
        </w:rPr>
      </w:pPr>
      <w:bookmarkStart w:id="386" w:name="_Toc28002"/>
      <w:bookmarkStart w:id="387" w:name="_Toc351203481"/>
      <w:r>
        <w:rPr>
          <w:rFonts w:hint="eastAsia" w:hAnsi="宋体" w:cs="宋体"/>
          <w:sz w:val="21"/>
          <w:szCs w:val="21"/>
          <w:highlight w:val="none"/>
        </w:rPr>
        <w:t>一、采购项目概况</w:t>
      </w:r>
      <w:bookmarkEnd w:id="386"/>
      <w:bookmarkEnd w:id="387"/>
    </w:p>
    <w:p w14:paraId="55D239AD">
      <w:pPr>
        <w:snapToGrid w:val="0"/>
        <w:spacing w:line="520" w:lineRule="exact"/>
        <w:ind w:firstLine="420" w:firstLineChars="200"/>
        <w:rPr>
          <w:rFonts w:ascii="宋体" w:hAnsi="宋体" w:cs="宋体"/>
          <w:sz w:val="21"/>
          <w:szCs w:val="21"/>
          <w:highlight w:val="none"/>
          <w:u w:val="single"/>
        </w:rPr>
      </w:pPr>
      <w:r>
        <w:rPr>
          <w:rFonts w:hint="eastAsia" w:ascii="宋体" w:hAnsi="宋体" w:cs="宋体"/>
          <w:bCs/>
          <w:sz w:val="21"/>
          <w:szCs w:val="21"/>
          <w:highlight w:val="none"/>
        </w:rPr>
        <w:t>1、采购项目名称</w:t>
      </w:r>
      <w:r>
        <w:rPr>
          <w:rFonts w:hint="eastAsia" w:ascii="宋体" w:hAnsi="宋体" w:cs="宋体"/>
          <w:sz w:val="21"/>
          <w:szCs w:val="21"/>
          <w:highlight w:val="none"/>
        </w:rPr>
        <w:t>：</w:t>
      </w:r>
      <w:r>
        <w:rPr>
          <w:rFonts w:hint="eastAsia" w:hAnsi="宋体" w:cs="宋体"/>
          <w:sz w:val="21"/>
          <w:szCs w:val="21"/>
          <w:highlight w:val="none"/>
          <w:u w:val="single"/>
          <w:lang w:val="en-US" w:eastAsia="zh-CN"/>
        </w:rPr>
        <w:t>长春市殡葬服务中心2025年清A区挡土墙修缮及墓穴项目</w:t>
      </w:r>
      <w:r>
        <w:rPr>
          <w:rFonts w:hint="eastAsia" w:ascii="宋体" w:hAnsi="宋体" w:cs="宋体"/>
          <w:sz w:val="21"/>
          <w:szCs w:val="21"/>
          <w:highlight w:val="none"/>
        </w:rPr>
        <w:t>。</w:t>
      </w:r>
    </w:p>
    <w:p w14:paraId="6CF339AD">
      <w:pPr>
        <w:snapToGrid w:val="0"/>
        <w:spacing w:line="520" w:lineRule="exact"/>
        <w:ind w:firstLine="420" w:firstLineChars="200"/>
        <w:rPr>
          <w:rFonts w:ascii="宋体" w:hAnsi="宋体" w:cs="宋体"/>
          <w:sz w:val="21"/>
          <w:szCs w:val="21"/>
          <w:highlight w:val="none"/>
          <w:u w:val="single"/>
        </w:rPr>
      </w:pPr>
      <w:r>
        <w:rPr>
          <w:rFonts w:hint="eastAsia" w:ascii="宋体" w:hAnsi="宋体" w:cs="宋体"/>
          <w:bCs/>
          <w:sz w:val="21"/>
          <w:szCs w:val="21"/>
          <w:highlight w:val="none"/>
        </w:rPr>
        <w:t>2、采购项目地点：</w:t>
      </w:r>
      <w:r>
        <w:rPr>
          <w:rFonts w:hint="eastAsia" w:ascii="宋体" w:hAnsi="宋体" w:cs="宋体"/>
          <w:sz w:val="21"/>
          <w:szCs w:val="21"/>
          <w:highlight w:val="none"/>
          <w:u w:val="single"/>
        </w:rPr>
        <w:t></w:t>
      </w:r>
      <w:r>
        <w:rPr>
          <w:rFonts w:hint="eastAsia" w:ascii="宋体" w:hAnsi="宋体" w:cs="宋体"/>
          <w:bCs/>
          <w:sz w:val="21"/>
          <w:szCs w:val="21"/>
          <w:highlight w:val="none"/>
          <w:u w:val="single"/>
          <w:lang w:val="zh-CN"/>
        </w:rPr>
        <w:t>长春市二道区四通路155号长春息园内指定场地</w:t>
      </w:r>
    </w:p>
    <w:p w14:paraId="0764A79F">
      <w:pPr>
        <w:snapToGrid w:val="0"/>
        <w:spacing w:line="520" w:lineRule="exact"/>
        <w:ind w:firstLine="420" w:firstLineChars="200"/>
        <w:rPr>
          <w:rFonts w:ascii="宋体" w:hAnsi="宋体" w:cs="宋体"/>
          <w:bCs/>
          <w:sz w:val="21"/>
          <w:szCs w:val="21"/>
          <w:highlight w:val="none"/>
        </w:rPr>
      </w:pPr>
      <w:r>
        <w:rPr>
          <w:rFonts w:hint="eastAsia" w:ascii="宋体" w:hAnsi="宋体" w:cs="宋体"/>
          <w:bCs/>
          <w:sz w:val="21"/>
          <w:szCs w:val="21"/>
          <w:highlight w:val="none"/>
        </w:rPr>
        <w:t>3、采购项目编号：</w:t>
      </w:r>
      <w:r>
        <w:rPr>
          <w:rFonts w:hint="eastAsia" w:ascii="宋体" w:hAnsi="宋体" w:cs="宋体"/>
          <w:sz w:val="21"/>
          <w:szCs w:val="21"/>
          <w:highlight w:val="none"/>
          <w:u w:val="single"/>
        </w:rPr>
        <w:t xml:space="preserve">       </w:t>
      </w:r>
      <w:r>
        <w:rPr>
          <w:rFonts w:hint="eastAsia" w:ascii="宋体" w:hAnsi="宋体" w:cs="宋体"/>
          <w:bCs/>
          <w:sz w:val="21"/>
          <w:szCs w:val="21"/>
          <w:highlight w:val="none"/>
        </w:rPr>
        <w:t>。</w:t>
      </w:r>
    </w:p>
    <w:p w14:paraId="7DE481AD">
      <w:pPr>
        <w:snapToGrid w:val="0"/>
        <w:spacing w:line="520" w:lineRule="exact"/>
        <w:ind w:firstLine="420" w:firstLineChars="200"/>
        <w:rPr>
          <w:rFonts w:ascii="宋体" w:hAnsi="宋体" w:cs="宋体"/>
          <w:bCs/>
          <w:sz w:val="21"/>
          <w:szCs w:val="21"/>
          <w:highlight w:val="none"/>
        </w:rPr>
      </w:pPr>
      <w:r>
        <w:rPr>
          <w:rFonts w:hint="eastAsia" w:ascii="宋体" w:hAnsi="宋体" w:cs="宋体"/>
          <w:bCs/>
          <w:sz w:val="21"/>
          <w:szCs w:val="21"/>
          <w:highlight w:val="none"/>
        </w:rPr>
        <w:t>4、资金来源：</w:t>
      </w:r>
      <w:r>
        <w:rPr>
          <w:rFonts w:hint="eastAsia" w:ascii="宋体" w:hAnsi="宋体" w:cs="宋体"/>
          <w:sz w:val="21"/>
          <w:szCs w:val="21"/>
          <w:highlight w:val="none"/>
          <w:u w:val="single"/>
        </w:rPr>
        <w:t xml:space="preserve">       </w:t>
      </w:r>
      <w:r>
        <w:rPr>
          <w:rFonts w:hint="eastAsia" w:ascii="宋体" w:hAnsi="宋体" w:cs="宋体"/>
          <w:bCs/>
          <w:sz w:val="21"/>
          <w:szCs w:val="21"/>
          <w:highlight w:val="none"/>
        </w:rPr>
        <w:t>。</w:t>
      </w:r>
    </w:p>
    <w:p w14:paraId="73007D0A">
      <w:pPr>
        <w:snapToGrid w:val="0"/>
        <w:spacing w:line="520" w:lineRule="exact"/>
        <w:ind w:firstLine="420" w:firstLineChars="200"/>
        <w:rPr>
          <w:rFonts w:ascii="宋体" w:hAnsi="宋体" w:cs="宋体"/>
          <w:bCs/>
          <w:sz w:val="21"/>
          <w:szCs w:val="21"/>
          <w:highlight w:val="none"/>
          <w:u w:val="single"/>
        </w:rPr>
      </w:pPr>
      <w:r>
        <w:rPr>
          <w:rFonts w:hint="eastAsia" w:ascii="宋体" w:hAnsi="宋体" w:cs="宋体"/>
          <w:bCs/>
          <w:sz w:val="21"/>
          <w:szCs w:val="21"/>
          <w:highlight w:val="none"/>
        </w:rPr>
        <w:t>5、采购内容：</w:t>
      </w:r>
      <w:r>
        <w:rPr>
          <w:rFonts w:hint="eastAsia" w:ascii="宋体" w:hAnsi="宋体" w:cs="宋体"/>
          <w:sz w:val="21"/>
          <w:szCs w:val="21"/>
          <w:highlight w:val="none"/>
          <w:u w:val="single"/>
          <w:lang w:eastAsia="zh-CN"/>
        </w:rPr>
        <w:t>本项目挡墙修缮长度约为910延米、墓穴新建482个，西侧挡墙石板粘贴，包括建筑石材及设施包装、倒运、组装、现场卫生、垃圾清运，安装、质保、维护、墓区种植池石材安装、排水等。具体内容以设计单位出具的施工图纸及造价咨询公司出具的清单为准。</w:t>
      </w:r>
    </w:p>
    <w:p w14:paraId="4C187D23">
      <w:pPr>
        <w:pStyle w:val="5"/>
        <w:snapToGrid w:val="0"/>
        <w:spacing w:line="520" w:lineRule="exact"/>
        <w:ind w:firstLine="422" w:firstLineChars="200"/>
        <w:rPr>
          <w:rFonts w:hAnsi="宋体" w:cs="宋体"/>
          <w:sz w:val="21"/>
          <w:szCs w:val="21"/>
          <w:highlight w:val="none"/>
        </w:rPr>
      </w:pPr>
      <w:bookmarkStart w:id="388" w:name="_Toc21593"/>
      <w:bookmarkStart w:id="389" w:name="_Toc351203482"/>
      <w:r>
        <w:rPr>
          <w:rFonts w:hint="eastAsia" w:hAnsi="宋体" w:cs="宋体"/>
          <w:sz w:val="21"/>
          <w:szCs w:val="21"/>
          <w:highlight w:val="none"/>
        </w:rPr>
        <w:t>二、合同工期</w:t>
      </w:r>
      <w:bookmarkEnd w:id="388"/>
      <w:bookmarkEnd w:id="389"/>
    </w:p>
    <w:p w14:paraId="3117C499">
      <w:pPr>
        <w:snapToGrid w:val="0"/>
        <w:spacing w:line="520" w:lineRule="exact"/>
        <w:ind w:firstLine="420" w:firstLineChars="200"/>
        <w:rPr>
          <w:rFonts w:ascii="宋体" w:hAnsi="宋体" w:cs="宋体"/>
          <w:sz w:val="21"/>
          <w:szCs w:val="21"/>
          <w:highlight w:val="none"/>
        </w:rPr>
      </w:pPr>
      <w:r>
        <w:rPr>
          <w:rFonts w:hint="eastAsia" w:ascii="宋体" w:hAnsi="宋体" w:cs="宋体"/>
          <w:sz w:val="21"/>
          <w:szCs w:val="21"/>
          <w:highlight w:val="none"/>
        </w:rPr>
        <w:t>计划开工日期：</w:t>
      </w:r>
      <w:r>
        <w:rPr>
          <w:rFonts w:hint="eastAsia" w:ascii="宋体" w:hAnsi="宋体" w:cs="宋体"/>
          <w:sz w:val="21"/>
          <w:szCs w:val="21"/>
          <w:highlight w:val="none"/>
          <w:u w:val="single"/>
        </w:rPr>
        <w:t></w:t>
      </w:r>
      <w:r>
        <w:rPr>
          <w:rFonts w:hint="eastAsia" w:ascii="宋体" w:hAnsi="宋体" w:cs="宋体"/>
          <w:sz w:val="21"/>
          <w:szCs w:val="21"/>
          <w:highlight w:val="none"/>
        </w:rPr>
        <w:t>年</w:t>
      </w:r>
      <w:r>
        <w:rPr>
          <w:rFonts w:hint="eastAsia" w:ascii="宋体" w:hAnsi="宋体" w:cs="宋体"/>
          <w:sz w:val="21"/>
          <w:szCs w:val="21"/>
          <w:highlight w:val="none"/>
          <w:u w:val="single"/>
        </w:rPr>
        <w:t></w:t>
      </w:r>
      <w:r>
        <w:rPr>
          <w:rFonts w:hint="eastAsia" w:ascii="宋体" w:hAnsi="宋体" w:cs="宋体"/>
          <w:sz w:val="21"/>
          <w:szCs w:val="21"/>
          <w:highlight w:val="none"/>
        </w:rPr>
        <w:t>月</w:t>
      </w:r>
      <w:r>
        <w:rPr>
          <w:rFonts w:hint="eastAsia" w:ascii="宋体" w:hAnsi="宋体" w:cs="宋体"/>
          <w:sz w:val="21"/>
          <w:szCs w:val="21"/>
          <w:highlight w:val="none"/>
          <w:u w:val="single"/>
        </w:rPr>
        <w:t></w:t>
      </w:r>
      <w:r>
        <w:rPr>
          <w:rFonts w:hint="eastAsia" w:ascii="宋体" w:hAnsi="宋体" w:cs="宋体"/>
          <w:sz w:val="21"/>
          <w:szCs w:val="21"/>
          <w:highlight w:val="none"/>
        </w:rPr>
        <w:t>日。</w:t>
      </w:r>
    </w:p>
    <w:p w14:paraId="5257F265">
      <w:pPr>
        <w:snapToGrid w:val="0"/>
        <w:spacing w:line="520" w:lineRule="exact"/>
        <w:ind w:firstLine="420" w:firstLineChars="200"/>
        <w:rPr>
          <w:rFonts w:ascii="宋体" w:hAnsi="宋体" w:cs="宋体"/>
          <w:sz w:val="21"/>
          <w:szCs w:val="21"/>
          <w:highlight w:val="none"/>
        </w:rPr>
      </w:pPr>
      <w:r>
        <w:rPr>
          <w:rFonts w:hint="eastAsia" w:ascii="宋体" w:hAnsi="宋体" w:cs="宋体"/>
          <w:sz w:val="21"/>
          <w:szCs w:val="21"/>
          <w:highlight w:val="none"/>
        </w:rPr>
        <w:t>计划竣工日期：</w:t>
      </w:r>
      <w:r>
        <w:rPr>
          <w:rFonts w:hint="eastAsia" w:ascii="宋体" w:hAnsi="宋体" w:cs="宋体"/>
          <w:sz w:val="21"/>
          <w:szCs w:val="21"/>
          <w:highlight w:val="none"/>
          <w:u w:val="single"/>
        </w:rPr>
        <w:t></w:t>
      </w:r>
      <w:r>
        <w:rPr>
          <w:rFonts w:hint="eastAsia" w:ascii="宋体" w:hAnsi="宋体" w:cs="宋体"/>
          <w:sz w:val="21"/>
          <w:szCs w:val="21"/>
          <w:highlight w:val="none"/>
        </w:rPr>
        <w:t>年</w:t>
      </w:r>
      <w:r>
        <w:rPr>
          <w:rFonts w:hint="eastAsia" w:ascii="宋体" w:hAnsi="宋体" w:cs="宋体"/>
          <w:sz w:val="21"/>
          <w:szCs w:val="21"/>
          <w:highlight w:val="none"/>
          <w:u w:val="single"/>
        </w:rPr>
        <w:t></w:t>
      </w:r>
      <w:r>
        <w:rPr>
          <w:rFonts w:hint="eastAsia" w:ascii="宋体" w:hAnsi="宋体" w:cs="宋体"/>
          <w:sz w:val="21"/>
          <w:szCs w:val="21"/>
          <w:highlight w:val="none"/>
        </w:rPr>
        <w:t>月</w:t>
      </w:r>
      <w:r>
        <w:rPr>
          <w:rFonts w:hint="eastAsia" w:ascii="宋体" w:hAnsi="宋体" w:cs="宋体"/>
          <w:sz w:val="21"/>
          <w:szCs w:val="21"/>
          <w:highlight w:val="none"/>
          <w:u w:val="single"/>
        </w:rPr>
        <w:t></w:t>
      </w:r>
      <w:r>
        <w:rPr>
          <w:rFonts w:hint="eastAsia" w:ascii="宋体" w:hAnsi="宋体" w:cs="宋体"/>
          <w:sz w:val="21"/>
          <w:szCs w:val="21"/>
          <w:highlight w:val="none"/>
        </w:rPr>
        <w:t>日。</w:t>
      </w:r>
    </w:p>
    <w:p w14:paraId="7E9B8F3B">
      <w:pPr>
        <w:snapToGrid w:val="0"/>
        <w:spacing w:line="520" w:lineRule="exact"/>
        <w:ind w:firstLine="420" w:firstLineChars="200"/>
        <w:rPr>
          <w:rFonts w:ascii="宋体" w:hAnsi="宋体" w:cs="宋体"/>
          <w:sz w:val="21"/>
          <w:szCs w:val="21"/>
          <w:highlight w:val="none"/>
        </w:rPr>
      </w:pPr>
      <w:r>
        <w:rPr>
          <w:rFonts w:hint="eastAsia" w:ascii="宋体" w:hAnsi="宋体" w:cs="宋体"/>
          <w:sz w:val="21"/>
          <w:szCs w:val="21"/>
          <w:highlight w:val="none"/>
        </w:rPr>
        <w:t>有效工期为90天。</w:t>
      </w:r>
    </w:p>
    <w:p w14:paraId="72587EBA">
      <w:pPr>
        <w:pStyle w:val="5"/>
        <w:snapToGrid w:val="0"/>
        <w:spacing w:line="520" w:lineRule="exact"/>
        <w:ind w:firstLine="422" w:firstLineChars="200"/>
        <w:rPr>
          <w:rFonts w:hAnsi="宋体" w:cs="宋体"/>
          <w:sz w:val="21"/>
          <w:szCs w:val="21"/>
          <w:highlight w:val="none"/>
        </w:rPr>
      </w:pPr>
      <w:r>
        <w:rPr>
          <w:rFonts w:hint="eastAsia" w:hAnsi="宋体" w:cs="宋体"/>
          <w:sz w:val="21"/>
          <w:szCs w:val="21"/>
          <w:highlight w:val="none"/>
        </w:rPr>
        <w:t xml:space="preserve"> </w:t>
      </w:r>
      <w:bookmarkStart w:id="390" w:name="_Toc24117"/>
      <w:bookmarkStart w:id="391" w:name="_Toc351203483"/>
      <w:r>
        <w:rPr>
          <w:rFonts w:hint="eastAsia" w:hAnsi="宋体" w:cs="宋体"/>
          <w:sz w:val="21"/>
          <w:szCs w:val="21"/>
          <w:highlight w:val="none"/>
        </w:rPr>
        <w:t>三、质量标准</w:t>
      </w:r>
      <w:bookmarkEnd w:id="390"/>
      <w:bookmarkEnd w:id="391"/>
    </w:p>
    <w:p w14:paraId="349D2492">
      <w:pPr>
        <w:snapToGrid w:val="0"/>
        <w:spacing w:line="520" w:lineRule="exact"/>
        <w:ind w:firstLine="420" w:firstLineChars="200"/>
        <w:rPr>
          <w:rFonts w:ascii="宋体" w:hAnsi="宋体" w:cs="宋体"/>
          <w:sz w:val="21"/>
          <w:szCs w:val="21"/>
          <w:highlight w:val="none"/>
        </w:rPr>
      </w:pPr>
      <w:r>
        <w:rPr>
          <w:rFonts w:hint="eastAsia" w:ascii="宋体" w:hAnsi="宋体" w:cs="宋体"/>
          <w:sz w:val="21"/>
          <w:szCs w:val="21"/>
          <w:highlight w:val="none"/>
        </w:rPr>
        <w:t>质量须符合</w:t>
      </w:r>
      <w:r>
        <w:rPr>
          <w:rFonts w:hint="eastAsia" w:ascii="宋体" w:hAnsi="宋体" w:cs="宋体"/>
          <w:sz w:val="21"/>
          <w:szCs w:val="21"/>
          <w:highlight w:val="none"/>
          <w:u w:val="single"/>
        </w:rPr>
        <w:t>国家相关法规、规章、地方性法规相关标准，或本行业</w:t>
      </w:r>
      <w:r>
        <w:rPr>
          <w:rFonts w:hint="eastAsia" w:ascii="宋体" w:hAnsi="宋体" w:cs="宋体"/>
          <w:sz w:val="21"/>
          <w:szCs w:val="21"/>
          <w:highlight w:val="none"/>
        </w:rPr>
        <w:t>标准。</w:t>
      </w:r>
    </w:p>
    <w:p w14:paraId="2D376AAF">
      <w:pPr>
        <w:pStyle w:val="5"/>
        <w:snapToGrid w:val="0"/>
        <w:spacing w:line="520" w:lineRule="exact"/>
        <w:ind w:firstLine="422" w:firstLineChars="200"/>
        <w:rPr>
          <w:rFonts w:hAnsi="宋体" w:cs="宋体"/>
          <w:sz w:val="21"/>
          <w:szCs w:val="21"/>
          <w:highlight w:val="none"/>
        </w:rPr>
      </w:pPr>
      <w:r>
        <w:rPr>
          <w:rFonts w:hint="eastAsia" w:hAnsi="宋体" w:cs="宋体"/>
          <w:sz w:val="21"/>
          <w:szCs w:val="21"/>
          <w:highlight w:val="none"/>
        </w:rPr>
        <w:t xml:space="preserve"> </w:t>
      </w:r>
      <w:bookmarkStart w:id="392" w:name="_Toc351203484"/>
      <w:bookmarkStart w:id="393" w:name="_Toc26569"/>
      <w:r>
        <w:rPr>
          <w:rFonts w:hint="eastAsia" w:hAnsi="宋体" w:cs="宋体"/>
          <w:sz w:val="21"/>
          <w:szCs w:val="21"/>
          <w:highlight w:val="none"/>
        </w:rPr>
        <w:t>四、签约合同价</w:t>
      </w:r>
      <w:bookmarkEnd w:id="392"/>
      <w:bookmarkEnd w:id="393"/>
    </w:p>
    <w:p w14:paraId="3549349C">
      <w:pPr>
        <w:snapToGrid w:val="0"/>
        <w:spacing w:line="520" w:lineRule="exact"/>
        <w:ind w:firstLine="420" w:firstLineChars="200"/>
        <w:rPr>
          <w:rFonts w:ascii="宋体" w:hAnsi="宋体" w:cs="宋体"/>
          <w:sz w:val="21"/>
          <w:szCs w:val="21"/>
          <w:highlight w:val="none"/>
        </w:rPr>
      </w:pPr>
      <w:r>
        <w:rPr>
          <w:rFonts w:hint="eastAsia" w:ascii="宋体" w:hAnsi="宋体" w:cs="宋体"/>
          <w:sz w:val="21"/>
          <w:szCs w:val="21"/>
          <w:highlight w:val="none"/>
        </w:rPr>
        <w:t>合同总价款：</w:t>
      </w:r>
      <w:r>
        <w:rPr>
          <w:rFonts w:hint="eastAsia" w:ascii="宋体" w:hAnsi="宋体" w:cs="宋体"/>
          <w:sz w:val="21"/>
          <w:szCs w:val="21"/>
          <w:highlight w:val="none"/>
          <w:u w:val="single"/>
        </w:rPr>
        <w:t>大写：人民币        ，小写：¥     （含    %税）（不含税价款：    ，税额：     税率：  %）。</w:t>
      </w:r>
      <w:r>
        <w:rPr>
          <w:rFonts w:hint="eastAsia" w:ascii="宋体" w:hAnsi="宋体" w:cs="宋体"/>
          <w:sz w:val="21"/>
          <w:szCs w:val="21"/>
          <w:highlight w:val="none"/>
        </w:rPr>
        <w:t xml:space="preserve">       </w:t>
      </w:r>
    </w:p>
    <w:p w14:paraId="6213155A">
      <w:pPr>
        <w:snapToGrid w:val="0"/>
        <w:spacing w:line="520" w:lineRule="exact"/>
        <w:ind w:firstLine="420" w:firstLineChars="200"/>
        <w:rPr>
          <w:rFonts w:ascii="宋体" w:hAnsi="宋体" w:cs="宋体"/>
          <w:bCs/>
          <w:sz w:val="21"/>
          <w:szCs w:val="21"/>
          <w:highlight w:val="none"/>
        </w:rPr>
      </w:pPr>
      <w:bookmarkStart w:id="394" w:name="_Toc351203486"/>
      <w:r>
        <w:rPr>
          <w:rFonts w:hint="eastAsia" w:ascii="宋体" w:hAnsi="宋体" w:cs="宋体"/>
          <w:bCs/>
          <w:sz w:val="21"/>
          <w:szCs w:val="21"/>
          <w:highlight w:val="none"/>
        </w:rPr>
        <w:t>五、合同文件构成</w:t>
      </w:r>
      <w:bookmarkEnd w:id="394"/>
    </w:p>
    <w:p w14:paraId="47F55CE7">
      <w:pPr>
        <w:snapToGrid w:val="0"/>
        <w:spacing w:line="520" w:lineRule="exact"/>
        <w:ind w:firstLine="420" w:firstLineChars="200"/>
        <w:rPr>
          <w:rFonts w:ascii="宋体" w:hAnsi="宋体" w:cs="宋体"/>
          <w:sz w:val="21"/>
          <w:szCs w:val="21"/>
          <w:highlight w:val="none"/>
        </w:rPr>
      </w:pPr>
      <w:r>
        <w:rPr>
          <w:rFonts w:hint="eastAsia" w:ascii="宋体" w:hAnsi="宋体" w:cs="宋体"/>
          <w:bCs/>
          <w:sz w:val="21"/>
          <w:szCs w:val="21"/>
          <w:highlight w:val="none"/>
        </w:rPr>
        <w:t>本采购合同与本项目相关的《招标文件》《投标文件》《中标通知书》等共同构成本次合同文件。合同文件之间存在矛盾或不一致的，由</w:t>
      </w:r>
      <w:r>
        <w:rPr>
          <w:rFonts w:hint="eastAsia" w:ascii="宋体" w:hAnsi="宋体" w:cs="宋体"/>
          <w:bCs/>
          <w:sz w:val="21"/>
          <w:szCs w:val="21"/>
          <w:highlight w:val="none"/>
          <w:lang w:eastAsia="zh-CN"/>
        </w:rPr>
        <w:t>采购方</w:t>
      </w:r>
      <w:r>
        <w:rPr>
          <w:rFonts w:hint="eastAsia" w:ascii="宋体" w:hAnsi="宋体" w:cs="宋体"/>
          <w:bCs/>
          <w:sz w:val="21"/>
          <w:szCs w:val="21"/>
          <w:highlight w:val="none"/>
        </w:rPr>
        <w:t>按照最利于</w:t>
      </w:r>
      <w:r>
        <w:rPr>
          <w:rFonts w:hint="eastAsia" w:ascii="宋体" w:hAnsi="宋体" w:cs="宋体"/>
          <w:bCs/>
          <w:sz w:val="21"/>
          <w:szCs w:val="21"/>
          <w:highlight w:val="none"/>
          <w:lang w:eastAsia="zh-CN"/>
        </w:rPr>
        <w:t>采购方</w:t>
      </w:r>
      <w:r>
        <w:rPr>
          <w:rFonts w:hint="eastAsia" w:ascii="宋体" w:hAnsi="宋体" w:cs="宋体"/>
          <w:bCs/>
          <w:sz w:val="21"/>
          <w:szCs w:val="21"/>
          <w:highlight w:val="none"/>
        </w:rPr>
        <w:t>签订本合同目的原则选择确认适用内容。</w:t>
      </w:r>
    </w:p>
    <w:p w14:paraId="5879784B">
      <w:pPr>
        <w:autoSpaceDE w:val="0"/>
        <w:autoSpaceDN w:val="0"/>
        <w:adjustRightInd w:val="0"/>
        <w:snapToGrid w:val="0"/>
        <w:spacing w:line="520" w:lineRule="exact"/>
        <w:ind w:firstLine="420" w:firstLineChars="200"/>
        <w:rPr>
          <w:rFonts w:ascii="宋体" w:hAnsi="宋体" w:cs="宋体"/>
          <w:sz w:val="21"/>
          <w:szCs w:val="21"/>
          <w:highlight w:val="none"/>
        </w:rPr>
      </w:pPr>
      <w:r>
        <w:rPr>
          <w:rFonts w:hint="eastAsia" w:ascii="宋体" w:hAnsi="宋体" w:cs="宋体"/>
          <w:sz w:val="21"/>
          <w:szCs w:val="21"/>
          <w:highlight w:val="none"/>
        </w:rPr>
        <w:t>在合同订立及履行过程中形成的与合同有关的文件均构成合同文件组成部分。</w:t>
      </w:r>
    </w:p>
    <w:p w14:paraId="64A60845">
      <w:pPr>
        <w:autoSpaceDE w:val="0"/>
        <w:autoSpaceDN w:val="0"/>
        <w:adjustRightInd w:val="0"/>
        <w:snapToGrid w:val="0"/>
        <w:spacing w:line="520" w:lineRule="exact"/>
        <w:ind w:firstLine="420" w:firstLineChars="200"/>
        <w:rPr>
          <w:rFonts w:ascii="宋体" w:hAnsi="宋体" w:cs="宋体"/>
          <w:sz w:val="21"/>
          <w:szCs w:val="21"/>
          <w:highlight w:val="none"/>
        </w:rPr>
      </w:pPr>
      <w:bookmarkStart w:id="395" w:name="_Toc351203487"/>
      <w:r>
        <w:rPr>
          <w:rFonts w:hint="eastAsia" w:ascii="宋体" w:hAnsi="宋体" w:cs="宋体"/>
          <w:sz w:val="21"/>
          <w:szCs w:val="21"/>
          <w:highlight w:val="none"/>
        </w:rPr>
        <w:t>六、交货时间、地点、方式、风险承担</w:t>
      </w:r>
    </w:p>
    <w:p w14:paraId="2C5B8BB0">
      <w:pPr>
        <w:numPr>
          <w:ilvl w:val="0"/>
          <w:numId w:val="2"/>
        </w:numPr>
        <w:autoSpaceDE w:val="0"/>
        <w:autoSpaceDN w:val="0"/>
        <w:adjustRightInd w:val="0"/>
        <w:snapToGrid w:val="0"/>
        <w:spacing w:line="520" w:lineRule="exact"/>
        <w:ind w:firstLine="420" w:firstLineChars="200"/>
        <w:rPr>
          <w:rFonts w:ascii="宋体" w:hAnsi="宋体" w:cs="宋体"/>
          <w:sz w:val="21"/>
          <w:szCs w:val="21"/>
          <w:highlight w:val="none"/>
          <w:u w:val="single"/>
        </w:rPr>
      </w:pPr>
      <w:r>
        <w:rPr>
          <w:rFonts w:hint="eastAsia" w:ascii="宋体" w:hAnsi="宋体" w:cs="宋体"/>
          <w:sz w:val="21"/>
          <w:szCs w:val="21"/>
          <w:highlight w:val="none"/>
        </w:rPr>
        <w:t>交货时间：</w:t>
      </w:r>
      <w:r>
        <w:rPr>
          <w:rFonts w:hint="eastAsia" w:ascii="宋体" w:hAnsi="宋体" w:cs="宋体"/>
          <w:sz w:val="21"/>
          <w:szCs w:val="21"/>
          <w:highlight w:val="none"/>
          <w:u w:val="single"/>
        </w:rPr>
        <w:t>按</w:t>
      </w:r>
      <w:r>
        <w:rPr>
          <w:rFonts w:hint="eastAsia" w:ascii="宋体" w:hAnsi="宋体" w:cs="宋体"/>
          <w:sz w:val="21"/>
          <w:szCs w:val="21"/>
          <w:highlight w:val="none"/>
          <w:u w:val="single"/>
          <w:lang w:eastAsia="zh-CN"/>
        </w:rPr>
        <w:t>采购方</w:t>
      </w:r>
      <w:r>
        <w:rPr>
          <w:rFonts w:hint="eastAsia" w:ascii="宋体" w:hAnsi="宋体" w:cs="宋体"/>
          <w:sz w:val="21"/>
          <w:szCs w:val="21"/>
          <w:highlight w:val="none"/>
          <w:u w:val="single"/>
        </w:rPr>
        <w:t xml:space="preserve">通知时间交货                             </w:t>
      </w:r>
    </w:p>
    <w:p w14:paraId="55840663">
      <w:pPr>
        <w:numPr>
          <w:ilvl w:val="0"/>
          <w:numId w:val="2"/>
        </w:numPr>
        <w:autoSpaceDE w:val="0"/>
        <w:autoSpaceDN w:val="0"/>
        <w:adjustRightInd w:val="0"/>
        <w:snapToGrid w:val="0"/>
        <w:spacing w:line="520" w:lineRule="exact"/>
        <w:ind w:firstLine="420" w:firstLineChars="200"/>
        <w:rPr>
          <w:rFonts w:ascii="宋体" w:hAnsi="宋体" w:cs="宋体"/>
          <w:sz w:val="21"/>
          <w:szCs w:val="21"/>
          <w:highlight w:val="none"/>
          <w:u w:val="single"/>
        </w:rPr>
      </w:pPr>
      <w:r>
        <w:rPr>
          <w:rFonts w:hint="eastAsia" w:ascii="宋体" w:hAnsi="宋体" w:cs="宋体"/>
          <w:sz w:val="21"/>
          <w:szCs w:val="21"/>
          <w:highlight w:val="none"/>
        </w:rPr>
        <w:t>交货地点：</w:t>
      </w:r>
      <w:r>
        <w:rPr>
          <w:rFonts w:hint="eastAsia" w:ascii="宋体" w:hAnsi="宋体" w:cs="宋体"/>
          <w:sz w:val="21"/>
          <w:szCs w:val="21"/>
          <w:highlight w:val="none"/>
          <w:u w:val="single"/>
        </w:rPr>
        <w:t>按</w:t>
      </w:r>
      <w:r>
        <w:rPr>
          <w:rFonts w:hint="eastAsia" w:ascii="宋体" w:hAnsi="宋体" w:cs="宋体"/>
          <w:sz w:val="21"/>
          <w:szCs w:val="21"/>
          <w:highlight w:val="none"/>
          <w:u w:val="single"/>
          <w:lang w:eastAsia="zh-CN"/>
        </w:rPr>
        <w:t>采购方</w:t>
      </w:r>
      <w:r>
        <w:rPr>
          <w:rFonts w:hint="eastAsia" w:ascii="宋体" w:hAnsi="宋体" w:cs="宋体"/>
          <w:sz w:val="21"/>
          <w:szCs w:val="21"/>
          <w:highlight w:val="none"/>
          <w:u w:val="single"/>
        </w:rPr>
        <w:t xml:space="preserve">通知地点交货                                </w:t>
      </w:r>
    </w:p>
    <w:p w14:paraId="56AD37A4">
      <w:pPr>
        <w:numPr>
          <w:ilvl w:val="0"/>
          <w:numId w:val="2"/>
        </w:numPr>
        <w:autoSpaceDE w:val="0"/>
        <w:autoSpaceDN w:val="0"/>
        <w:adjustRightInd w:val="0"/>
        <w:snapToGrid w:val="0"/>
        <w:spacing w:line="520" w:lineRule="exact"/>
        <w:ind w:firstLine="420" w:firstLineChars="200"/>
        <w:rPr>
          <w:rFonts w:ascii="宋体" w:hAnsi="宋体" w:cs="宋体"/>
          <w:sz w:val="21"/>
          <w:szCs w:val="21"/>
          <w:highlight w:val="none"/>
        </w:rPr>
      </w:pPr>
      <w:r>
        <w:rPr>
          <w:rFonts w:hint="eastAsia" w:ascii="宋体" w:hAnsi="宋体" w:cs="宋体"/>
          <w:sz w:val="21"/>
          <w:szCs w:val="21"/>
          <w:highlight w:val="none"/>
        </w:rPr>
        <w:t>交货方式：</w:t>
      </w:r>
      <w:r>
        <w:rPr>
          <w:rFonts w:hint="eastAsia" w:ascii="宋体" w:hAnsi="宋体" w:cs="宋体"/>
          <w:sz w:val="21"/>
          <w:szCs w:val="21"/>
          <w:highlight w:val="none"/>
          <w:u w:val="single"/>
          <w:lang w:eastAsia="zh-CN"/>
        </w:rPr>
        <w:t>供应方</w:t>
      </w:r>
      <w:r>
        <w:rPr>
          <w:rFonts w:hint="eastAsia" w:ascii="宋体" w:hAnsi="宋体" w:cs="宋体"/>
          <w:sz w:val="21"/>
          <w:szCs w:val="21"/>
          <w:highlight w:val="none"/>
          <w:u w:val="single"/>
        </w:rPr>
        <w:t xml:space="preserve">送货（含运费、安装费、装卸费、倒运费等）     </w:t>
      </w:r>
    </w:p>
    <w:p w14:paraId="739BF186">
      <w:pPr>
        <w:numPr>
          <w:ilvl w:val="0"/>
          <w:numId w:val="2"/>
        </w:numPr>
        <w:autoSpaceDE w:val="0"/>
        <w:autoSpaceDN w:val="0"/>
        <w:adjustRightInd w:val="0"/>
        <w:snapToGrid w:val="0"/>
        <w:spacing w:line="520" w:lineRule="exact"/>
        <w:ind w:firstLine="420" w:firstLineChars="200"/>
        <w:rPr>
          <w:rFonts w:ascii="宋体" w:hAnsi="宋体" w:cs="宋体"/>
          <w:sz w:val="21"/>
          <w:szCs w:val="21"/>
          <w:highlight w:val="none"/>
        </w:rPr>
      </w:pPr>
      <w:r>
        <w:rPr>
          <w:rFonts w:hint="eastAsia" w:ascii="宋体" w:hAnsi="宋体" w:cs="宋体"/>
          <w:sz w:val="21"/>
          <w:szCs w:val="21"/>
          <w:highlight w:val="none"/>
        </w:rPr>
        <w:t>风险承担：</w:t>
      </w:r>
      <w:r>
        <w:rPr>
          <w:rFonts w:hint="eastAsia" w:ascii="宋体" w:hAnsi="宋体" w:cs="宋体"/>
          <w:sz w:val="21"/>
          <w:szCs w:val="21"/>
          <w:highlight w:val="none"/>
          <w:u w:val="single"/>
        </w:rPr>
        <w:t>合同涉及的货物在</w:t>
      </w:r>
      <w:r>
        <w:rPr>
          <w:rFonts w:hint="eastAsia" w:ascii="宋体" w:hAnsi="宋体" w:cs="宋体"/>
          <w:sz w:val="21"/>
          <w:szCs w:val="21"/>
          <w:highlight w:val="none"/>
          <w:u w:val="single"/>
          <w:lang w:eastAsia="zh-CN"/>
        </w:rPr>
        <w:t>采购方</w:t>
      </w:r>
      <w:r>
        <w:rPr>
          <w:rFonts w:hint="eastAsia" w:ascii="宋体" w:hAnsi="宋体" w:cs="宋体"/>
          <w:sz w:val="21"/>
          <w:szCs w:val="21"/>
          <w:highlight w:val="none"/>
          <w:u w:val="single"/>
        </w:rPr>
        <w:t>未出具书面验收合格报告之前由</w:t>
      </w:r>
      <w:r>
        <w:rPr>
          <w:rFonts w:hint="eastAsia" w:ascii="宋体" w:hAnsi="宋体" w:cs="宋体"/>
          <w:sz w:val="21"/>
          <w:szCs w:val="21"/>
          <w:highlight w:val="none"/>
          <w:u w:val="single"/>
          <w:lang w:eastAsia="zh-CN"/>
        </w:rPr>
        <w:t>供应方</w:t>
      </w:r>
      <w:r>
        <w:rPr>
          <w:rFonts w:hint="eastAsia" w:ascii="宋体" w:hAnsi="宋体" w:cs="宋体"/>
          <w:sz w:val="21"/>
          <w:szCs w:val="21"/>
          <w:highlight w:val="none"/>
          <w:u w:val="single"/>
        </w:rPr>
        <w:t xml:space="preserve">承担，包括但不限于毁、损、盗等其他对货物利用价值产生影响的风险。 </w:t>
      </w:r>
    </w:p>
    <w:p w14:paraId="27907B58">
      <w:pPr>
        <w:numPr>
          <w:ilvl w:val="0"/>
          <w:numId w:val="3"/>
        </w:numPr>
        <w:autoSpaceDE w:val="0"/>
        <w:autoSpaceDN w:val="0"/>
        <w:adjustRightInd w:val="0"/>
        <w:snapToGrid w:val="0"/>
        <w:spacing w:line="520" w:lineRule="exact"/>
        <w:ind w:firstLine="420" w:firstLineChars="200"/>
        <w:rPr>
          <w:rFonts w:ascii="宋体" w:hAnsi="宋体" w:cs="宋体"/>
          <w:sz w:val="21"/>
          <w:szCs w:val="21"/>
          <w:highlight w:val="none"/>
        </w:rPr>
      </w:pPr>
      <w:r>
        <w:rPr>
          <w:rFonts w:hint="eastAsia" w:ascii="宋体" w:hAnsi="宋体" w:cs="宋体"/>
          <w:sz w:val="21"/>
          <w:szCs w:val="21"/>
          <w:highlight w:val="none"/>
        </w:rPr>
        <w:t>验收标准和要求</w:t>
      </w:r>
    </w:p>
    <w:p w14:paraId="0A330818">
      <w:pPr>
        <w:pStyle w:val="43"/>
        <w:snapToGrid w:val="0"/>
        <w:spacing w:line="52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1.工程整体及分部项目（包含隐蔽工程）须符合国家建筑结构等政策文件相关标准。</w:t>
      </w:r>
    </w:p>
    <w:p w14:paraId="203C6828">
      <w:pPr>
        <w:pStyle w:val="43"/>
        <w:snapToGrid w:val="0"/>
        <w:spacing w:line="52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石材均采用天然石材，等级为A级，无染色、裂痕、金属晶体颗粒、异常斑点或条纹，颜色均匀一致。造型流畅，雕刻要求图案精美，润华逼真,</w:t>
      </w:r>
      <w:r>
        <w:rPr>
          <w:rFonts w:hint="eastAsia" w:ascii="宋体" w:hAnsi="宋体" w:cs="宋体"/>
          <w:sz w:val="21"/>
          <w:szCs w:val="21"/>
          <w:highlight w:val="none"/>
          <w:lang w:val="en-US" w:eastAsia="zh-CN"/>
        </w:rPr>
        <w:t>组件尺寸</w:t>
      </w:r>
      <w:r>
        <w:rPr>
          <w:rFonts w:hint="eastAsia" w:ascii="宋体" w:hAnsi="宋体" w:cs="宋体"/>
          <w:sz w:val="21"/>
          <w:szCs w:val="21"/>
          <w:highlight w:val="none"/>
        </w:rPr>
        <w:t>规格误差不超过正负3mm</w:t>
      </w:r>
      <w:r>
        <w:rPr>
          <w:rFonts w:hint="eastAsia" w:ascii="宋体" w:hAnsi="宋体" w:cs="宋体"/>
          <w:sz w:val="21"/>
          <w:szCs w:val="21"/>
          <w:highlight w:val="none"/>
          <w:lang w:val="en-US" w:eastAsia="zh-CN"/>
        </w:rPr>
        <w:t>。</w:t>
      </w:r>
    </w:p>
    <w:p w14:paraId="1C70E885">
      <w:pPr>
        <w:pStyle w:val="43"/>
        <w:snapToGrid w:val="0"/>
        <w:spacing w:line="52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技术验收：采购方</w:t>
      </w:r>
      <w:r>
        <w:rPr>
          <w:rFonts w:hint="eastAsia" w:ascii="宋体" w:hAnsi="宋体" w:cs="宋体"/>
          <w:sz w:val="21"/>
          <w:szCs w:val="21"/>
          <w:highlight w:val="none"/>
          <w:lang w:val="en-US" w:eastAsia="zh-CN"/>
        </w:rPr>
        <w:t>有权</w:t>
      </w:r>
      <w:r>
        <w:rPr>
          <w:rFonts w:hint="eastAsia" w:ascii="宋体" w:hAnsi="宋体" w:cs="宋体"/>
          <w:sz w:val="21"/>
          <w:szCs w:val="21"/>
          <w:highlight w:val="none"/>
        </w:rPr>
        <w:t>委托第三方对</w:t>
      </w:r>
      <w:r>
        <w:rPr>
          <w:rFonts w:hint="eastAsia" w:ascii="宋体" w:hAnsi="宋体" w:cs="宋体"/>
          <w:sz w:val="21"/>
          <w:szCs w:val="21"/>
          <w:highlight w:val="none"/>
          <w:lang w:val="en-US" w:eastAsia="zh-CN"/>
        </w:rPr>
        <w:t>混凝土强度、建材主材质量、已建</w:t>
      </w:r>
      <w:r>
        <w:rPr>
          <w:rFonts w:hint="eastAsia" w:ascii="宋体" w:hAnsi="宋体" w:cs="宋体"/>
          <w:sz w:val="21"/>
          <w:szCs w:val="21"/>
          <w:highlight w:val="none"/>
        </w:rPr>
        <w:t>墓碑</w:t>
      </w:r>
      <w:r>
        <w:rPr>
          <w:rFonts w:hint="eastAsia" w:ascii="宋体" w:hAnsi="宋体" w:cs="宋体"/>
          <w:sz w:val="21"/>
          <w:szCs w:val="21"/>
          <w:highlight w:val="none"/>
          <w:lang w:val="en-US" w:eastAsia="zh-CN"/>
        </w:rPr>
        <w:t>整体</w:t>
      </w:r>
      <w:r>
        <w:rPr>
          <w:rFonts w:hint="eastAsia" w:ascii="宋体" w:hAnsi="宋体" w:cs="宋体"/>
          <w:sz w:val="21"/>
          <w:szCs w:val="21"/>
          <w:highlight w:val="none"/>
        </w:rPr>
        <w:t>进行检测，</w:t>
      </w:r>
      <w:r>
        <w:rPr>
          <w:rFonts w:hint="eastAsia" w:ascii="宋体" w:hAnsi="宋体" w:cs="宋体"/>
          <w:sz w:val="21"/>
          <w:szCs w:val="21"/>
          <w:highlight w:val="none"/>
          <w:lang w:val="en-US" w:eastAsia="zh-CN"/>
        </w:rPr>
        <w:t>如石材硬度、</w:t>
      </w:r>
      <w:r>
        <w:rPr>
          <w:rFonts w:hint="eastAsia" w:ascii="宋体" w:hAnsi="宋体" w:cs="宋体"/>
          <w:sz w:val="21"/>
          <w:szCs w:val="21"/>
          <w:highlight w:val="none"/>
        </w:rPr>
        <w:t>基础垫层厚度规格、材质、石材组件间水泥</w:t>
      </w:r>
      <w:r>
        <w:rPr>
          <w:rFonts w:hint="eastAsia" w:ascii="宋体" w:hAnsi="宋体" w:cs="宋体"/>
          <w:sz w:val="21"/>
          <w:szCs w:val="21"/>
          <w:highlight w:val="none"/>
          <w:lang w:val="en-US" w:eastAsia="zh-CN"/>
        </w:rPr>
        <w:t>标号</w:t>
      </w:r>
      <w:r>
        <w:rPr>
          <w:rFonts w:hint="eastAsia" w:ascii="宋体" w:hAnsi="宋体" w:cs="宋体"/>
          <w:sz w:val="21"/>
          <w:szCs w:val="21"/>
          <w:highlight w:val="none"/>
        </w:rPr>
        <w:t>强度</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饱满度</w:t>
      </w:r>
      <w:r>
        <w:rPr>
          <w:rFonts w:hint="eastAsia" w:ascii="宋体" w:hAnsi="宋体" w:cs="宋体"/>
          <w:sz w:val="21"/>
          <w:szCs w:val="21"/>
          <w:highlight w:val="none"/>
        </w:rPr>
        <w:t>等，进行破坏性抽样检测，检测机构服务费由</w:t>
      </w:r>
      <w:r>
        <w:rPr>
          <w:rFonts w:hint="eastAsia" w:ascii="宋体" w:hAnsi="宋体" w:cs="宋体"/>
          <w:sz w:val="21"/>
          <w:szCs w:val="21"/>
          <w:highlight w:val="none"/>
          <w:lang w:eastAsia="zh-CN"/>
        </w:rPr>
        <w:t>供应方</w:t>
      </w:r>
      <w:r>
        <w:rPr>
          <w:rFonts w:hint="eastAsia" w:ascii="宋体" w:hAnsi="宋体" w:cs="宋体"/>
          <w:sz w:val="21"/>
          <w:szCs w:val="21"/>
          <w:highlight w:val="none"/>
        </w:rPr>
        <w:t>支付</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且负责无偿恢复</w:t>
      </w:r>
      <w:r>
        <w:rPr>
          <w:rFonts w:hint="eastAsia" w:ascii="宋体" w:hAnsi="宋体" w:cs="宋体"/>
          <w:sz w:val="21"/>
          <w:szCs w:val="21"/>
          <w:highlight w:val="none"/>
        </w:rPr>
        <w:t>。</w:t>
      </w:r>
    </w:p>
    <w:p w14:paraId="61EC52FD">
      <w:pPr>
        <w:pStyle w:val="43"/>
        <w:snapToGrid w:val="0"/>
        <w:spacing w:line="52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4.景观</w:t>
      </w:r>
      <w:r>
        <w:rPr>
          <w:rFonts w:hint="eastAsia" w:ascii="宋体" w:hAnsi="宋体" w:cs="宋体"/>
          <w:sz w:val="21"/>
          <w:szCs w:val="21"/>
          <w:highlight w:val="none"/>
        </w:rPr>
        <w:t>安装</w:t>
      </w:r>
      <w:r>
        <w:rPr>
          <w:rFonts w:hint="eastAsia" w:ascii="宋体" w:hAnsi="宋体" w:cs="宋体"/>
          <w:sz w:val="21"/>
          <w:szCs w:val="21"/>
          <w:highlight w:val="none"/>
          <w:lang w:val="en-US" w:eastAsia="zh-CN"/>
        </w:rPr>
        <w:t>及其他施工</w:t>
      </w:r>
      <w:r>
        <w:rPr>
          <w:rFonts w:hint="eastAsia" w:ascii="宋体" w:hAnsi="宋体" w:cs="宋体"/>
          <w:sz w:val="21"/>
          <w:szCs w:val="21"/>
          <w:highlight w:val="none"/>
        </w:rPr>
        <w:t>验收：</w:t>
      </w:r>
      <w:r>
        <w:rPr>
          <w:rFonts w:hint="eastAsia" w:ascii="宋体" w:hAnsi="宋体" w:cs="宋体"/>
          <w:sz w:val="21"/>
          <w:szCs w:val="21"/>
          <w:highlight w:val="none"/>
          <w:lang w:val="en-US" w:eastAsia="zh-CN"/>
        </w:rPr>
        <w:t>景观小品</w:t>
      </w:r>
      <w:r>
        <w:rPr>
          <w:rFonts w:hint="eastAsia" w:ascii="宋体" w:hAnsi="宋体" w:cs="宋体"/>
          <w:sz w:val="21"/>
          <w:szCs w:val="21"/>
          <w:highlight w:val="none"/>
        </w:rPr>
        <w:t>安装</w:t>
      </w:r>
      <w:r>
        <w:rPr>
          <w:rFonts w:hint="eastAsia" w:ascii="宋体" w:hAnsi="宋体" w:cs="宋体"/>
          <w:sz w:val="21"/>
          <w:szCs w:val="21"/>
          <w:highlight w:val="none"/>
          <w:lang w:val="en-US" w:eastAsia="zh-CN"/>
        </w:rPr>
        <w:t>及石材安装</w:t>
      </w:r>
      <w:r>
        <w:rPr>
          <w:rFonts w:hint="eastAsia" w:ascii="宋体" w:hAnsi="宋体" w:cs="宋体"/>
          <w:sz w:val="21"/>
          <w:szCs w:val="21"/>
          <w:highlight w:val="none"/>
        </w:rPr>
        <w:t>应</w:t>
      </w:r>
      <w:r>
        <w:rPr>
          <w:rFonts w:hint="eastAsia" w:ascii="宋体" w:hAnsi="宋体" w:cs="宋体"/>
          <w:sz w:val="21"/>
          <w:szCs w:val="21"/>
          <w:highlight w:val="none"/>
          <w:lang w:val="en-US" w:eastAsia="zh-CN"/>
        </w:rPr>
        <w:t>严格按照施工图纸执行，材质规格符合图纸及采购方要求</w:t>
      </w:r>
      <w:r>
        <w:rPr>
          <w:rFonts w:hint="eastAsia" w:ascii="宋体" w:hAnsi="宋体" w:cs="宋体"/>
          <w:sz w:val="21"/>
          <w:szCs w:val="21"/>
          <w:highlight w:val="none"/>
        </w:rPr>
        <w:t>。</w:t>
      </w:r>
      <w:r>
        <w:rPr>
          <w:rFonts w:hint="eastAsia" w:ascii="宋体" w:hAnsi="宋体" w:cs="宋体"/>
          <w:sz w:val="21"/>
          <w:szCs w:val="21"/>
          <w:highlight w:val="none"/>
          <w:lang w:val="en-US" w:eastAsia="zh-CN"/>
        </w:rPr>
        <w:t>基础部分</w:t>
      </w:r>
      <w:r>
        <w:rPr>
          <w:rFonts w:hint="eastAsia" w:ascii="宋体" w:hAnsi="宋体" w:cs="宋体"/>
          <w:sz w:val="21"/>
          <w:szCs w:val="21"/>
          <w:highlight w:val="none"/>
        </w:rPr>
        <w:t>符合建筑工程施工质量验收统一标准。</w:t>
      </w:r>
    </w:p>
    <w:p w14:paraId="304936A6">
      <w:pPr>
        <w:pStyle w:val="43"/>
        <w:snapToGrid w:val="0"/>
        <w:spacing w:line="52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cs="宋体"/>
          <w:sz w:val="21"/>
          <w:szCs w:val="21"/>
          <w:highlight w:val="none"/>
        </w:rPr>
        <w:t>施工现场需设置全封闭施工围挡，所有工程经</w:t>
      </w:r>
      <w:r>
        <w:rPr>
          <w:rFonts w:hint="eastAsia" w:ascii="宋体" w:hAnsi="宋体" w:cs="宋体"/>
          <w:sz w:val="21"/>
          <w:szCs w:val="21"/>
          <w:highlight w:val="none"/>
          <w:lang w:eastAsia="zh-CN"/>
        </w:rPr>
        <w:t>采购方</w:t>
      </w:r>
      <w:r>
        <w:rPr>
          <w:rFonts w:hint="eastAsia" w:ascii="宋体" w:hAnsi="宋体" w:cs="宋体"/>
          <w:sz w:val="21"/>
          <w:szCs w:val="21"/>
          <w:highlight w:val="none"/>
        </w:rPr>
        <w:t>验收后方可拆除，期间</w:t>
      </w:r>
      <w:r>
        <w:rPr>
          <w:rFonts w:hint="eastAsia" w:ascii="宋体" w:hAnsi="宋体" w:cs="宋体"/>
          <w:sz w:val="21"/>
          <w:szCs w:val="21"/>
          <w:highlight w:val="none"/>
          <w:lang w:eastAsia="zh-CN"/>
        </w:rPr>
        <w:t>供应方</w:t>
      </w:r>
      <w:r>
        <w:rPr>
          <w:rFonts w:hint="eastAsia" w:ascii="宋体" w:hAnsi="宋体" w:cs="宋体"/>
          <w:sz w:val="21"/>
          <w:szCs w:val="21"/>
          <w:highlight w:val="none"/>
        </w:rPr>
        <w:t>负责围挡的维护和安全保障责任</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如因材料摆放和围挡安全问题产生的一切损失由供应方负责</w:t>
      </w:r>
      <w:r>
        <w:rPr>
          <w:rFonts w:hint="eastAsia" w:ascii="宋体" w:hAnsi="宋体" w:cs="宋体"/>
          <w:sz w:val="21"/>
          <w:szCs w:val="21"/>
          <w:highlight w:val="none"/>
        </w:rPr>
        <w:t>。</w:t>
      </w:r>
    </w:p>
    <w:p w14:paraId="6B20FE38">
      <w:pPr>
        <w:pStyle w:val="43"/>
        <w:snapToGrid w:val="0"/>
        <w:spacing w:line="52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6.铺装石材，成品砖、景观小品样式及样板等，采购方确定无问题后方可备入安装现场。施工</w:t>
      </w:r>
      <w:r>
        <w:rPr>
          <w:rFonts w:hint="eastAsia" w:ascii="宋体" w:hAnsi="宋体" w:cs="宋体"/>
          <w:sz w:val="21"/>
          <w:szCs w:val="21"/>
          <w:highlight w:val="none"/>
        </w:rPr>
        <w:t>部分</w:t>
      </w:r>
      <w:r>
        <w:rPr>
          <w:rFonts w:hint="eastAsia" w:ascii="宋体" w:hAnsi="宋体" w:cs="宋体"/>
          <w:sz w:val="21"/>
          <w:szCs w:val="21"/>
          <w:highlight w:val="none"/>
          <w:lang w:val="en-US" w:eastAsia="zh-CN"/>
        </w:rPr>
        <w:t>需与</w:t>
      </w:r>
      <w:r>
        <w:rPr>
          <w:rFonts w:hint="eastAsia" w:ascii="宋体" w:hAnsi="宋体" w:cs="宋体"/>
          <w:sz w:val="21"/>
          <w:szCs w:val="21"/>
          <w:highlight w:val="none"/>
        </w:rPr>
        <w:t>现有基础设施的合理衔接。</w:t>
      </w:r>
    </w:p>
    <w:p w14:paraId="5098244B">
      <w:pPr>
        <w:pStyle w:val="43"/>
        <w:snapToGrid w:val="0"/>
        <w:spacing w:line="52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7.</w:t>
      </w:r>
      <w:r>
        <w:rPr>
          <w:rFonts w:hint="eastAsia" w:ascii="宋体" w:hAnsi="宋体" w:cs="宋体"/>
          <w:sz w:val="21"/>
          <w:szCs w:val="21"/>
          <w:highlight w:val="none"/>
        </w:rPr>
        <w:t>场地要求：</w:t>
      </w:r>
      <w:r>
        <w:rPr>
          <w:rFonts w:hint="eastAsia" w:ascii="宋体" w:hAnsi="宋体" w:cs="宋体"/>
          <w:sz w:val="21"/>
          <w:szCs w:val="21"/>
          <w:highlight w:val="none"/>
          <w:lang w:val="en-US" w:eastAsia="zh-CN"/>
        </w:rPr>
        <w:t>入场施工前需签订</w:t>
      </w:r>
      <w:r>
        <w:rPr>
          <w:rFonts w:hint="eastAsia" w:ascii="宋体" w:hAnsi="宋体" w:cs="宋体"/>
          <w:sz w:val="21"/>
          <w:szCs w:val="21"/>
          <w:highlight w:val="none"/>
        </w:rPr>
        <w:t>《入场协议》</w:t>
      </w:r>
      <w:r>
        <w:rPr>
          <w:rFonts w:hint="eastAsia" w:ascii="宋体" w:hAnsi="宋体" w:cs="宋体"/>
          <w:sz w:val="21"/>
          <w:szCs w:val="21"/>
          <w:highlight w:val="none"/>
          <w:lang w:val="en-US" w:eastAsia="zh-CN"/>
        </w:rPr>
        <w:t>和《安全生产及文明施工责任书》，</w:t>
      </w:r>
      <w:r>
        <w:rPr>
          <w:rFonts w:hint="eastAsia" w:ascii="宋体" w:hAnsi="宋体" w:cs="宋体"/>
          <w:sz w:val="21"/>
          <w:szCs w:val="21"/>
          <w:highlight w:val="none"/>
        </w:rPr>
        <w:t>现场用水用电、场地管理、工人、物料管理按规定执行</w:t>
      </w:r>
      <w:r>
        <w:rPr>
          <w:rFonts w:hint="eastAsia" w:ascii="宋体" w:hAnsi="宋体" w:cs="宋体"/>
          <w:sz w:val="21"/>
          <w:szCs w:val="21"/>
          <w:highlight w:val="none"/>
          <w:lang w:eastAsia="zh-CN"/>
        </w:rPr>
        <w:t>，如</w:t>
      </w:r>
      <w:r>
        <w:rPr>
          <w:rFonts w:hint="eastAsia" w:ascii="宋体" w:hAnsi="宋体" w:cs="宋体"/>
          <w:sz w:val="21"/>
          <w:szCs w:val="21"/>
          <w:highlight w:val="none"/>
          <w:lang w:val="en-US" w:eastAsia="zh-CN"/>
        </w:rPr>
        <w:t>违反相应规定，采购方将按相关条款进行处罚。</w:t>
      </w:r>
    </w:p>
    <w:p w14:paraId="33279046">
      <w:pPr>
        <w:pStyle w:val="43"/>
        <w:snapToGrid w:val="0"/>
        <w:spacing w:line="52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8.</w:t>
      </w:r>
      <w:r>
        <w:rPr>
          <w:rFonts w:hint="eastAsia" w:ascii="宋体" w:hAnsi="宋体" w:cs="宋体"/>
          <w:sz w:val="21"/>
          <w:szCs w:val="21"/>
          <w:highlight w:val="none"/>
        </w:rPr>
        <w:t>验收交付前的保管及安全等责任由</w:t>
      </w:r>
      <w:r>
        <w:rPr>
          <w:rFonts w:hint="eastAsia" w:ascii="宋体" w:hAnsi="宋体" w:cs="宋体"/>
          <w:sz w:val="21"/>
          <w:szCs w:val="21"/>
          <w:highlight w:val="none"/>
          <w:lang w:eastAsia="zh-CN"/>
        </w:rPr>
        <w:t>供应方</w:t>
      </w:r>
      <w:r>
        <w:rPr>
          <w:rFonts w:hint="eastAsia" w:ascii="宋体" w:hAnsi="宋体" w:cs="宋体"/>
          <w:sz w:val="21"/>
          <w:szCs w:val="21"/>
          <w:highlight w:val="none"/>
        </w:rPr>
        <w:t>承担。</w:t>
      </w:r>
    </w:p>
    <w:p w14:paraId="45D2408E">
      <w:pPr>
        <w:pStyle w:val="43"/>
        <w:snapToGrid w:val="0"/>
        <w:spacing w:line="52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9.</w:t>
      </w:r>
      <w:r>
        <w:rPr>
          <w:rFonts w:hint="eastAsia" w:ascii="宋体" w:hAnsi="宋体" w:cs="宋体"/>
          <w:sz w:val="21"/>
          <w:szCs w:val="21"/>
          <w:highlight w:val="none"/>
        </w:rPr>
        <w:t>包装运输要求</w:t>
      </w:r>
    </w:p>
    <w:p w14:paraId="6384FFE1">
      <w:pPr>
        <w:pStyle w:val="43"/>
        <w:snapToGrid w:val="0"/>
        <w:spacing w:line="52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每批到货材料按照采购方指定位置摆放、</w:t>
      </w:r>
      <w:r>
        <w:rPr>
          <w:rFonts w:hint="eastAsia" w:ascii="宋体" w:hAnsi="宋体" w:cs="宋体"/>
          <w:sz w:val="21"/>
          <w:szCs w:val="21"/>
          <w:highlight w:val="none"/>
        </w:rPr>
        <w:t>施工区域禁止5吨以上车辆驶入。</w:t>
      </w:r>
    </w:p>
    <w:p w14:paraId="5A7EE47C">
      <w:pPr>
        <w:pStyle w:val="43"/>
        <w:snapToGrid w:val="0"/>
        <w:spacing w:line="52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木材六面防护，箱内石材单一组件必须全部用专用塑料珍珠棉包装。箱体清楚标明产品墓区及组件名称、数量。采购方规定施工区域禁止5吨以上车辆驶入。</w:t>
      </w:r>
    </w:p>
    <w:p w14:paraId="0BCEB764">
      <w:pPr>
        <w:pStyle w:val="43"/>
        <w:snapToGrid w:val="0"/>
        <w:spacing w:line="520" w:lineRule="exact"/>
        <w:ind w:firstLine="420" w:firstLineChars="200"/>
        <w:rPr>
          <w:rFonts w:ascii="宋体" w:hAnsi="宋体" w:cs="宋体"/>
          <w:kern w:val="0"/>
          <w:szCs w:val="21"/>
          <w:highlight w:val="none"/>
        </w:rPr>
      </w:pPr>
      <w:r>
        <w:rPr>
          <w:rFonts w:hint="eastAsia" w:ascii="宋体" w:hAnsi="宋体" w:cs="宋体"/>
          <w:kern w:val="0"/>
          <w:szCs w:val="21"/>
          <w:highlight w:val="none"/>
        </w:rPr>
        <w:t>八、知识产权</w:t>
      </w:r>
    </w:p>
    <w:p w14:paraId="2FEAA790">
      <w:pPr>
        <w:pStyle w:val="43"/>
        <w:snapToGrid w:val="0"/>
        <w:spacing w:line="520" w:lineRule="exact"/>
        <w:ind w:firstLine="420" w:firstLineChars="200"/>
        <w:rPr>
          <w:rFonts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kern w:val="0"/>
          <w:szCs w:val="21"/>
          <w:highlight w:val="none"/>
          <w:lang w:eastAsia="zh-CN"/>
        </w:rPr>
        <w:t>供应方</w:t>
      </w:r>
      <w:r>
        <w:rPr>
          <w:rFonts w:hint="eastAsia" w:ascii="宋体" w:hAnsi="宋体" w:cs="宋体"/>
          <w:kern w:val="0"/>
          <w:szCs w:val="21"/>
          <w:highlight w:val="none"/>
        </w:rPr>
        <w:t>应保证所提供的服务或其任何一部分均不会侵犯任何第三方的专利权、商标权或著作权等权利；若有侵犯第三方权利的，由</w:t>
      </w:r>
      <w:r>
        <w:rPr>
          <w:rFonts w:hint="eastAsia" w:ascii="宋体" w:hAnsi="宋体" w:cs="宋体"/>
          <w:kern w:val="0"/>
          <w:szCs w:val="21"/>
          <w:highlight w:val="none"/>
          <w:lang w:eastAsia="zh-CN"/>
        </w:rPr>
        <w:t>供应方</w:t>
      </w:r>
      <w:r>
        <w:rPr>
          <w:rFonts w:hint="eastAsia" w:ascii="宋体" w:hAnsi="宋体" w:cs="宋体"/>
          <w:kern w:val="0"/>
          <w:szCs w:val="21"/>
          <w:highlight w:val="none"/>
        </w:rPr>
        <w:t>自行承担相关责任。</w:t>
      </w:r>
    </w:p>
    <w:p w14:paraId="52BC6095">
      <w:pPr>
        <w:pStyle w:val="43"/>
        <w:snapToGrid w:val="0"/>
        <w:spacing w:line="520" w:lineRule="exact"/>
        <w:ind w:firstLine="420" w:firstLineChars="200"/>
        <w:rPr>
          <w:rFonts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kern w:val="0"/>
          <w:szCs w:val="21"/>
          <w:highlight w:val="none"/>
          <w:lang w:eastAsia="zh-CN"/>
        </w:rPr>
        <w:t>供应方</w:t>
      </w:r>
      <w:r>
        <w:rPr>
          <w:rFonts w:hint="eastAsia" w:ascii="宋体" w:hAnsi="宋体" w:cs="宋体"/>
          <w:kern w:val="0"/>
          <w:szCs w:val="21"/>
          <w:highlight w:val="none"/>
        </w:rPr>
        <w:t>在履行本合同的过程中所形成的全部知识产权，归</w:t>
      </w:r>
      <w:r>
        <w:rPr>
          <w:rFonts w:hint="eastAsia" w:ascii="宋体" w:hAnsi="宋体" w:cs="宋体"/>
          <w:kern w:val="0"/>
          <w:szCs w:val="21"/>
          <w:highlight w:val="none"/>
          <w:lang w:eastAsia="zh-CN"/>
        </w:rPr>
        <w:t>采购方</w:t>
      </w:r>
      <w:r>
        <w:rPr>
          <w:rFonts w:hint="eastAsia" w:ascii="宋体" w:hAnsi="宋体" w:cs="宋体"/>
          <w:kern w:val="0"/>
          <w:szCs w:val="21"/>
          <w:highlight w:val="none"/>
        </w:rPr>
        <w:t>所有。</w:t>
      </w:r>
    </w:p>
    <w:p w14:paraId="19FF5D6C">
      <w:pPr>
        <w:pStyle w:val="43"/>
        <w:snapToGrid w:val="0"/>
        <w:spacing w:line="520" w:lineRule="exact"/>
        <w:ind w:firstLine="420" w:firstLineChars="200"/>
        <w:rPr>
          <w:rFonts w:ascii="宋体" w:hAnsi="宋体" w:cs="宋体"/>
          <w:kern w:val="0"/>
          <w:szCs w:val="21"/>
          <w:highlight w:val="none"/>
        </w:rPr>
      </w:pPr>
      <w:r>
        <w:rPr>
          <w:rFonts w:hint="eastAsia" w:ascii="宋体" w:hAnsi="宋体" w:cs="宋体"/>
          <w:kern w:val="0"/>
          <w:szCs w:val="21"/>
          <w:highlight w:val="none"/>
        </w:rPr>
        <w:t>九、权利和义务</w:t>
      </w:r>
    </w:p>
    <w:p w14:paraId="1715BDEB">
      <w:pPr>
        <w:pStyle w:val="43"/>
        <w:snapToGrid w:val="0"/>
        <w:spacing w:line="520" w:lineRule="exact"/>
        <w:ind w:firstLine="420" w:firstLineChars="200"/>
        <w:rPr>
          <w:rFonts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kern w:val="0"/>
          <w:szCs w:val="21"/>
          <w:highlight w:val="none"/>
          <w:lang w:eastAsia="zh-CN"/>
        </w:rPr>
        <w:t>采购方</w:t>
      </w:r>
      <w:r>
        <w:rPr>
          <w:rFonts w:hint="eastAsia" w:ascii="宋体" w:hAnsi="宋体" w:cs="宋体"/>
          <w:kern w:val="0"/>
          <w:szCs w:val="21"/>
          <w:highlight w:val="none"/>
        </w:rPr>
        <w:t>的权利和义务</w:t>
      </w:r>
    </w:p>
    <w:p w14:paraId="52688886">
      <w:pPr>
        <w:pStyle w:val="43"/>
        <w:snapToGrid w:val="0"/>
        <w:spacing w:line="520" w:lineRule="exact"/>
        <w:ind w:firstLine="420" w:firstLineChars="200"/>
        <w:rPr>
          <w:rFonts w:ascii="宋体" w:hAnsi="宋体" w:cs="宋体"/>
          <w:bCs/>
          <w:szCs w:val="21"/>
          <w:highlight w:val="none"/>
        </w:rPr>
      </w:pPr>
      <w:r>
        <w:rPr>
          <w:rFonts w:hint="eastAsia" w:ascii="宋体" w:hAnsi="宋体" w:cs="宋体"/>
          <w:kern w:val="0"/>
          <w:szCs w:val="21"/>
          <w:highlight w:val="none"/>
        </w:rPr>
        <w:t>（1）</w:t>
      </w:r>
      <w:r>
        <w:rPr>
          <w:rFonts w:hint="eastAsia" w:ascii="宋体" w:hAnsi="宋体" w:cs="宋体"/>
          <w:bCs/>
          <w:szCs w:val="21"/>
          <w:highlight w:val="none"/>
          <w:lang w:eastAsia="zh-CN"/>
        </w:rPr>
        <w:t>采购方</w:t>
      </w:r>
      <w:r>
        <w:rPr>
          <w:rFonts w:hint="eastAsia" w:ascii="宋体" w:hAnsi="宋体" w:cs="宋体"/>
          <w:bCs/>
          <w:szCs w:val="21"/>
          <w:highlight w:val="none"/>
        </w:rPr>
        <w:t>按照法律规定履行项目审批手续并支付项目款。</w:t>
      </w:r>
    </w:p>
    <w:p w14:paraId="0DE87371">
      <w:pPr>
        <w:pStyle w:val="43"/>
        <w:snapToGrid w:val="0"/>
        <w:spacing w:line="520" w:lineRule="exact"/>
        <w:ind w:firstLine="420" w:firstLineChars="200"/>
        <w:rPr>
          <w:rFonts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kern w:val="0"/>
          <w:szCs w:val="21"/>
          <w:highlight w:val="none"/>
          <w:lang w:eastAsia="zh-CN"/>
        </w:rPr>
        <w:t>采购方</w:t>
      </w:r>
      <w:r>
        <w:rPr>
          <w:rFonts w:hint="eastAsia" w:ascii="宋体" w:hAnsi="宋体" w:cs="宋体"/>
          <w:kern w:val="0"/>
          <w:szCs w:val="21"/>
          <w:highlight w:val="none"/>
        </w:rPr>
        <w:t>有权对合同规定范围内的</w:t>
      </w:r>
      <w:r>
        <w:rPr>
          <w:rFonts w:hint="eastAsia" w:ascii="宋体" w:hAnsi="宋体" w:cs="宋体"/>
          <w:kern w:val="0"/>
          <w:szCs w:val="21"/>
          <w:highlight w:val="none"/>
          <w:lang w:eastAsia="zh-CN"/>
        </w:rPr>
        <w:t>供应方</w:t>
      </w:r>
      <w:r>
        <w:rPr>
          <w:rFonts w:hint="eastAsia" w:ascii="宋体" w:hAnsi="宋体" w:cs="宋体"/>
          <w:kern w:val="0"/>
          <w:szCs w:val="21"/>
          <w:highlight w:val="none"/>
        </w:rPr>
        <w:t>服务行为进行监督、抽查、检查及处罚，拥有监管权和处罚权。对</w:t>
      </w:r>
      <w:r>
        <w:rPr>
          <w:rFonts w:hint="eastAsia" w:ascii="宋体" w:hAnsi="宋体" w:cs="宋体"/>
          <w:kern w:val="0"/>
          <w:szCs w:val="21"/>
          <w:highlight w:val="none"/>
          <w:lang w:eastAsia="zh-CN"/>
        </w:rPr>
        <w:t>采购方</w:t>
      </w:r>
      <w:r>
        <w:rPr>
          <w:rFonts w:hint="eastAsia" w:ascii="宋体" w:hAnsi="宋体" w:cs="宋体"/>
          <w:kern w:val="0"/>
          <w:szCs w:val="21"/>
          <w:highlight w:val="none"/>
        </w:rPr>
        <w:t>认为不合理的部分有权下达整改通知书和罚款通知书，并要求</w:t>
      </w:r>
      <w:r>
        <w:rPr>
          <w:rFonts w:hint="eastAsia" w:ascii="宋体" w:hAnsi="宋体" w:cs="宋体"/>
          <w:kern w:val="0"/>
          <w:szCs w:val="21"/>
          <w:highlight w:val="none"/>
          <w:lang w:eastAsia="zh-CN"/>
        </w:rPr>
        <w:t>供应方</w:t>
      </w:r>
      <w:r>
        <w:rPr>
          <w:rFonts w:hint="eastAsia" w:ascii="宋体" w:hAnsi="宋体" w:cs="宋体"/>
          <w:kern w:val="0"/>
          <w:szCs w:val="21"/>
          <w:highlight w:val="none"/>
        </w:rPr>
        <w:t>限期整改；如</w:t>
      </w:r>
      <w:r>
        <w:rPr>
          <w:rFonts w:hint="eastAsia" w:ascii="宋体" w:hAnsi="宋体" w:cs="宋体"/>
          <w:kern w:val="0"/>
          <w:szCs w:val="21"/>
          <w:highlight w:val="none"/>
          <w:lang w:eastAsia="zh-CN"/>
        </w:rPr>
        <w:t>供应方</w:t>
      </w:r>
      <w:r>
        <w:rPr>
          <w:rFonts w:hint="eastAsia" w:ascii="宋体" w:hAnsi="宋体" w:cs="宋体"/>
          <w:kern w:val="0"/>
          <w:szCs w:val="21"/>
          <w:highlight w:val="none"/>
        </w:rPr>
        <w:t>拒不整改或未按时限完成的，</w:t>
      </w:r>
      <w:r>
        <w:rPr>
          <w:rFonts w:hint="eastAsia" w:ascii="宋体" w:hAnsi="宋体" w:cs="宋体"/>
          <w:kern w:val="0"/>
          <w:szCs w:val="21"/>
          <w:highlight w:val="none"/>
          <w:lang w:eastAsia="zh-CN"/>
        </w:rPr>
        <w:t>采购方</w:t>
      </w:r>
      <w:r>
        <w:rPr>
          <w:rFonts w:hint="eastAsia" w:ascii="宋体" w:hAnsi="宋体" w:cs="宋体"/>
          <w:kern w:val="0"/>
          <w:szCs w:val="21"/>
          <w:highlight w:val="none"/>
        </w:rPr>
        <w:t>有权将相关联货品或工程量在结算时予以扣除。</w:t>
      </w:r>
    </w:p>
    <w:p w14:paraId="0CB2037E">
      <w:pPr>
        <w:pStyle w:val="43"/>
        <w:snapToGrid w:val="0"/>
        <w:spacing w:line="520" w:lineRule="exact"/>
        <w:ind w:firstLine="420" w:firstLineChars="200"/>
        <w:rPr>
          <w:rFonts w:ascii="宋体" w:hAnsi="宋体" w:cs="宋体"/>
          <w:kern w:val="0"/>
          <w:szCs w:val="21"/>
          <w:highlight w:val="none"/>
        </w:rPr>
      </w:pPr>
      <w:r>
        <w:rPr>
          <w:rFonts w:hint="eastAsia" w:ascii="宋体" w:hAnsi="宋体" w:cs="宋体"/>
          <w:kern w:val="0"/>
          <w:szCs w:val="21"/>
          <w:highlight w:val="none"/>
        </w:rPr>
        <w:t>（3）负责检查监督</w:t>
      </w:r>
      <w:r>
        <w:rPr>
          <w:rFonts w:hint="eastAsia" w:ascii="宋体" w:hAnsi="宋体" w:cs="宋体"/>
          <w:kern w:val="0"/>
          <w:szCs w:val="21"/>
          <w:highlight w:val="none"/>
          <w:lang w:eastAsia="zh-CN"/>
        </w:rPr>
        <w:t>供应方</w:t>
      </w:r>
      <w:r>
        <w:rPr>
          <w:rFonts w:hint="eastAsia" w:ascii="宋体" w:hAnsi="宋体" w:cs="宋体"/>
          <w:kern w:val="0"/>
          <w:szCs w:val="21"/>
          <w:highlight w:val="none"/>
        </w:rPr>
        <w:t>供货工作的实施及制度的执行情况。</w:t>
      </w:r>
    </w:p>
    <w:p w14:paraId="5D5EE9D5">
      <w:pPr>
        <w:pStyle w:val="43"/>
        <w:snapToGrid w:val="0"/>
        <w:spacing w:line="520" w:lineRule="exact"/>
        <w:ind w:firstLine="420" w:firstLineChars="200"/>
        <w:rPr>
          <w:rFonts w:ascii="宋体" w:hAnsi="宋体" w:cs="宋体"/>
          <w:kern w:val="0"/>
          <w:szCs w:val="21"/>
          <w:highlight w:val="none"/>
        </w:rPr>
      </w:pPr>
      <w:r>
        <w:rPr>
          <w:rFonts w:hint="eastAsia" w:ascii="宋体" w:hAnsi="宋体" w:cs="宋体"/>
          <w:kern w:val="0"/>
          <w:szCs w:val="21"/>
          <w:highlight w:val="none"/>
        </w:rPr>
        <w:t>（4）国家法律法规所规定的由</w:t>
      </w:r>
      <w:r>
        <w:rPr>
          <w:rFonts w:hint="eastAsia" w:ascii="宋体" w:hAnsi="宋体" w:cs="宋体"/>
          <w:kern w:val="0"/>
          <w:szCs w:val="21"/>
          <w:highlight w:val="none"/>
          <w:lang w:eastAsia="zh-CN"/>
        </w:rPr>
        <w:t>采购方</w:t>
      </w:r>
      <w:r>
        <w:rPr>
          <w:rFonts w:hint="eastAsia" w:ascii="宋体" w:hAnsi="宋体" w:cs="宋体"/>
          <w:kern w:val="0"/>
          <w:szCs w:val="21"/>
          <w:highlight w:val="none"/>
        </w:rPr>
        <w:t>应承担的其他责任。</w:t>
      </w:r>
    </w:p>
    <w:p w14:paraId="15DCF0B5">
      <w:pPr>
        <w:pStyle w:val="43"/>
        <w:snapToGrid w:val="0"/>
        <w:spacing w:line="520" w:lineRule="exact"/>
        <w:ind w:firstLine="420" w:firstLineChars="200"/>
        <w:rPr>
          <w:rFonts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kern w:val="0"/>
          <w:szCs w:val="21"/>
          <w:highlight w:val="none"/>
          <w:lang w:eastAsia="zh-CN"/>
        </w:rPr>
        <w:t>供应方</w:t>
      </w:r>
      <w:r>
        <w:rPr>
          <w:rFonts w:hint="eastAsia" w:ascii="宋体" w:hAnsi="宋体" w:cs="宋体"/>
          <w:kern w:val="0"/>
          <w:szCs w:val="21"/>
          <w:highlight w:val="none"/>
        </w:rPr>
        <w:t>的权利和义务</w:t>
      </w:r>
    </w:p>
    <w:p w14:paraId="574DC202">
      <w:pPr>
        <w:pStyle w:val="43"/>
        <w:snapToGrid w:val="0"/>
        <w:spacing w:line="520" w:lineRule="exact"/>
        <w:ind w:firstLine="420" w:firstLineChars="200"/>
        <w:rPr>
          <w:rFonts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kern w:val="0"/>
          <w:szCs w:val="21"/>
          <w:highlight w:val="none"/>
          <w:lang w:eastAsia="zh-CN"/>
        </w:rPr>
        <w:t>供应方</w:t>
      </w:r>
      <w:r>
        <w:rPr>
          <w:rFonts w:hint="eastAsia" w:ascii="宋体" w:hAnsi="宋体" w:cs="宋体"/>
          <w:kern w:val="0"/>
          <w:szCs w:val="21"/>
          <w:highlight w:val="none"/>
        </w:rPr>
        <w:t>所供货物与中标所示货物完全一致，不存在任何偏差。</w:t>
      </w:r>
    </w:p>
    <w:p w14:paraId="0FA4809D">
      <w:pPr>
        <w:pStyle w:val="43"/>
        <w:snapToGrid w:val="0"/>
        <w:spacing w:line="520" w:lineRule="exact"/>
        <w:ind w:firstLine="420" w:firstLineChars="200"/>
        <w:rPr>
          <w:rFonts w:ascii="宋体" w:hAnsi="宋体" w:cs="宋体"/>
          <w:bCs/>
          <w:szCs w:val="21"/>
          <w:highlight w:val="none"/>
        </w:rPr>
      </w:pPr>
      <w:r>
        <w:rPr>
          <w:rFonts w:hint="eastAsia" w:ascii="宋体" w:hAnsi="宋体" w:cs="宋体"/>
          <w:kern w:val="0"/>
          <w:szCs w:val="21"/>
          <w:highlight w:val="none"/>
        </w:rPr>
        <w:t>（2）</w:t>
      </w:r>
      <w:r>
        <w:rPr>
          <w:rFonts w:hint="eastAsia" w:ascii="宋体" w:hAnsi="宋体" w:cs="宋体"/>
          <w:bCs/>
          <w:szCs w:val="21"/>
          <w:highlight w:val="none"/>
          <w:lang w:eastAsia="zh-CN"/>
        </w:rPr>
        <w:t>供应方</w:t>
      </w:r>
      <w:r>
        <w:rPr>
          <w:rFonts w:hint="eastAsia" w:ascii="宋体" w:hAnsi="宋体" w:cs="宋体"/>
          <w:bCs/>
          <w:szCs w:val="21"/>
          <w:highlight w:val="none"/>
        </w:rPr>
        <w:t>严格按照法律规定及合同约定组织完成采购内容，确保石材及工程的质量和现场安全文明施工，不得对本次采购项目进行任何形式的转包或分包。</w:t>
      </w:r>
    </w:p>
    <w:p w14:paraId="37B741C3">
      <w:pPr>
        <w:pStyle w:val="43"/>
        <w:snapToGrid w:val="0"/>
        <w:spacing w:line="520" w:lineRule="exact"/>
        <w:ind w:firstLine="420" w:firstLineChars="200"/>
        <w:rPr>
          <w:rFonts w:ascii="宋体" w:hAnsi="宋体" w:cs="宋体"/>
          <w:kern w:val="0"/>
          <w:szCs w:val="21"/>
          <w:highlight w:val="none"/>
        </w:rPr>
      </w:pPr>
      <w:r>
        <w:rPr>
          <w:rFonts w:hint="eastAsia" w:ascii="宋体" w:hAnsi="宋体" w:cs="宋体"/>
          <w:kern w:val="0"/>
          <w:szCs w:val="21"/>
          <w:highlight w:val="none"/>
        </w:rPr>
        <w:t>（3）接受项目行业部门及政府有关部门的指导，接受</w:t>
      </w:r>
      <w:r>
        <w:rPr>
          <w:rFonts w:hint="eastAsia" w:ascii="宋体" w:hAnsi="宋体" w:cs="宋体"/>
          <w:kern w:val="0"/>
          <w:szCs w:val="21"/>
          <w:highlight w:val="none"/>
          <w:lang w:eastAsia="zh-CN"/>
        </w:rPr>
        <w:t>采购方</w:t>
      </w:r>
      <w:r>
        <w:rPr>
          <w:rFonts w:hint="eastAsia" w:ascii="宋体" w:hAnsi="宋体" w:cs="宋体"/>
          <w:kern w:val="0"/>
          <w:szCs w:val="21"/>
          <w:highlight w:val="none"/>
        </w:rPr>
        <w:t>的监督。</w:t>
      </w:r>
    </w:p>
    <w:p w14:paraId="555FE433">
      <w:pPr>
        <w:pStyle w:val="43"/>
        <w:snapToGrid w:val="0"/>
        <w:spacing w:line="520" w:lineRule="exact"/>
        <w:ind w:firstLine="420" w:firstLineChars="200"/>
        <w:rPr>
          <w:rFonts w:ascii="宋体" w:hAnsi="宋体" w:cs="宋体"/>
          <w:kern w:val="0"/>
          <w:szCs w:val="21"/>
          <w:highlight w:val="none"/>
        </w:rPr>
      </w:pPr>
      <w:r>
        <w:rPr>
          <w:rFonts w:hint="eastAsia" w:ascii="宋体" w:hAnsi="宋体" w:cs="宋体"/>
          <w:kern w:val="0"/>
          <w:szCs w:val="21"/>
          <w:highlight w:val="none"/>
        </w:rPr>
        <w:t>（4）国家法律法规所规定的由</w:t>
      </w:r>
      <w:r>
        <w:rPr>
          <w:rFonts w:hint="eastAsia" w:ascii="宋体" w:hAnsi="宋体" w:cs="宋体"/>
          <w:kern w:val="0"/>
          <w:szCs w:val="21"/>
          <w:highlight w:val="none"/>
          <w:lang w:eastAsia="zh-CN"/>
        </w:rPr>
        <w:t>供应方</w:t>
      </w:r>
      <w:r>
        <w:rPr>
          <w:rFonts w:hint="eastAsia" w:ascii="宋体" w:hAnsi="宋体" w:cs="宋体"/>
          <w:kern w:val="0"/>
          <w:szCs w:val="21"/>
          <w:highlight w:val="none"/>
        </w:rPr>
        <w:t>应承担的其他责任。</w:t>
      </w:r>
    </w:p>
    <w:p w14:paraId="5F5AB05F">
      <w:pPr>
        <w:pStyle w:val="43"/>
        <w:snapToGrid w:val="0"/>
        <w:spacing w:line="520" w:lineRule="exact"/>
        <w:ind w:firstLine="420" w:firstLineChars="200"/>
        <w:rPr>
          <w:rFonts w:ascii="宋体" w:hAnsi="宋体" w:cs="宋体"/>
          <w:kern w:val="0"/>
          <w:szCs w:val="21"/>
          <w:highlight w:val="none"/>
        </w:rPr>
      </w:pPr>
      <w:r>
        <w:rPr>
          <w:rFonts w:hint="eastAsia" w:ascii="宋体" w:hAnsi="宋体" w:cs="宋体"/>
          <w:kern w:val="0"/>
          <w:szCs w:val="21"/>
          <w:highlight w:val="none"/>
        </w:rPr>
        <w:t>十、违约责任</w:t>
      </w:r>
    </w:p>
    <w:p w14:paraId="59FA87AB">
      <w:pPr>
        <w:pStyle w:val="43"/>
        <w:snapToGrid w:val="0"/>
        <w:spacing w:line="52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kern w:val="0"/>
          <w:szCs w:val="21"/>
          <w:highlight w:val="none"/>
          <w:lang w:eastAsia="zh-CN"/>
        </w:rPr>
        <w:t>供应方</w:t>
      </w:r>
      <w:r>
        <w:rPr>
          <w:rFonts w:hint="eastAsia" w:ascii="宋体" w:hAnsi="宋体" w:cs="宋体"/>
          <w:kern w:val="0"/>
          <w:szCs w:val="21"/>
          <w:highlight w:val="none"/>
        </w:rPr>
        <w:t>开具的增值税专用发票不规范、不合法和虚开增值税专用发票，除按本条约定承担赔偿责任和支付违约金外，</w:t>
      </w:r>
      <w:r>
        <w:rPr>
          <w:rFonts w:hint="eastAsia" w:ascii="宋体" w:hAnsi="宋体" w:cs="宋体"/>
          <w:kern w:val="0"/>
          <w:szCs w:val="21"/>
          <w:highlight w:val="none"/>
          <w:lang w:eastAsia="zh-CN"/>
        </w:rPr>
        <w:t>供应方</w:t>
      </w:r>
      <w:r>
        <w:rPr>
          <w:rFonts w:hint="eastAsia" w:ascii="宋体" w:hAnsi="宋体" w:cs="宋体"/>
          <w:kern w:val="0"/>
          <w:szCs w:val="21"/>
          <w:highlight w:val="none"/>
        </w:rPr>
        <w:t>须继续承担向</w:t>
      </w:r>
      <w:r>
        <w:rPr>
          <w:rFonts w:hint="eastAsia" w:ascii="宋体" w:hAnsi="宋体" w:cs="宋体"/>
          <w:kern w:val="0"/>
          <w:szCs w:val="21"/>
          <w:highlight w:val="none"/>
          <w:lang w:eastAsia="zh-CN"/>
        </w:rPr>
        <w:t>采购方</w:t>
      </w:r>
      <w:r>
        <w:rPr>
          <w:rFonts w:hint="eastAsia" w:ascii="宋体" w:hAnsi="宋体" w:cs="宋体"/>
          <w:kern w:val="0"/>
          <w:szCs w:val="21"/>
          <w:highlight w:val="none"/>
        </w:rPr>
        <w:t>开具规范、合法增值税专用发票的义务。</w:t>
      </w:r>
    </w:p>
    <w:p w14:paraId="1924BE9C">
      <w:pPr>
        <w:pStyle w:val="43"/>
        <w:snapToGrid w:val="0"/>
        <w:spacing w:line="52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kern w:val="0"/>
          <w:szCs w:val="21"/>
          <w:highlight w:val="none"/>
          <w:lang w:eastAsia="zh-CN"/>
        </w:rPr>
        <w:t>供应方</w:t>
      </w:r>
      <w:r>
        <w:rPr>
          <w:rFonts w:hint="eastAsia" w:ascii="宋体" w:hAnsi="宋体" w:cs="宋体"/>
          <w:kern w:val="0"/>
          <w:szCs w:val="21"/>
          <w:highlight w:val="none"/>
          <w:lang w:val="en-US" w:eastAsia="zh-CN"/>
        </w:rPr>
        <w:t>入场后签订工期进度承诺书，工期</w:t>
      </w:r>
      <w:r>
        <w:rPr>
          <w:rFonts w:hint="eastAsia" w:ascii="宋体" w:hAnsi="宋体" w:cs="宋体"/>
          <w:kern w:val="0"/>
          <w:szCs w:val="21"/>
          <w:highlight w:val="none"/>
        </w:rPr>
        <w:t>迟延视为违约，</w:t>
      </w:r>
      <w:r>
        <w:rPr>
          <w:rFonts w:hint="eastAsia" w:ascii="宋体" w:hAnsi="宋体" w:cs="宋体"/>
          <w:kern w:val="0"/>
          <w:szCs w:val="21"/>
          <w:highlight w:val="none"/>
          <w:lang w:val="en-US" w:eastAsia="zh-CN"/>
        </w:rPr>
        <w:t>如供应方因不可抗力造成工期延迟，需提前向采购方出具正式书面说明，采购方同意后，可顺延工期，如供应方无故拖延工期，给采购方造成经济损失，供应方需赔偿采购方相关联工程量合同金额两倍的经济损失</w:t>
      </w:r>
      <w:r>
        <w:rPr>
          <w:rFonts w:hint="eastAsia" w:ascii="宋体" w:hAnsi="宋体" w:cs="宋体"/>
          <w:kern w:val="0"/>
          <w:szCs w:val="21"/>
          <w:highlight w:val="none"/>
        </w:rPr>
        <w:t>。</w:t>
      </w:r>
    </w:p>
    <w:p w14:paraId="5F42F268">
      <w:pPr>
        <w:pStyle w:val="43"/>
        <w:snapToGrid w:val="0"/>
        <w:spacing w:line="52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3、采购人对于</w:t>
      </w:r>
      <w:r>
        <w:rPr>
          <w:rFonts w:hint="eastAsia" w:ascii="宋体" w:hAnsi="宋体" w:cs="宋体"/>
          <w:kern w:val="0"/>
          <w:szCs w:val="21"/>
          <w:highlight w:val="none"/>
          <w:lang w:val="en-US" w:eastAsia="zh-CN"/>
        </w:rPr>
        <w:t>不符合招标需求的材料或景观小品</w:t>
      </w:r>
      <w:r>
        <w:rPr>
          <w:rFonts w:hint="eastAsia" w:ascii="宋体" w:hAnsi="宋体" w:cs="宋体"/>
          <w:kern w:val="0"/>
          <w:szCs w:val="21"/>
          <w:highlight w:val="none"/>
        </w:rPr>
        <w:t>，下达</w:t>
      </w:r>
      <w:r>
        <w:rPr>
          <w:rFonts w:hint="eastAsia" w:ascii="宋体" w:hAnsi="宋体" w:cs="宋体"/>
          <w:kern w:val="0"/>
          <w:szCs w:val="21"/>
          <w:highlight w:val="none"/>
          <w:lang w:val="en-US" w:eastAsia="zh-CN"/>
        </w:rPr>
        <w:t>整改</w:t>
      </w:r>
      <w:r>
        <w:rPr>
          <w:rFonts w:hint="eastAsia" w:ascii="宋体" w:hAnsi="宋体" w:cs="宋体"/>
          <w:kern w:val="0"/>
          <w:szCs w:val="21"/>
          <w:highlight w:val="none"/>
        </w:rPr>
        <w:t>通知书。交货期内或整改期限内未完成的</w:t>
      </w:r>
      <w:r>
        <w:rPr>
          <w:rFonts w:hint="eastAsia" w:ascii="宋体" w:hAnsi="宋体" w:cs="宋体"/>
          <w:kern w:val="0"/>
          <w:szCs w:val="21"/>
          <w:highlight w:val="none"/>
          <w:lang w:val="en-US" w:eastAsia="zh-CN"/>
        </w:rPr>
        <w:t>工程量</w:t>
      </w:r>
      <w:r>
        <w:rPr>
          <w:rFonts w:hint="eastAsia" w:ascii="宋体" w:hAnsi="宋体" w:cs="宋体"/>
          <w:kern w:val="0"/>
          <w:szCs w:val="21"/>
          <w:highlight w:val="none"/>
        </w:rPr>
        <w:t>，自供货期或整改期限届满开始计算逾期。</w:t>
      </w:r>
    </w:p>
    <w:p w14:paraId="4D1BF2D7">
      <w:pPr>
        <w:pStyle w:val="43"/>
        <w:snapToGrid w:val="0"/>
        <w:spacing w:line="52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4、对逾期的</w:t>
      </w:r>
      <w:r>
        <w:rPr>
          <w:rFonts w:hint="eastAsia" w:ascii="宋体" w:hAnsi="宋体" w:cs="宋体"/>
          <w:kern w:val="0"/>
          <w:szCs w:val="21"/>
          <w:highlight w:val="none"/>
          <w:lang w:val="en-US" w:eastAsia="zh-CN"/>
        </w:rPr>
        <w:t>工程量</w:t>
      </w:r>
      <w:r>
        <w:rPr>
          <w:rFonts w:hint="eastAsia" w:ascii="宋体" w:hAnsi="宋体" w:cs="宋体"/>
          <w:kern w:val="0"/>
          <w:szCs w:val="21"/>
          <w:highlight w:val="none"/>
        </w:rPr>
        <w:t>，在付款时按逾期时间每周扣除逾期</w:t>
      </w:r>
      <w:r>
        <w:rPr>
          <w:rFonts w:hint="eastAsia" w:ascii="宋体" w:hAnsi="宋体" w:cs="宋体"/>
          <w:kern w:val="0"/>
          <w:szCs w:val="21"/>
          <w:highlight w:val="none"/>
          <w:lang w:val="en-US" w:eastAsia="zh-CN"/>
        </w:rPr>
        <w:t>工程量</w:t>
      </w:r>
      <w:r>
        <w:rPr>
          <w:rFonts w:hint="eastAsia" w:ascii="宋体" w:hAnsi="宋体" w:cs="宋体"/>
          <w:kern w:val="0"/>
          <w:szCs w:val="21"/>
          <w:highlight w:val="none"/>
        </w:rPr>
        <w:t>中标价格的0.5%作为违约金，违约金达到逾期墓碑石材中标价格的</w:t>
      </w:r>
      <w:r>
        <w:rPr>
          <w:rFonts w:hint="eastAsia" w:ascii="宋体" w:hAnsi="宋体" w:cs="宋体"/>
          <w:kern w:val="0"/>
          <w:szCs w:val="21"/>
          <w:highlight w:val="none"/>
          <w:lang w:val="en-US" w:eastAsia="zh-CN"/>
        </w:rPr>
        <w:t>1</w:t>
      </w:r>
      <w:r>
        <w:rPr>
          <w:rFonts w:hint="eastAsia" w:ascii="宋体" w:hAnsi="宋体" w:cs="宋体"/>
          <w:kern w:val="0"/>
          <w:szCs w:val="21"/>
          <w:highlight w:val="none"/>
        </w:rPr>
        <w:t>5%，采购人有权中止合同，</w:t>
      </w:r>
      <w:r>
        <w:rPr>
          <w:rFonts w:hint="eastAsia" w:ascii="宋体" w:hAnsi="宋体" w:cs="宋体"/>
          <w:kern w:val="0"/>
          <w:szCs w:val="21"/>
          <w:highlight w:val="none"/>
          <w:lang w:eastAsia="zh-CN"/>
        </w:rPr>
        <w:t>供应方</w:t>
      </w:r>
      <w:r>
        <w:rPr>
          <w:rFonts w:hint="eastAsia" w:ascii="宋体" w:hAnsi="宋体" w:cs="宋体"/>
          <w:kern w:val="0"/>
          <w:szCs w:val="21"/>
          <w:highlight w:val="none"/>
        </w:rPr>
        <w:t>并须支付采购人逾期</w:t>
      </w:r>
      <w:r>
        <w:rPr>
          <w:rFonts w:hint="eastAsia" w:ascii="宋体" w:hAnsi="宋体" w:cs="宋体"/>
          <w:kern w:val="0"/>
          <w:szCs w:val="21"/>
          <w:highlight w:val="none"/>
          <w:lang w:val="en-US" w:eastAsia="zh-CN"/>
        </w:rPr>
        <w:t>工程量</w:t>
      </w:r>
      <w:r>
        <w:rPr>
          <w:rFonts w:hint="eastAsia" w:ascii="宋体" w:hAnsi="宋体" w:cs="宋体"/>
          <w:kern w:val="0"/>
          <w:szCs w:val="21"/>
          <w:highlight w:val="none"/>
        </w:rPr>
        <w:t>中标价格两倍的经济赔偿。</w:t>
      </w:r>
    </w:p>
    <w:p w14:paraId="362AB526">
      <w:pPr>
        <w:pStyle w:val="43"/>
        <w:snapToGrid w:val="0"/>
        <w:spacing w:line="52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5、</w:t>
      </w:r>
      <w:r>
        <w:rPr>
          <w:rFonts w:hint="eastAsia" w:ascii="宋体" w:hAnsi="宋体" w:cs="宋体"/>
          <w:kern w:val="0"/>
          <w:szCs w:val="21"/>
          <w:highlight w:val="none"/>
          <w:lang w:eastAsia="zh-CN"/>
        </w:rPr>
        <w:t>供应方</w:t>
      </w:r>
      <w:r>
        <w:rPr>
          <w:rFonts w:hint="eastAsia" w:ascii="宋体" w:hAnsi="宋体" w:cs="宋体"/>
          <w:kern w:val="0"/>
          <w:szCs w:val="21"/>
          <w:highlight w:val="none"/>
        </w:rPr>
        <w:t>如不能按国家标准和采购人所要求的产品性能规格、质量供货等，所产生的一切经济损失及赔偿责任均由承担。合同期内出现产品质量问题由</w:t>
      </w:r>
      <w:r>
        <w:rPr>
          <w:rFonts w:hint="eastAsia" w:ascii="宋体" w:hAnsi="宋体" w:cs="宋体"/>
          <w:kern w:val="0"/>
          <w:szCs w:val="21"/>
          <w:highlight w:val="none"/>
          <w:lang w:eastAsia="zh-CN"/>
        </w:rPr>
        <w:t>供应方</w:t>
      </w:r>
      <w:r>
        <w:rPr>
          <w:rFonts w:hint="eastAsia" w:ascii="宋体" w:hAnsi="宋体" w:cs="宋体"/>
          <w:kern w:val="0"/>
          <w:szCs w:val="21"/>
          <w:highlight w:val="none"/>
        </w:rPr>
        <w:t>免费负责更换或退货，并由</w:t>
      </w:r>
      <w:r>
        <w:rPr>
          <w:rFonts w:hint="eastAsia" w:ascii="宋体" w:hAnsi="宋体" w:cs="宋体"/>
          <w:kern w:val="0"/>
          <w:szCs w:val="21"/>
          <w:highlight w:val="none"/>
          <w:lang w:eastAsia="zh-CN"/>
        </w:rPr>
        <w:t>供应方</w:t>
      </w:r>
      <w:r>
        <w:rPr>
          <w:rFonts w:hint="eastAsia" w:ascii="宋体" w:hAnsi="宋体" w:cs="宋体"/>
          <w:kern w:val="0"/>
          <w:szCs w:val="21"/>
          <w:highlight w:val="none"/>
        </w:rPr>
        <w:t>承担因此产生的一切费用，如给采购人造成了经济损失包括直接和间接损失及赔偿责任均由</w:t>
      </w:r>
      <w:r>
        <w:rPr>
          <w:rFonts w:hint="eastAsia" w:ascii="宋体" w:hAnsi="宋体" w:cs="宋体"/>
          <w:kern w:val="0"/>
          <w:szCs w:val="21"/>
          <w:highlight w:val="none"/>
          <w:lang w:eastAsia="zh-CN"/>
        </w:rPr>
        <w:t>供应方</w:t>
      </w:r>
      <w:r>
        <w:rPr>
          <w:rFonts w:hint="eastAsia" w:ascii="宋体" w:hAnsi="宋体" w:cs="宋体"/>
          <w:kern w:val="0"/>
          <w:szCs w:val="21"/>
          <w:highlight w:val="none"/>
        </w:rPr>
        <w:t>无条件全部承担。因</w:t>
      </w:r>
      <w:r>
        <w:rPr>
          <w:rFonts w:hint="eastAsia" w:ascii="宋体" w:hAnsi="宋体" w:cs="宋体"/>
          <w:kern w:val="0"/>
          <w:szCs w:val="21"/>
          <w:highlight w:val="none"/>
          <w:lang w:eastAsia="zh-CN"/>
        </w:rPr>
        <w:t>供应方</w:t>
      </w:r>
      <w:r>
        <w:rPr>
          <w:rFonts w:hint="eastAsia" w:ascii="宋体" w:hAnsi="宋体" w:cs="宋体"/>
          <w:kern w:val="0"/>
          <w:szCs w:val="21"/>
          <w:highlight w:val="none"/>
        </w:rPr>
        <w:t>原因导致的工期延误，工期不予顺延，并给予赔偿采购人造成的损失。</w:t>
      </w:r>
    </w:p>
    <w:p w14:paraId="2A54680B">
      <w:pPr>
        <w:pStyle w:val="43"/>
        <w:snapToGrid w:val="0"/>
        <w:spacing w:line="52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6、如</w:t>
      </w:r>
      <w:r>
        <w:rPr>
          <w:rFonts w:hint="eastAsia" w:ascii="宋体" w:hAnsi="宋体" w:cs="宋体"/>
          <w:kern w:val="0"/>
          <w:szCs w:val="21"/>
          <w:highlight w:val="none"/>
          <w:lang w:eastAsia="zh-CN"/>
        </w:rPr>
        <w:t>供应方</w:t>
      </w:r>
      <w:r>
        <w:rPr>
          <w:rFonts w:hint="eastAsia" w:ascii="宋体" w:hAnsi="宋体" w:cs="宋体"/>
          <w:kern w:val="0"/>
          <w:szCs w:val="21"/>
          <w:highlight w:val="none"/>
        </w:rPr>
        <w:t>合同内出现质量问题造成重大事故或经济损失时，不因</w:t>
      </w:r>
      <w:r>
        <w:rPr>
          <w:rFonts w:hint="eastAsia" w:ascii="宋体" w:hAnsi="宋体" w:cs="宋体"/>
          <w:kern w:val="0"/>
          <w:szCs w:val="21"/>
          <w:highlight w:val="none"/>
          <w:lang w:eastAsia="zh-CN"/>
        </w:rPr>
        <w:t>采购方</w:t>
      </w:r>
      <w:r>
        <w:rPr>
          <w:rFonts w:hint="eastAsia" w:ascii="宋体" w:hAnsi="宋体" w:cs="宋体"/>
          <w:kern w:val="0"/>
          <w:szCs w:val="21"/>
          <w:highlight w:val="none"/>
        </w:rPr>
        <w:t>已进行质量验收而免除</w:t>
      </w:r>
      <w:r>
        <w:rPr>
          <w:rFonts w:hint="eastAsia" w:ascii="宋体" w:hAnsi="宋体" w:cs="宋体"/>
          <w:kern w:val="0"/>
          <w:szCs w:val="21"/>
          <w:highlight w:val="none"/>
          <w:lang w:eastAsia="zh-CN"/>
        </w:rPr>
        <w:t>供应方</w:t>
      </w:r>
      <w:r>
        <w:rPr>
          <w:rFonts w:hint="eastAsia" w:ascii="宋体" w:hAnsi="宋体" w:cs="宋体"/>
          <w:kern w:val="0"/>
          <w:szCs w:val="21"/>
          <w:highlight w:val="none"/>
        </w:rPr>
        <w:t>更换或赔偿经济损失的责任。</w:t>
      </w:r>
    </w:p>
    <w:p w14:paraId="671E8DD2">
      <w:pPr>
        <w:pStyle w:val="43"/>
        <w:snapToGrid w:val="0"/>
        <w:spacing w:line="520" w:lineRule="exact"/>
        <w:ind w:firstLine="420" w:firstLineChars="200"/>
        <w:rPr>
          <w:rFonts w:ascii="宋体" w:hAnsi="宋体" w:cs="宋体"/>
          <w:kern w:val="0"/>
          <w:szCs w:val="21"/>
          <w:highlight w:val="none"/>
        </w:rPr>
      </w:pPr>
      <w:r>
        <w:rPr>
          <w:rFonts w:hint="eastAsia" w:ascii="宋体" w:hAnsi="宋体" w:cs="宋体"/>
          <w:kern w:val="0"/>
          <w:szCs w:val="21"/>
          <w:highlight w:val="none"/>
        </w:rPr>
        <w:t>7、如</w:t>
      </w:r>
      <w:r>
        <w:rPr>
          <w:rFonts w:hint="eastAsia" w:ascii="宋体" w:hAnsi="宋体" w:cs="宋体"/>
          <w:kern w:val="0"/>
          <w:szCs w:val="21"/>
          <w:highlight w:val="none"/>
          <w:lang w:eastAsia="zh-CN"/>
        </w:rPr>
        <w:t>供应方</w:t>
      </w:r>
      <w:r>
        <w:rPr>
          <w:rFonts w:hint="eastAsia" w:ascii="宋体" w:hAnsi="宋体" w:cs="宋体"/>
          <w:kern w:val="0"/>
          <w:szCs w:val="21"/>
          <w:highlight w:val="none"/>
        </w:rPr>
        <w:t>向</w:t>
      </w:r>
      <w:r>
        <w:rPr>
          <w:rFonts w:hint="eastAsia" w:ascii="宋体" w:hAnsi="宋体" w:cs="宋体"/>
          <w:kern w:val="0"/>
          <w:szCs w:val="21"/>
          <w:highlight w:val="none"/>
          <w:lang w:eastAsia="zh-CN"/>
        </w:rPr>
        <w:t>采购方</w:t>
      </w:r>
      <w:r>
        <w:rPr>
          <w:rFonts w:hint="eastAsia" w:ascii="宋体" w:hAnsi="宋体" w:cs="宋体"/>
          <w:kern w:val="0"/>
          <w:szCs w:val="21"/>
          <w:highlight w:val="none"/>
        </w:rPr>
        <w:t>提供的所有产品证明及检测报告等有虚假情况视为违约，违约金为合同总金额的2%。并赔偿</w:t>
      </w:r>
      <w:r>
        <w:rPr>
          <w:rFonts w:hint="eastAsia" w:ascii="宋体" w:hAnsi="宋体" w:cs="宋体"/>
          <w:kern w:val="0"/>
          <w:szCs w:val="21"/>
          <w:highlight w:val="none"/>
          <w:lang w:eastAsia="zh-CN"/>
        </w:rPr>
        <w:t>采购方</w:t>
      </w:r>
      <w:r>
        <w:rPr>
          <w:rFonts w:hint="eastAsia" w:ascii="宋体" w:hAnsi="宋体" w:cs="宋体"/>
          <w:kern w:val="0"/>
          <w:szCs w:val="21"/>
          <w:highlight w:val="none"/>
        </w:rPr>
        <w:t>直接和间接损失。</w:t>
      </w:r>
    </w:p>
    <w:p w14:paraId="455BF96D">
      <w:pPr>
        <w:pStyle w:val="43"/>
        <w:snapToGrid w:val="0"/>
        <w:spacing w:line="520" w:lineRule="exact"/>
        <w:ind w:firstLine="420" w:firstLineChars="200"/>
        <w:rPr>
          <w:rFonts w:ascii="宋体" w:hAnsi="宋体" w:cs="宋体"/>
          <w:kern w:val="0"/>
          <w:szCs w:val="21"/>
          <w:highlight w:val="none"/>
        </w:rPr>
      </w:pPr>
      <w:r>
        <w:rPr>
          <w:rFonts w:hint="eastAsia" w:ascii="宋体" w:hAnsi="宋体" w:cs="宋体"/>
          <w:kern w:val="0"/>
          <w:szCs w:val="21"/>
          <w:highlight w:val="none"/>
        </w:rPr>
        <w:t>8、</w:t>
      </w:r>
      <w:r>
        <w:rPr>
          <w:rFonts w:hint="eastAsia" w:ascii="宋体" w:hAnsi="宋体" w:cs="宋体"/>
          <w:kern w:val="0"/>
          <w:szCs w:val="21"/>
          <w:highlight w:val="none"/>
          <w:lang w:eastAsia="zh-CN"/>
        </w:rPr>
        <w:t>供应方</w:t>
      </w:r>
      <w:r>
        <w:rPr>
          <w:rFonts w:hint="eastAsia" w:ascii="宋体" w:hAnsi="宋体" w:cs="宋体"/>
          <w:kern w:val="0"/>
          <w:szCs w:val="21"/>
          <w:highlight w:val="none"/>
        </w:rPr>
        <w:t>不得将本合同权利义务转让给任何第三方，否则</w:t>
      </w:r>
      <w:r>
        <w:rPr>
          <w:rFonts w:hint="eastAsia" w:ascii="宋体" w:hAnsi="宋体" w:cs="宋体"/>
          <w:kern w:val="0"/>
          <w:szCs w:val="21"/>
          <w:highlight w:val="none"/>
          <w:lang w:eastAsia="zh-CN"/>
        </w:rPr>
        <w:t>采购方</w:t>
      </w:r>
      <w:r>
        <w:rPr>
          <w:rFonts w:hint="eastAsia" w:ascii="宋体" w:hAnsi="宋体" w:cs="宋体"/>
          <w:kern w:val="0"/>
          <w:szCs w:val="21"/>
          <w:highlight w:val="none"/>
        </w:rPr>
        <w:t>有权解除本合同（以书面解除通知到达</w:t>
      </w:r>
      <w:r>
        <w:rPr>
          <w:rFonts w:hint="eastAsia" w:ascii="宋体" w:hAnsi="宋体" w:cs="宋体"/>
          <w:kern w:val="0"/>
          <w:szCs w:val="21"/>
          <w:highlight w:val="none"/>
          <w:lang w:eastAsia="zh-CN"/>
        </w:rPr>
        <w:t>供应方</w:t>
      </w:r>
      <w:r>
        <w:rPr>
          <w:rFonts w:hint="eastAsia" w:ascii="宋体" w:hAnsi="宋体" w:cs="宋体"/>
          <w:kern w:val="0"/>
          <w:szCs w:val="21"/>
          <w:highlight w:val="none"/>
        </w:rPr>
        <w:t>时本解除），</w:t>
      </w:r>
      <w:r>
        <w:rPr>
          <w:rFonts w:hint="eastAsia" w:ascii="宋体" w:hAnsi="宋体" w:cs="宋体"/>
          <w:kern w:val="0"/>
          <w:szCs w:val="21"/>
          <w:highlight w:val="none"/>
          <w:lang w:eastAsia="zh-CN"/>
        </w:rPr>
        <w:t>供应方</w:t>
      </w:r>
      <w:r>
        <w:rPr>
          <w:rFonts w:hint="eastAsia" w:ascii="宋体" w:hAnsi="宋体" w:cs="宋体"/>
          <w:kern w:val="0"/>
          <w:szCs w:val="21"/>
          <w:highlight w:val="none"/>
        </w:rPr>
        <w:t>应向</w:t>
      </w:r>
      <w:r>
        <w:rPr>
          <w:rFonts w:hint="eastAsia" w:ascii="宋体" w:hAnsi="宋体" w:cs="宋体"/>
          <w:kern w:val="0"/>
          <w:szCs w:val="21"/>
          <w:highlight w:val="none"/>
          <w:lang w:eastAsia="zh-CN"/>
        </w:rPr>
        <w:t>采购方</w:t>
      </w:r>
      <w:r>
        <w:rPr>
          <w:rFonts w:hint="eastAsia" w:ascii="宋体" w:hAnsi="宋体" w:cs="宋体"/>
          <w:kern w:val="0"/>
          <w:szCs w:val="21"/>
          <w:highlight w:val="none"/>
        </w:rPr>
        <w:t>支付本合同总价款30%的违约金并赔偿</w:t>
      </w:r>
      <w:r>
        <w:rPr>
          <w:rFonts w:hint="eastAsia" w:ascii="宋体" w:hAnsi="宋体" w:cs="宋体"/>
          <w:kern w:val="0"/>
          <w:szCs w:val="21"/>
          <w:highlight w:val="none"/>
          <w:lang w:eastAsia="zh-CN"/>
        </w:rPr>
        <w:t>采购方</w:t>
      </w:r>
      <w:r>
        <w:rPr>
          <w:rFonts w:hint="eastAsia" w:ascii="宋体" w:hAnsi="宋体" w:cs="宋体"/>
          <w:kern w:val="0"/>
          <w:szCs w:val="21"/>
          <w:highlight w:val="none"/>
        </w:rPr>
        <w:t>直接和间接损失。</w:t>
      </w:r>
    </w:p>
    <w:p w14:paraId="21FB0A10">
      <w:pPr>
        <w:pStyle w:val="43"/>
        <w:snapToGrid w:val="0"/>
        <w:spacing w:line="520" w:lineRule="exact"/>
        <w:ind w:firstLine="420" w:firstLineChars="200"/>
        <w:rPr>
          <w:rFonts w:ascii="宋体" w:hAnsi="宋体" w:cs="宋体"/>
          <w:bCs/>
          <w:kern w:val="0"/>
          <w:szCs w:val="21"/>
          <w:highlight w:val="none"/>
        </w:rPr>
      </w:pPr>
      <w:r>
        <w:rPr>
          <w:rFonts w:hint="eastAsia" w:ascii="宋体" w:hAnsi="宋体" w:cs="宋体"/>
          <w:szCs w:val="21"/>
          <w:highlight w:val="none"/>
        </w:rPr>
        <w:t>十一、</w:t>
      </w:r>
      <w:r>
        <w:rPr>
          <w:rFonts w:hint="eastAsia" w:ascii="宋体" w:hAnsi="宋体" w:cs="宋体"/>
          <w:bCs/>
          <w:kern w:val="0"/>
          <w:szCs w:val="21"/>
          <w:highlight w:val="none"/>
        </w:rPr>
        <w:t>资金的支付方式、时间、条件</w:t>
      </w:r>
    </w:p>
    <w:p w14:paraId="6A461D64">
      <w:pPr>
        <w:pStyle w:val="43"/>
        <w:snapToGrid w:val="0"/>
        <w:spacing w:line="52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供应方进场并具备施工条件，出具本项目银行保函或担保公司保函后，支付工程预付款（预付款金额为合同总价的10%），承包人完成全部工程量且工程竣工验收合格后支付至工程总价的80%（此次工程款支付金额需扣除所支付的全部预付款）；工程结算评审后且发包人收到承包人开具的符合要求的全额增值税专用发票后，支付至评审结算总价的97%，评审结算总价的3%做为质保金，质保期满无质量问题无息一次性付清</w:t>
      </w:r>
      <w:r>
        <w:rPr>
          <w:rFonts w:hint="eastAsia" w:ascii="宋体" w:hAnsi="宋体" w:cs="宋体"/>
          <w:kern w:val="0"/>
          <w:szCs w:val="21"/>
          <w:highlight w:val="none"/>
        </w:rPr>
        <w:t>。</w:t>
      </w:r>
    </w:p>
    <w:p w14:paraId="4E073141">
      <w:pPr>
        <w:pStyle w:val="43"/>
        <w:snapToGrid w:val="0"/>
        <w:spacing w:line="520" w:lineRule="exact"/>
        <w:ind w:firstLine="420" w:firstLineChars="200"/>
        <w:rPr>
          <w:rFonts w:ascii="宋体" w:hAnsi="宋体" w:cs="宋体"/>
          <w:szCs w:val="21"/>
          <w:highlight w:val="none"/>
        </w:rPr>
      </w:pPr>
      <w:r>
        <w:rPr>
          <w:rFonts w:hint="eastAsia" w:ascii="宋体" w:hAnsi="宋体" w:cs="宋体"/>
          <w:kern w:val="0"/>
          <w:szCs w:val="21"/>
          <w:highlight w:val="none"/>
        </w:rPr>
        <w:t>十二、</w:t>
      </w:r>
      <w:r>
        <w:rPr>
          <w:rFonts w:hint="eastAsia" w:ascii="宋体" w:hAnsi="宋体" w:cs="宋体"/>
          <w:szCs w:val="21"/>
          <w:highlight w:val="none"/>
        </w:rPr>
        <w:t>售后服务</w:t>
      </w:r>
    </w:p>
    <w:p w14:paraId="677904B6">
      <w:pPr>
        <w:pStyle w:val="43"/>
        <w:snapToGrid w:val="0"/>
        <w:spacing w:line="52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1.本项目质保期限为：自竣工验收之日起24个月.</w:t>
      </w:r>
      <w:r>
        <w:rPr>
          <w:rFonts w:hint="eastAsia" w:ascii="宋体" w:hAnsi="宋体" w:cs="宋体"/>
          <w:szCs w:val="21"/>
          <w:highlight w:val="none"/>
          <w:lang w:eastAsia="zh-CN"/>
        </w:rPr>
        <w:t>供应方</w:t>
      </w:r>
      <w:r>
        <w:rPr>
          <w:rFonts w:hint="eastAsia" w:ascii="宋体" w:hAnsi="宋体" w:cs="宋体"/>
          <w:szCs w:val="21"/>
          <w:highlight w:val="none"/>
        </w:rPr>
        <w:t>在《投标文件》中承诺的售后服务方案及延长</w:t>
      </w:r>
      <w:r>
        <w:rPr>
          <w:rFonts w:hint="eastAsia" w:ascii="宋体" w:hAnsi="宋体" w:cs="宋体"/>
          <w:szCs w:val="21"/>
          <w:highlight w:val="none"/>
          <w:lang w:val="en-US" w:eastAsia="zh-CN"/>
        </w:rPr>
        <w:t>质保期___个月</w:t>
      </w:r>
      <w:r>
        <w:rPr>
          <w:rFonts w:hint="eastAsia" w:ascii="宋体" w:hAnsi="宋体" w:cs="宋体"/>
          <w:szCs w:val="21"/>
          <w:highlight w:val="none"/>
        </w:rPr>
        <w:t>。</w:t>
      </w:r>
      <w:r>
        <w:rPr>
          <w:rFonts w:hint="eastAsia" w:ascii="宋体" w:hAnsi="宋体" w:cs="宋体"/>
          <w:szCs w:val="21"/>
          <w:highlight w:val="none"/>
          <w:lang w:val="en-US" w:eastAsia="zh-CN"/>
        </w:rPr>
        <w:t>质保期内,</w:t>
      </w:r>
      <w:r>
        <w:rPr>
          <w:rFonts w:hint="eastAsia" w:ascii="宋体" w:hAnsi="宋体" w:cs="宋体"/>
          <w:szCs w:val="21"/>
          <w:highlight w:val="none"/>
        </w:rPr>
        <w:t>出现质量问题由</w:t>
      </w:r>
      <w:r>
        <w:rPr>
          <w:rFonts w:hint="eastAsia" w:ascii="宋体" w:hAnsi="宋体" w:cs="宋体"/>
          <w:szCs w:val="21"/>
          <w:highlight w:val="none"/>
          <w:lang w:eastAsia="zh-CN"/>
        </w:rPr>
        <w:t>供应方</w:t>
      </w:r>
      <w:r>
        <w:rPr>
          <w:rFonts w:hint="eastAsia" w:ascii="宋体" w:hAnsi="宋体" w:cs="宋体"/>
          <w:szCs w:val="21"/>
          <w:highlight w:val="none"/>
        </w:rPr>
        <w:t>负责无偿</w:t>
      </w:r>
      <w:r>
        <w:rPr>
          <w:rFonts w:hint="eastAsia" w:ascii="宋体" w:hAnsi="宋体" w:cs="宋体"/>
          <w:szCs w:val="21"/>
          <w:highlight w:val="none"/>
          <w:lang w:val="en-US" w:eastAsia="zh-CN"/>
        </w:rPr>
        <w:t>整改、涉及石材问题，所需组件只换不修</w:t>
      </w:r>
      <w:r>
        <w:rPr>
          <w:rFonts w:hint="eastAsia" w:ascii="宋体" w:hAnsi="宋体" w:cs="宋体"/>
          <w:szCs w:val="21"/>
          <w:highlight w:val="none"/>
        </w:rPr>
        <w:t>。</w:t>
      </w:r>
    </w:p>
    <w:p w14:paraId="35E1379F">
      <w:pPr>
        <w:pStyle w:val="43"/>
        <w:snapToGrid w:val="0"/>
        <w:spacing w:line="52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lang w:eastAsia="zh-CN"/>
        </w:rPr>
        <w:t>供应方</w:t>
      </w:r>
      <w:r>
        <w:rPr>
          <w:rFonts w:hint="eastAsia" w:ascii="宋体" w:hAnsi="宋体" w:cs="宋体"/>
          <w:szCs w:val="21"/>
          <w:highlight w:val="none"/>
        </w:rPr>
        <w:t>需提供完善的售后服务，接到</w:t>
      </w:r>
      <w:r>
        <w:rPr>
          <w:rFonts w:hint="eastAsia" w:ascii="宋体" w:hAnsi="宋体" w:cs="宋体"/>
          <w:szCs w:val="21"/>
          <w:highlight w:val="none"/>
          <w:lang w:eastAsia="zh-CN"/>
        </w:rPr>
        <w:t>采购方</w:t>
      </w:r>
      <w:r>
        <w:rPr>
          <w:rFonts w:hint="eastAsia" w:ascii="宋体" w:hAnsi="宋体" w:cs="宋体"/>
          <w:szCs w:val="21"/>
          <w:highlight w:val="none"/>
        </w:rPr>
        <w:t>通知后，</w:t>
      </w:r>
      <w:r>
        <w:rPr>
          <w:rFonts w:hint="eastAsia" w:ascii="宋体" w:hAnsi="宋体" w:cs="宋体"/>
          <w:szCs w:val="21"/>
          <w:highlight w:val="none"/>
          <w:lang w:val="en-US" w:eastAsia="zh-CN"/>
        </w:rPr>
        <w:t>按规定时限完成整改，如24小时未响应，按违约处理，违约金参照逾期处理。</w:t>
      </w:r>
    </w:p>
    <w:p w14:paraId="1B0079CC">
      <w:pPr>
        <w:pStyle w:val="43"/>
        <w:snapToGrid w:val="0"/>
        <w:spacing w:line="520" w:lineRule="exact"/>
        <w:ind w:firstLine="420" w:firstLineChars="200"/>
        <w:rPr>
          <w:rFonts w:ascii="宋体" w:hAnsi="宋体" w:cs="宋体"/>
          <w:szCs w:val="21"/>
          <w:highlight w:val="none"/>
        </w:rPr>
      </w:pPr>
      <w:r>
        <w:rPr>
          <w:rFonts w:hint="eastAsia" w:ascii="宋体" w:hAnsi="宋体" w:cs="宋体"/>
          <w:szCs w:val="21"/>
          <w:highlight w:val="none"/>
        </w:rPr>
        <w:t>十三、不可抗力　</w:t>
      </w:r>
    </w:p>
    <w:p w14:paraId="22859D05">
      <w:pPr>
        <w:snapToGrid w:val="0"/>
        <w:spacing w:line="520" w:lineRule="exact"/>
        <w:ind w:firstLine="420" w:firstLineChars="200"/>
        <w:rPr>
          <w:rFonts w:ascii="宋体" w:hAnsi="宋体" w:cs="宋体"/>
          <w:sz w:val="21"/>
          <w:szCs w:val="21"/>
          <w:highlight w:val="none"/>
        </w:rPr>
      </w:pPr>
      <w:r>
        <w:rPr>
          <w:rFonts w:hint="eastAsia" w:ascii="宋体" w:hAnsi="宋体" w:cs="宋体"/>
          <w:sz w:val="21"/>
          <w:szCs w:val="21"/>
          <w:highlight w:val="none"/>
          <w:lang w:val="en-US" w:eastAsia="zh-CN"/>
        </w:rPr>
        <w:t>合同</w:t>
      </w:r>
      <w:r>
        <w:rPr>
          <w:rFonts w:hint="eastAsia" w:ascii="宋体" w:hAnsi="宋体" w:cs="宋体"/>
          <w:sz w:val="21"/>
          <w:szCs w:val="21"/>
          <w:highlight w:val="none"/>
        </w:rPr>
        <w:t>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70541746">
      <w:pPr>
        <w:adjustRightInd w:val="0"/>
        <w:snapToGrid w:val="0"/>
        <w:spacing w:line="520" w:lineRule="exact"/>
        <w:ind w:firstLine="420" w:firstLineChars="200"/>
        <w:rPr>
          <w:rFonts w:ascii="宋体" w:hAnsi="宋体" w:cs="宋体"/>
          <w:sz w:val="21"/>
          <w:szCs w:val="21"/>
          <w:highlight w:val="none"/>
        </w:rPr>
      </w:pPr>
      <w:r>
        <w:rPr>
          <w:rFonts w:hint="eastAsia" w:ascii="宋体" w:hAnsi="宋体" w:cs="宋体"/>
          <w:sz w:val="21"/>
          <w:szCs w:val="21"/>
          <w:highlight w:val="none"/>
        </w:rPr>
        <w:t>十四、保险</w:t>
      </w:r>
    </w:p>
    <w:p w14:paraId="3E5E3FAE">
      <w:pPr>
        <w:adjustRightInd w:val="0"/>
        <w:snapToGrid w:val="0"/>
        <w:spacing w:line="520" w:lineRule="exact"/>
        <w:ind w:firstLine="420" w:firstLineChars="200"/>
        <w:rPr>
          <w:rFonts w:ascii="宋体" w:hAnsi="宋体" w:cs="宋体"/>
          <w:sz w:val="21"/>
          <w:szCs w:val="21"/>
          <w:highlight w:val="none"/>
        </w:rPr>
      </w:pPr>
      <w:r>
        <w:rPr>
          <w:rFonts w:hint="eastAsia" w:ascii="宋体" w:hAnsi="宋体" w:cs="宋体"/>
          <w:sz w:val="21"/>
          <w:szCs w:val="21"/>
          <w:highlight w:val="none"/>
          <w:lang w:eastAsia="zh-CN"/>
        </w:rPr>
        <w:t>供应方</w:t>
      </w:r>
      <w:r>
        <w:rPr>
          <w:rFonts w:hint="eastAsia" w:ascii="宋体" w:hAnsi="宋体" w:cs="宋体"/>
          <w:sz w:val="21"/>
          <w:szCs w:val="21"/>
          <w:highlight w:val="none"/>
        </w:rPr>
        <w:t>应为从事本项目的自有人员缴纳工伤保险及意外伤害险，如出现意外伤害及伤亡事故，由</w:t>
      </w:r>
      <w:r>
        <w:rPr>
          <w:rFonts w:hint="eastAsia" w:ascii="宋体" w:hAnsi="宋体" w:cs="宋体"/>
          <w:sz w:val="21"/>
          <w:szCs w:val="21"/>
          <w:highlight w:val="none"/>
          <w:lang w:eastAsia="zh-CN"/>
        </w:rPr>
        <w:t>供应方</w:t>
      </w:r>
      <w:r>
        <w:rPr>
          <w:rFonts w:hint="eastAsia" w:ascii="宋体" w:hAnsi="宋体" w:cs="宋体"/>
          <w:sz w:val="21"/>
          <w:szCs w:val="21"/>
          <w:highlight w:val="none"/>
        </w:rPr>
        <w:t>承担全部责任。</w:t>
      </w:r>
    </w:p>
    <w:p w14:paraId="1B711A0D">
      <w:pPr>
        <w:pStyle w:val="43"/>
        <w:adjustRightInd w:val="0"/>
        <w:snapToGrid w:val="0"/>
        <w:spacing w:line="520" w:lineRule="exact"/>
        <w:ind w:firstLine="420" w:firstLineChars="200"/>
        <w:rPr>
          <w:rFonts w:ascii="宋体" w:hAnsi="宋体" w:cs="宋体"/>
          <w:szCs w:val="21"/>
          <w:highlight w:val="none"/>
        </w:rPr>
      </w:pPr>
      <w:r>
        <w:rPr>
          <w:rFonts w:hint="eastAsia" w:ascii="宋体" w:hAnsi="宋体" w:cs="宋体"/>
          <w:szCs w:val="21"/>
          <w:highlight w:val="none"/>
        </w:rPr>
        <w:t>十五、争议解决方式</w:t>
      </w:r>
    </w:p>
    <w:p w14:paraId="2BE9E852">
      <w:pPr>
        <w:adjustRightInd w:val="0"/>
        <w:snapToGrid w:val="0"/>
        <w:spacing w:line="520" w:lineRule="exact"/>
        <w:ind w:firstLine="420" w:firstLineChars="200"/>
        <w:rPr>
          <w:rFonts w:ascii="宋体" w:hAnsi="宋体" w:cs="宋体"/>
          <w:sz w:val="21"/>
          <w:szCs w:val="21"/>
          <w:highlight w:val="none"/>
        </w:rPr>
      </w:pPr>
      <w:r>
        <w:rPr>
          <w:rFonts w:hint="eastAsia" w:ascii="宋体" w:hAnsi="宋体" w:cs="宋体"/>
          <w:sz w:val="21"/>
          <w:szCs w:val="21"/>
          <w:highlight w:val="none"/>
        </w:rPr>
        <w:t>如因履行本合同发生争议，双方协商解决。协商不成时，向</w:t>
      </w:r>
      <w:r>
        <w:rPr>
          <w:rFonts w:hint="eastAsia" w:ascii="宋体" w:hAnsi="宋体" w:cs="宋体"/>
          <w:sz w:val="21"/>
          <w:szCs w:val="21"/>
          <w:highlight w:val="none"/>
          <w:lang w:eastAsia="zh-CN"/>
        </w:rPr>
        <w:t>采购方</w:t>
      </w:r>
      <w:r>
        <w:rPr>
          <w:rFonts w:hint="eastAsia" w:ascii="宋体" w:hAnsi="宋体" w:cs="宋体"/>
          <w:sz w:val="21"/>
          <w:szCs w:val="21"/>
          <w:highlight w:val="none"/>
        </w:rPr>
        <w:t>所在地人民法院提起诉讼。</w:t>
      </w:r>
    </w:p>
    <w:p w14:paraId="6E413D7F">
      <w:pPr>
        <w:adjustRightInd w:val="0"/>
        <w:snapToGrid w:val="0"/>
        <w:spacing w:line="520" w:lineRule="exact"/>
        <w:ind w:firstLine="420" w:firstLineChars="200"/>
        <w:rPr>
          <w:rFonts w:ascii="宋体" w:hAnsi="宋体" w:cs="宋体"/>
          <w:sz w:val="21"/>
          <w:szCs w:val="21"/>
          <w:highlight w:val="none"/>
        </w:rPr>
      </w:pPr>
      <w:r>
        <w:rPr>
          <w:rFonts w:hint="eastAsia" w:ascii="宋体" w:hAnsi="宋体" w:cs="宋体"/>
          <w:sz w:val="21"/>
          <w:szCs w:val="21"/>
          <w:highlight w:val="none"/>
        </w:rPr>
        <w:t>十六、特别约定</w:t>
      </w:r>
    </w:p>
    <w:p w14:paraId="546E7F30">
      <w:pPr>
        <w:adjustRightInd w:val="0"/>
        <w:snapToGrid w:val="0"/>
        <w:spacing w:line="520" w:lineRule="exact"/>
        <w:ind w:firstLine="420" w:firstLineChars="200"/>
        <w:rPr>
          <w:rFonts w:ascii="宋体" w:hAnsi="宋体" w:cs="宋体"/>
          <w:sz w:val="21"/>
          <w:szCs w:val="21"/>
          <w:highlight w:val="none"/>
        </w:rPr>
      </w:pPr>
      <w:r>
        <w:rPr>
          <w:rFonts w:hint="eastAsia" w:ascii="宋体" w:hAnsi="宋体" w:cs="宋体"/>
          <w:sz w:val="21"/>
          <w:szCs w:val="21"/>
          <w:highlight w:val="none"/>
        </w:rPr>
        <w:t>1、甲乙双方执行的采购价格不应高于同等条件下市场价，否则</w:t>
      </w:r>
      <w:r>
        <w:rPr>
          <w:rFonts w:hint="eastAsia" w:ascii="宋体" w:hAnsi="宋体" w:cs="宋体"/>
          <w:sz w:val="21"/>
          <w:szCs w:val="21"/>
          <w:highlight w:val="none"/>
          <w:lang w:eastAsia="zh-CN"/>
        </w:rPr>
        <w:t>采购方</w:t>
      </w:r>
      <w:r>
        <w:rPr>
          <w:rFonts w:hint="eastAsia" w:ascii="宋体" w:hAnsi="宋体" w:cs="宋体"/>
          <w:sz w:val="21"/>
          <w:szCs w:val="21"/>
          <w:highlight w:val="none"/>
        </w:rPr>
        <w:t>无论何时均有权在合同总金额中扣除此部分差额或要求</w:t>
      </w:r>
      <w:r>
        <w:rPr>
          <w:rFonts w:hint="eastAsia" w:ascii="宋体" w:hAnsi="宋体" w:cs="宋体"/>
          <w:sz w:val="21"/>
          <w:szCs w:val="21"/>
          <w:highlight w:val="none"/>
          <w:lang w:eastAsia="zh-CN"/>
        </w:rPr>
        <w:t>供应方</w:t>
      </w:r>
      <w:r>
        <w:rPr>
          <w:rFonts w:hint="eastAsia" w:ascii="宋体" w:hAnsi="宋体" w:cs="宋体"/>
          <w:sz w:val="21"/>
          <w:szCs w:val="21"/>
          <w:highlight w:val="none"/>
        </w:rPr>
        <w:t>予以赔偿此部分差额，同时因此给</w:t>
      </w:r>
      <w:r>
        <w:rPr>
          <w:rFonts w:hint="eastAsia" w:ascii="宋体" w:hAnsi="宋体" w:cs="宋体"/>
          <w:sz w:val="21"/>
          <w:szCs w:val="21"/>
          <w:highlight w:val="none"/>
          <w:lang w:eastAsia="zh-CN"/>
        </w:rPr>
        <w:t>采购方</w:t>
      </w:r>
      <w:r>
        <w:rPr>
          <w:rFonts w:hint="eastAsia" w:ascii="宋体" w:hAnsi="宋体" w:cs="宋体"/>
          <w:sz w:val="21"/>
          <w:szCs w:val="21"/>
          <w:highlight w:val="none"/>
        </w:rPr>
        <w:t>造成的其他经济损失也由</w:t>
      </w:r>
      <w:r>
        <w:rPr>
          <w:rFonts w:hint="eastAsia" w:ascii="宋体" w:hAnsi="宋体" w:cs="宋体"/>
          <w:sz w:val="21"/>
          <w:szCs w:val="21"/>
          <w:highlight w:val="none"/>
          <w:lang w:eastAsia="zh-CN"/>
        </w:rPr>
        <w:t>供应方</w:t>
      </w:r>
      <w:r>
        <w:rPr>
          <w:rFonts w:hint="eastAsia" w:ascii="宋体" w:hAnsi="宋体" w:cs="宋体"/>
          <w:sz w:val="21"/>
          <w:szCs w:val="21"/>
          <w:highlight w:val="none"/>
        </w:rPr>
        <w:t>承担。</w:t>
      </w:r>
    </w:p>
    <w:p w14:paraId="70B03D65">
      <w:pPr>
        <w:adjustRightInd w:val="0"/>
        <w:snapToGrid w:val="0"/>
        <w:spacing w:line="520" w:lineRule="exact"/>
        <w:ind w:firstLine="420" w:firstLineChars="200"/>
        <w:rPr>
          <w:rFonts w:ascii="宋体" w:hAnsi="宋体" w:cs="宋体"/>
          <w:sz w:val="21"/>
          <w:szCs w:val="21"/>
          <w:highlight w:val="none"/>
        </w:rPr>
      </w:pPr>
      <w:r>
        <w:rPr>
          <w:rFonts w:hint="eastAsia" w:ascii="宋体" w:hAnsi="宋体" w:cs="宋体"/>
          <w:sz w:val="21"/>
          <w:szCs w:val="21"/>
          <w:highlight w:val="none"/>
        </w:rPr>
        <w:t>2、如</w:t>
      </w:r>
      <w:r>
        <w:rPr>
          <w:rFonts w:hint="eastAsia" w:ascii="宋体" w:hAnsi="宋体" w:cs="宋体"/>
          <w:sz w:val="21"/>
          <w:szCs w:val="21"/>
          <w:highlight w:val="none"/>
          <w:lang w:eastAsia="zh-CN"/>
        </w:rPr>
        <w:t>采购方</w:t>
      </w:r>
      <w:r>
        <w:rPr>
          <w:rFonts w:hint="eastAsia" w:ascii="宋体" w:hAnsi="宋体" w:cs="宋体"/>
          <w:sz w:val="21"/>
          <w:szCs w:val="21"/>
          <w:highlight w:val="none"/>
        </w:rPr>
        <w:t>需要合格证、检测报告等资料时，</w:t>
      </w:r>
      <w:r>
        <w:rPr>
          <w:rFonts w:hint="eastAsia" w:ascii="宋体" w:hAnsi="宋体" w:cs="宋体"/>
          <w:sz w:val="21"/>
          <w:szCs w:val="21"/>
          <w:highlight w:val="none"/>
          <w:lang w:eastAsia="zh-CN"/>
        </w:rPr>
        <w:t>供应方</w:t>
      </w:r>
      <w:r>
        <w:rPr>
          <w:rFonts w:hint="eastAsia" w:ascii="宋体" w:hAnsi="宋体" w:cs="宋体"/>
          <w:sz w:val="21"/>
          <w:szCs w:val="21"/>
          <w:highlight w:val="none"/>
        </w:rPr>
        <w:t>必须积极配合提供，不得以任何理由拒绝提供，否则视为</w:t>
      </w:r>
      <w:r>
        <w:rPr>
          <w:rFonts w:hint="eastAsia" w:ascii="宋体" w:hAnsi="宋体" w:cs="宋体"/>
          <w:sz w:val="21"/>
          <w:szCs w:val="21"/>
          <w:highlight w:val="none"/>
          <w:lang w:eastAsia="zh-CN"/>
        </w:rPr>
        <w:t>供应方</w:t>
      </w:r>
      <w:r>
        <w:rPr>
          <w:rFonts w:hint="eastAsia" w:ascii="宋体" w:hAnsi="宋体" w:cs="宋体"/>
          <w:sz w:val="21"/>
          <w:szCs w:val="21"/>
          <w:highlight w:val="none"/>
        </w:rPr>
        <w:t>违约。</w:t>
      </w:r>
    </w:p>
    <w:p w14:paraId="5955B4ED">
      <w:pPr>
        <w:adjustRightInd w:val="0"/>
        <w:snapToGrid w:val="0"/>
        <w:spacing w:line="520" w:lineRule="exact"/>
        <w:ind w:firstLine="420" w:firstLineChars="200"/>
        <w:rPr>
          <w:rFonts w:ascii="宋体" w:hAnsi="宋体" w:cs="宋体"/>
          <w:sz w:val="21"/>
          <w:szCs w:val="21"/>
          <w:highlight w:val="none"/>
        </w:rPr>
      </w:pPr>
      <w:r>
        <w:rPr>
          <w:rFonts w:hint="eastAsia" w:ascii="宋体" w:hAnsi="宋体" w:cs="宋体"/>
          <w:sz w:val="21"/>
          <w:szCs w:val="21"/>
          <w:highlight w:val="none"/>
        </w:rPr>
        <w:t>3、</w:t>
      </w:r>
      <w:r>
        <w:rPr>
          <w:rFonts w:hint="eastAsia" w:ascii="宋体" w:hAnsi="宋体" w:cs="宋体"/>
          <w:sz w:val="21"/>
          <w:szCs w:val="21"/>
          <w:highlight w:val="none"/>
          <w:lang w:eastAsia="zh-CN"/>
        </w:rPr>
        <w:t>供应方</w:t>
      </w:r>
      <w:r>
        <w:rPr>
          <w:rFonts w:hint="eastAsia" w:ascii="宋体" w:hAnsi="宋体" w:cs="宋体"/>
          <w:sz w:val="21"/>
          <w:szCs w:val="21"/>
          <w:highlight w:val="none"/>
        </w:rPr>
        <w:t>车辆和服务人员进入施工现场后，应服从</w:t>
      </w:r>
      <w:r>
        <w:rPr>
          <w:rFonts w:hint="eastAsia" w:ascii="宋体" w:hAnsi="宋体" w:cs="宋体"/>
          <w:sz w:val="21"/>
          <w:szCs w:val="21"/>
          <w:highlight w:val="none"/>
          <w:lang w:eastAsia="zh-CN"/>
        </w:rPr>
        <w:t>采购方</w:t>
      </w:r>
      <w:r>
        <w:rPr>
          <w:rFonts w:hint="eastAsia" w:ascii="宋体" w:hAnsi="宋体" w:cs="宋体"/>
          <w:sz w:val="21"/>
          <w:szCs w:val="21"/>
          <w:highlight w:val="none"/>
        </w:rPr>
        <w:t>合理调配，遵守施工现场的安全管理规定。如</w:t>
      </w:r>
      <w:r>
        <w:rPr>
          <w:rFonts w:hint="eastAsia" w:ascii="宋体" w:hAnsi="宋体" w:cs="宋体"/>
          <w:sz w:val="21"/>
          <w:szCs w:val="21"/>
          <w:highlight w:val="none"/>
          <w:lang w:eastAsia="zh-CN"/>
        </w:rPr>
        <w:t>供应方</w:t>
      </w:r>
      <w:r>
        <w:rPr>
          <w:rFonts w:hint="eastAsia" w:ascii="宋体" w:hAnsi="宋体" w:cs="宋体"/>
          <w:sz w:val="21"/>
          <w:szCs w:val="21"/>
          <w:highlight w:val="none"/>
        </w:rPr>
        <w:t>车辆或服务人员进入</w:t>
      </w:r>
      <w:r>
        <w:rPr>
          <w:rFonts w:hint="eastAsia" w:ascii="宋体" w:hAnsi="宋体" w:cs="宋体"/>
          <w:sz w:val="21"/>
          <w:szCs w:val="21"/>
          <w:highlight w:val="none"/>
          <w:lang w:eastAsia="zh-CN"/>
        </w:rPr>
        <w:t>采购方</w:t>
      </w:r>
      <w:r>
        <w:rPr>
          <w:rFonts w:hint="eastAsia" w:ascii="宋体" w:hAnsi="宋体" w:cs="宋体"/>
          <w:sz w:val="21"/>
          <w:szCs w:val="21"/>
          <w:highlight w:val="none"/>
        </w:rPr>
        <w:t>施工现场未服从调配，或者未遵守施工现场的安全管理规定造成的一切损失由</w:t>
      </w:r>
      <w:r>
        <w:rPr>
          <w:rFonts w:hint="eastAsia" w:ascii="宋体" w:hAnsi="宋体" w:cs="宋体"/>
          <w:sz w:val="21"/>
          <w:szCs w:val="21"/>
          <w:highlight w:val="none"/>
          <w:lang w:eastAsia="zh-CN"/>
        </w:rPr>
        <w:t>供应方</w:t>
      </w:r>
      <w:r>
        <w:rPr>
          <w:rFonts w:hint="eastAsia" w:ascii="宋体" w:hAnsi="宋体" w:cs="宋体"/>
          <w:sz w:val="21"/>
          <w:szCs w:val="21"/>
          <w:highlight w:val="none"/>
        </w:rPr>
        <w:t>承担。</w:t>
      </w:r>
    </w:p>
    <w:p w14:paraId="0355FA8A">
      <w:pPr>
        <w:adjustRightInd w:val="0"/>
        <w:snapToGrid w:val="0"/>
        <w:spacing w:line="520" w:lineRule="exact"/>
        <w:ind w:firstLine="420" w:firstLineChars="200"/>
        <w:rPr>
          <w:rFonts w:ascii="宋体" w:hAnsi="宋体" w:cs="宋体"/>
          <w:sz w:val="21"/>
          <w:szCs w:val="21"/>
          <w:highlight w:val="none"/>
        </w:rPr>
      </w:pPr>
      <w:r>
        <w:rPr>
          <w:rFonts w:hint="eastAsia" w:ascii="宋体" w:hAnsi="宋体" w:cs="宋体"/>
          <w:sz w:val="21"/>
          <w:szCs w:val="21"/>
          <w:highlight w:val="none"/>
        </w:rPr>
        <w:t>4、本合同项下增值税税率如遇国家税收政策调整，双方应根据合同执行情况，友好协商对增值税税率做相应的修订。</w:t>
      </w:r>
      <w:bookmarkEnd w:id="395"/>
      <w:bookmarkStart w:id="396" w:name="_Toc351203490"/>
    </w:p>
    <w:p w14:paraId="1B9E2315">
      <w:pPr>
        <w:adjustRightInd w:val="0"/>
        <w:snapToGrid w:val="0"/>
        <w:spacing w:line="520" w:lineRule="exact"/>
        <w:ind w:firstLine="420" w:firstLineChars="200"/>
        <w:rPr>
          <w:rFonts w:ascii="宋体" w:hAnsi="宋体" w:cs="宋体"/>
          <w:sz w:val="21"/>
          <w:szCs w:val="21"/>
          <w:highlight w:val="none"/>
        </w:rPr>
      </w:pPr>
      <w:r>
        <w:rPr>
          <w:rFonts w:hint="eastAsia" w:ascii="宋体" w:hAnsi="宋体" w:cs="宋体"/>
          <w:bCs/>
          <w:sz w:val="21"/>
          <w:szCs w:val="21"/>
          <w:highlight w:val="none"/>
        </w:rPr>
        <w:t>十七、其他约定</w:t>
      </w:r>
    </w:p>
    <w:p w14:paraId="6C1664F8">
      <w:pPr>
        <w:pStyle w:val="5"/>
        <w:adjustRightInd w:val="0"/>
        <w:snapToGrid w:val="0"/>
        <w:spacing w:line="520" w:lineRule="exact"/>
        <w:ind w:firstLine="422" w:firstLineChars="200"/>
        <w:jc w:val="left"/>
        <w:rPr>
          <w:rFonts w:hAnsi="宋体" w:cs="宋体"/>
          <w:sz w:val="21"/>
          <w:szCs w:val="21"/>
          <w:highlight w:val="none"/>
        </w:rPr>
      </w:pPr>
      <w:bookmarkStart w:id="397" w:name="_Toc25726"/>
      <w:r>
        <w:rPr>
          <w:rFonts w:hint="eastAsia" w:hAnsi="宋体" w:cs="宋体"/>
          <w:sz w:val="21"/>
          <w:szCs w:val="21"/>
          <w:highlight w:val="none"/>
        </w:rPr>
        <w:t>1、签订地点</w:t>
      </w:r>
      <w:bookmarkEnd w:id="396"/>
      <w:r>
        <w:rPr>
          <w:rFonts w:hint="eastAsia" w:hAnsi="宋体" w:cs="宋体"/>
          <w:sz w:val="21"/>
          <w:szCs w:val="21"/>
          <w:highlight w:val="none"/>
        </w:rPr>
        <w:t>：本合同在</w:t>
      </w:r>
      <w:r>
        <w:rPr>
          <w:rFonts w:hint="eastAsia" w:hAnsi="宋体" w:cs="宋体"/>
          <w:sz w:val="21"/>
          <w:szCs w:val="21"/>
          <w:highlight w:val="none"/>
          <w:u w:val="single"/>
        </w:rPr>
        <w:t xml:space="preserve">                             </w:t>
      </w:r>
      <w:r>
        <w:rPr>
          <w:rFonts w:hint="eastAsia" w:hAnsi="宋体" w:cs="宋体"/>
          <w:sz w:val="21"/>
          <w:szCs w:val="21"/>
          <w:highlight w:val="none"/>
        </w:rPr>
        <w:t>签订。</w:t>
      </w:r>
      <w:bookmarkEnd w:id="397"/>
    </w:p>
    <w:p w14:paraId="67FB933B">
      <w:pPr>
        <w:adjustRightInd w:val="0"/>
        <w:snapToGrid w:val="0"/>
        <w:spacing w:line="520" w:lineRule="exact"/>
        <w:ind w:firstLine="420" w:firstLineChars="200"/>
        <w:rPr>
          <w:rFonts w:ascii="宋体" w:hAnsi="宋体" w:cs="宋体"/>
          <w:bCs/>
          <w:sz w:val="21"/>
          <w:szCs w:val="21"/>
          <w:highlight w:val="none"/>
        </w:rPr>
      </w:pPr>
      <w:bookmarkStart w:id="398" w:name="_Toc351203492"/>
      <w:r>
        <w:rPr>
          <w:rFonts w:hint="eastAsia" w:ascii="宋体" w:hAnsi="宋体" w:cs="宋体"/>
          <w:bCs/>
          <w:sz w:val="21"/>
          <w:szCs w:val="21"/>
          <w:highlight w:val="none"/>
        </w:rPr>
        <w:t>2、</w:t>
      </w:r>
      <w:r>
        <w:rPr>
          <w:rFonts w:hint="eastAsia" w:ascii="宋体" w:hAnsi="宋体" w:cs="宋体"/>
          <w:sz w:val="21"/>
          <w:szCs w:val="21"/>
          <w:highlight w:val="none"/>
        </w:rPr>
        <w:t>合同生效</w:t>
      </w:r>
      <w:bookmarkEnd w:id="398"/>
      <w:r>
        <w:rPr>
          <w:rFonts w:hint="eastAsia" w:ascii="宋体" w:hAnsi="宋体" w:cs="宋体"/>
          <w:bCs/>
          <w:sz w:val="21"/>
          <w:szCs w:val="21"/>
          <w:highlight w:val="none"/>
        </w:rPr>
        <w:t xml:space="preserve"> ：本合同自</w:t>
      </w:r>
      <w:r>
        <w:rPr>
          <w:rFonts w:hint="eastAsia" w:ascii="宋体" w:hAnsi="宋体" w:cs="宋体"/>
          <w:bCs/>
          <w:sz w:val="21"/>
          <w:szCs w:val="21"/>
          <w:highlight w:val="none"/>
          <w:u w:val="single"/>
        </w:rPr>
        <w:t xml:space="preserve"> 双方法定代表人、负责人或授权代理人签字并加盖单位公章后 </w:t>
      </w:r>
      <w:r>
        <w:rPr>
          <w:rFonts w:hint="eastAsia" w:ascii="宋体" w:hAnsi="宋体" w:cs="宋体"/>
          <w:bCs/>
          <w:sz w:val="21"/>
          <w:szCs w:val="21"/>
          <w:highlight w:val="none"/>
        </w:rPr>
        <w:t>生效。</w:t>
      </w:r>
    </w:p>
    <w:p w14:paraId="7DD0D4BE">
      <w:pPr>
        <w:ind w:firstLine="420" w:firstLineChars="200"/>
        <w:rPr>
          <w:rFonts w:ascii="宋体" w:hAnsi="宋体" w:cs="宋体"/>
          <w:sz w:val="21"/>
          <w:szCs w:val="21"/>
          <w:highlight w:val="none"/>
        </w:rPr>
      </w:pPr>
      <w:bookmarkStart w:id="399" w:name="_Toc23668"/>
      <w:bookmarkStart w:id="400" w:name="_Toc351203493"/>
      <w:r>
        <w:rPr>
          <w:rFonts w:hint="eastAsia" w:ascii="宋体" w:hAnsi="宋体" w:cs="宋体"/>
          <w:sz w:val="21"/>
          <w:szCs w:val="21"/>
          <w:highlight w:val="none"/>
        </w:rPr>
        <w:t>3、本合同未尽事宜，甲乙双方可另行签订补充协议，补充协议是本合同的组成部分，与本合同具有同等法律效力。</w:t>
      </w:r>
      <w:bookmarkEnd w:id="399"/>
    </w:p>
    <w:bookmarkEnd w:id="400"/>
    <w:p w14:paraId="6044F3DF">
      <w:pPr>
        <w:pStyle w:val="5"/>
        <w:adjustRightInd w:val="0"/>
        <w:snapToGrid w:val="0"/>
        <w:spacing w:line="520" w:lineRule="exact"/>
        <w:ind w:firstLine="422" w:firstLineChars="200"/>
        <w:jc w:val="left"/>
        <w:rPr>
          <w:rFonts w:hAnsi="宋体" w:cs="宋体"/>
          <w:sz w:val="21"/>
          <w:szCs w:val="21"/>
          <w:highlight w:val="none"/>
        </w:rPr>
      </w:pPr>
      <w:bookmarkStart w:id="401" w:name="_Toc13791"/>
      <w:r>
        <w:rPr>
          <w:rFonts w:hint="eastAsia" w:hAnsi="宋体" w:cs="宋体"/>
          <w:sz w:val="21"/>
          <w:szCs w:val="21"/>
          <w:highlight w:val="none"/>
        </w:rPr>
        <w:t>4、本合同一式</w:t>
      </w:r>
      <w:r>
        <w:rPr>
          <w:rFonts w:hint="eastAsia" w:hAnsi="宋体" w:cs="宋体"/>
          <w:sz w:val="21"/>
          <w:szCs w:val="21"/>
          <w:highlight w:val="none"/>
          <w:u w:val="single"/>
        </w:rPr>
        <w:t xml:space="preserve">    </w:t>
      </w:r>
      <w:r>
        <w:rPr>
          <w:rFonts w:hint="eastAsia" w:hAnsi="宋体" w:cs="宋体"/>
          <w:sz w:val="21"/>
          <w:szCs w:val="21"/>
          <w:highlight w:val="none"/>
        </w:rPr>
        <w:t>份，均具有同等法律效力，</w:t>
      </w:r>
      <w:r>
        <w:rPr>
          <w:rFonts w:hint="eastAsia" w:hAnsi="宋体" w:cs="宋体"/>
          <w:sz w:val="21"/>
          <w:szCs w:val="21"/>
          <w:highlight w:val="none"/>
          <w:lang w:eastAsia="zh-CN"/>
        </w:rPr>
        <w:t>采购方</w:t>
      </w:r>
      <w:r>
        <w:rPr>
          <w:rFonts w:hint="eastAsia" w:hAnsi="宋体" w:cs="宋体"/>
          <w:sz w:val="21"/>
          <w:szCs w:val="21"/>
          <w:highlight w:val="none"/>
        </w:rPr>
        <w:t>执</w:t>
      </w:r>
      <w:r>
        <w:rPr>
          <w:rFonts w:hint="eastAsia" w:hAnsi="宋体" w:cs="宋体"/>
          <w:sz w:val="21"/>
          <w:szCs w:val="21"/>
          <w:highlight w:val="none"/>
          <w:u w:val="single"/>
        </w:rPr>
        <w:t xml:space="preserve">    </w:t>
      </w:r>
      <w:r>
        <w:rPr>
          <w:rFonts w:hint="eastAsia" w:hAnsi="宋体" w:cs="宋体"/>
          <w:sz w:val="21"/>
          <w:szCs w:val="21"/>
          <w:highlight w:val="none"/>
        </w:rPr>
        <w:t>份，</w:t>
      </w:r>
      <w:r>
        <w:rPr>
          <w:rFonts w:hint="eastAsia" w:hAnsi="宋体" w:cs="宋体"/>
          <w:sz w:val="21"/>
          <w:szCs w:val="21"/>
          <w:highlight w:val="none"/>
          <w:lang w:eastAsia="zh-CN"/>
        </w:rPr>
        <w:t>供应方</w:t>
      </w:r>
      <w:r>
        <w:rPr>
          <w:rFonts w:hint="eastAsia" w:hAnsi="宋体" w:cs="宋体"/>
          <w:sz w:val="21"/>
          <w:szCs w:val="21"/>
          <w:highlight w:val="none"/>
        </w:rPr>
        <w:t>执</w:t>
      </w:r>
      <w:r>
        <w:rPr>
          <w:rFonts w:hint="eastAsia" w:hAnsi="宋体" w:cs="宋体"/>
          <w:sz w:val="21"/>
          <w:szCs w:val="21"/>
          <w:highlight w:val="none"/>
          <w:u w:val="single"/>
        </w:rPr>
        <w:t xml:space="preserve">    </w:t>
      </w:r>
      <w:r>
        <w:rPr>
          <w:rFonts w:hint="eastAsia" w:hAnsi="宋体" w:cs="宋体"/>
          <w:sz w:val="21"/>
          <w:szCs w:val="21"/>
          <w:highlight w:val="none"/>
        </w:rPr>
        <w:t>份。</w:t>
      </w:r>
      <w:bookmarkEnd w:id="401"/>
    </w:p>
    <w:p w14:paraId="30B87345">
      <w:pPr>
        <w:pStyle w:val="5"/>
        <w:adjustRightInd w:val="0"/>
        <w:snapToGrid w:val="0"/>
        <w:spacing w:line="520" w:lineRule="exact"/>
        <w:ind w:firstLine="422" w:firstLineChars="200"/>
        <w:jc w:val="left"/>
        <w:rPr>
          <w:rFonts w:hAnsi="宋体" w:cs="宋体"/>
          <w:sz w:val="21"/>
          <w:szCs w:val="21"/>
          <w:highlight w:val="none"/>
        </w:rPr>
      </w:pPr>
      <w:bookmarkStart w:id="402" w:name="_Toc10222"/>
      <w:r>
        <w:rPr>
          <w:rFonts w:hint="eastAsia" w:hAnsi="宋体" w:cs="宋体"/>
          <w:sz w:val="21"/>
          <w:szCs w:val="21"/>
          <w:highlight w:val="none"/>
        </w:rPr>
        <w:t>5、《招标文件》《投标文件》《中标通知书》作为本合同内容，与本合同具有同等法律效力。</w:t>
      </w:r>
      <w:bookmarkEnd w:id="402"/>
    </w:p>
    <w:p w14:paraId="0BFA0F6F">
      <w:pPr>
        <w:adjustRightInd w:val="0"/>
        <w:snapToGrid w:val="0"/>
        <w:spacing w:line="520" w:lineRule="exact"/>
        <w:ind w:firstLine="420" w:firstLineChars="200"/>
        <w:rPr>
          <w:rFonts w:hint="eastAsia" w:ascii="宋体" w:hAnsi="宋体" w:cs="宋体"/>
          <w:bCs/>
          <w:sz w:val="21"/>
          <w:szCs w:val="21"/>
          <w:highlight w:val="none"/>
        </w:rPr>
      </w:pPr>
      <w:r>
        <w:rPr>
          <w:rFonts w:hint="eastAsia" w:ascii="宋体" w:hAnsi="宋体" w:cs="宋体"/>
          <w:bCs/>
          <w:sz w:val="21"/>
          <w:szCs w:val="21"/>
          <w:highlight w:val="none"/>
        </w:rPr>
        <w:t>6、本合同为清洁打印文本，所有条款和数字均事先打印完成，本合同中禁止出现任何手写或空白未填写的情况。</w:t>
      </w:r>
    </w:p>
    <w:p w14:paraId="2659BA59">
      <w:pPr>
        <w:adjustRightInd w:val="0"/>
        <w:snapToGrid w:val="0"/>
        <w:spacing w:line="520" w:lineRule="exact"/>
        <w:ind w:firstLine="420" w:firstLineChars="200"/>
        <w:rPr>
          <w:rFonts w:hint="eastAsia" w:ascii="宋体" w:hAnsi="宋体" w:cs="宋体"/>
          <w:bCs/>
          <w:sz w:val="21"/>
          <w:szCs w:val="21"/>
          <w:highlight w:val="none"/>
        </w:rPr>
      </w:pPr>
      <w:r>
        <w:rPr>
          <w:rFonts w:hint="eastAsia" w:ascii="宋体" w:hAnsi="宋体" w:cs="宋体"/>
          <w:bCs/>
          <w:sz w:val="21"/>
          <w:szCs w:val="21"/>
          <w:highlight w:val="none"/>
        </w:rPr>
        <w:t>7、在本合同在履行过程中发生纠纷的，</w:t>
      </w:r>
      <w:r>
        <w:rPr>
          <w:rFonts w:hint="eastAsia" w:ascii="宋体" w:hAnsi="宋体" w:cs="宋体"/>
          <w:bCs/>
          <w:sz w:val="21"/>
          <w:szCs w:val="21"/>
          <w:highlight w:val="none"/>
          <w:lang w:eastAsia="zh-CN"/>
        </w:rPr>
        <w:t>采购方</w:t>
      </w:r>
      <w:r>
        <w:rPr>
          <w:rFonts w:hint="eastAsia" w:ascii="宋体" w:hAnsi="宋体" w:cs="宋体"/>
          <w:bCs/>
          <w:sz w:val="21"/>
          <w:szCs w:val="21"/>
          <w:highlight w:val="none"/>
        </w:rPr>
        <w:t>为解决纠纷而发生的一切费用（包括但不限于诉讼费、仲裁费、财产保全费、差旅费、执行费、评估费、拍卖费、公证费、送达费、公告费、律师费、鉴定费、担保费等）均由</w:t>
      </w:r>
      <w:r>
        <w:rPr>
          <w:rFonts w:hint="eastAsia" w:ascii="宋体" w:hAnsi="宋体" w:cs="宋体"/>
          <w:bCs/>
          <w:sz w:val="21"/>
          <w:szCs w:val="21"/>
          <w:highlight w:val="none"/>
          <w:lang w:eastAsia="zh-CN"/>
        </w:rPr>
        <w:t>供应方</w:t>
      </w:r>
      <w:r>
        <w:rPr>
          <w:rFonts w:hint="eastAsia" w:ascii="宋体" w:hAnsi="宋体" w:cs="宋体"/>
          <w:bCs/>
          <w:sz w:val="21"/>
          <w:szCs w:val="21"/>
          <w:highlight w:val="none"/>
        </w:rPr>
        <w:t>承担。</w:t>
      </w:r>
    </w:p>
    <w:p w14:paraId="413381DB">
      <w:pPr>
        <w:adjustRightInd w:val="0"/>
        <w:snapToGrid w:val="0"/>
        <w:spacing w:line="520" w:lineRule="exact"/>
        <w:ind w:firstLine="420" w:firstLineChars="200"/>
        <w:rPr>
          <w:rFonts w:hint="eastAsia" w:ascii="宋体" w:hAnsi="宋体" w:cs="宋体"/>
          <w:bCs/>
          <w:sz w:val="21"/>
          <w:szCs w:val="21"/>
          <w:highlight w:val="none"/>
        </w:rPr>
      </w:pPr>
      <w:r>
        <w:rPr>
          <w:rFonts w:hint="eastAsia" w:ascii="宋体" w:hAnsi="宋体" w:cs="宋体"/>
          <w:bCs/>
          <w:sz w:val="21"/>
          <w:szCs w:val="21"/>
          <w:highlight w:val="none"/>
        </w:rPr>
        <w:t>8、本合同地址为送达地址，该送达地址适用于各个诉讼阶段和仲裁程序，包括但不限于一审、二审、再审、执行或仲裁等，</w:t>
      </w:r>
      <w:r>
        <w:rPr>
          <w:rFonts w:hint="eastAsia" w:ascii="宋体" w:hAnsi="宋体" w:cs="宋体"/>
          <w:bCs/>
          <w:sz w:val="21"/>
          <w:szCs w:val="21"/>
          <w:highlight w:val="none"/>
          <w:lang w:eastAsia="zh-CN"/>
        </w:rPr>
        <w:t>供应方</w:t>
      </w:r>
      <w:r>
        <w:rPr>
          <w:rFonts w:hint="eastAsia" w:ascii="宋体" w:hAnsi="宋体" w:cs="宋体"/>
          <w:bCs/>
          <w:sz w:val="21"/>
          <w:szCs w:val="21"/>
          <w:highlight w:val="none"/>
        </w:rPr>
        <w:t>拒收或出现其他导致按照本合同地址无法送达的情况，视为已经送达；如果甲、乙双方确认的送达地址有变更，应当及时告知另一方；如一方提供的地址不确切，或不及时告知变更后的地址，仍以本合同载明地址为约定送达地址，若使诉讼文书无法送达或未及时送达，视为已经送达成功，该方将自行承担由此可能产生的法律后果。</w:t>
      </w:r>
      <w:r>
        <w:rPr>
          <w:rFonts w:hint="eastAsia" w:ascii="宋体" w:hAnsi="宋体" w:cs="宋体"/>
          <w:bCs/>
          <w:sz w:val="21"/>
          <w:szCs w:val="21"/>
          <w:highlight w:val="none"/>
        </w:rPr>
        <w:tab/>
      </w:r>
      <w:r>
        <w:rPr>
          <w:rFonts w:hint="eastAsia" w:ascii="宋体" w:hAnsi="宋体" w:cs="宋体"/>
          <w:bCs/>
          <w:sz w:val="21"/>
          <w:szCs w:val="21"/>
          <w:highlight w:val="none"/>
        </w:rPr>
        <w:tab/>
      </w:r>
    </w:p>
    <w:p w14:paraId="7951D292">
      <w:pPr>
        <w:rPr>
          <w:rFonts w:ascii="仿宋" w:hAnsi="仿宋" w:eastAsia="仿宋" w:cs="仿宋"/>
          <w:sz w:val="28"/>
          <w:szCs w:val="28"/>
          <w:highlight w:val="none"/>
        </w:rPr>
      </w:pPr>
    </w:p>
    <w:p w14:paraId="206580F1">
      <w:pPr>
        <w:pStyle w:val="5"/>
        <w:tabs>
          <w:tab w:val="left" w:pos="1482"/>
        </w:tabs>
        <w:adjustRightInd w:val="0"/>
        <w:snapToGrid w:val="0"/>
        <w:spacing w:line="520" w:lineRule="exact"/>
        <w:jc w:val="left"/>
        <w:rPr>
          <w:rFonts w:hAnsi="宋体" w:cs="宋体"/>
          <w:sz w:val="21"/>
          <w:szCs w:val="21"/>
          <w:highlight w:val="none"/>
        </w:rPr>
      </w:pPr>
      <w:r>
        <w:rPr>
          <w:rFonts w:hint="eastAsia" w:hAnsi="宋体" w:cs="宋体"/>
          <w:sz w:val="21"/>
          <w:szCs w:val="21"/>
          <w:highlight w:val="none"/>
        </w:rPr>
        <w:t>（以下无正文，为签署页）</w:t>
      </w:r>
    </w:p>
    <w:p w14:paraId="5B7DD580">
      <w:pPr>
        <w:tabs>
          <w:tab w:val="left" w:pos="1602"/>
        </w:tabs>
        <w:snapToGrid w:val="0"/>
        <w:spacing w:line="520" w:lineRule="exact"/>
        <w:ind w:firstLine="420" w:firstLineChars="200"/>
        <w:rPr>
          <w:rFonts w:ascii="宋体" w:hAnsi="宋体" w:cs="宋体"/>
          <w:sz w:val="21"/>
          <w:szCs w:val="21"/>
          <w:highlight w:val="none"/>
        </w:rPr>
      </w:pPr>
      <w:r>
        <w:rPr>
          <w:rFonts w:hint="eastAsia" w:ascii="宋体" w:hAnsi="宋体" w:cs="宋体"/>
          <w:sz w:val="21"/>
          <w:szCs w:val="21"/>
          <w:highlight w:val="none"/>
        </w:rPr>
        <w:tab/>
      </w:r>
    </w:p>
    <w:p w14:paraId="5973A815">
      <w:pPr>
        <w:tabs>
          <w:tab w:val="left" w:pos="1602"/>
        </w:tabs>
        <w:snapToGrid w:val="0"/>
        <w:spacing w:line="520" w:lineRule="exact"/>
        <w:ind w:firstLine="420" w:firstLineChars="200"/>
        <w:rPr>
          <w:rFonts w:ascii="宋体" w:hAnsi="宋体" w:cs="宋体"/>
          <w:sz w:val="21"/>
          <w:szCs w:val="21"/>
          <w:highlight w:val="none"/>
        </w:rPr>
      </w:pPr>
    </w:p>
    <w:p w14:paraId="53E456B9">
      <w:pPr>
        <w:tabs>
          <w:tab w:val="left" w:pos="1602"/>
        </w:tabs>
        <w:snapToGrid w:val="0"/>
        <w:spacing w:line="520" w:lineRule="exact"/>
        <w:ind w:firstLine="420" w:firstLineChars="200"/>
        <w:rPr>
          <w:rFonts w:ascii="宋体" w:hAnsi="宋体" w:cs="宋体"/>
          <w:sz w:val="21"/>
          <w:szCs w:val="21"/>
          <w:highlight w:val="none"/>
        </w:rPr>
      </w:pPr>
    </w:p>
    <w:p w14:paraId="307DDE6C">
      <w:pPr>
        <w:pStyle w:val="15"/>
        <w:rPr>
          <w:rFonts w:hAnsi="宋体" w:cs="宋体"/>
          <w:highlight w:val="none"/>
        </w:rPr>
      </w:pPr>
    </w:p>
    <w:p w14:paraId="74AE4694">
      <w:pPr>
        <w:snapToGrid w:val="0"/>
        <w:spacing w:line="520" w:lineRule="exact"/>
        <w:ind w:firstLine="420" w:firstLineChars="200"/>
        <w:rPr>
          <w:rFonts w:ascii="宋体" w:hAnsi="宋体" w:cs="宋体"/>
          <w:sz w:val="21"/>
          <w:szCs w:val="21"/>
          <w:highlight w:val="none"/>
        </w:rPr>
      </w:pPr>
      <w:r>
        <w:rPr>
          <w:rFonts w:hint="eastAsia" w:ascii="宋体" w:hAnsi="宋体" w:cs="宋体"/>
          <w:sz w:val="21"/>
          <w:szCs w:val="21"/>
          <w:highlight w:val="none"/>
        </w:rPr>
        <w:t>采购方（</w:t>
      </w:r>
      <w:r>
        <w:rPr>
          <w:rFonts w:hint="eastAsia" w:ascii="宋体" w:hAnsi="宋体" w:cs="宋体"/>
          <w:sz w:val="21"/>
          <w:szCs w:val="21"/>
          <w:highlight w:val="none"/>
          <w:lang w:eastAsia="zh-CN"/>
        </w:rPr>
        <w:t>采购方</w:t>
      </w:r>
      <w:r>
        <w:rPr>
          <w:rFonts w:hint="eastAsia" w:ascii="宋体" w:hAnsi="宋体" w:cs="宋体"/>
          <w:sz w:val="21"/>
          <w:szCs w:val="21"/>
          <w:highlight w:val="none"/>
        </w:rPr>
        <w:t xml:space="preserve">）：  (公章)           </w:t>
      </w:r>
      <w:r>
        <w:rPr>
          <w:rFonts w:hint="eastAsia" w:ascii="宋体" w:hAnsi="宋体" w:cs="宋体"/>
          <w:sz w:val="21"/>
          <w:szCs w:val="21"/>
          <w:highlight w:val="none"/>
          <w:lang w:eastAsia="zh-CN"/>
        </w:rPr>
        <w:t>供应方</w:t>
      </w:r>
      <w:r>
        <w:rPr>
          <w:rFonts w:hint="eastAsia" w:ascii="宋体" w:hAnsi="宋体" w:cs="宋体"/>
          <w:sz w:val="21"/>
          <w:szCs w:val="21"/>
          <w:highlight w:val="none"/>
        </w:rPr>
        <w:t>（</w:t>
      </w:r>
      <w:r>
        <w:rPr>
          <w:rFonts w:hint="eastAsia" w:ascii="宋体" w:hAnsi="宋体" w:cs="宋体"/>
          <w:sz w:val="21"/>
          <w:szCs w:val="21"/>
          <w:highlight w:val="none"/>
          <w:lang w:eastAsia="zh-CN"/>
        </w:rPr>
        <w:t>供应方</w:t>
      </w:r>
      <w:r>
        <w:rPr>
          <w:rFonts w:hint="eastAsia" w:ascii="宋体" w:hAnsi="宋体" w:cs="宋体"/>
          <w:sz w:val="21"/>
          <w:szCs w:val="21"/>
          <w:highlight w:val="none"/>
        </w:rPr>
        <w:t>）：  (公章)</w:t>
      </w:r>
    </w:p>
    <w:p w14:paraId="7E8D0EB3">
      <w:pPr>
        <w:snapToGrid w:val="0"/>
        <w:spacing w:line="520" w:lineRule="exact"/>
        <w:ind w:firstLine="420" w:firstLineChars="200"/>
        <w:rPr>
          <w:rFonts w:ascii="宋体" w:hAnsi="宋体" w:cs="宋体"/>
          <w:sz w:val="21"/>
          <w:szCs w:val="21"/>
          <w:highlight w:val="none"/>
          <w:u w:val="single"/>
        </w:rPr>
      </w:pPr>
      <w:r>
        <w:rPr>
          <w:rFonts w:hint="eastAsia" w:ascii="宋体" w:hAnsi="宋体" w:cs="宋体"/>
          <w:sz w:val="21"/>
          <w:szCs w:val="21"/>
          <w:highlight w:val="none"/>
        </w:rPr>
        <w:t xml:space="preserve">                                 </w:t>
      </w:r>
    </w:p>
    <w:p w14:paraId="002822C5">
      <w:pPr>
        <w:snapToGrid w:val="0"/>
        <w:spacing w:line="520" w:lineRule="exact"/>
        <w:ind w:firstLine="420" w:firstLineChars="200"/>
        <w:rPr>
          <w:rFonts w:ascii="宋体" w:hAnsi="宋体" w:cs="宋体"/>
          <w:sz w:val="21"/>
          <w:szCs w:val="21"/>
          <w:highlight w:val="none"/>
        </w:rPr>
      </w:pPr>
    </w:p>
    <w:p w14:paraId="6BA1E9B7">
      <w:pPr>
        <w:snapToGrid w:val="0"/>
        <w:spacing w:line="520" w:lineRule="exact"/>
        <w:ind w:firstLine="420" w:firstLineChars="200"/>
        <w:rPr>
          <w:rFonts w:ascii="宋体" w:hAnsi="宋体" w:cs="宋体"/>
          <w:sz w:val="21"/>
          <w:szCs w:val="21"/>
          <w:highlight w:val="none"/>
          <w:u w:val="single"/>
        </w:rPr>
      </w:pPr>
      <w:r>
        <w:rPr>
          <w:rFonts w:hint="eastAsia" w:ascii="宋体" w:hAnsi="宋体" w:cs="宋体"/>
          <w:sz w:val="21"/>
          <w:szCs w:val="21"/>
          <w:highlight w:val="none"/>
        </w:rPr>
        <w:t xml:space="preserve">法定代表人或授权代理人：        法定代表人或授权代理人：                        </w:t>
      </w:r>
    </w:p>
    <w:p w14:paraId="79B9CE43">
      <w:pPr>
        <w:snapToGrid w:val="0"/>
        <w:spacing w:line="520" w:lineRule="exact"/>
        <w:ind w:firstLine="420" w:firstLineChars="200"/>
        <w:rPr>
          <w:rFonts w:ascii="宋体" w:hAnsi="宋体" w:cs="宋体"/>
          <w:sz w:val="21"/>
          <w:szCs w:val="21"/>
          <w:highlight w:val="none"/>
        </w:rPr>
      </w:pPr>
      <w:r>
        <w:rPr>
          <w:rFonts w:hint="eastAsia" w:ascii="宋体" w:hAnsi="宋体" w:cs="宋体"/>
          <w:sz w:val="21"/>
          <w:szCs w:val="21"/>
          <w:highlight w:val="none"/>
        </w:rPr>
        <w:t>签约日期：                         签约日期：</w:t>
      </w:r>
    </w:p>
    <w:p w14:paraId="6786F197">
      <w:pPr>
        <w:spacing w:line="360" w:lineRule="auto"/>
        <w:rPr>
          <w:rFonts w:ascii="宋体" w:hAnsi="宋体" w:cs="宋体"/>
          <w:bCs/>
          <w:sz w:val="28"/>
          <w:szCs w:val="28"/>
          <w:highlight w:val="none"/>
          <w:lang w:val="zh-CN"/>
        </w:rPr>
      </w:pPr>
    </w:p>
    <w:p w14:paraId="1F37D442">
      <w:pPr>
        <w:rPr>
          <w:highlight w:val="none"/>
        </w:rPr>
      </w:pPr>
    </w:p>
    <w:p w14:paraId="2CCD37E0">
      <w:pPr>
        <w:rPr>
          <w:color w:val="000000"/>
          <w:highlight w:val="none"/>
        </w:rPr>
      </w:pPr>
    </w:p>
    <w:p w14:paraId="133345C2">
      <w:pPr>
        <w:rPr>
          <w:color w:val="000000"/>
          <w:highlight w:val="none"/>
        </w:rPr>
      </w:pPr>
    </w:p>
    <w:p w14:paraId="568A9469">
      <w:pPr>
        <w:rPr>
          <w:rFonts w:ascii="宋体" w:hAnsi="宋体" w:cs="宋体"/>
          <w:b/>
          <w:color w:val="000000"/>
          <w:sz w:val="32"/>
          <w:szCs w:val="32"/>
          <w:highlight w:val="none"/>
        </w:rPr>
      </w:pPr>
    </w:p>
    <w:p w14:paraId="480CA104">
      <w:pPr>
        <w:ind w:firstLine="2720" w:firstLineChars="800"/>
        <w:rPr>
          <w:rFonts w:hint="default" w:hAnsi="宋体" w:cs="宋体"/>
          <w:color w:val="auto"/>
          <w:highlight w:val="none"/>
          <w:lang w:val="en-US" w:eastAsia="zh-CN"/>
        </w:rPr>
      </w:pPr>
    </w:p>
    <w:p w14:paraId="0F136162">
      <w:pPr>
        <w:pageBreakBefore w:val="0"/>
        <w:widowControl w:val="0"/>
        <w:kinsoku/>
        <w:wordWrap/>
        <w:overflowPunct/>
        <w:topLinePunct w:val="0"/>
        <w:bidi w:val="0"/>
        <w:snapToGrid/>
        <w:spacing w:line="260" w:lineRule="exact"/>
        <w:jc w:val="center"/>
        <w:rPr>
          <w:rFonts w:eastAsia="华文中宋"/>
          <w:b/>
          <w:color w:val="000000"/>
          <w:sz w:val="36"/>
          <w:szCs w:val="36"/>
          <w:highlight w:val="none"/>
        </w:rPr>
      </w:pPr>
    </w:p>
    <w:p w14:paraId="6B8F7352">
      <w:pPr>
        <w:pageBreakBefore w:val="0"/>
        <w:widowControl w:val="0"/>
        <w:kinsoku/>
        <w:wordWrap/>
        <w:overflowPunct/>
        <w:topLinePunct w:val="0"/>
        <w:bidi w:val="0"/>
        <w:snapToGrid/>
        <w:spacing w:line="260" w:lineRule="exact"/>
        <w:jc w:val="center"/>
        <w:rPr>
          <w:rFonts w:eastAsia="华文中宋"/>
          <w:b/>
          <w:color w:val="000000"/>
          <w:sz w:val="36"/>
          <w:szCs w:val="36"/>
          <w:highlight w:val="none"/>
        </w:rPr>
      </w:pPr>
    </w:p>
    <w:p w14:paraId="32471C6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eastAsia="华文中宋"/>
          <w:b/>
          <w:color w:val="000000"/>
          <w:sz w:val="36"/>
          <w:szCs w:val="36"/>
          <w:highlight w:val="none"/>
        </w:rPr>
      </w:pPr>
    </w:p>
    <w:p w14:paraId="4721D4F0">
      <w:pPr>
        <w:pStyle w:val="5"/>
        <w:rPr>
          <w:rFonts w:hint="eastAsia" w:ascii="宋体" w:hAnsi="宋体" w:eastAsia="宋体" w:cs="宋体"/>
          <w:color w:val="auto"/>
          <w:szCs w:val="21"/>
          <w:highlight w:val="none"/>
        </w:rPr>
      </w:pPr>
    </w:p>
    <w:p w14:paraId="4B2AB9B6">
      <w:pPr>
        <w:rPr>
          <w:rFonts w:hint="eastAsia" w:ascii="宋体" w:hAnsi="宋体" w:eastAsia="宋体" w:cs="宋体"/>
          <w:color w:val="auto"/>
          <w:szCs w:val="21"/>
          <w:highlight w:val="none"/>
        </w:rPr>
      </w:pPr>
    </w:p>
    <w:p w14:paraId="382A1E1D">
      <w:pPr>
        <w:pStyle w:val="5"/>
        <w:rPr>
          <w:rFonts w:hint="eastAsia" w:ascii="宋体" w:hAnsi="宋体" w:eastAsia="宋体" w:cs="宋体"/>
          <w:color w:val="auto"/>
          <w:szCs w:val="21"/>
          <w:highlight w:val="none"/>
        </w:rPr>
      </w:pPr>
    </w:p>
    <w:p w14:paraId="5C87449C">
      <w:pPr>
        <w:rPr>
          <w:rFonts w:hint="eastAsia" w:ascii="宋体" w:hAnsi="宋体" w:eastAsia="宋体" w:cs="宋体"/>
          <w:color w:val="auto"/>
          <w:szCs w:val="21"/>
          <w:highlight w:val="none"/>
        </w:rPr>
      </w:pPr>
    </w:p>
    <w:p w14:paraId="14EDD4D9">
      <w:pPr>
        <w:spacing w:line="360" w:lineRule="auto"/>
        <w:jc w:val="center"/>
        <w:rPr>
          <w:rFonts w:hint="eastAsia" w:ascii="宋体" w:hAnsi="宋体" w:eastAsia="宋体" w:cs="宋体"/>
          <w:b/>
          <w:bCs/>
          <w:color w:val="auto"/>
          <w:kern w:val="44"/>
          <w:sz w:val="44"/>
          <w:szCs w:val="44"/>
          <w:highlight w:val="none"/>
        </w:rPr>
        <w:sectPr>
          <w:footerReference r:id="rId12" w:type="first"/>
          <w:footerReference r:id="rId11" w:type="default"/>
          <w:pgSz w:w="11906" w:h="16838"/>
          <w:pgMar w:top="1361" w:right="1361" w:bottom="1361" w:left="1361" w:header="624" w:footer="1020" w:gutter="113"/>
          <w:pgNumType w:fmt="decimal"/>
          <w:cols w:space="720" w:num="1"/>
          <w:titlePg/>
          <w:rtlGutter w:val="0"/>
          <w:docGrid w:type="lines" w:linePitch="316" w:charSpace="0"/>
        </w:sectPr>
      </w:pPr>
    </w:p>
    <w:p w14:paraId="784874EE">
      <w:pPr>
        <w:numPr>
          <w:ilvl w:val="0"/>
          <w:numId w:val="4"/>
        </w:numPr>
        <w:spacing w:line="360" w:lineRule="auto"/>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kern w:val="44"/>
          <w:sz w:val="44"/>
          <w:szCs w:val="44"/>
          <w:highlight w:val="none"/>
          <w:lang w:val="en-US" w:eastAsia="zh-CN" w:bidi="ar-SA"/>
        </w:rPr>
        <w:t xml:space="preserve"> </w:t>
      </w:r>
      <w:r>
        <w:rPr>
          <w:rFonts w:hint="eastAsia" w:ascii="宋体" w:hAnsi="宋体" w:eastAsia="宋体" w:cs="宋体"/>
          <w:b/>
          <w:bCs/>
          <w:color w:val="auto"/>
          <w:kern w:val="44"/>
          <w:sz w:val="44"/>
          <w:szCs w:val="44"/>
          <w:highlight w:val="none"/>
        </w:rPr>
        <w:t>工程量清单</w:t>
      </w:r>
      <w:bookmarkEnd w:id="379"/>
      <w:bookmarkEnd w:id="380"/>
      <w:bookmarkEnd w:id="381"/>
      <w:bookmarkEnd w:id="382"/>
      <w:bookmarkEnd w:id="383"/>
      <w:bookmarkEnd w:id="384"/>
      <w:bookmarkEnd w:id="385"/>
    </w:p>
    <w:p w14:paraId="6D040187">
      <w:pPr>
        <w:pStyle w:val="21"/>
        <w:jc w:val="center"/>
        <w:rPr>
          <w:rFonts w:hint="eastAsia" w:ascii="宋体" w:hAnsi="宋体" w:eastAsia="宋体" w:cs="宋体"/>
          <w:b/>
          <w:bCs/>
          <w:color w:val="auto"/>
          <w:kern w:val="44"/>
          <w:sz w:val="21"/>
          <w:szCs w:val="21"/>
          <w:highlight w:val="none"/>
          <w:lang w:eastAsia="zh-CN"/>
        </w:rPr>
      </w:pPr>
    </w:p>
    <w:p w14:paraId="18CA5F7B">
      <w:pPr>
        <w:spacing w:before="65" w:line="227" w:lineRule="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另 附</w:t>
      </w:r>
    </w:p>
    <w:p w14:paraId="7140A2D9">
      <w:pPr>
        <w:rPr>
          <w:rFonts w:hint="eastAsia" w:ascii="宋体" w:hAnsi="宋体" w:eastAsia="宋体" w:cs="宋体"/>
          <w:color w:val="auto"/>
          <w:highlight w:val="none"/>
        </w:rPr>
      </w:pPr>
    </w:p>
    <w:p w14:paraId="5A652033">
      <w:pPr>
        <w:pStyle w:val="11"/>
        <w:rPr>
          <w:rFonts w:hint="eastAsia" w:ascii="宋体" w:hAnsi="宋体" w:eastAsia="宋体" w:cs="宋体"/>
          <w:color w:val="auto"/>
          <w:highlight w:val="none"/>
        </w:rPr>
      </w:pPr>
    </w:p>
    <w:p w14:paraId="78905135">
      <w:pPr>
        <w:pStyle w:val="16"/>
        <w:rPr>
          <w:rFonts w:hint="eastAsia" w:ascii="宋体" w:hAnsi="宋体" w:eastAsia="宋体" w:cs="宋体"/>
          <w:color w:val="auto"/>
          <w:highlight w:val="none"/>
        </w:rPr>
      </w:pPr>
    </w:p>
    <w:p w14:paraId="0D3D372D">
      <w:pPr>
        <w:rPr>
          <w:rFonts w:hint="eastAsia" w:ascii="宋体" w:hAnsi="宋体" w:eastAsia="宋体" w:cs="宋体"/>
          <w:color w:val="auto"/>
          <w:highlight w:val="none"/>
        </w:rPr>
      </w:pPr>
    </w:p>
    <w:p w14:paraId="13094DF3">
      <w:pPr>
        <w:pStyle w:val="11"/>
        <w:rPr>
          <w:rFonts w:hint="eastAsia" w:ascii="宋体" w:hAnsi="宋体" w:eastAsia="宋体" w:cs="宋体"/>
          <w:color w:val="auto"/>
          <w:highlight w:val="none"/>
        </w:rPr>
        <w:sectPr>
          <w:footerReference r:id="rId13" w:type="default"/>
          <w:pgSz w:w="11906" w:h="16838"/>
          <w:pgMar w:top="1361" w:right="1361" w:bottom="1361" w:left="1361" w:header="624" w:footer="1020" w:gutter="113"/>
          <w:pgNumType w:fmt="decimal"/>
          <w:cols w:space="720" w:num="1"/>
          <w:titlePg/>
          <w:rtlGutter w:val="0"/>
          <w:docGrid w:type="lines" w:linePitch="316" w:charSpace="0"/>
        </w:sectPr>
      </w:pPr>
    </w:p>
    <w:p w14:paraId="2D8C4753">
      <w:pPr>
        <w:pStyle w:val="2"/>
        <w:jc w:val="center"/>
        <w:rPr>
          <w:rStyle w:val="40"/>
          <w:rFonts w:hint="eastAsia" w:ascii="宋体" w:hAnsi="宋体" w:eastAsia="宋体" w:cs="宋体"/>
          <w:b/>
          <w:bCs/>
          <w:color w:val="auto"/>
          <w:highlight w:val="none"/>
        </w:rPr>
      </w:pPr>
      <w:bookmarkStart w:id="403" w:name="_Toc21586"/>
      <w:bookmarkStart w:id="404" w:name="_Toc246996354"/>
      <w:bookmarkStart w:id="405" w:name="_Toc144974855"/>
      <w:bookmarkStart w:id="406" w:name="_Toc246997097"/>
      <w:bookmarkStart w:id="407" w:name="_Toc152045786"/>
      <w:bookmarkStart w:id="408" w:name="_Toc179632806"/>
      <w:bookmarkStart w:id="409" w:name="_Toc247085872"/>
      <w:bookmarkStart w:id="410" w:name="_Toc152042575"/>
      <w:r>
        <w:rPr>
          <w:rStyle w:val="40"/>
          <w:rFonts w:hint="eastAsia" w:ascii="宋体" w:hAnsi="宋体" w:eastAsia="宋体" w:cs="宋体"/>
          <w:b/>
          <w:bCs/>
          <w:color w:val="auto"/>
          <w:highlight w:val="none"/>
        </w:rPr>
        <w:t>第六章  图纸</w:t>
      </w:r>
      <w:bookmarkEnd w:id="403"/>
    </w:p>
    <w:p w14:paraId="22201DD4">
      <w:pPr>
        <w:spacing w:before="65" w:line="227" w:lineRule="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另 附</w:t>
      </w:r>
    </w:p>
    <w:p w14:paraId="57B0DB5E">
      <w:pPr>
        <w:rPr>
          <w:rFonts w:hint="eastAsia" w:ascii="宋体" w:hAnsi="宋体" w:eastAsia="宋体" w:cs="宋体"/>
          <w:color w:val="auto"/>
          <w:highlight w:val="none"/>
        </w:rPr>
      </w:pPr>
    </w:p>
    <w:p w14:paraId="31E8D250">
      <w:pPr>
        <w:rPr>
          <w:rFonts w:hint="eastAsia" w:ascii="宋体" w:hAnsi="宋体" w:eastAsia="宋体" w:cs="宋体"/>
          <w:color w:val="auto"/>
          <w:highlight w:val="none"/>
        </w:rPr>
      </w:pPr>
    </w:p>
    <w:p w14:paraId="1E48E518">
      <w:pPr>
        <w:rPr>
          <w:rFonts w:hint="eastAsia" w:ascii="宋体" w:hAnsi="宋体" w:eastAsia="宋体" w:cs="宋体"/>
          <w:color w:val="auto"/>
          <w:highlight w:val="none"/>
        </w:rPr>
      </w:pPr>
    </w:p>
    <w:p w14:paraId="1B0C7A46">
      <w:pPr>
        <w:rPr>
          <w:rFonts w:hint="eastAsia" w:ascii="宋体" w:hAnsi="宋体" w:eastAsia="宋体" w:cs="宋体"/>
          <w:color w:val="auto"/>
          <w:highlight w:val="none"/>
        </w:rPr>
      </w:pPr>
    </w:p>
    <w:p w14:paraId="196EFE3C">
      <w:pPr>
        <w:rPr>
          <w:rFonts w:hint="eastAsia" w:ascii="宋体" w:hAnsi="宋体" w:eastAsia="宋体" w:cs="宋体"/>
          <w:color w:val="auto"/>
          <w:highlight w:val="none"/>
        </w:rPr>
      </w:pPr>
    </w:p>
    <w:p w14:paraId="77074EAE">
      <w:pPr>
        <w:rPr>
          <w:rFonts w:hint="eastAsia" w:ascii="宋体" w:hAnsi="宋体" w:eastAsia="宋体" w:cs="宋体"/>
          <w:color w:val="auto"/>
          <w:highlight w:val="none"/>
        </w:rPr>
      </w:pPr>
    </w:p>
    <w:p w14:paraId="5CBB667E">
      <w:pPr>
        <w:rPr>
          <w:rFonts w:hint="eastAsia" w:ascii="宋体" w:hAnsi="宋体" w:eastAsia="宋体" w:cs="宋体"/>
          <w:color w:val="auto"/>
          <w:highlight w:val="none"/>
        </w:rPr>
      </w:pPr>
    </w:p>
    <w:p w14:paraId="48C36EF1">
      <w:pPr>
        <w:rPr>
          <w:rFonts w:hint="eastAsia" w:ascii="宋体" w:hAnsi="宋体" w:eastAsia="宋体" w:cs="宋体"/>
          <w:color w:val="auto"/>
          <w:highlight w:val="none"/>
        </w:rPr>
      </w:pPr>
    </w:p>
    <w:p w14:paraId="575F7931">
      <w:pPr>
        <w:rPr>
          <w:rFonts w:hint="eastAsia" w:ascii="宋体" w:hAnsi="宋体" w:eastAsia="宋体" w:cs="宋体"/>
          <w:color w:val="auto"/>
          <w:highlight w:val="none"/>
        </w:rPr>
      </w:pPr>
    </w:p>
    <w:p w14:paraId="47164A9B">
      <w:pPr>
        <w:rPr>
          <w:rFonts w:hint="eastAsia" w:ascii="宋体" w:hAnsi="宋体" w:eastAsia="宋体" w:cs="宋体"/>
          <w:color w:val="auto"/>
          <w:highlight w:val="none"/>
        </w:rPr>
      </w:pPr>
    </w:p>
    <w:p w14:paraId="009689FF">
      <w:pPr>
        <w:rPr>
          <w:rFonts w:hint="eastAsia" w:ascii="宋体" w:hAnsi="宋体" w:eastAsia="宋体" w:cs="宋体"/>
          <w:color w:val="auto"/>
          <w:highlight w:val="none"/>
        </w:rPr>
      </w:pPr>
    </w:p>
    <w:p w14:paraId="05ED56DF">
      <w:pPr>
        <w:rPr>
          <w:rFonts w:hint="eastAsia" w:ascii="宋体" w:hAnsi="宋体" w:eastAsia="宋体" w:cs="宋体"/>
          <w:color w:val="auto"/>
          <w:highlight w:val="none"/>
        </w:rPr>
      </w:pPr>
    </w:p>
    <w:p w14:paraId="3EE9D25E">
      <w:pPr>
        <w:rPr>
          <w:rFonts w:hint="eastAsia" w:ascii="宋体" w:hAnsi="宋体" w:eastAsia="宋体" w:cs="宋体"/>
          <w:color w:val="auto"/>
          <w:highlight w:val="none"/>
        </w:rPr>
      </w:pPr>
    </w:p>
    <w:p w14:paraId="5325F79B">
      <w:pPr>
        <w:rPr>
          <w:rFonts w:hint="eastAsia" w:ascii="宋体" w:hAnsi="宋体" w:eastAsia="宋体" w:cs="宋体"/>
          <w:color w:val="auto"/>
          <w:highlight w:val="none"/>
        </w:rPr>
      </w:pPr>
    </w:p>
    <w:p w14:paraId="535ED1AE">
      <w:pPr>
        <w:rPr>
          <w:rFonts w:hint="eastAsia" w:ascii="宋体" w:hAnsi="宋体" w:eastAsia="宋体" w:cs="宋体"/>
          <w:color w:val="auto"/>
          <w:highlight w:val="none"/>
        </w:rPr>
      </w:pPr>
    </w:p>
    <w:p w14:paraId="090DAC4C">
      <w:pPr>
        <w:pStyle w:val="2"/>
        <w:pageBreakBefore w:val="0"/>
        <w:widowControl w:val="0"/>
        <w:kinsoku/>
        <w:wordWrap/>
        <w:overflowPunct/>
        <w:topLinePunct w:val="0"/>
        <w:autoSpaceDE/>
        <w:autoSpaceDN/>
        <w:bidi w:val="0"/>
        <w:adjustRightInd/>
        <w:snapToGrid/>
        <w:spacing w:line="300" w:lineRule="atLeast"/>
        <w:jc w:val="center"/>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bookmarkStart w:id="411" w:name="_Toc32580"/>
      <w:r>
        <w:rPr>
          <w:rFonts w:hint="eastAsia" w:ascii="宋体" w:hAnsi="宋体" w:eastAsia="宋体" w:cs="宋体"/>
          <w:color w:val="auto"/>
          <w:highlight w:val="none"/>
        </w:rPr>
        <w:t>第七章  技术标准与要求</w:t>
      </w:r>
      <w:bookmarkEnd w:id="411"/>
    </w:p>
    <w:p w14:paraId="6F615AB2">
      <w:pPr>
        <w:spacing w:line="480" w:lineRule="auto"/>
        <w:rPr>
          <w:rFonts w:ascii="宋体" w:hAnsi="宋体" w:cs="宋体"/>
          <w:b/>
          <w:sz w:val="21"/>
          <w:szCs w:val="21"/>
          <w:highlight w:val="none"/>
        </w:rPr>
      </w:pPr>
      <w:bookmarkStart w:id="412" w:name="_Toc481"/>
      <w:r>
        <w:rPr>
          <w:rFonts w:hint="eastAsia" w:ascii="宋体" w:hAnsi="宋体" w:cs="宋体"/>
          <w:b/>
          <w:sz w:val="21"/>
          <w:szCs w:val="21"/>
          <w:highlight w:val="none"/>
        </w:rPr>
        <w:t>一、项目概述</w:t>
      </w:r>
    </w:p>
    <w:p w14:paraId="53B90787">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长春息园隶属于长春市殡葬服务中心，墓园性质为国有陵园，本次招标清A区挡墙修缮及墓穴新建项目。</w:t>
      </w:r>
    </w:p>
    <w:p w14:paraId="153525B2">
      <w:pPr>
        <w:numPr>
          <w:ilvl w:val="0"/>
          <w:numId w:val="5"/>
        </w:numPr>
        <w:snapToGrid w:val="0"/>
        <w:spacing w:line="360" w:lineRule="auto"/>
        <w:rPr>
          <w:rFonts w:ascii="宋体" w:hAnsi="宋体" w:cs="宋体"/>
          <w:bCs/>
          <w:sz w:val="21"/>
          <w:szCs w:val="21"/>
          <w:highlight w:val="none"/>
        </w:rPr>
      </w:pPr>
      <w:r>
        <w:rPr>
          <w:rFonts w:hint="eastAsia" w:ascii="宋体" w:hAnsi="宋体" w:cs="宋体"/>
          <w:b/>
          <w:sz w:val="21"/>
          <w:szCs w:val="21"/>
          <w:highlight w:val="none"/>
        </w:rPr>
        <w:t>技术</w:t>
      </w:r>
      <w:r>
        <w:rPr>
          <w:rFonts w:hint="eastAsia" w:ascii="宋体" w:hAnsi="宋体" w:cs="宋体"/>
          <w:b/>
          <w:sz w:val="21"/>
          <w:szCs w:val="21"/>
          <w:highlight w:val="none"/>
          <w:lang w:val="en-US" w:eastAsia="zh-CN"/>
        </w:rPr>
        <w:t>需求</w:t>
      </w:r>
    </w:p>
    <w:p w14:paraId="6AACDD21">
      <w:pPr>
        <w:snapToGrid w:val="0"/>
        <w:spacing w:line="360" w:lineRule="auto"/>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一</w:t>
      </w:r>
      <w:r>
        <w:rPr>
          <w:rFonts w:hint="eastAsia" w:ascii="宋体" w:hAnsi="宋体" w:cs="宋体"/>
          <w:sz w:val="21"/>
          <w:szCs w:val="21"/>
          <w:highlight w:val="none"/>
          <w:lang w:eastAsia="zh-CN"/>
        </w:rPr>
        <w:t>）本项目挡墙修缮长度约为910延米、墓穴新建482个，西侧挡墙石板粘贴，包括建筑石材及设施包装、倒运、组装、现场卫生、垃圾清运，安装、质保、维护、墓区种植池石材安装、排水等。具体内容以设计单位出具的施工图纸及造价咨询公司出具的清单为准。</w:t>
      </w:r>
    </w:p>
    <w:p w14:paraId="5BA21E42">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（1）、工程整体及分部项目（包含隐蔽工程）施工工艺及材料品质须符合图纸要求及国家建筑结构等政策文件相关标准；</w:t>
      </w:r>
    </w:p>
    <w:p w14:paraId="6D1CB12A">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（2）、图纸内种植区域须满足绿植种植条件、场地内涉及电气管线须无条件配合施工及排迁；</w:t>
      </w:r>
    </w:p>
    <w:p w14:paraId="4932645C">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（3）、工程中景观小品材质规格不得低于设计图纸要求；</w:t>
      </w:r>
    </w:p>
    <w:p w14:paraId="31F296C3">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（4）、工程涉及铺装及基础设施石材均采用天然石材，等级为A级，无染色、裂痕、金属晶体颗粒、异常斑点或条纹，颜色均匀一致。雕刻要求图案精美，润华逼真,组件尺寸规格误差不超过正负3mm。</w:t>
      </w:r>
    </w:p>
    <w:p w14:paraId="2AFAE8FE">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（5）、施工所使用水泥砂浆、混凝土等材料均须正规资质商砼</w:t>
      </w:r>
      <w:r>
        <w:rPr>
          <w:rFonts w:hint="eastAsia" w:ascii="宋体" w:hAnsi="宋体" w:cs="宋体"/>
          <w:sz w:val="21"/>
          <w:szCs w:val="21"/>
          <w:highlight w:val="none"/>
          <w:lang w:eastAsia="zh-CN"/>
        </w:rPr>
        <w:t>供应方</w:t>
      </w:r>
      <w:r>
        <w:rPr>
          <w:rFonts w:hint="eastAsia" w:ascii="宋体" w:hAnsi="宋体" w:cs="宋体"/>
          <w:sz w:val="21"/>
          <w:szCs w:val="21"/>
          <w:highlight w:val="none"/>
        </w:rPr>
        <w:t>提供成品，不得自拌，并提供</w:t>
      </w:r>
      <w:r>
        <w:rPr>
          <w:rFonts w:hint="eastAsia" w:ascii="宋体" w:hAnsi="宋体" w:cs="宋体"/>
          <w:sz w:val="21"/>
          <w:szCs w:val="21"/>
          <w:highlight w:val="none"/>
          <w:lang w:eastAsia="zh-CN"/>
        </w:rPr>
        <w:t>采购方</w:t>
      </w:r>
      <w:r>
        <w:rPr>
          <w:rFonts w:hint="eastAsia" w:ascii="宋体" w:hAnsi="宋体" w:cs="宋体"/>
          <w:sz w:val="21"/>
          <w:szCs w:val="21"/>
          <w:highlight w:val="none"/>
        </w:rPr>
        <w:t>出厂合格证明材料。</w:t>
      </w:r>
    </w:p>
    <w:p w14:paraId="54CFC390">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（二）采购标的需执行的国家相关标准、行业标准、地方标准或者其他标准、规范：执行相关技术规范标准。</w:t>
      </w:r>
    </w:p>
    <w:p w14:paraId="3357ABDF">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（三）需要提供节能产品、环境标志产品政府强制采购认证证书的产品：无</w:t>
      </w:r>
    </w:p>
    <w:p w14:paraId="5FBEE7F1">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其他要求：</w:t>
      </w:r>
    </w:p>
    <w:p w14:paraId="64F79A1F">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1）施工现场需设置全封闭施工围挡，所有工程经</w:t>
      </w:r>
      <w:r>
        <w:rPr>
          <w:rFonts w:hint="eastAsia" w:ascii="宋体" w:hAnsi="宋体" w:cs="宋体"/>
          <w:sz w:val="21"/>
          <w:szCs w:val="21"/>
          <w:highlight w:val="none"/>
          <w:lang w:eastAsia="zh-CN"/>
        </w:rPr>
        <w:t>采购方</w:t>
      </w:r>
      <w:r>
        <w:rPr>
          <w:rFonts w:hint="eastAsia" w:ascii="宋体" w:hAnsi="宋体" w:cs="宋体"/>
          <w:sz w:val="21"/>
          <w:szCs w:val="21"/>
          <w:highlight w:val="none"/>
        </w:rPr>
        <w:t>验收后方可拆除，期间</w:t>
      </w:r>
      <w:r>
        <w:rPr>
          <w:rFonts w:hint="eastAsia" w:ascii="宋体" w:hAnsi="宋体" w:cs="宋体"/>
          <w:sz w:val="21"/>
          <w:szCs w:val="21"/>
          <w:highlight w:val="none"/>
          <w:lang w:eastAsia="zh-CN"/>
        </w:rPr>
        <w:t>供应方</w:t>
      </w:r>
      <w:r>
        <w:rPr>
          <w:rFonts w:hint="eastAsia" w:ascii="宋体" w:hAnsi="宋体" w:cs="宋体"/>
          <w:sz w:val="21"/>
          <w:szCs w:val="21"/>
          <w:highlight w:val="none"/>
        </w:rPr>
        <w:t>负责围挡的维护和安全保障责任。</w:t>
      </w:r>
    </w:p>
    <w:p w14:paraId="2A949B08">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2）施工部分需与现有基础设施的合理衔接。</w:t>
      </w:r>
    </w:p>
    <w:p w14:paraId="1476B231">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3）场地要求：入场施工前需签订《入场协议》和《安全生产及文明施工责任书》，现场用水用电、场地管理、工人、物料管理按规定执行，如违反相应规定，</w:t>
      </w:r>
      <w:r>
        <w:rPr>
          <w:rFonts w:hint="eastAsia" w:ascii="宋体" w:hAnsi="宋体" w:cs="宋体"/>
          <w:sz w:val="21"/>
          <w:szCs w:val="21"/>
          <w:highlight w:val="none"/>
          <w:lang w:eastAsia="zh-CN"/>
        </w:rPr>
        <w:t>采购方</w:t>
      </w:r>
      <w:r>
        <w:rPr>
          <w:rFonts w:hint="eastAsia" w:ascii="宋体" w:hAnsi="宋体" w:cs="宋体"/>
          <w:sz w:val="21"/>
          <w:szCs w:val="21"/>
          <w:highlight w:val="none"/>
        </w:rPr>
        <w:t>将按相关条款进行处罚。</w:t>
      </w:r>
    </w:p>
    <w:p w14:paraId="3957955F">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4）验收交付前的</w:t>
      </w:r>
      <w:r>
        <w:rPr>
          <w:rFonts w:hint="eastAsia" w:ascii="宋体" w:hAnsi="宋体" w:cs="宋体"/>
          <w:sz w:val="21"/>
          <w:szCs w:val="21"/>
          <w:highlight w:val="none"/>
          <w:lang w:val="en-US" w:eastAsia="zh-CN"/>
        </w:rPr>
        <w:t>材料</w:t>
      </w:r>
      <w:r>
        <w:rPr>
          <w:rFonts w:hint="eastAsia" w:ascii="宋体" w:hAnsi="宋体" w:cs="宋体"/>
          <w:sz w:val="21"/>
          <w:szCs w:val="21"/>
          <w:highlight w:val="none"/>
        </w:rPr>
        <w:t>保管及安全等责任由</w:t>
      </w:r>
      <w:r>
        <w:rPr>
          <w:rFonts w:hint="eastAsia" w:ascii="宋体" w:hAnsi="宋体" w:cs="宋体"/>
          <w:sz w:val="21"/>
          <w:szCs w:val="21"/>
          <w:highlight w:val="none"/>
          <w:lang w:eastAsia="zh-CN"/>
        </w:rPr>
        <w:t>供应方</w:t>
      </w:r>
      <w:r>
        <w:rPr>
          <w:rFonts w:hint="eastAsia" w:ascii="宋体" w:hAnsi="宋体" w:cs="宋体"/>
          <w:sz w:val="21"/>
          <w:szCs w:val="21"/>
          <w:highlight w:val="none"/>
        </w:rPr>
        <w:t>承担。</w:t>
      </w:r>
    </w:p>
    <w:p w14:paraId="0677D0F6">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5）施工区域禁止5吨以上车辆驶入。</w:t>
      </w:r>
    </w:p>
    <w:p w14:paraId="75C26416">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6）投标人可先到工地踏勘以充分了解工地位置、情况、道路、储存空间、装卸限制及任何其他足以影响承包价的情况，任何因忽视或误解工地情况而导致的索赔及费用调整或工期延长申请将不被批准。</w:t>
      </w:r>
    </w:p>
    <w:p w14:paraId="2A792DE6">
      <w:pPr>
        <w:spacing w:line="300" w:lineRule="exact"/>
        <w:rPr>
          <w:rFonts w:ascii="宋体" w:hAnsi="宋体" w:cs="宋体"/>
          <w:sz w:val="21"/>
          <w:szCs w:val="21"/>
          <w:highlight w:val="none"/>
        </w:rPr>
      </w:pPr>
    </w:p>
    <w:p w14:paraId="493767CE">
      <w:pPr>
        <w:spacing w:line="300" w:lineRule="exact"/>
        <w:rPr>
          <w:rFonts w:ascii="宋体" w:hAnsi="宋体" w:cs="宋体"/>
          <w:b/>
          <w:sz w:val="21"/>
          <w:szCs w:val="21"/>
          <w:highlight w:val="none"/>
        </w:rPr>
      </w:pPr>
      <w:r>
        <w:rPr>
          <w:rFonts w:hint="eastAsia" w:ascii="宋体" w:hAnsi="宋体" w:cs="宋体"/>
          <w:sz w:val="21"/>
          <w:szCs w:val="21"/>
          <w:highlight w:val="none"/>
        </w:rPr>
        <w:t xml:space="preserve">  </w:t>
      </w:r>
      <w:r>
        <w:rPr>
          <w:rFonts w:hint="eastAsia" w:ascii="宋体" w:hAnsi="宋体" w:cs="宋体"/>
          <w:b/>
          <w:sz w:val="21"/>
          <w:szCs w:val="21"/>
          <w:highlight w:val="none"/>
        </w:rPr>
        <w:t>三、商务要求</w:t>
      </w:r>
    </w:p>
    <w:p w14:paraId="40C55E61">
      <w:pPr>
        <w:spacing w:line="300" w:lineRule="exact"/>
        <w:ind w:firstLine="420" w:firstLineChars="200"/>
        <w:rPr>
          <w:rFonts w:ascii="宋体" w:hAnsi="宋体" w:cs="宋体"/>
          <w:bCs/>
          <w:sz w:val="21"/>
          <w:szCs w:val="21"/>
          <w:highlight w:val="none"/>
          <w:lang w:val="zh-CN"/>
        </w:rPr>
      </w:pPr>
      <w:r>
        <w:rPr>
          <w:rFonts w:hint="eastAsia" w:ascii="宋体" w:hAnsi="宋体" w:cs="宋体"/>
          <w:bCs/>
          <w:sz w:val="21"/>
          <w:szCs w:val="21"/>
          <w:highlight w:val="none"/>
        </w:rPr>
        <w:t>1.投标人</w:t>
      </w:r>
      <w:r>
        <w:rPr>
          <w:rFonts w:hint="eastAsia" w:ascii="宋体" w:hAnsi="宋体" w:cs="宋体"/>
          <w:bCs/>
          <w:sz w:val="21"/>
          <w:szCs w:val="21"/>
          <w:highlight w:val="none"/>
          <w:lang w:val="zh-CN"/>
        </w:rPr>
        <w:t>应在投标文件《</w:t>
      </w:r>
      <w:r>
        <w:rPr>
          <w:rFonts w:hint="eastAsia" w:ascii="宋体" w:hAnsi="宋体" w:cs="宋体"/>
          <w:bCs/>
          <w:sz w:val="21"/>
          <w:szCs w:val="21"/>
          <w:highlight w:val="none"/>
        </w:rPr>
        <w:t>商务条款偏离表</w:t>
      </w:r>
      <w:r>
        <w:rPr>
          <w:rFonts w:hint="eastAsia" w:ascii="宋体" w:hAnsi="宋体" w:cs="宋体"/>
          <w:bCs/>
          <w:sz w:val="21"/>
          <w:szCs w:val="21"/>
          <w:highlight w:val="none"/>
          <w:lang w:val="zh-CN"/>
        </w:rPr>
        <w:t>》中对本部分所有条款逐条说明响应和偏离情况。</w:t>
      </w:r>
    </w:p>
    <w:p w14:paraId="03D354BB">
      <w:pPr>
        <w:numPr>
          <w:ilvl w:val="0"/>
          <w:numId w:val="6"/>
        </w:numPr>
        <w:spacing w:line="300" w:lineRule="exact"/>
        <w:ind w:firstLine="420" w:firstLineChars="200"/>
        <w:rPr>
          <w:rFonts w:ascii="宋体" w:hAnsi="宋体" w:cs="宋体"/>
          <w:bCs/>
          <w:sz w:val="21"/>
          <w:szCs w:val="21"/>
          <w:highlight w:val="none"/>
          <w:lang w:val="zh-CN"/>
        </w:rPr>
      </w:pPr>
      <w:r>
        <w:rPr>
          <w:rFonts w:hint="eastAsia" w:ascii="宋体" w:hAnsi="宋体" w:cs="宋体"/>
          <w:bCs/>
          <w:sz w:val="21"/>
          <w:szCs w:val="21"/>
          <w:highlight w:val="none"/>
          <w:lang w:val="zh-CN"/>
        </w:rPr>
        <w:t>本部分内容均为实质性条款，投标人的投标必须完全满足或者正偏离，否则投标无效。</w:t>
      </w:r>
    </w:p>
    <w:tbl>
      <w:tblPr>
        <w:tblStyle w:val="26"/>
        <w:tblW w:w="8925"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975"/>
        <w:gridCol w:w="6338"/>
      </w:tblGrid>
      <w:tr w14:paraId="6794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12" w:type="dxa"/>
          </w:tcPr>
          <w:p w14:paraId="4D5DB406">
            <w:pPr>
              <w:snapToGrid w:val="0"/>
              <w:jc w:val="center"/>
              <w:rPr>
                <w:rFonts w:ascii="宋体" w:hAnsi="宋体" w:cs="宋体"/>
                <w:bCs/>
                <w:sz w:val="21"/>
                <w:szCs w:val="21"/>
                <w:highlight w:val="none"/>
                <w:lang w:val="zh-CN"/>
              </w:rPr>
            </w:pPr>
            <w:r>
              <w:rPr>
                <w:rFonts w:hint="eastAsia" w:ascii="宋体" w:hAnsi="宋体" w:cs="宋体"/>
                <w:bCs/>
                <w:sz w:val="21"/>
                <w:szCs w:val="21"/>
                <w:highlight w:val="none"/>
                <w:lang w:val="zh-CN"/>
              </w:rPr>
              <w:t>序号</w:t>
            </w:r>
          </w:p>
        </w:tc>
        <w:tc>
          <w:tcPr>
            <w:tcW w:w="1975" w:type="dxa"/>
            <w:vAlign w:val="center"/>
          </w:tcPr>
          <w:p w14:paraId="223B5B25">
            <w:pPr>
              <w:snapToGrid w:val="0"/>
              <w:jc w:val="center"/>
              <w:rPr>
                <w:rFonts w:ascii="宋体" w:hAnsi="宋体" w:cs="宋体"/>
                <w:bCs/>
                <w:sz w:val="21"/>
                <w:szCs w:val="21"/>
                <w:highlight w:val="none"/>
                <w:lang w:val="zh-CN"/>
              </w:rPr>
            </w:pPr>
            <w:r>
              <w:rPr>
                <w:rFonts w:hint="eastAsia" w:ascii="宋体" w:hAnsi="宋体" w:cs="宋体"/>
                <w:bCs/>
                <w:sz w:val="21"/>
                <w:szCs w:val="21"/>
                <w:highlight w:val="none"/>
                <w:lang w:val="zh-CN"/>
              </w:rPr>
              <w:t>商务条款</w:t>
            </w:r>
          </w:p>
        </w:tc>
        <w:tc>
          <w:tcPr>
            <w:tcW w:w="6338" w:type="dxa"/>
            <w:vAlign w:val="center"/>
          </w:tcPr>
          <w:p w14:paraId="042C85E5">
            <w:pPr>
              <w:snapToGrid w:val="0"/>
              <w:jc w:val="center"/>
              <w:rPr>
                <w:rFonts w:ascii="宋体" w:hAnsi="宋体" w:cs="宋体"/>
                <w:bCs/>
                <w:sz w:val="21"/>
                <w:szCs w:val="21"/>
                <w:highlight w:val="none"/>
                <w:lang w:val="zh-CN"/>
              </w:rPr>
            </w:pPr>
            <w:r>
              <w:rPr>
                <w:rFonts w:hint="eastAsia" w:ascii="宋体" w:hAnsi="宋体" w:cs="宋体"/>
                <w:bCs/>
                <w:sz w:val="21"/>
                <w:szCs w:val="21"/>
                <w:highlight w:val="none"/>
                <w:lang w:val="zh-CN"/>
              </w:rPr>
              <w:t>内容</w:t>
            </w:r>
          </w:p>
        </w:tc>
      </w:tr>
      <w:tr w14:paraId="75B0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2" w:type="dxa"/>
            <w:vAlign w:val="center"/>
          </w:tcPr>
          <w:p w14:paraId="1F906930">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1</w:t>
            </w:r>
          </w:p>
        </w:tc>
        <w:tc>
          <w:tcPr>
            <w:tcW w:w="1975" w:type="dxa"/>
            <w:vAlign w:val="center"/>
          </w:tcPr>
          <w:p w14:paraId="16309502">
            <w:pPr>
              <w:snapToGrid w:val="0"/>
              <w:spacing w:line="300" w:lineRule="exact"/>
              <w:jc w:val="center"/>
              <w:rPr>
                <w:rFonts w:ascii="宋体" w:hAnsi="宋体" w:cs="宋体"/>
                <w:bCs/>
                <w:sz w:val="21"/>
                <w:szCs w:val="21"/>
                <w:highlight w:val="none"/>
                <w:lang w:val="zh-CN"/>
              </w:rPr>
            </w:pPr>
            <w:r>
              <w:rPr>
                <w:rFonts w:hint="eastAsia" w:ascii="宋体" w:hAnsi="宋体" w:cs="宋体"/>
                <w:bCs/>
                <w:sz w:val="21"/>
                <w:szCs w:val="21"/>
                <w:highlight w:val="none"/>
                <w:lang w:val="zh-CN"/>
              </w:rPr>
              <w:t>服务标准、期限、效率等要求</w:t>
            </w:r>
          </w:p>
        </w:tc>
        <w:tc>
          <w:tcPr>
            <w:tcW w:w="6338" w:type="dxa"/>
            <w:vAlign w:val="center"/>
          </w:tcPr>
          <w:p w14:paraId="5F02898A">
            <w:pPr>
              <w:widowControl w:val="0"/>
              <w:snapToGrid w:val="0"/>
              <w:spacing w:line="30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①本项目质保期限为：自竣工验收之日起24个月.</w:t>
            </w:r>
            <w:r>
              <w:rPr>
                <w:rFonts w:hint="eastAsia" w:ascii="宋体" w:hAnsi="宋体" w:cs="宋体"/>
                <w:sz w:val="21"/>
                <w:szCs w:val="21"/>
                <w:highlight w:val="none"/>
                <w:lang w:eastAsia="zh-CN"/>
              </w:rPr>
              <w:t>供应方</w:t>
            </w:r>
            <w:r>
              <w:rPr>
                <w:rFonts w:hint="eastAsia" w:ascii="宋体" w:hAnsi="宋体" w:cs="宋体"/>
                <w:sz w:val="21"/>
                <w:szCs w:val="21"/>
                <w:highlight w:val="none"/>
              </w:rPr>
              <w:t>在《投标文件》中承诺的售后服务方案及延长</w:t>
            </w:r>
            <w:r>
              <w:rPr>
                <w:rFonts w:hint="eastAsia" w:ascii="宋体" w:hAnsi="宋体" w:cs="宋体"/>
                <w:sz w:val="21"/>
                <w:szCs w:val="21"/>
                <w:highlight w:val="none"/>
                <w:lang w:val="en-US" w:eastAsia="zh-CN"/>
              </w:rPr>
              <w:t>质保期______个月</w:t>
            </w:r>
            <w:r>
              <w:rPr>
                <w:rFonts w:hint="eastAsia" w:ascii="宋体" w:hAnsi="宋体" w:cs="宋体"/>
                <w:sz w:val="21"/>
                <w:szCs w:val="21"/>
                <w:highlight w:val="none"/>
              </w:rPr>
              <w:t>。</w:t>
            </w:r>
            <w:r>
              <w:rPr>
                <w:rFonts w:hint="eastAsia" w:ascii="宋体" w:hAnsi="宋体" w:cs="宋体"/>
                <w:sz w:val="21"/>
                <w:szCs w:val="21"/>
                <w:highlight w:val="none"/>
                <w:lang w:val="en-US" w:eastAsia="zh-CN"/>
              </w:rPr>
              <w:t>质保期内,</w:t>
            </w:r>
            <w:r>
              <w:rPr>
                <w:rFonts w:hint="eastAsia" w:ascii="宋体" w:hAnsi="宋体" w:cs="宋体"/>
                <w:sz w:val="21"/>
                <w:szCs w:val="21"/>
                <w:highlight w:val="none"/>
              </w:rPr>
              <w:t>出现质量问题由</w:t>
            </w:r>
            <w:r>
              <w:rPr>
                <w:rFonts w:hint="eastAsia" w:ascii="宋体" w:hAnsi="宋体" w:cs="宋体"/>
                <w:sz w:val="21"/>
                <w:szCs w:val="21"/>
                <w:highlight w:val="none"/>
                <w:lang w:eastAsia="zh-CN"/>
              </w:rPr>
              <w:t>供应方</w:t>
            </w:r>
            <w:r>
              <w:rPr>
                <w:rFonts w:hint="eastAsia" w:ascii="宋体" w:hAnsi="宋体" w:cs="宋体"/>
                <w:sz w:val="21"/>
                <w:szCs w:val="21"/>
                <w:highlight w:val="none"/>
              </w:rPr>
              <w:t>负责无偿</w:t>
            </w:r>
            <w:r>
              <w:rPr>
                <w:rFonts w:hint="eastAsia" w:ascii="宋体" w:hAnsi="宋体" w:cs="宋体"/>
                <w:sz w:val="21"/>
                <w:szCs w:val="21"/>
                <w:highlight w:val="none"/>
                <w:lang w:val="en-US" w:eastAsia="zh-CN"/>
              </w:rPr>
              <w:t>整改、涉及石材问题，所需组件只换不修</w:t>
            </w:r>
            <w:r>
              <w:rPr>
                <w:rFonts w:hint="eastAsia" w:ascii="宋体" w:hAnsi="宋体" w:cs="宋体"/>
                <w:sz w:val="21"/>
                <w:szCs w:val="21"/>
                <w:highlight w:val="none"/>
              </w:rPr>
              <w:t>。</w:t>
            </w:r>
          </w:p>
          <w:p w14:paraId="381E2C17">
            <w:pPr>
              <w:widowControl w:val="0"/>
              <w:snapToGrid w:val="0"/>
              <w:spacing w:line="300" w:lineRule="exact"/>
              <w:ind w:firstLine="420" w:firstLineChars="200"/>
              <w:rPr>
                <w:rFonts w:ascii="宋体" w:hAnsi="宋体" w:cs="宋体"/>
                <w:sz w:val="21"/>
                <w:szCs w:val="21"/>
                <w:highlight w:val="none"/>
              </w:rPr>
            </w:pPr>
            <w:r>
              <w:rPr>
                <w:rFonts w:hint="eastAsia" w:ascii="宋体" w:hAnsi="宋体" w:cs="宋体"/>
                <w:sz w:val="21"/>
                <w:szCs w:val="21"/>
                <w:highlight w:val="none"/>
                <w:lang w:val="en-US" w:eastAsia="zh-CN"/>
              </w:rPr>
              <w:t>②</w:t>
            </w:r>
            <w:r>
              <w:rPr>
                <w:rFonts w:hint="eastAsia" w:ascii="宋体" w:hAnsi="宋体" w:cs="宋体"/>
                <w:sz w:val="21"/>
                <w:szCs w:val="21"/>
                <w:highlight w:val="none"/>
                <w:lang w:eastAsia="zh-CN"/>
              </w:rPr>
              <w:t>供应方</w:t>
            </w:r>
            <w:r>
              <w:rPr>
                <w:rFonts w:hint="eastAsia" w:ascii="宋体" w:hAnsi="宋体" w:cs="宋体"/>
                <w:sz w:val="21"/>
                <w:szCs w:val="21"/>
                <w:highlight w:val="none"/>
              </w:rPr>
              <w:t>需提供完善的售后服务，接到</w:t>
            </w:r>
            <w:r>
              <w:rPr>
                <w:rFonts w:hint="eastAsia" w:ascii="宋体" w:hAnsi="宋体" w:cs="宋体"/>
                <w:sz w:val="21"/>
                <w:szCs w:val="21"/>
                <w:highlight w:val="none"/>
                <w:lang w:eastAsia="zh-CN"/>
              </w:rPr>
              <w:t>采购方</w:t>
            </w:r>
            <w:r>
              <w:rPr>
                <w:rFonts w:hint="eastAsia" w:ascii="宋体" w:hAnsi="宋体" w:cs="宋体"/>
                <w:sz w:val="21"/>
                <w:szCs w:val="21"/>
                <w:highlight w:val="none"/>
              </w:rPr>
              <w:t>通知后，</w:t>
            </w:r>
            <w:r>
              <w:rPr>
                <w:rFonts w:hint="eastAsia" w:ascii="宋体" w:hAnsi="宋体" w:cs="宋体"/>
                <w:sz w:val="21"/>
                <w:szCs w:val="21"/>
                <w:highlight w:val="none"/>
                <w:lang w:val="en-US" w:eastAsia="zh-CN"/>
              </w:rPr>
              <w:t>按规定时限完成整改，如24小时未响应，按违约处理，违约金参照逾期处理。</w:t>
            </w:r>
          </w:p>
        </w:tc>
      </w:tr>
      <w:tr w14:paraId="61026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612" w:type="dxa"/>
            <w:vAlign w:val="center"/>
          </w:tcPr>
          <w:p w14:paraId="60E1CE76">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2</w:t>
            </w:r>
          </w:p>
        </w:tc>
        <w:tc>
          <w:tcPr>
            <w:tcW w:w="1975" w:type="dxa"/>
            <w:vAlign w:val="center"/>
          </w:tcPr>
          <w:p w14:paraId="31D8A4CC">
            <w:pPr>
              <w:pStyle w:val="16"/>
              <w:tabs>
                <w:tab w:val="left" w:pos="3570"/>
              </w:tabs>
              <w:adjustRightInd w:val="0"/>
              <w:snapToGrid w:val="0"/>
              <w:spacing w:line="300" w:lineRule="exact"/>
              <w:jc w:val="center"/>
              <w:rPr>
                <w:rFonts w:hAnsi="宋体" w:cs="宋体"/>
                <w:sz w:val="21"/>
                <w:szCs w:val="21"/>
                <w:highlight w:val="none"/>
              </w:rPr>
            </w:pPr>
            <w:r>
              <w:rPr>
                <w:rFonts w:hint="eastAsia" w:hAnsi="宋体" w:cs="宋体"/>
                <w:sz w:val="21"/>
                <w:szCs w:val="21"/>
                <w:highlight w:val="none"/>
              </w:rPr>
              <w:t>项目交付或者实施的时间（合同履行期限）</w:t>
            </w:r>
          </w:p>
        </w:tc>
        <w:tc>
          <w:tcPr>
            <w:tcW w:w="6338" w:type="dxa"/>
            <w:vAlign w:val="center"/>
          </w:tcPr>
          <w:p w14:paraId="0C4D632E">
            <w:pPr>
              <w:snapToGrid w:val="0"/>
              <w:spacing w:line="300" w:lineRule="exact"/>
              <w:rPr>
                <w:rFonts w:ascii="宋体" w:hAnsi="宋体" w:cs="宋体"/>
                <w:bCs/>
                <w:sz w:val="21"/>
                <w:szCs w:val="21"/>
                <w:highlight w:val="none"/>
              </w:rPr>
            </w:pPr>
            <w:r>
              <w:rPr>
                <w:rFonts w:hint="eastAsia" w:ascii="宋体" w:hAnsi="宋体" w:cs="宋体"/>
                <w:bCs/>
                <w:sz w:val="21"/>
                <w:szCs w:val="21"/>
                <w:highlight w:val="none"/>
              </w:rPr>
              <w:t>有效工期90天；</w:t>
            </w:r>
          </w:p>
        </w:tc>
      </w:tr>
      <w:tr w14:paraId="5377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12" w:type="dxa"/>
            <w:vAlign w:val="center"/>
          </w:tcPr>
          <w:p w14:paraId="636E3BE8">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3</w:t>
            </w:r>
          </w:p>
        </w:tc>
        <w:tc>
          <w:tcPr>
            <w:tcW w:w="1975" w:type="dxa"/>
            <w:vAlign w:val="center"/>
          </w:tcPr>
          <w:p w14:paraId="581DCFDF">
            <w:pPr>
              <w:snapToGrid w:val="0"/>
              <w:spacing w:line="300" w:lineRule="exact"/>
              <w:jc w:val="center"/>
              <w:rPr>
                <w:rFonts w:ascii="宋体" w:hAnsi="宋体" w:cs="宋体"/>
                <w:bCs/>
                <w:sz w:val="21"/>
                <w:szCs w:val="21"/>
                <w:highlight w:val="none"/>
                <w:lang w:val="zh-CN"/>
              </w:rPr>
            </w:pPr>
            <w:r>
              <w:rPr>
                <w:rFonts w:hint="eastAsia" w:ascii="宋体" w:hAnsi="宋体" w:cs="宋体"/>
                <w:bCs/>
                <w:sz w:val="21"/>
                <w:szCs w:val="21"/>
                <w:highlight w:val="none"/>
              </w:rPr>
              <w:t>项目交付或实施的地点及方式</w:t>
            </w:r>
          </w:p>
        </w:tc>
        <w:tc>
          <w:tcPr>
            <w:tcW w:w="6338" w:type="dxa"/>
            <w:vAlign w:val="center"/>
          </w:tcPr>
          <w:p w14:paraId="2D14597E">
            <w:pPr>
              <w:snapToGrid w:val="0"/>
              <w:spacing w:line="300" w:lineRule="exact"/>
              <w:rPr>
                <w:rFonts w:ascii="宋体" w:hAnsi="宋体" w:cs="宋体"/>
                <w:bCs/>
                <w:sz w:val="21"/>
                <w:szCs w:val="21"/>
                <w:highlight w:val="none"/>
                <w:lang w:val="zh-CN"/>
              </w:rPr>
            </w:pPr>
            <w:r>
              <w:rPr>
                <w:rFonts w:hint="eastAsia" w:ascii="宋体" w:hAnsi="宋体" w:cs="宋体"/>
                <w:bCs/>
                <w:sz w:val="21"/>
                <w:szCs w:val="21"/>
                <w:highlight w:val="none"/>
                <w:lang w:val="zh-CN"/>
              </w:rPr>
              <w:t>长春市二道区四通路155号长春息园内指定场地</w:t>
            </w:r>
          </w:p>
        </w:tc>
      </w:tr>
      <w:tr w14:paraId="6CD8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12" w:type="dxa"/>
            <w:vAlign w:val="center"/>
          </w:tcPr>
          <w:p w14:paraId="35CC79C6">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4</w:t>
            </w:r>
          </w:p>
        </w:tc>
        <w:tc>
          <w:tcPr>
            <w:tcW w:w="1975" w:type="dxa"/>
            <w:vAlign w:val="center"/>
          </w:tcPr>
          <w:p w14:paraId="72412E98">
            <w:pPr>
              <w:snapToGrid w:val="0"/>
              <w:spacing w:line="300" w:lineRule="exact"/>
              <w:jc w:val="center"/>
              <w:rPr>
                <w:rFonts w:ascii="宋体" w:hAnsi="宋体" w:cs="宋体"/>
                <w:bCs/>
                <w:sz w:val="21"/>
                <w:szCs w:val="21"/>
                <w:highlight w:val="none"/>
                <w:lang w:val="zh-CN"/>
              </w:rPr>
            </w:pPr>
            <w:r>
              <w:rPr>
                <w:rFonts w:hint="eastAsia" w:ascii="宋体" w:hAnsi="宋体" w:cs="宋体"/>
                <w:bCs/>
                <w:sz w:val="21"/>
                <w:szCs w:val="21"/>
                <w:highlight w:val="none"/>
              </w:rPr>
              <w:t>采购标的的验收标准和要求</w:t>
            </w:r>
          </w:p>
        </w:tc>
        <w:tc>
          <w:tcPr>
            <w:tcW w:w="6338" w:type="dxa"/>
            <w:vAlign w:val="center"/>
          </w:tcPr>
          <w:p w14:paraId="4B4B7012">
            <w:pPr>
              <w:widowControl w:val="0"/>
              <w:snapToGrid w:val="0"/>
              <w:spacing w:line="30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①工程整体及分部项目（包含隐蔽工程）须符合国家建筑结构等政策文件相关标准。</w:t>
            </w:r>
          </w:p>
          <w:p w14:paraId="2BB8C09F">
            <w:pPr>
              <w:widowControl w:val="0"/>
              <w:snapToGrid w:val="0"/>
              <w:spacing w:line="30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②</w:t>
            </w:r>
            <w:r>
              <w:rPr>
                <w:rFonts w:hint="eastAsia" w:ascii="宋体" w:hAnsi="宋体" w:cs="宋体"/>
                <w:sz w:val="21"/>
                <w:szCs w:val="21"/>
                <w:highlight w:val="none"/>
              </w:rPr>
              <w:t>石材均采用天然石材，等级为A级，无染色、裂痕、金属晶体颗粒、异常斑点或条纹，颜色均匀一致。造型流畅，雕刻要求图案精美，润华逼真,</w:t>
            </w:r>
            <w:r>
              <w:rPr>
                <w:rFonts w:hint="eastAsia" w:ascii="宋体" w:hAnsi="宋体" w:cs="宋体"/>
                <w:sz w:val="21"/>
                <w:szCs w:val="21"/>
                <w:highlight w:val="none"/>
                <w:lang w:val="en-US" w:eastAsia="zh-CN"/>
              </w:rPr>
              <w:t>组件尺寸</w:t>
            </w:r>
            <w:r>
              <w:rPr>
                <w:rFonts w:hint="eastAsia" w:ascii="宋体" w:hAnsi="宋体" w:cs="宋体"/>
                <w:sz w:val="21"/>
                <w:szCs w:val="21"/>
                <w:highlight w:val="none"/>
              </w:rPr>
              <w:t>规格误差不超过正负3mm</w:t>
            </w:r>
            <w:r>
              <w:rPr>
                <w:rFonts w:hint="eastAsia" w:ascii="宋体" w:hAnsi="宋体" w:cs="宋体"/>
                <w:sz w:val="21"/>
                <w:szCs w:val="21"/>
                <w:highlight w:val="none"/>
                <w:lang w:val="en-US" w:eastAsia="zh-CN"/>
              </w:rPr>
              <w:t>。</w:t>
            </w:r>
          </w:p>
          <w:p w14:paraId="1FDE5B4E">
            <w:pPr>
              <w:widowControl w:val="0"/>
              <w:snapToGrid w:val="0"/>
              <w:spacing w:line="3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③</w:t>
            </w:r>
            <w:r>
              <w:rPr>
                <w:rFonts w:hint="eastAsia" w:ascii="宋体" w:hAnsi="宋体" w:cs="宋体"/>
                <w:sz w:val="21"/>
                <w:szCs w:val="21"/>
                <w:highlight w:val="none"/>
              </w:rPr>
              <w:t>技术验收：采购方</w:t>
            </w:r>
            <w:r>
              <w:rPr>
                <w:rFonts w:hint="eastAsia" w:ascii="宋体" w:hAnsi="宋体" w:cs="宋体"/>
                <w:sz w:val="21"/>
                <w:szCs w:val="21"/>
                <w:highlight w:val="none"/>
                <w:lang w:val="en-US" w:eastAsia="zh-CN"/>
              </w:rPr>
              <w:t>有权</w:t>
            </w:r>
            <w:r>
              <w:rPr>
                <w:rFonts w:hint="eastAsia" w:ascii="宋体" w:hAnsi="宋体" w:cs="宋体"/>
                <w:sz w:val="21"/>
                <w:szCs w:val="21"/>
                <w:highlight w:val="none"/>
              </w:rPr>
              <w:t>委托第三方对</w:t>
            </w:r>
            <w:r>
              <w:rPr>
                <w:rFonts w:hint="eastAsia" w:ascii="宋体" w:hAnsi="宋体" w:cs="宋体"/>
                <w:sz w:val="21"/>
                <w:szCs w:val="21"/>
                <w:highlight w:val="none"/>
                <w:lang w:val="en-US" w:eastAsia="zh-CN"/>
              </w:rPr>
              <w:t>混凝土强度、建材主材质量、已建</w:t>
            </w:r>
            <w:r>
              <w:rPr>
                <w:rFonts w:hint="eastAsia" w:ascii="宋体" w:hAnsi="宋体" w:cs="宋体"/>
                <w:sz w:val="21"/>
                <w:szCs w:val="21"/>
                <w:highlight w:val="none"/>
              </w:rPr>
              <w:t>墓碑</w:t>
            </w:r>
            <w:r>
              <w:rPr>
                <w:rFonts w:hint="eastAsia" w:ascii="宋体" w:hAnsi="宋体" w:cs="宋体"/>
                <w:sz w:val="21"/>
                <w:szCs w:val="21"/>
                <w:highlight w:val="none"/>
                <w:lang w:val="en-US" w:eastAsia="zh-CN"/>
              </w:rPr>
              <w:t>整体</w:t>
            </w:r>
            <w:r>
              <w:rPr>
                <w:rFonts w:hint="eastAsia" w:ascii="宋体" w:hAnsi="宋体" w:cs="宋体"/>
                <w:sz w:val="21"/>
                <w:szCs w:val="21"/>
                <w:highlight w:val="none"/>
              </w:rPr>
              <w:t>进行检测，</w:t>
            </w:r>
            <w:r>
              <w:rPr>
                <w:rFonts w:hint="eastAsia" w:ascii="宋体" w:hAnsi="宋体" w:cs="宋体"/>
                <w:sz w:val="21"/>
                <w:szCs w:val="21"/>
                <w:highlight w:val="none"/>
                <w:lang w:val="en-US" w:eastAsia="zh-CN"/>
              </w:rPr>
              <w:t>如石材硬度、</w:t>
            </w:r>
            <w:r>
              <w:rPr>
                <w:rFonts w:hint="eastAsia" w:ascii="宋体" w:hAnsi="宋体" w:cs="宋体"/>
                <w:sz w:val="21"/>
                <w:szCs w:val="21"/>
                <w:highlight w:val="none"/>
              </w:rPr>
              <w:t>基础垫层厚度规格、材质、石材组件间水泥</w:t>
            </w:r>
            <w:r>
              <w:rPr>
                <w:rFonts w:hint="eastAsia" w:ascii="宋体" w:hAnsi="宋体" w:cs="宋体"/>
                <w:sz w:val="21"/>
                <w:szCs w:val="21"/>
                <w:highlight w:val="none"/>
                <w:lang w:val="en-US" w:eastAsia="zh-CN"/>
              </w:rPr>
              <w:t>标号</w:t>
            </w:r>
            <w:r>
              <w:rPr>
                <w:rFonts w:hint="eastAsia" w:ascii="宋体" w:hAnsi="宋体" w:cs="宋体"/>
                <w:sz w:val="21"/>
                <w:szCs w:val="21"/>
                <w:highlight w:val="none"/>
              </w:rPr>
              <w:t>强度</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饱满度</w:t>
            </w:r>
            <w:r>
              <w:rPr>
                <w:rFonts w:hint="eastAsia" w:ascii="宋体" w:hAnsi="宋体" w:cs="宋体"/>
                <w:sz w:val="21"/>
                <w:szCs w:val="21"/>
                <w:highlight w:val="none"/>
              </w:rPr>
              <w:t>等，进行破坏性抽样检测，检测机构服务费由</w:t>
            </w:r>
            <w:r>
              <w:rPr>
                <w:rFonts w:hint="eastAsia" w:ascii="宋体" w:hAnsi="宋体" w:cs="宋体"/>
                <w:sz w:val="21"/>
                <w:szCs w:val="21"/>
                <w:highlight w:val="none"/>
                <w:lang w:eastAsia="zh-CN"/>
              </w:rPr>
              <w:t>供应方</w:t>
            </w:r>
            <w:r>
              <w:rPr>
                <w:rFonts w:hint="eastAsia" w:ascii="宋体" w:hAnsi="宋体" w:cs="宋体"/>
                <w:sz w:val="21"/>
                <w:szCs w:val="21"/>
                <w:highlight w:val="none"/>
              </w:rPr>
              <w:t>支付。</w:t>
            </w:r>
          </w:p>
          <w:p w14:paraId="6E6671F6">
            <w:pPr>
              <w:widowControl w:val="0"/>
              <w:snapToGrid w:val="0"/>
              <w:spacing w:line="3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④景观</w:t>
            </w:r>
            <w:r>
              <w:rPr>
                <w:rFonts w:hint="eastAsia" w:ascii="宋体" w:hAnsi="宋体" w:cs="宋体"/>
                <w:sz w:val="21"/>
                <w:szCs w:val="21"/>
                <w:highlight w:val="none"/>
              </w:rPr>
              <w:t>安装</w:t>
            </w:r>
            <w:r>
              <w:rPr>
                <w:rFonts w:hint="eastAsia" w:ascii="宋体" w:hAnsi="宋体" w:cs="宋体"/>
                <w:sz w:val="21"/>
                <w:szCs w:val="21"/>
                <w:highlight w:val="none"/>
                <w:lang w:val="en-US" w:eastAsia="zh-CN"/>
              </w:rPr>
              <w:t>及其他施工</w:t>
            </w:r>
            <w:r>
              <w:rPr>
                <w:rFonts w:hint="eastAsia" w:ascii="宋体" w:hAnsi="宋体" w:cs="宋体"/>
                <w:sz w:val="21"/>
                <w:szCs w:val="21"/>
                <w:highlight w:val="none"/>
              </w:rPr>
              <w:t>验收：</w:t>
            </w:r>
            <w:r>
              <w:rPr>
                <w:rFonts w:hint="eastAsia" w:ascii="宋体" w:hAnsi="宋体" w:cs="宋体"/>
                <w:sz w:val="21"/>
                <w:szCs w:val="21"/>
                <w:highlight w:val="none"/>
                <w:lang w:val="en-US" w:eastAsia="zh-CN"/>
              </w:rPr>
              <w:t>景观小品</w:t>
            </w:r>
            <w:r>
              <w:rPr>
                <w:rFonts w:hint="eastAsia" w:ascii="宋体" w:hAnsi="宋体" w:cs="宋体"/>
                <w:sz w:val="21"/>
                <w:szCs w:val="21"/>
                <w:highlight w:val="none"/>
              </w:rPr>
              <w:t>安装</w:t>
            </w:r>
            <w:r>
              <w:rPr>
                <w:rFonts w:hint="eastAsia" w:ascii="宋体" w:hAnsi="宋体" w:cs="宋体"/>
                <w:sz w:val="21"/>
                <w:szCs w:val="21"/>
                <w:highlight w:val="none"/>
                <w:lang w:val="en-US" w:eastAsia="zh-CN"/>
              </w:rPr>
              <w:t>及石材安装</w:t>
            </w:r>
            <w:r>
              <w:rPr>
                <w:rFonts w:hint="eastAsia" w:ascii="宋体" w:hAnsi="宋体" w:cs="宋体"/>
                <w:sz w:val="21"/>
                <w:szCs w:val="21"/>
                <w:highlight w:val="none"/>
              </w:rPr>
              <w:t>应</w:t>
            </w:r>
            <w:r>
              <w:rPr>
                <w:rFonts w:hint="eastAsia" w:ascii="宋体" w:hAnsi="宋体" w:cs="宋体"/>
                <w:sz w:val="21"/>
                <w:szCs w:val="21"/>
                <w:highlight w:val="none"/>
                <w:lang w:val="en-US" w:eastAsia="zh-CN"/>
              </w:rPr>
              <w:t>严格按照施工图纸执行，材质规格符合图纸及采购方要求</w:t>
            </w:r>
            <w:r>
              <w:rPr>
                <w:rFonts w:hint="eastAsia" w:ascii="宋体" w:hAnsi="宋体" w:cs="宋体"/>
                <w:sz w:val="21"/>
                <w:szCs w:val="21"/>
                <w:highlight w:val="none"/>
              </w:rPr>
              <w:t>。</w:t>
            </w:r>
            <w:r>
              <w:rPr>
                <w:rFonts w:hint="eastAsia" w:ascii="宋体" w:hAnsi="宋体" w:cs="宋体"/>
                <w:sz w:val="21"/>
                <w:szCs w:val="21"/>
                <w:highlight w:val="none"/>
                <w:lang w:val="en-US" w:eastAsia="zh-CN"/>
              </w:rPr>
              <w:t>基础部分</w:t>
            </w:r>
            <w:r>
              <w:rPr>
                <w:rFonts w:hint="eastAsia" w:ascii="宋体" w:hAnsi="宋体" w:cs="宋体"/>
                <w:sz w:val="21"/>
                <w:szCs w:val="21"/>
                <w:highlight w:val="none"/>
              </w:rPr>
              <w:t>符合建筑工程施工质量验收统一标准。</w:t>
            </w:r>
          </w:p>
          <w:p w14:paraId="140D2D37">
            <w:pPr>
              <w:widowControl w:val="0"/>
              <w:snapToGrid w:val="0"/>
              <w:spacing w:line="3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⑤</w:t>
            </w:r>
            <w:r>
              <w:rPr>
                <w:rFonts w:hint="eastAsia" w:ascii="宋体" w:hAnsi="宋体" w:cs="宋体"/>
                <w:sz w:val="21"/>
                <w:szCs w:val="21"/>
                <w:highlight w:val="none"/>
              </w:rPr>
              <w:t>施工现场需设置全封闭施工围挡，所有工程经</w:t>
            </w:r>
            <w:r>
              <w:rPr>
                <w:rFonts w:hint="eastAsia" w:ascii="宋体" w:hAnsi="宋体" w:cs="宋体"/>
                <w:sz w:val="21"/>
                <w:szCs w:val="21"/>
                <w:highlight w:val="none"/>
                <w:lang w:eastAsia="zh-CN"/>
              </w:rPr>
              <w:t>采购方</w:t>
            </w:r>
            <w:r>
              <w:rPr>
                <w:rFonts w:hint="eastAsia" w:ascii="宋体" w:hAnsi="宋体" w:cs="宋体"/>
                <w:sz w:val="21"/>
                <w:szCs w:val="21"/>
                <w:highlight w:val="none"/>
              </w:rPr>
              <w:t>验收后方可拆除，期间</w:t>
            </w:r>
            <w:r>
              <w:rPr>
                <w:rFonts w:hint="eastAsia" w:ascii="宋体" w:hAnsi="宋体" w:cs="宋体"/>
                <w:sz w:val="21"/>
                <w:szCs w:val="21"/>
                <w:highlight w:val="none"/>
                <w:lang w:eastAsia="zh-CN"/>
              </w:rPr>
              <w:t>供应方</w:t>
            </w:r>
            <w:r>
              <w:rPr>
                <w:rFonts w:hint="eastAsia" w:ascii="宋体" w:hAnsi="宋体" w:cs="宋体"/>
                <w:sz w:val="21"/>
                <w:szCs w:val="21"/>
                <w:highlight w:val="none"/>
              </w:rPr>
              <w:t>负责围挡的维护和安全保障责任。</w:t>
            </w:r>
          </w:p>
          <w:p w14:paraId="1AEA8FDA">
            <w:pPr>
              <w:widowControl w:val="0"/>
              <w:snapToGrid w:val="0"/>
              <w:spacing w:line="3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⑥铺装石材，成品砖、景观小品样式及样板等，采购方确定无问题后方可备入安装现场。施工</w:t>
            </w:r>
            <w:r>
              <w:rPr>
                <w:rFonts w:hint="eastAsia" w:ascii="宋体" w:hAnsi="宋体" w:cs="宋体"/>
                <w:sz w:val="21"/>
                <w:szCs w:val="21"/>
                <w:highlight w:val="none"/>
              </w:rPr>
              <w:t>部分</w:t>
            </w:r>
            <w:r>
              <w:rPr>
                <w:rFonts w:hint="eastAsia" w:ascii="宋体" w:hAnsi="宋体" w:cs="宋体"/>
                <w:sz w:val="21"/>
                <w:szCs w:val="21"/>
                <w:highlight w:val="none"/>
                <w:lang w:val="en-US" w:eastAsia="zh-CN"/>
              </w:rPr>
              <w:t>需与</w:t>
            </w:r>
            <w:r>
              <w:rPr>
                <w:rFonts w:hint="eastAsia" w:ascii="宋体" w:hAnsi="宋体" w:cs="宋体"/>
                <w:sz w:val="21"/>
                <w:szCs w:val="21"/>
                <w:highlight w:val="none"/>
              </w:rPr>
              <w:t>现有基础设施的合理衔接。</w:t>
            </w:r>
          </w:p>
          <w:p w14:paraId="2262FA66">
            <w:pPr>
              <w:widowControl w:val="0"/>
              <w:snapToGrid w:val="0"/>
              <w:spacing w:line="30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⑦</w:t>
            </w:r>
            <w:r>
              <w:rPr>
                <w:rFonts w:hint="eastAsia" w:ascii="宋体" w:hAnsi="宋体" w:cs="宋体"/>
                <w:sz w:val="21"/>
                <w:szCs w:val="21"/>
                <w:highlight w:val="none"/>
              </w:rPr>
              <w:t>场地要求：</w:t>
            </w:r>
            <w:r>
              <w:rPr>
                <w:rFonts w:hint="eastAsia" w:ascii="宋体" w:hAnsi="宋体" w:cs="宋体"/>
                <w:sz w:val="21"/>
                <w:szCs w:val="21"/>
                <w:highlight w:val="none"/>
                <w:lang w:val="en-US" w:eastAsia="zh-CN"/>
              </w:rPr>
              <w:t>入场施工前需签订</w:t>
            </w:r>
            <w:r>
              <w:rPr>
                <w:rFonts w:hint="eastAsia" w:ascii="宋体" w:hAnsi="宋体" w:cs="宋体"/>
                <w:sz w:val="21"/>
                <w:szCs w:val="21"/>
                <w:highlight w:val="none"/>
              </w:rPr>
              <w:t>《入场协议》</w:t>
            </w:r>
            <w:r>
              <w:rPr>
                <w:rFonts w:hint="eastAsia" w:ascii="宋体" w:hAnsi="宋体" w:cs="宋体"/>
                <w:sz w:val="21"/>
                <w:szCs w:val="21"/>
                <w:highlight w:val="none"/>
                <w:lang w:val="en-US" w:eastAsia="zh-CN"/>
              </w:rPr>
              <w:t>和《安全生产及文明施工责任书》，</w:t>
            </w:r>
            <w:r>
              <w:rPr>
                <w:rFonts w:hint="eastAsia" w:ascii="宋体" w:hAnsi="宋体" w:cs="宋体"/>
                <w:sz w:val="21"/>
                <w:szCs w:val="21"/>
                <w:highlight w:val="none"/>
              </w:rPr>
              <w:t>现场用水用电、场地管理、工人、物料管理按规定执行</w:t>
            </w:r>
            <w:r>
              <w:rPr>
                <w:rFonts w:hint="eastAsia" w:ascii="宋体" w:hAnsi="宋体" w:cs="宋体"/>
                <w:sz w:val="21"/>
                <w:szCs w:val="21"/>
                <w:highlight w:val="none"/>
                <w:lang w:eastAsia="zh-CN"/>
              </w:rPr>
              <w:t>，如</w:t>
            </w:r>
            <w:r>
              <w:rPr>
                <w:rFonts w:hint="eastAsia" w:ascii="宋体" w:hAnsi="宋体" w:cs="宋体"/>
                <w:sz w:val="21"/>
                <w:szCs w:val="21"/>
                <w:highlight w:val="none"/>
                <w:lang w:val="en-US" w:eastAsia="zh-CN"/>
              </w:rPr>
              <w:t>违反相应规定，采购方将按相关条款进行处罚。</w:t>
            </w:r>
          </w:p>
          <w:p w14:paraId="7FEC65D9">
            <w:pPr>
              <w:widowControl w:val="0"/>
              <w:snapToGrid w:val="0"/>
              <w:spacing w:line="3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⑧</w:t>
            </w:r>
            <w:r>
              <w:rPr>
                <w:rFonts w:hint="eastAsia" w:ascii="宋体" w:hAnsi="宋体" w:cs="宋体"/>
                <w:sz w:val="21"/>
                <w:szCs w:val="21"/>
                <w:highlight w:val="none"/>
              </w:rPr>
              <w:t>验收交付前的保管及安全等责任由</w:t>
            </w:r>
            <w:r>
              <w:rPr>
                <w:rFonts w:hint="eastAsia" w:ascii="宋体" w:hAnsi="宋体" w:cs="宋体"/>
                <w:sz w:val="21"/>
                <w:szCs w:val="21"/>
                <w:highlight w:val="none"/>
                <w:lang w:eastAsia="zh-CN"/>
              </w:rPr>
              <w:t>供应方</w:t>
            </w:r>
            <w:r>
              <w:rPr>
                <w:rFonts w:hint="eastAsia" w:ascii="宋体" w:hAnsi="宋体" w:cs="宋体"/>
                <w:sz w:val="21"/>
                <w:szCs w:val="21"/>
                <w:highlight w:val="none"/>
              </w:rPr>
              <w:t>承担。</w:t>
            </w:r>
          </w:p>
          <w:p w14:paraId="5969AE58">
            <w:pPr>
              <w:widowControl w:val="0"/>
              <w:snapToGrid w:val="0"/>
              <w:spacing w:line="3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⑨</w:t>
            </w:r>
            <w:r>
              <w:rPr>
                <w:rFonts w:hint="eastAsia" w:ascii="宋体" w:hAnsi="宋体" w:cs="宋体"/>
                <w:sz w:val="21"/>
                <w:szCs w:val="21"/>
                <w:highlight w:val="none"/>
              </w:rPr>
              <w:t>包装运输要求</w:t>
            </w:r>
          </w:p>
          <w:p w14:paraId="14A25E92">
            <w:pPr>
              <w:widowControl w:val="0"/>
              <w:snapToGrid w:val="0"/>
              <w:spacing w:line="3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每批到货材料按照采购方指定位置摆放、</w:t>
            </w:r>
            <w:r>
              <w:rPr>
                <w:rFonts w:hint="eastAsia" w:ascii="宋体" w:hAnsi="宋体" w:cs="宋体"/>
                <w:sz w:val="21"/>
                <w:szCs w:val="21"/>
                <w:highlight w:val="none"/>
              </w:rPr>
              <w:t>施工区域禁止5吨以上车辆驶入。</w:t>
            </w:r>
          </w:p>
          <w:p w14:paraId="386775D5">
            <w:pPr>
              <w:widowControl w:val="0"/>
              <w:snapToGrid w:val="0"/>
              <w:spacing w:line="300" w:lineRule="exact"/>
              <w:ind w:firstLine="420" w:firstLineChars="200"/>
              <w:rPr>
                <w:rFonts w:ascii="宋体" w:hAnsi="宋体" w:cs="宋体"/>
                <w:sz w:val="21"/>
                <w:szCs w:val="21"/>
                <w:highlight w:val="none"/>
              </w:rPr>
            </w:pPr>
            <w:r>
              <w:rPr>
                <w:rFonts w:hint="eastAsia" w:ascii="宋体" w:hAnsi="宋体" w:cs="宋体"/>
                <w:sz w:val="21"/>
                <w:szCs w:val="21"/>
                <w:highlight w:val="none"/>
              </w:rPr>
              <w:t>木材六面防护，箱内石材单一组件必须全部用专用塑料珍珠棉包装。箱体清楚标明产品墓区及组件名称、数量。采购方规定施工区域禁止5吨以上车辆驶入。</w:t>
            </w:r>
          </w:p>
        </w:tc>
      </w:tr>
      <w:tr w14:paraId="1A62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2" w:type="dxa"/>
            <w:vAlign w:val="center"/>
          </w:tcPr>
          <w:p w14:paraId="13A5C13D">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5</w:t>
            </w:r>
          </w:p>
        </w:tc>
        <w:tc>
          <w:tcPr>
            <w:tcW w:w="1975" w:type="dxa"/>
            <w:vAlign w:val="center"/>
          </w:tcPr>
          <w:p w14:paraId="48587F12">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lang w:val="zh-CN"/>
              </w:rPr>
              <w:t>采购标的检验或者验收期限</w:t>
            </w:r>
          </w:p>
        </w:tc>
        <w:tc>
          <w:tcPr>
            <w:tcW w:w="6338" w:type="dxa"/>
            <w:vAlign w:val="center"/>
          </w:tcPr>
          <w:p w14:paraId="733175D5">
            <w:pPr>
              <w:snapToGrid w:val="0"/>
              <w:spacing w:line="300" w:lineRule="exact"/>
              <w:rPr>
                <w:rFonts w:ascii="宋体" w:hAnsi="宋体" w:cs="宋体"/>
                <w:bCs/>
                <w:sz w:val="21"/>
                <w:szCs w:val="21"/>
                <w:highlight w:val="none"/>
              </w:rPr>
            </w:pPr>
            <w:r>
              <w:rPr>
                <w:rFonts w:hint="eastAsia" w:ascii="宋体" w:hAnsi="宋体" w:cs="宋体"/>
                <w:bCs/>
                <w:sz w:val="21"/>
                <w:szCs w:val="21"/>
                <w:highlight w:val="none"/>
                <w:lang w:val="zh-CN"/>
              </w:rPr>
              <w:t>项目交付后</w:t>
            </w:r>
            <w:r>
              <w:rPr>
                <w:rFonts w:hint="eastAsia" w:ascii="宋体" w:hAnsi="宋体" w:cs="宋体"/>
                <w:bCs/>
                <w:sz w:val="21"/>
                <w:szCs w:val="21"/>
                <w:highlight w:val="none"/>
              </w:rPr>
              <w:t>30 天</w:t>
            </w:r>
            <w:r>
              <w:rPr>
                <w:rFonts w:hint="eastAsia" w:ascii="宋体" w:hAnsi="宋体" w:cs="宋体"/>
                <w:bCs/>
                <w:sz w:val="21"/>
                <w:szCs w:val="21"/>
                <w:highlight w:val="none"/>
                <w:lang w:val="zh-CN"/>
              </w:rPr>
              <w:t>。</w:t>
            </w:r>
          </w:p>
        </w:tc>
      </w:tr>
      <w:tr w14:paraId="4A74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612" w:type="dxa"/>
            <w:vAlign w:val="center"/>
          </w:tcPr>
          <w:p w14:paraId="3629019C">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6</w:t>
            </w:r>
          </w:p>
        </w:tc>
        <w:tc>
          <w:tcPr>
            <w:tcW w:w="1975" w:type="dxa"/>
            <w:vAlign w:val="center"/>
          </w:tcPr>
          <w:p w14:paraId="63F09C5B">
            <w:pPr>
              <w:snapToGrid w:val="0"/>
              <w:spacing w:line="300" w:lineRule="exact"/>
              <w:jc w:val="center"/>
              <w:rPr>
                <w:rFonts w:ascii="宋体" w:hAnsi="宋体" w:cs="宋体"/>
                <w:bCs/>
                <w:sz w:val="21"/>
                <w:szCs w:val="21"/>
                <w:highlight w:val="none"/>
                <w:lang w:val="zh-CN"/>
              </w:rPr>
            </w:pPr>
            <w:r>
              <w:rPr>
                <w:rFonts w:hint="eastAsia" w:ascii="宋体" w:hAnsi="宋体" w:cs="宋体"/>
                <w:bCs/>
                <w:sz w:val="21"/>
                <w:szCs w:val="21"/>
                <w:highlight w:val="none"/>
              </w:rPr>
              <w:t>资金的支付方式、时间、条件</w:t>
            </w:r>
          </w:p>
        </w:tc>
        <w:tc>
          <w:tcPr>
            <w:tcW w:w="6338" w:type="dxa"/>
            <w:vAlign w:val="center"/>
          </w:tcPr>
          <w:p w14:paraId="7BD43E74">
            <w:pPr>
              <w:pStyle w:val="43"/>
              <w:snapToGrid w:val="0"/>
              <w:spacing w:line="300" w:lineRule="exact"/>
              <w:ind w:firstLine="420" w:firstLineChars="200"/>
              <w:rPr>
                <w:rFonts w:ascii="宋体" w:hAnsi="宋体" w:cs="宋体"/>
                <w:szCs w:val="21"/>
                <w:highlight w:val="none"/>
              </w:rPr>
            </w:pPr>
            <w:r>
              <w:rPr>
                <w:rFonts w:hint="eastAsia" w:ascii="宋体" w:hAnsi="宋体" w:cs="宋体"/>
                <w:bCs/>
                <w:szCs w:val="21"/>
                <w:highlight w:val="none"/>
              </w:rPr>
              <w:t>中小企业（需执行《保障中小企业款项支付条例》【国务院第728令】的相关规定）：</w:t>
            </w:r>
            <w:r>
              <w:rPr>
                <w:rFonts w:hint="eastAsia" w:ascii="宋体" w:hAnsi="宋体" w:cs="宋体"/>
                <w:kern w:val="0"/>
                <w:szCs w:val="21"/>
                <w:highlight w:val="none"/>
                <w:lang w:val="en-US" w:eastAsia="zh-CN"/>
              </w:rPr>
              <w:t>供应方进场并具备施工条件，出具本项目银行保函或担保公司保函后，支付工程预付款（预付款金额为合同总价的10%），承包人完成全部工程量且工程竣工验收合格后支付至工程总价的80%（此次工程款支付金额需扣除所支付的全部预付款）；工程结算评审后且发包人收到承包人开具的符合要求的全额增值税专用发票后，支付至评审结算总价的97%，评审结算总价的3%做为质保金，质保期满无质量问题无息一次性付清</w:t>
            </w:r>
            <w:r>
              <w:rPr>
                <w:rFonts w:hint="eastAsia" w:ascii="宋体" w:hAnsi="宋体" w:cs="宋体"/>
                <w:kern w:val="0"/>
                <w:szCs w:val="21"/>
                <w:highlight w:val="none"/>
              </w:rPr>
              <w:t>。</w:t>
            </w:r>
          </w:p>
        </w:tc>
      </w:tr>
      <w:tr w14:paraId="32D1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12" w:type="dxa"/>
            <w:vAlign w:val="center"/>
          </w:tcPr>
          <w:p w14:paraId="414899C4">
            <w:pPr>
              <w:snapToGrid w:val="0"/>
              <w:spacing w:line="300" w:lineRule="exact"/>
              <w:jc w:val="center"/>
              <w:rPr>
                <w:rFonts w:ascii="宋体" w:hAnsi="宋体" w:cs="宋体"/>
                <w:sz w:val="21"/>
                <w:szCs w:val="21"/>
                <w:highlight w:val="none"/>
              </w:rPr>
            </w:pPr>
            <w:r>
              <w:rPr>
                <w:rFonts w:hint="eastAsia" w:ascii="宋体" w:hAnsi="宋体" w:cs="宋体"/>
                <w:sz w:val="21"/>
                <w:szCs w:val="21"/>
                <w:highlight w:val="none"/>
              </w:rPr>
              <w:t>7</w:t>
            </w:r>
          </w:p>
        </w:tc>
        <w:tc>
          <w:tcPr>
            <w:tcW w:w="1975" w:type="dxa"/>
            <w:vAlign w:val="center"/>
          </w:tcPr>
          <w:p w14:paraId="35A2075D">
            <w:pPr>
              <w:snapToGrid w:val="0"/>
              <w:spacing w:line="300" w:lineRule="exact"/>
              <w:jc w:val="center"/>
              <w:rPr>
                <w:rFonts w:ascii="宋体" w:hAnsi="宋体" w:cs="宋体"/>
                <w:sz w:val="21"/>
                <w:szCs w:val="21"/>
                <w:highlight w:val="none"/>
              </w:rPr>
            </w:pPr>
            <w:r>
              <w:rPr>
                <w:rFonts w:hint="eastAsia" w:ascii="宋体" w:hAnsi="宋体" w:cs="宋体"/>
                <w:sz w:val="21"/>
                <w:szCs w:val="21"/>
                <w:highlight w:val="none"/>
              </w:rPr>
              <w:t>报价要求</w:t>
            </w:r>
          </w:p>
        </w:tc>
        <w:tc>
          <w:tcPr>
            <w:tcW w:w="6338" w:type="dxa"/>
            <w:vAlign w:val="center"/>
          </w:tcPr>
          <w:p w14:paraId="3A2169FC">
            <w:pPr>
              <w:widowControl w:val="0"/>
              <w:snapToGrid w:val="0"/>
              <w:spacing w:line="300" w:lineRule="exact"/>
              <w:rPr>
                <w:rFonts w:ascii="宋体" w:hAnsi="宋体" w:cs="宋体"/>
                <w:sz w:val="21"/>
                <w:szCs w:val="21"/>
                <w:highlight w:val="none"/>
              </w:rPr>
            </w:pPr>
            <w:r>
              <w:rPr>
                <w:rFonts w:hint="eastAsia" w:ascii="宋体" w:hAnsi="宋体" w:cs="宋体"/>
                <w:sz w:val="21"/>
                <w:szCs w:val="21"/>
                <w:highlight w:val="none"/>
              </w:rPr>
              <w:t>该报价包含为完成本项目全部工作所需的一切费用，包含税费、基础建设、材料价格、人工价格、运输、包装、倒运、组装、现场卫生、垃圾清运及辅材结构胶、部件间水泥、胶、瓷砖胶等。</w:t>
            </w:r>
          </w:p>
        </w:tc>
      </w:tr>
      <w:tr w14:paraId="14A1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12" w:type="dxa"/>
            <w:vAlign w:val="center"/>
          </w:tcPr>
          <w:p w14:paraId="4E76DCF6">
            <w:pPr>
              <w:snapToGrid w:val="0"/>
              <w:spacing w:line="300" w:lineRule="exact"/>
              <w:jc w:val="center"/>
              <w:rPr>
                <w:rFonts w:ascii="宋体" w:hAnsi="宋体" w:cs="宋体"/>
                <w:sz w:val="21"/>
                <w:szCs w:val="21"/>
                <w:highlight w:val="none"/>
              </w:rPr>
            </w:pPr>
            <w:r>
              <w:rPr>
                <w:rFonts w:hint="eastAsia" w:ascii="宋体" w:hAnsi="宋体" w:cs="宋体"/>
                <w:sz w:val="21"/>
                <w:szCs w:val="21"/>
                <w:highlight w:val="none"/>
              </w:rPr>
              <w:t>8</w:t>
            </w:r>
          </w:p>
        </w:tc>
        <w:tc>
          <w:tcPr>
            <w:tcW w:w="1975" w:type="dxa"/>
            <w:vAlign w:val="center"/>
          </w:tcPr>
          <w:p w14:paraId="38939604">
            <w:pPr>
              <w:snapToGrid w:val="0"/>
              <w:spacing w:line="300" w:lineRule="exact"/>
              <w:jc w:val="center"/>
              <w:rPr>
                <w:rFonts w:ascii="宋体" w:hAnsi="宋体" w:cs="宋体"/>
                <w:sz w:val="21"/>
                <w:szCs w:val="21"/>
                <w:highlight w:val="none"/>
              </w:rPr>
            </w:pPr>
            <w:r>
              <w:rPr>
                <w:rFonts w:hint="eastAsia" w:ascii="宋体" w:hAnsi="宋体" w:cs="宋体"/>
                <w:sz w:val="21"/>
                <w:szCs w:val="21"/>
                <w:highlight w:val="none"/>
              </w:rPr>
              <w:t>履约管理与违约责任</w:t>
            </w:r>
          </w:p>
        </w:tc>
        <w:tc>
          <w:tcPr>
            <w:tcW w:w="6338" w:type="dxa"/>
            <w:vAlign w:val="center"/>
          </w:tcPr>
          <w:p w14:paraId="509B91FF">
            <w:pPr>
              <w:pStyle w:val="43"/>
              <w:snapToGrid w:val="0"/>
              <w:spacing w:line="300" w:lineRule="exact"/>
              <w:ind w:firstLine="480"/>
              <w:rPr>
                <w:rFonts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kern w:val="0"/>
                <w:szCs w:val="21"/>
                <w:highlight w:val="none"/>
                <w:lang w:eastAsia="zh-CN"/>
              </w:rPr>
              <w:t>供应方</w:t>
            </w:r>
            <w:r>
              <w:rPr>
                <w:rFonts w:hint="eastAsia" w:ascii="宋体" w:hAnsi="宋体" w:cs="宋体"/>
                <w:kern w:val="0"/>
                <w:szCs w:val="21"/>
                <w:highlight w:val="none"/>
              </w:rPr>
              <w:t>开具的增值税专用发票不规范、不合法和虚开增值税专用发票，</w:t>
            </w:r>
            <w:r>
              <w:rPr>
                <w:rFonts w:hint="eastAsia" w:ascii="宋体" w:hAnsi="宋体" w:cs="宋体"/>
                <w:szCs w:val="21"/>
                <w:highlight w:val="none"/>
              </w:rPr>
              <w:t>除按本条约定承担赔偿责任和支付违约金外，</w:t>
            </w:r>
            <w:r>
              <w:rPr>
                <w:rFonts w:hint="eastAsia" w:ascii="宋体" w:hAnsi="宋体" w:cs="宋体"/>
                <w:szCs w:val="21"/>
                <w:highlight w:val="none"/>
                <w:lang w:eastAsia="zh-CN"/>
              </w:rPr>
              <w:t>供应方</w:t>
            </w:r>
            <w:r>
              <w:rPr>
                <w:rFonts w:hint="eastAsia" w:ascii="宋体" w:hAnsi="宋体" w:cs="宋体"/>
                <w:szCs w:val="21"/>
                <w:highlight w:val="none"/>
              </w:rPr>
              <w:t>须继续承担向</w:t>
            </w:r>
            <w:r>
              <w:rPr>
                <w:rFonts w:hint="eastAsia" w:ascii="宋体" w:hAnsi="宋体" w:cs="宋体"/>
                <w:szCs w:val="21"/>
                <w:highlight w:val="none"/>
                <w:lang w:eastAsia="zh-CN"/>
              </w:rPr>
              <w:t>采购方</w:t>
            </w:r>
            <w:r>
              <w:rPr>
                <w:rFonts w:hint="eastAsia" w:ascii="宋体" w:hAnsi="宋体" w:cs="宋体"/>
                <w:szCs w:val="21"/>
                <w:highlight w:val="none"/>
              </w:rPr>
              <w:t>开具规范、合法</w:t>
            </w:r>
            <w:r>
              <w:rPr>
                <w:rFonts w:hint="eastAsia" w:ascii="宋体" w:hAnsi="宋体" w:cs="宋体"/>
                <w:kern w:val="0"/>
                <w:szCs w:val="21"/>
                <w:highlight w:val="none"/>
              </w:rPr>
              <w:t>增值税专用发票</w:t>
            </w:r>
            <w:r>
              <w:rPr>
                <w:rFonts w:hint="eastAsia" w:ascii="宋体" w:hAnsi="宋体" w:cs="宋体"/>
                <w:szCs w:val="21"/>
                <w:highlight w:val="none"/>
              </w:rPr>
              <w:t>的义务</w:t>
            </w:r>
            <w:r>
              <w:rPr>
                <w:rFonts w:hint="eastAsia" w:ascii="宋体" w:hAnsi="宋体" w:cs="宋体"/>
                <w:kern w:val="0"/>
                <w:szCs w:val="21"/>
                <w:highlight w:val="none"/>
              </w:rPr>
              <w:t>。</w:t>
            </w:r>
          </w:p>
          <w:p w14:paraId="0611CDFA">
            <w:pPr>
              <w:pStyle w:val="43"/>
              <w:snapToGrid w:val="0"/>
              <w:spacing w:line="300" w:lineRule="exact"/>
              <w:ind w:firstLine="420" w:firstLineChars="200"/>
              <w:rPr>
                <w:rFonts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kern w:val="0"/>
                <w:szCs w:val="21"/>
                <w:highlight w:val="none"/>
                <w:lang w:eastAsia="zh-CN"/>
              </w:rPr>
              <w:t>供应方</w:t>
            </w:r>
            <w:r>
              <w:rPr>
                <w:rFonts w:hint="eastAsia" w:ascii="宋体" w:hAnsi="宋体" w:cs="宋体"/>
                <w:kern w:val="0"/>
                <w:szCs w:val="21"/>
                <w:highlight w:val="none"/>
                <w:lang w:val="en-US" w:eastAsia="zh-CN"/>
              </w:rPr>
              <w:t>入场后签订工期进度承诺书，工期</w:t>
            </w:r>
            <w:r>
              <w:rPr>
                <w:rFonts w:hint="eastAsia" w:ascii="宋体" w:hAnsi="宋体" w:cs="宋体"/>
                <w:kern w:val="0"/>
                <w:szCs w:val="21"/>
                <w:highlight w:val="none"/>
              </w:rPr>
              <w:t>迟延</w:t>
            </w:r>
            <w:r>
              <w:rPr>
                <w:rFonts w:hint="eastAsia" w:ascii="宋体" w:hAnsi="宋体" w:cs="宋体"/>
                <w:szCs w:val="21"/>
                <w:highlight w:val="none"/>
              </w:rPr>
              <w:t>视为违约，</w:t>
            </w:r>
            <w:r>
              <w:rPr>
                <w:rFonts w:hint="eastAsia" w:ascii="宋体" w:hAnsi="宋体" w:cs="宋体"/>
                <w:szCs w:val="21"/>
                <w:highlight w:val="none"/>
                <w:lang w:val="en-US" w:eastAsia="zh-CN"/>
              </w:rPr>
              <w:t>如供应方因不可抗力造成工期延迟，需提前向采购方出具正式书面说明，采购方同意后，可顺延工期，如供应方无故拖延工期，给采购方造成经济损失，供应方需赔偿采购方相关联工程量合同金额</w:t>
            </w:r>
            <w:r>
              <w:rPr>
                <w:rFonts w:hint="eastAsia" w:ascii="宋体" w:hAnsi="宋体" w:cs="宋体"/>
                <w:kern w:val="0"/>
                <w:szCs w:val="21"/>
                <w:highlight w:val="none"/>
                <w:lang w:val="en-US" w:eastAsia="zh-CN"/>
              </w:rPr>
              <w:t>两倍的经济损失</w:t>
            </w:r>
            <w:r>
              <w:rPr>
                <w:rFonts w:hint="eastAsia" w:ascii="宋体" w:hAnsi="宋体" w:cs="宋体"/>
                <w:kern w:val="0"/>
                <w:szCs w:val="21"/>
                <w:highlight w:val="none"/>
              </w:rPr>
              <w:t>。</w:t>
            </w:r>
          </w:p>
          <w:p w14:paraId="0C0F694B">
            <w:pPr>
              <w:snapToGrid w:val="0"/>
              <w:spacing w:line="300" w:lineRule="exact"/>
              <w:rPr>
                <w:rFonts w:ascii="宋体" w:hAnsi="宋体" w:cs="宋体"/>
                <w:sz w:val="21"/>
                <w:szCs w:val="21"/>
                <w:highlight w:val="none"/>
              </w:rPr>
            </w:pPr>
            <w:r>
              <w:rPr>
                <w:rFonts w:hint="eastAsia" w:ascii="宋体" w:hAnsi="宋体" w:cs="宋体"/>
                <w:sz w:val="21"/>
                <w:szCs w:val="21"/>
                <w:highlight w:val="none"/>
              </w:rPr>
              <w:t xml:space="preserve">    3、采购人对于</w:t>
            </w:r>
            <w:r>
              <w:rPr>
                <w:rFonts w:hint="eastAsia" w:ascii="宋体" w:hAnsi="宋体" w:cs="宋体"/>
                <w:sz w:val="21"/>
                <w:szCs w:val="21"/>
                <w:highlight w:val="none"/>
                <w:lang w:val="en-US" w:eastAsia="zh-CN"/>
              </w:rPr>
              <w:t>不符合招标需求的材料或景观小品</w:t>
            </w:r>
            <w:r>
              <w:rPr>
                <w:rFonts w:hint="eastAsia" w:ascii="宋体" w:hAnsi="宋体" w:cs="宋体"/>
                <w:sz w:val="21"/>
                <w:szCs w:val="21"/>
                <w:highlight w:val="none"/>
              </w:rPr>
              <w:t>，下达</w:t>
            </w:r>
            <w:r>
              <w:rPr>
                <w:rFonts w:hint="eastAsia" w:ascii="宋体" w:hAnsi="宋体" w:cs="宋体"/>
                <w:sz w:val="21"/>
                <w:szCs w:val="21"/>
                <w:highlight w:val="none"/>
                <w:lang w:val="en-US" w:eastAsia="zh-CN"/>
              </w:rPr>
              <w:t>整改</w:t>
            </w:r>
            <w:r>
              <w:rPr>
                <w:rFonts w:hint="eastAsia" w:ascii="宋体" w:hAnsi="宋体" w:cs="宋体"/>
                <w:sz w:val="21"/>
                <w:szCs w:val="21"/>
                <w:highlight w:val="none"/>
              </w:rPr>
              <w:t>通知书。交货期内或整改期限内未完成的</w:t>
            </w:r>
            <w:r>
              <w:rPr>
                <w:rFonts w:hint="eastAsia" w:ascii="宋体" w:hAnsi="宋体" w:cs="宋体"/>
                <w:sz w:val="21"/>
                <w:szCs w:val="21"/>
                <w:highlight w:val="none"/>
                <w:lang w:val="en-US" w:eastAsia="zh-CN"/>
              </w:rPr>
              <w:t>工程量</w:t>
            </w:r>
            <w:r>
              <w:rPr>
                <w:rFonts w:hint="eastAsia" w:ascii="宋体" w:hAnsi="宋体" w:cs="宋体"/>
                <w:sz w:val="21"/>
                <w:szCs w:val="21"/>
                <w:highlight w:val="none"/>
              </w:rPr>
              <w:t>，自供货期或整改期限届满开始计算逾期。</w:t>
            </w:r>
          </w:p>
          <w:p w14:paraId="5BF6DF31">
            <w:pPr>
              <w:snapToGrid w:val="0"/>
              <w:spacing w:line="300" w:lineRule="exact"/>
              <w:ind w:firstLine="420" w:firstLineChars="200"/>
              <w:rPr>
                <w:rFonts w:ascii="宋体" w:hAnsi="宋体" w:cs="宋体"/>
                <w:sz w:val="21"/>
                <w:szCs w:val="21"/>
                <w:highlight w:val="none"/>
              </w:rPr>
            </w:pPr>
            <w:r>
              <w:rPr>
                <w:rFonts w:hint="eastAsia" w:ascii="宋体" w:hAnsi="宋体" w:cs="宋体"/>
                <w:sz w:val="21"/>
                <w:szCs w:val="21"/>
                <w:highlight w:val="none"/>
              </w:rPr>
              <w:t>4、对逾期的</w:t>
            </w:r>
            <w:r>
              <w:rPr>
                <w:rFonts w:hint="eastAsia" w:ascii="宋体" w:hAnsi="宋体" w:cs="宋体"/>
                <w:sz w:val="21"/>
                <w:szCs w:val="21"/>
                <w:highlight w:val="none"/>
                <w:lang w:val="en-US" w:eastAsia="zh-CN"/>
              </w:rPr>
              <w:t>工程量</w:t>
            </w:r>
            <w:r>
              <w:rPr>
                <w:rFonts w:hint="eastAsia" w:ascii="宋体" w:hAnsi="宋体" w:cs="宋体"/>
                <w:sz w:val="21"/>
                <w:szCs w:val="21"/>
                <w:highlight w:val="none"/>
              </w:rPr>
              <w:t>，在付款时按逾期时间每周扣除逾期</w:t>
            </w:r>
            <w:r>
              <w:rPr>
                <w:rFonts w:hint="eastAsia" w:ascii="宋体" w:hAnsi="宋体" w:cs="宋体"/>
                <w:sz w:val="21"/>
                <w:szCs w:val="21"/>
                <w:highlight w:val="none"/>
                <w:lang w:val="en-US" w:eastAsia="zh-CN"/>
              </w:rPr>
              <w:t>工程量</w:t>
            </w:r>
            <w:r>
              <w:rPr>
                <w:rFonts w:hint="eastAsia" w:ascii="宋体" w:hAnsi="宋体" w:cs="宋体"/>
                <w:sz w:val="21"/>
                <w:szCs w:val="21"/>
                <w:highlight w:val="none"/>
              </w:rPr>
              <w:t>中标价格的0.5%作为违约金，违约金达到逾期中标价格的</w:t>
            </w:r>
            <w:r>
              <w:rPr>
                <w:rFonts w:hint="eastAsia" w:ascii="宋体" w:hAnsi="宋体" w:cs="宋体"/>
                <w:sz w:val="21"/>
                <w:szCs w:val="21"/>
                <w:highlight w:val="none"/>
                <w:lang w:val="en-US" w:eastAsia="zh-CN"/>
              </w:rPr>
              <w:t>1</w:t>
            </w:r>
            <w:r>
              <w:rPr>
                <w:rFonts w:hint="eastAsia" w:ascii="宋体" w:hAnsi="宋体" w:cs="宋体"/>
                <w:sz w:val="21"/>
                <w:szCs w:val="21"/>
                <w:highlight w:val="none"/>
              </w:rPr>
              <w:t>5%，采购人有权中止合同，</w:t>
            </w:r>
            <w:r>
              <w:rPr>
                <w:rFonts w:hint="eastAsia" w:ascii="宋体" w:hAnsi="宋体" w:cs="宋体"/>
                <w:sz w:val="21"/>
                <w:szCs w:val="21"/>
                <w:highlight w:val="none"/>
                <w:lang w:eastAsia="zh-CN"/>
              </w:rPr>
              <w:t>供应方</w:t>
            </w:r>
            <w:r>
              <w:rPr>
                <w:rFonts w:hint="eastAsia" w:ascii="宋体" w:hAnsi="宋体" w:cs="宋体"/>
                <w:sz w:val="21"/>
                <w:szCs w:val="21"/>
                <w:highlight w:val="none"/>
              </w:rPr>
              <w:t>并须支付采购人逾期</w:t>
            </w:r>
            <w:r>
              <w:rPr>
                <w:rFonts w:hint="eastAsia" w:ascii="宋体" w:hAnsi="宋体" w:cs="宋体"/>
                <w:sz w:val="21"/>
                <w:szCs w:val="21"/>
                <w:highlight w:val="none"/>
                <w:lang w:val="en-US" w:eastAsia="zh-CN"/>
              </w:rPr>
              <w:t>工程量</w:t>
            </w:r>
            <w:r>
              <w:rPr>
                <w:rFonts w:hint="eastAsia" w:ascii="宋体" w:hAnsi="宋体" w:cs="宋体"/>
                <w:sz w:val="21"/>
                <w:szCs w:val="21"/>
                <w:highlight w:val="none"/>
              </w:rPr>
              <w:t>中标价格两倍的经济赔偿。</w:t>
            </w:r>
          </w:p>
          <w:p w14:paraId="7976DDDC">
            <w:pPr>
              <w:snapToGrid w:val="0"/>
              <w:spacing w:line="300" w:lineRule="exact"/>
              <w:ind w:firstLine="420" w:firstLineChars="200"/>
              <w:rPr>
                <w:rFonts w:ascii="宋体" w:hAnsi="宋体" w:cs="宋体"/>
                <w:sz w:val="21"/>
                <w:szCs w:val="21"/>
                <w:highlight w:val="none"/>
              </w:rPr>
            </w:pPr>
            <w:r>
              <w:rPr>
                <w:rFonts w:hint="eastAsia" w:ascii="宋体" w:hAnsi="宋体" w:cs="宋体"/>
                <w:sz w:val="21"/>
                <w:szCs w:val="21"/>
                <w:highlight w:val="none"/>
              </w:rPr>
              <w:t>5、</w:t>
            </w:r>
            <w:r>
              <w:rPr>
                <w:rFonts w:hint="eastAsia" w:ascii="宋体" w:hAnsi="宋体" w:cs="宋体"/>
                <w:sz w:val="21"/>
                <w:szCs w:val="21"/>
                <w:highlight w:val="none"/>
                <w:lang w:eastAsia="zh-CN"/>
              </w:rPr>
              <w:t>供应方</w:t>
            </w:r>
            <w:r>
              <w:rPr>
                <w:rFonts w:hint="eastAsia" w:ascii="宋体" w:hAnsi="宋体" w:cs="宋体"/>
                <w:sz w:val="21"/>
                <w:szCs w:val="21"/>
                <w:highlight w:val="none"/>
              </w:rPr>
              <w:t>如不能按国家标准和采购人所要求的产品性能规格、质量供货等，所产生的一切经济损失及赔偿责任均由承担。合同期内出现产品质量问题由</w:t>
            </w:r>
            <w:r>
              <w:rPr>
                <w:rFonts w:hint="eastAsia" w:ascii="宋体" w:hAnsi="宋体" w:cs="宋体"/>
                <w:sz w:val="21"/>
                <w:szCs w:val="21"/>
                <w:highlight w:val="none"/>
                <w:lang w:eastAsia="zh-CN"/>
              </w:rPr>
              <w:t>供应方</w:t>
            </w:r>
            <w:r>
              <w:rPr>
                <w:rFonts w:hint="eastAsia" w:ascii="宋体" w:hAnsi="宋体" w:cs="宋体"/>
                <w:sz w:val="21"/>
                <w:szCs w:val="21"/>
                <w:highlight w:val="none"/>
              </w:rPr>
              <w:t>免费负责更换或退货，并由</w:t>
            </w:r>
            <w:r>
              <w:rPr>
                <w:rFonts w:hint="eastAsia" w:ascii="宋体" w:hAnsi="宋体" w:cs="宋体"/>
                <w:sz w:val="21"/>
                <w:szCs w:val="21"/>
                <w:highlight w:val="none"/>
                <w:lang w:eastAsia="zh-CN"/>
              </w:rPr>
              <w:t>供应方</w:t>
            </w:r>
            <w:r>
              <w:rPr>
                <w:rFonts w:hint="eastAsia" w:ascii="宋体" w:hAnsi="宋体" w:cs="宋体"/>
                <w:sz w:val="21"/>
                <w:szCs w:val="21"/>
                <w:highlight w:val="none"/>
              </w:rPr>
              <w:t>承担因此产生的一切费用，如给采购人造成了经济损失包括直接和间接损失及赔偿责任均由</w:t>
            </w:r>
            <w:r>
              <w:rPr>
                <w:rFonts w:hint="eastAsia" w:ascii="宋体" w:hAnsi="宋体" w:cs="宋体"/>
                <w:sz w:val="21"/>
                <w:szCs w:val="21"/>
                <w:highlight w:val="none"/>
                <w:lang w:eastAsia="zh-CN"/>
              </w:rPr>
              <w:t>供应方</w:t>
            </w:r>
            <w:r>
              <w:rPr>
                <w:rFonts w:hint="eastAsia" w:ascii="宋体" w:hAnsi="宋体" w:cs="宋体"/>
                <w:sz w:val="21"/>
                <w:szCs w:val="21"/>
                <w:highlight w:val="none"/>
              </w:rPr>
              <w:t>无条件全部承担。因</w:t>
            </w:r>
            <w:r>
              <w:rPr>
                <w:rFonts w:hint="eastAsia" w:ascii="宋体" w:hAnsi="宋体" w:cs="宋体"/>
                <w:sz w:val="21"/>
                <w:szCs w:val="21"/>
                <w:highlight w:val="none"/>
                <w:lang w:eastAsia="zh-CN"/>
              </w:rPr>
              <w:t>供应方</w:t>
            </w:r>
            <w:r>
              <w:rPr>
                <w:rFonts w:hint="eastAsia" w:ascii="宋体" w:hAnsi="宋体" w:cs="宋体"/>
                <w:sz w:val="21"/>
                <w:szCs w:val="21"/>
                <w:highlight w:val="none"/>
              </w:rPr>
              <w:t>原因导致的工期延误，工期不予顺延，并给予赔偿采购人造成的损失。</w:t>
            </w:r>
          </w:p>
          <w:p w14:paraId="2B6DB151">
            <w:pPr>
              <w:snapToGrid w:val="0"/>
              <w:spacing w:line="300" w:lineRule="exact"/>
              <w:ind w:firstLine="420" w:firstLineChars="200"/>
              <w:rPr>
                <w:rFonts w:ascii="宋体" w:hAnsi="宋体" w:cs="宋体"/>
                <w:sz w:val="21"/>
                <w:szCs w:val="21"/>
                <w:highlight w:val="none"/>
              </w:rPr>
            </w:pPr>
            <w:r>
              <w:rPr>
                <w:rFonts w:hint="eastAsia" w:ascii="宋体" w:hAnsi="宋体" w:cs="宋体"/>
                <w:sz w:val="21"/>
                <w:szCs w:val="21"/>
                <w:highlight w:val="none"/>
              </w:rPr>
              <w:t>6、如</w:t>
            </w:r>
            <w:r>
              <w:rPr>
                <w:rFonts w:hint="eastAsia" w:ascii="宋体" w:hAnsi="宋体" w:cs="宋体"/>
                <w:sz w:val="21"/>
                <w:szCs w:val="21"/>
                <w:highlight w:val="none"/>
                <w:lang w:eastAsia="zh-CN"/>
              </w:rPr>
              <w:t>供应方</w:t>
            </w:r>
            <w:r>
              <w:rPr>
                <w:rFonts w:hint="eastAsia" w:ascii="宋体" w:hAnsi="宋体" w:cs="宋体"/>
                <w:sz w:val="21"/>
                <w:szCs w:val="21"/>
                <w:highlight w:val="none"/>
              </w:rPr>
              <w:t>合同内出现质量问题造成重大事故或经济损失时，不因</w:t>
            </w:r>
            <w:r>
              <w:rPr>
                <w:rFonts w:hint="eastAsia" w:ascii="宋体" w:hAnsi="宋体" w:cs="宋体"/>
                <w:sz w:val="21"/>
                <w:szCs w:val="21"/>
                <w:highlight w:val="none"/>
                <w:lang w:eastAsia="zh-CN"/>
              </w:rPr>
              <w:t>采购方</w:t>
            </w:r>
            <w:r>
              <w:rPr>
                <w:rFonts w:hint="eastAsia" w:ascii="宋体" w:hAnsi="宋体" w:cs="宋体"/>
                <w:sz w:val="21"/>
                <w:szCs w:val="21"/>
                <w:highlight w:val="none"/>
              </w:rPr>
              <w:t>已进行质量验收而免除</w:t>
            </w:r>
            <w:r>
              <w:rPr>
                <w:rFonts w:hint="eastAsia" w:ascii="宋体" w:hAnsi="宋体" w:cs="宋体"/>
                <w:sz w:val="21"/>
                <w:szCs w:val="21"/>
                <w:highlight w:val="none"/>
                <w:lang w:eastAsia="zh-CN"/>
              </w:rPr>
              <w:t>供应方</w:t>
            </w:r>
            <w:r>
              <w:rPr>
                <w:rFonts w:hint="eastAsia" w:ascii="宋体" w:hAnsi="宋体" w:cs="宋体"/>
                <w:sz w:val="21"/>
                <w:szCs w:val="21"/>
                <w:highlight w:val="none"/>
              </w:rPr>
              <w:t>更换或赔偿经济损失的责任。</w:t>
            </w:r>
          </w:p>
          <w:p w14:paraId="0F706B54">
            <w:pPr>
              <w:pStyle w:val="43"/>
              <w:snapToGrid w:val="0"/>
              <w:spacing w:line="300" w:lineRule="exact"/>
              <w:ind w:firstLine="420" w:firstLineChars="200"/>
              <w:rPr>
                <w:rFonts w:ascii="宋体" w:hAnsi="宋体" w:cs="宋体"/>
                <w:szCs w:val="21"/>
                <w:highlight w:val="none"/>
              </w:rPr>
            </w:pPr>
            <w:r>
              <w:rPr>
                <w:rFonts w:hint="eastAsia" w:ascii="宋体" w:hAnsi="宋体" w:cs="宋体"/>
                <w:szCs w:val="21"/>
                <w:highlight w:val="none"/>
              </w:rPr>
              <w:t>7、如</w:t>
            </w:r>
            <w:r>
              <w:rPr>
                <w:rFonts w:hint="eastAsia" w:ascii="宋体" w:hAnsi="宋体" w:cs="宋体"/>
                <w:szCs w:val="21"/>
                <w:highlight w:val="none"/>
                <w:lang w:eastAsia="zh-CN"/>
              </w:rPr>
              <w:t>供应方</w:t>
            </w:r>
            <w:r>
              <w:rPr>
                <w:rFonts w:hint="eastAsia" w:ascii="宋体" w:hAnsi="宋体" w:cs="宋体"/>
                <w:szCs w:val="21"/>
                <w:highlight w:val="none"/>
              </w:rPr>
              <w:t>向</w:t>
            </w:r>
            <w:r>
              <w:rPr>
                <w:rFonts w:hint="eastAsia" w:ascii="宋体" w:hAnsi="宋体" w:cs="宋体"/>
                <w:szCs w:val="21"/>
                <w:highlight w:val="none"/>
                <w:lang w:eastAsia="zh-CN"/>
              </w:rPr>
              <w:t>采购方</w:t>
            </w:r>
            <w:r>
              <w:rPr>
                <w:rFonts w:hint="eastAsia" w:ascii="宋体" w:hAnsi="宋体" w:cs="宋体"/>
                <w:szCs w:val="21"/>
                <w:highlight w:val="none"/>
              </w:rPr>
              <w:t>提供的所有产品证明及检测报告等有虚假情况视为违约，违约金为合同总金额</w:t>
            </w:r>
            <w:r>
              <w:rPr>
                <w:rFonts w:hint="eastAsia" w:ascii="宋体" w:hAnsi="宋体" w:cs="宋体"/>
                <w:kern w:val="0"/>
                <w:szCs w:val="21"/>
                <w:highlight w:val="none"/>
              </w:rPr>
              <w:t>的2%。</w:t>
            </w:r>
          </w:p>
        </w:tc>
      </w:tr>
      <w:tr w14:paraId="68BB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12" w:type="dxa"/>
            <w:vAlign w:val="center"/>
          </w:tcPr>
          <w:p w14:paraId="396878BF">
            <w:pPr>
              <w:snapToGrid w:val="0"/>
              <w:spacing w:line="300" w:lineRule="exact"/>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9</w:t>
            </w:r>
          </w:p>
        </w:tc>
        <w:tc>
          <w:tcPr>
            <w:tcW w:w="1975" w:type="dxa"/>
            <w:vAlign w:val="center"/>
          </w:tcPr>
          <w:p w14:paraId="6D536D2C">
            <w:pPr>
              <w:snapToGrid w:val="0"/>
              <w:spacing w:line="300" w:lineRule="exact"/>
              <w:jc w:val="center"/>
              <w:rPr>
                <w:rFonts w:ascii="宋体" w:hAnsi="宋体" w:cs="宋体"/>
                <w:sz w:val="21"/>
                <w:szCs w:val="21"/>
                <w:highlight w:val="none"/>
              </w:rPr>
            </w:pPr>
            <w:r>
              <w:rPr>
                <w:rFonts w:hint="eastAsia" w:ascii="宋体" w:hAnsi="宋体" w:cs="宋体"/>
                <w:sz w:val="21"/>
                <w:szCs w:val="21"/>
                <w:highlight w:val="none"/>
              </w:rPr>
              <w:t>样品</w:t>
            </w:r>
            <w:r>
              <w:rPr>
                <w:rFonts w:hint="eastAsia" w:ascii="宋体" w:hAnsi="宋体" w:cs="宋体"/>
                <w:sz w:val="21"/>
                <w:szCs w:val="21"/>
                <w:highlight w:val="none"/>
                <w:lang w:val="en-US" w:eastAsia="zh-CN"/>
              </w:rPr>
              <w:t>及检测</w:t>
            </w:r>
            <w:r>
              <w:rPr>
                <w:rFonts w:hint="eastAsia" w:ascii="宋体" w:hAnsi="宋体" w:cs="宋体"/>
                <w:sz w:val="21"/>
                <w:szCs w:val="21"/>
                <w:highlight w:val="none"/>
              </w:rPr>
              <w:t>要求</w:t>
            </w:r>
          </w:p>
        </w:tc>
        <w:tc>
          <w:tcPr>
            <w:tcW w:w="6338" w:type="dxa"/>
            <w:vAlign w:val="center"/>
          </w:tcPr>
          <w:p w14:paraId="0247BC85">
            <w:pPr>
              <w:snapToGrid w:val="0"/>
              <w:spacing w:line="30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相关材料包括但不限于石材、小品等，供应方需向采购方提供样品，甲方同意后方可进行使用，如供应方一直未提供合格样品，按照采购方要求整改期限届满计算逾期，如供应方拒不提供合格样品，视为无履约能力，采购方有权解除合同；</w:t>
            </w:r>
          </w:p>
          <w:p w14:paraId="4B88BC49">
            <w:pPr>
              <w:snapToGrid w:val="0"/>
              <w:spacing w:line="300" w:lineRule="exact"/>
              <w:ind w:firstLine="420" w:firstLineChars="200"/>
              <w:rPr>
                <w:rFonts w:hint="default"/>
                <w:highlight w:val="none"/>
                <w:lang w:val="en-US" w:eastAsia="zh-CN"/>
              </w:rPr>
            </w:pPr>
            <w:r>
              <w:rPr>
                <w:rFonts w:hint="eastAsia" w:ascii="宋体" w:hAnsi="宋体" w:cs="宋体"/>
                <w:sz w:val="21"/>
                <w:szCs w:val="21"/>
                <w:highlight w:val="none"/>
                <w:lang w:val="en-US" w:eastAsia="zh-CN"/>
              </w:rPr>
              <w:t>2.采购方有权要求供应方对混凝土强度，基础垫层等进行破坏性检测，供应方需对抽检部分进行无偿恢复，如抽检不合格采购方有权要求，按照图纸及</w:t>
            </w:r>
            <w:r>
              <w:rPr>
                <w:rFonts w:hint="eastAsia" w:ascii="宋体" w:hAnsi="宋体" w:cs="宋体"/>
                <w:b w:val="0"/>
                <w:bCs w:val="0"/>
                <w:sz w:val="21"/>
                <w:szCs w:val="21"/>
                <w:highlight w:val="none"/>
                <w:lang w:val="en-US" w:eastAsia="zh-CN"/>
              </w:rPr>
              <w:t>合同进行拆除返工，本周期不作为供应方工期顺延的条件。</w:t>
            </w:r>
          </w:p>
        </w:tc>
      </w:tr>
    </w:tbl>
    <w:p w14:paraId="581F1302">
      <w:pPr>
        <w:rPr>
          <w:rFonts w:hint="eastAsia" w:ascii="宋体" w:hAnsi="宋体" w:eastAsia="宋体" w:cs="宋体"/>
          <w:color w:val="auto"/>
          <w:kern w:val="2"/>
          <w:sz w:val="21"/>
          <w:szCs w:val="21"/>
          <w:highlight w:val="none"/>
          <w:lang w:val="en-US" w:eastAsia="zh-CN" w:bidi="ar-SA"/>
        </w:rPr>
        <w:sectPr>
          <w:pgSz w:w="11906" w:h="16838"/>
          <w:pgMar w:top="1361" w:right="1361" w:bottom="1361" w:left="1361" w:header="624" w:footer="1020" w:gutter="113"/>
          <w:pgNumType w:fmt="decimal"/>
          <w:cols w:space="720" w:num="1"/>
          <w:titlePg/>
          <w:rtlGutter w:val="0"/>
          <w:docGrid w:type="lines" w:linePitch="316" w:charSpace="0"/>
        </w:sectPr>
      </w:pPr>
    </w:p>
    <w:p w14:paraId="7A1EF107">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t>第八章  响应文件格式</w:t>
      </w:r>
      <w:bookmarkEnd w:id="404"/>
      <w:bookmarkEnd w:id="405"/>
      <w:bookmarkEnd w:id="406"/>
      <w:bookmarkEnd w:id="407"/>
      <w:bookmarkEnd w:id="408"/>
      <w:bookmarkEnd w:id="409"/>
      <w:bookmarkEnd w:id="410"/>
      <w:bookmarkEnd w:id="412"/>
    </w:p>
    <w:p w14:paraId="065EBB9E">
      <w:pPr>
        <w:spacing w:line="400" w:lineRule="exact"/>
        <w:rPr>
          <w:rFonts w:hint="eastAsia" w:ascii="宋体" w:hAnsi="宋体" w:eastAsia="宋体" w:cs="宋体"/>
          <w:color w:val="auto"/>
          <w:highlight w:val="none"/>
        </w:rPr>
      </w:pPr>
    </w:p>
    <w:p w14:paraId="0C2558CD">
      <w:pPr>
        <w:spacing w:line="400" w:lineRule="exact"/>
        <w:ind w:firstLine="68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32"/>
          <w:szCs w:val="32"/>
          <w:highlight w:val="none"/>
        </w:rPr>
        <w:t>正本/副本</w:t>
      </w:r>
    </w:p>
    <w:p w14:paraId="1751E6C2">
      <w:pPr>
        <w:spacing w:line="440" w:lineRule="exact"/>
        <w:rPr>
          <w:rFonts w:hint="eastAsia" w:ascii="宋体" w:hAnsi="宋体" w:eastAsia="宋体" w:cs="宋体"/>
          <w:color w:val="auto"/>
          <w:sz w:val="20"/>
          <w:szCs w:val="20"/>
          <w:highlight w:val="none"/>
        </w:rPr>
      </w:pPr>
    </w:p>
    <w:p w14:paraId="03C2C642">
      <w:pPr>
        <w:spacing w:line="440" w:lineRule="exact"/>
        <w:rPr>
          <w:rFonts w:hint="eastAsia" w:ascii="宋体" w:hAnsi="宋体" w:eastAsia="宋体" w:cs="宋体"/>
          <w:color w:val="auto"/>
          <w:sz w:val="20"/>
          <w:szCs w:val="20"/>
          <w:highlight w:val="none"/>
        </w:rPr>
      </w:pPr>
    </w:p>
    <w:p w14:paraId="66701BE4">
      <w:pPr>
        <w:jc w:val="center"/>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p>
    <w:p w14:paraId="05DF11F4">
      <w:pPr>
        <w:jc w:val="center"/>
        <w:rPr>
          <w:rFonts w:hint="eastAsia" w:ascii="宋体" w:hAnsi="宋体" w:eastAsia="宋体" w:cs="宋体"/>
          <w:color w:val="auto"/>
          <w:sz w:val="20"/>
          <w:szCs w:val="20"/>
          <w:highlight w:val="none"/>
        </w:rPr>
      </w:pPr>
    </w:p>
    <w:p w14:paraId="3AF2F775">
      <w:pPr>
        <w:rPr>
          <w:rFonts w:hint="eastAsia" w:ascii="宋体" w:hAnsi="宋体" w:eastAsia="宋体" w:cs="宋体"/>
          <w:color w:val="auto"/>
          <w:sz w:val="20"/>
          <w:szCs w:val="20"/>
          <w:highlight w:val="none"/>
        </w:rPr>
      </w:pPr>
    </w:p>
    <w:p w14:paraId="72F8C9AA">
      <w:pPr>
        <w:jc w:val="center"/>
        <w:rPr>
          <w:rFonts w:hint="eastAsia" w:ascii="宋体" w:hAnsi="宋体" w:eastAsia="宋体" w:cs="宋体"/>
          <w:color w:val="auto"/>
          <w:sz w:val="44"/>
          <w:szCs w:val="44"/>
          <w:highlight w:val="none"/>
        </w:rPr>
      </w:pPr>
    </w:p>
    <w:p w14:paraId="3FDB62C6">
      <w:pPr>
        <w:jc w:val="center"/>
        <w:rPr>
          <w:rFonts w:hint="eastAsia" w:ascii="宋体" w:hAnsi="宋体" w:eastAsia="宋体" w:cs="宋体"/>
          <w:color w:val="auto"/>
          <w:sz w:val="44"/>
          <w:szCs w:val="44"/>
          <w:highlight w:val="none"/>
        </w:rPr>
      </w:pPr>
    </w:p>
    <w:p w14:paraId="3B39A126">
      <w:pPr>
        <w:jc w:val="center"/>
        <w:rPr>
          <w:rFonts w:hint="eastAsia" w:ascii="宋体" w:hAnsi="宋体" w:eastAsia="宋体" w:cs="宋体"/>
          <w:color w:val="auto"/>
          <w:sz w:val="44"/>
          <w:szCs w:val="44"/>
          <w:highlight w:val="none"/>
        </w:rPr>
      </w:pPr>
    </w:p>
    <w:p w14:paraId="15BB8A18">
      <w:pPr>
        <w:jc w:val="center"/>
        <w:rPr>
          <w:rFonts w:hint="eastAsia" w:ascii="宋体" w:hAnsi="宋体" w:eastAsia="宋体" w:cs="宋体"/>
          <w:color w:val="auto"/>
          <w:sz w:val="44"/>
          <w:szCs w:val="44"/>
          <w:highlight w:val="none"/>
        </w:rPr>
      </w:pPr>
    </w:p>
    <w:p w14:paraId="0A9FB7DB">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响  应  文  件</w:t>
      </w:r>
    </w:p>
    <w:p w14:paraId="56C4E11C">
      <w:pPr>
        <w:rPr>
          <w:rFonts w:hint="eastAsia" w:ascii="宋体" w:hAnsi="宋体" w:eastAsia="宋体" w:cs="宋体"/>
          <w:color w:val="auto"/>
          <w:sz w:val="28"/>
          <w:szCs w:val="28"/>
          <w:highlight w:val="none"/>
        </w:rPr>
      </w:pPr>
    </w:p>
    <w:p w14:paraId="456ECF76">
      <w:pPr>
        <w:rPr>
          <w:rFonts w:hint="eastAsia" w:ascii="宋体" w:hAnsi="宋体" w:eastAsia="宋体" w:cs="宋体"/>
          <w:color w:val="auto"/>
          <w:sz w:val="28"/>
          <w:szCs w:val="28"/>
          <w:highlight w:val="none"/>
        </w:rPr>
      </w:pPr>
    </w:p>
    <w:p w14:paraId="62444DE7">
      <w:pPr>
        <w:rPr>
          <w:rFonts w:hint="eastAsia" w:ascii="宋体" w:hAnsi="宋体" w:eastAsia="宋体" w:cs="宋体"/>
          <w:color w:val="auto"/>
          <w:sz w:val="28"/>
          <w:szCs w:val="28"/>
          <w:highlight w:val="none"/>
        </w:rPr>
      </w:pPr>
    </w:p>
    <w:p w14:paraId="24174814">
      <w:pPr>
        <w:rPr>
          <w:rFonts w:hint="eastAsia" w:ascii="宋体" w:hAnsi="宋体" w:eastAsia="宋体" w:cs="宋体"/>
          <w:color w:val="auto"/>
          <w:sz w:val="28"/>
          <w:szCs w:val="28"/>
          <w:highlight w:val="none"/>
        </w:rPr>
      </w:pPr>
    </w:p>
    <w:p w14:paraId="6D968F44">
      <w:pPr>
        <w:rPr>
          <w:rFonts w:hint="eastAsia" w:ascii="宋体" w:hAnsi="宋体" w:eastAsia="宋体" w:cs="宋体"/>
          <w:color w:val="auto"/>
          <w:sz w:val="28"/>
          <w:szCs w:val="28"/>
          <w:highlight w:val="none"/>
        </w:rPr>
      </w:pPr>
    </w:p>
    <w:p w14:paraId="605CCADE">
      <w:pPr>
        <w:rPr>
          <w:rFonts w:hint="eastAsia" w:ascii="宋体" w:hAnsi="宋体" w:eastAsia="宋体" w:cs="宋体"/>
          <w:color w:val="auto"/>
          <w:sz w:val="28"/>
          <w:szCs w:val="28"/>
          <w:highlight w:val="none"/>
        </w:rPr>
      </w:pPr>
    </w:p>
    <w:p w14:paraId="225211E7">
      <w:pPr>
        <w:rPr>
          <w:rFonts w:hint="eastAsia" w:ascii="宋体" w:hAnsi="宋体" w:eastAsia="宋体" w:cs="宋体"/>
          <w:color w:val="auto"/>
          <w:sz w:val="28"/>
          <w:szCs w:val="28"/>
          <w:highlight w:val="none"/>
        </w:rPr>
      </w:pPr>
    </w:p>
    <w:p w14:paraId="5127B377">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5FB48EB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p>
    <w:p w14:paraId="4E15D2CF">
      <w:pPr>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r>
        <w:rPr>
          <w:rFonts w:hint="eastAsia" w:ascii="宋体" w:hAnsi="宋体" w:eastAsia="宋体" w:cs="宋体"/>
          <w:color w:val="auto"/>
          <w:sz w:val="20"/>
          <w:szCs w:val="20"/>
          <w:highlight w:val="none"/>
        </w:rPr>
        <w:br w:type="page"/>
      </w:r>
    </w:p>
    <w:p w14:paraId="4F10FA06">
      <w:pPr>
        <w:jc w:val="center"/>
        <w:rPr>
          <w:rFonts w:hint="eastAsia" w:ascii="宋体" w:hAnsi="宋体" w:eastAsia="宋体" w:cs="宋体"/>
          <w:b/>
          <w:color w:val="auto"/>
          <w:sz w:val="28"/>
          <w:szCs w:val="28"/>
          <w:highlight w:val="none"/>
        </w:rPr>
      </w:pPr>
      <w:bookmarkStart w:id="413" w:name="_Toc246996355"/>
      <w:bookmarkStart w:id="414" w:name="_Toc179632807"/>
      <w:bookmarkStart w:id="415" w:name="_Toc247085873"/>
      <w:bookmarkStart w:id="416" w:name="_Toc152045787"/>
      <w:bookmarkStart w:id="417" w:name="_Toc246997098"/>
      <w:bookmarkStart w:id="418" w:name="_Toc152042576"/>
      <w:bookmarkStart w:id="419" w:name="_Toc144974856"/>
      <w:r>
        <w:rPr>
          <w:rFonts w:hint="eastAsia" w:ascii="宋体" w:hAnsi="宋体" w:eastAsia="宋体" w:cs="宋体"/>
          <w:b/>
          <w:color w:val="auto"/>
          <w:sz w:val="28"/>
          <w:szCs w:val="28"/>
          <w:highlight w:val="none"/>
        </w:rPr>
        <w:t>目    录</w:t>
      </w:r>
      <w:bookmarkEnd w:id="413"/>
      <w:bookmarkEnd w:id="414"/>
      <w:bookmarkEnd w:id="415"/>
      <w:bookmarkEnd w:id="416"/>
      <w:bookmarkEnd w:id="417"/>
      <w:bookmarkEnd w:id="418"/>
      <w:bookmarkEnd w:id="419"/>
    </w:p>
    <w:p w14:paraId="39249194">
      <w:pPr>
        <w:spacing w:line="540" w:lineRule="exact"/>
        <w:rPr>
          <w:rFonts w:hint="eastAsia" w:ascii="宋体" w:hAnsi="宋体" w:eastAsia="宋体" w:cs="宋体"/>
          <w:color w:val="auto"/>
          <w:highlight w:val="none"/>
        </w:rPr>
      </w:pPr>
    </w:p>
    <w:p w14:paraId="3143A778">
      <w:pPr>
        <w:spacing w:line="54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格式自拟</w:t>
      </w:r>
    </w:p>
    <w:p w14:paraId="50F46DBF">
      <w:pPr>
        <w:spacing w:line="360" w:lineRule="auto"/>
        <w:rPr>
          <w:rFonts w:hint="eastAsia" w:ascii="宋体" w:hAnsi="宋体" w:eastAsia="宋体" w:cs="宋体"/>
          <w:color w:val="auto"/>
          <w:szCs w:val="21"/>
          <w:highlight w:val="none"/>
        </w:rPr>
      </w:pPr>
    </w:p>
    <w:p w14:paraId="22FC2119">
      <w:pPr>
        <w:spacing w:line="360" w:lineRule="auto"/>
        <w:rPr>
          <w:rFonts w:hint="eastAsia" w:ascii="宋体" w:hAnsi="宋体" w:eastAsia="宋体" w:cs="宋体"/>
          <w:color w:val="auto"/>
          <w:szCs w:val="21"/>
          <w:highlight w:val="none"/>
        </w:rPr>
      </w:pPr>
    </w:p>
    <w:p w14:paraId="3ACD946A">
      <w:pPr>
        <w:spacing w:line="360" w:lineRule="auto"/>
        <w:rPr>
          <w:rFonts w:hint="eastAsia" w:ascii="宋体" w:hAnsi="宋体" w:eastAsia="宋体" w:cs="宋体"/>
          <w:color w:val="auto"/>
          <w:szCs w:val="21"/>
          <w:highlight w:val="none"/>
        </w:rPr>
      </w:pPr>
    </w:p>
    <w:p w14:paraId="3CC0A675">
      <w:pPr>
        <w:spacing w:line="360" w:lineRule="auto"/>
        <w:rPr>
          <w:rFonts w:hint="eastAsia" w:ascii="宋体" w:hAnsi="宋体" w:eastAsia="宋体" w:cs="宋体"/>
          <w:color w:val="auto"/>
          <w:szCs w:val="21"/>
          <w:highlight w:val="none"/>
        </w:rPr>
      </w:pPr>
    </w:p>
    <w:p w14:paraId="2E68B426">
      <w:pPr>
        <w:spacing w:line="360" w:lineRule="auto"/>
        <w:rPr>
          <w:rFonts w:hint="eastAsia" w:ascii="宋体" w:hAnsi="宋体" w:eastAsia="宋体" w:cs="宋体"/>
          <w:color w:val="auto"/>
          <w:szCs w:val="21"/>
          <w:highlight w:val="none"/>
        </w:rPr>
      </w:pPr>
    </w:p>
    <w:p w14:paraId="462BF32C">
      <w:pPr>
        <w:spacing w:line="360" w:lineRule="auto"/>
        <w:rPr>
          <w:rFonts w:hint="eastAsia" w:ascii="宋体" w:hAnsi="宋体" w:eastAsia="宋体" w:cs="宋体"/>
          <w:color w:val="auto"/>
          <w:szCs w:val="21"/>
          <w:highlight w:val="none"/>
        </w:rPr>
      </w:pPr>
    </w:p>
    <w:p w14:paraId="5610D16C">
      <w:pPr>
        <w:spacing w:line="360" w:lineRule="auto"/>
        <w:rPr>
          <w:rFonts w:hint="eastAsia" w:ascii="宋体" w:hAnsi="宋体" w:eastAsia="宋体" w:cs="宋体"/>
          <w:color w:val="auto"/>
          <w:szCs w:val="21"/>
          <w:highlight w:val="none"/>
        </w:rPr>
      </w:pPr>
    </w:p>
    <w:p w14:paraId="68C7986E">
      <w:pPr>
        <w:spacing w:line="360" w:lineRule="auto"/>
        <w:rPr>
          <w:rFonts w:hint="eastAsia" w:ascii="宋体" w:hAnsi="宋体" w:eastAsia="宋体" w:cs="宋体"/>
          <w:color w:val="auto"/>
          <w:szCs w:val="21"/>
          <w:highlight w:val="none"/>
        </w:rPr>
      </w:pPr>
    </w:p>
    <w:p w14:paraId="6B730DDD">
      <w:pPr>
        <w:spacing w:line="540" w:lineRule="exact"/>
        <w:rPr>
          <w:rFonts w:hint="eastAsia" w:ascii="宋体" w:hAnsi="宋体" w:eastAsia="宋体" w:cs="宋体"/>
          <w:color w:val="auto"/>
          <w:sz w:val="20"/>
          <w:szCs w:val="20"/>
          <w:highlight w:val="none"/>
        </w:rPr>
      </w:pPr>
    </w:p>
    <w:p w14:paraId="293E83BB">
      <w:pPr>
        <w:spacing w:line="540" w:lineRule="exact"/>
        <w:rPr>
          <w:rFonts w:hint="eastAsia" w:ascii="宋体" w:hAnsi="宋体" w:eastAsia="宋体" w:cs="宋体"/>
          <w:color w:val="auto"/>
          <w:sz w:val="20"/>
          <w:szCs w:val="20"/>
          <w:highlight w:val="none"/>
        </w:rPr>
      </w:pPr>
    </w:p>
    <w:p w14:paraId="4172CCB8">
      <w:pPr>
        <w:spacing w:line="540" w:lineRule="exact"/>
        <w:rPr>
          <w:rFonts w:hint="eastAsia" w:ascii="宋体" w:hAnsi="宋体" w:eastAsia="宋体" w:cs="宋体"/>
          <w:color w:val="auto"/>
          <w:sz w:val="20"/>
          <w:szCs w:val="20"/>
          <w:highlight w:val="none"/>
        </w:rPr>
      </w:pPr>
    </w:p>
    <w:p w14:paraId="1DFE784E">
      <w:pPr>
        <w:spacing w:line="540" w:lineRule="exact"/>
        <w:rPr>
          <w:rFonts w:hint="eastAsia" w:ascii="宋体" w:hAnsi="宋体" w:eastAsia="宋体" w:cs="宋体"/>
          <w:color w:val="auto"/>
          <w:sz w:val="20"/>
          <w:szCs w:val="20"/>
          <w:highlight w:val="none"/>
        </w:rPr>
      </w:pPr>
    </w:p>
    <w:p w14:paraId="4D88067F">
      <w:pPr>
        <w:spacing w:line="540" w:lineRule="exact"/>
        <w:rPr>
          <w:rFonts w:hint="eastAsia" w:ascii="宋体" w:hAnsi="宋体" w:eastAsia="宋体" w:cs="宋体"/>
          <w:color w:val="auto"/>
          <w:sz w:val="20"/>
          <w:szCs w:val="20"/>
          <w:highlight w:val="none"/>
        </w:rPr>
      </w:pPr>
    </w:p>
    <w:p w14:paraId="4BC1D8AB">
      <w:pPr>
        <w:spacing w:line="540" w:lineRule="exact"/>
        <w:rPr>
          <w:rFonts w:hint="eastAsia" w:ascii="宋体" w:hAnsi="宋体" w:eastAsia="宋体" w:cs="宋体"/>
          <w:color w:val="auto"/>
          <w:sz w:val="20"/>
          <w:szCs w:val="20"/>
          <w:highlight w:val="none"/>
        </w:rPr>
      </w:pPr>
    </w:p>
    <w:p w14:paraId="5C2CBC0C">
      <w:pPr>
        <w:spacing w:line="540" w:lineRule="exact"/>
        <w:rPr>
          <w:rFonts w:hint="eastAsia" w:ascii="宋体" w:hAnsi="宋体" w:eastAsia="宋体" w:cs="宋体"/>
          <w:color w:val="auto"/>
          <w:sz w:val="20"/>
          <w:szCs w:val="20"/>
          <w:highlight w:val="none"/>
        </w:rPr>
      </w:pPr>
    </w:p>
    <w:p w14:paraId="3FD9997E">
      <w:pPr>
        <w:spacing w:line="540" w:lineRule="exact"/>
        <w:rPr>
          <w:rFonts w:hint="eastAsia" w:ascii="宋体" w:hAnsi="宋体" w:eastAsia="宋体" w:cs="宋体"/>
          <w:color w:val="auto"/>
          <w:sz w:val="20"/>
          <w:szCs w:val="20"/>
          <w:highlight w:val="none"/>
        </w:rPr>
      </w:pPr>
    </w:p>
    <w:p w14:paraId="074CF3B7">
      <w:pPr>
        <w:jc w:val="center"/>
        <w:rPr>
          <w:rFonts w:hint="eastAsia" w:ascii="宋体" w:hAnsi="宋体" w:eastAsia="宋体" w:cs="宋体"/>
          <w:b/>
          <w:color w:val="auto"/>
          <w:sz w:val="24"/>
          <w:szCs w:val="24"/>
          <w:highlight w:val="none"/>
        </w:rPr>
      </w:pPr>
      <w:bookmarkStart w:id="420" w:name="_Toc246996356"/>
      <w:bookmarkStart w:id="421" w:name="_Toc247085874"/>
      <w:bookmarkStart w:id="422" w:name="_Toc144974857"/>
      <w:bookmarkStart w:id="423" w:name="_Toc152045788"/>
      <w:bookmarkStart w:id="424" w:name="_Toc152042577"/>
      <w:bookmarkStart w:id="425" w:name="_Toc179632808"/>
      <w:bookmarkStart w:id="426" w:name="_Toc246997099"/>
      <w:r>
        <w:rPr>
          <w:rFonts w:hint="eastAsia" w:ascii="宋体" w:hAnsi="宋体" w:eastAsia="宋体" w:cs="宋体"/>
          <w:color w:val="auto"/>
          <w:highlight w:val="none"/>
        </w:rPr>
        <w:br w:type="page"/>
      </w:r>
      <w:bookmarkEnd w:id="420"/>
      <w:bookmarkEnd w:id="421"/>
      <w:bookmarkEnd w:id="422"/>
      <w:bookmarkEnd w:id="423"/>
      <w:bookmarkEnd w:id="424"/>
      <w:bookmarkEnd w:id="425"/>
      <w:bookmarkEnd w:id="426"/>
      <w:r>
        <w:rPr>
          <w:rFonts w:hint="eastAsia" w:ascii="宋体" w:hAnsi="宋体" w:eastAsia="宋体" w:cs="宋体"/>
          <w:b/>
          <w:color w:val="auto"/>
          <w:sz w:val="24"/>
          <w:szCs w:val="24"/>
          <w:highlight w:val="none"/>
        </w:rPr>
        <w:t>一、投标函及投标函附录</w:t>
      </w:r>
    </w:p>
    <w:p w14:paraId="6B793611">
      <w:pPr>
        <w:jc w:val="center"/>
        <w:rPr>
          <w:rFonts w:hint="eastAsia" w:ascii="宋体" w:hAnsi="宋体" w:eastAsia="宋体" w:cs="宋体"/>
          <w:b/>
          <w:color w:val="auto"/>
          <w:sz w:val="24"/>
          <w:szCs w:val="24"/>
          <w:highlight w:val="none"/>
        </w:rPr>
      </w:pPr>
      <w:bookmarkStart w:id="427" w:name="_Toc246997100"/>
      <w:bookmarkStart w:id="428" w:name="_Toc152042578"/>
      <w:bookmarkStart w:id="429" w:name="_Toc247085875"/>
      <w:bookmarkStart w:id="430" w:name="_Toc246996357"/>
      <w:bookmarkStart w:id="431" w:name="_Toc144974858"/>
      <w:bookmarkStart w:id="432" w:name="_Toc179632809"/>
      <w:bookmarkStart w:id="433" w:name="_Toc152045789"/>
      <w:r>
        <w:rPr>
          <w:rFonts w:hint="eastAsia" w:ascii="宋体" w:hAnsi="宋体" w:eastAsia="宋体" w:cs="宋体"/>
          <w:b/>
          <w:color w:val="auto"/>
          <w:sz w:val="24"/>
          <w:szCs w:val="24"/>
          <w:highlight w:val="none"/>
        </w:rPr>
        <w:t>（一）投标函</w:t>
      </w:r>
      <w:bookmarkEnd w:id="427"/>
      <w:bookmarkEnd w:id="428"/>
      <w:bookmarkEnd w:id="429"/>
      <w:bookmarkEnd w:id="430"/>
      <w:bookmarkEnd w:id="431"/>
      <w:bookmarkEnd w:id="432"/>
      <w:bookmarkEnd w:id="433"/>
    </w:p>
    <w:p w14:paraId="492240E2">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名称）：</w:t>
      </w:r>
    </w:p>
    <w:p w14:paraId="3A58260D">
      <w:pPr>
        <w:spacing w:line="440" w:lineRule="exact"/>
        <w:rPr>
          <w:rFonts w:hint="eastAsia" w:ascii="宋体" w:hAnsi="宋体" w:eastAsia="宋体" w:cs="宋体"/>
          <w:color w:val="auto"/>
          <w:sz w:val="24"/>
          <w:szCs w:val="24"/>
          <w:highlight w:val="none"/>
        </w:rPr>
      </w:pPr>
    </w:p>
    <w:p w14:paraId="3F693CD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1．我方已仔细研究了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（项目名称）竞争性磋商文件的全部内容，愿意以</w:t>
      </w:r>
      <w:r>
        <w:rPr>
          <w:rFonts w:hint="eastAsia" w:ascii="宋体" w:hAnsi="宋体" w:eastAsia="宋体" w:cs="宋体"/>
          <w:color w:val="auto"/>
          <w:kern w:val="0"/>
          <w:sz w:val="24"/>
          <w:szCs w:val="24"/>
          <w:highlight w:val="none"/>
        </w:rPr>
        <w:t>人民币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大写</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小写</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元）的投标报价，</w:t>
      </w:r>
      <w:r>
        <w:rPr>
          <w:rFonts w:hint="eastAsia" w:ascii="宋体" w:hAnsi="宋体" w:eastAsia="宋体" w:cs="宋体"/>
          <w:color w:val="auto"/>
          <w:sz w:val="24"/>
          <w:szCs w:val="24"/>
          <w:highlight w:val="none"/>
          <w:lang w:val="en-US" w:eastAsia="zh-CN"/>
        </w:rPr>
        <w:t>合同履行期限（计划工期）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，按合同约定实施和完成承包工程，修补工程中的任何缺陷，工程质量达到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5E9AFD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2．我方承诺在竞争性磋商文件规定的</w:t>
      </w:r>
      <w:r>
        <w:rPr>
          <w:rFonts w:hint="eastAsia" w:hAnsi="宋体" w:cs="宋体"/>
          <w:color w:val="auto"/>
          <w:sz w:val="24"/>
          <w:szCs w:val="24"/>
          <w:highlight w:val="none"/>
          <w:lang w:eastAsia="zh-CN"/>
        </w:rPr>
        <w:t>磋商有效期</w:t>
      </w:r>
      <w:r>
        <w:rPr>
          <w:rFonts w:hint="eastAsia" w:ascii="宋体" w:hAnsi="宋体" w:eastAsia="宋体" w:cs="宋体"/>
          <w:color w:val="auto"/>
          <w:sz w:val="24"/>
          <w:szCs w:val="24"/>
          <w:highlight w:val="none"/>
        </w:rPr>
        <w:t>内不修改、撤销响应文件。</w:t>
      </w:r>
    </w:p>
    <w:p w14:paraId="5D2C9CB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3．如我方中标：</w:t>
      </w:r>
    </w:p>
    <w:p w14:paraId="631F4270">
      <w:pPr>
        <w:spacing w:line="440" w:lineRule="exact"/>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（1）我方承诺在收到中标通知书后，在中标通知书规定的期限内与你方签订合同。</w:t>
      </w:r>
    </w:p>
    <w:p w14:paraId="7D133692">
      <w:pPr>
        <w:spacing w:line="440" w:lineRule="exact"/>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（2）随同本投标函递交的投标函附录属于合同文件的组成部分。</w:t>
      </w:r>
    </w:p>
    <w:p w14:paraId="59B75F9D">
      <w:pPr>
        <w:spacing w:line="440" w:lineRule="exact"/>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（3）我方承诺按照竞争性磋商文件规定向你方递交履约担保。</w:t>
      </w:r>
    </w:p>
    <w:p w14:paraId="44933BEA">
      <w:pPr>
        <w:spacing w:line="440" w:lineRule="exact"/>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（4）我方承诺在合同约定的期限内完成并移交全部合同工程。</w:t>
      </w:r>
    </w:p>
    <w:p w14:paraId="150D42D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4．我方在此声明，所递交的响应文件及有关资料内容完整、真实和准确，且不存在第二章“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须知”第1.4.2项和第1.4.3项规定的任何一种情形。</w:t>
      </w:r>
    </w:p>
    <w:p w14:paraId="58F1A60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（其他补充说明）。</w:t>
      </w:r>
    </w:p>
    <w:p w14:paraId="385D91A0">
      <w:pPr>
        <w:spacing w:line="440" w:lineRule="exact"/>
        <w:rPr>
          <w:rFonts w:hint="eastAsia" w:ascii="宋体" w:hAnsi="宋体" w:eastAsia="宋体" w:cs="宋体"/>
          <w:color w:val="auto"/>
          <w:sz w:val="24"/>
          <w:szCs w:val="24"/>
          <w:highlight w:val="none"/>
        </w:rPr>
      </w:pPr>
    </w:p>
    <w:p w14:paraId="555DEBFF">
      <w:pPr>
        <w:spacing w:line="440" w:lineRule="exact"/>
        <w:ind w:firstLine="4200" w:firstLineChars="17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7F5B1803">
      <w:pPr>
        <w:spacing w:line="440" w:lineRule="exact"/>
        <w:ind w:firstLine="4200" w:firstLineChars="17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44468E8D">
      <w:pPr>
        <w:spacing w:line="440" w:lineRule="exact"/>
        <w:ind w:firstLine="4200" w:firstLineChars="17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48FE232B">
      <w:pPr>
        <w:spacing w:line="440" w:lineRule="exact"/>
        <w:ind w:firstLine="4200" w:firstLineChars="17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u w:val="single"/>
        </w:rPr>
        <w:t xml:space="preserve">                                     </w:t>
      </w:r>
    </w:p>
    <w:p w14:paraId="5DE3EB02">
      <w:pPr>
        <w:spacing w:line="440" w:lineRule="exact"/>
        <w:ind w:firstLine="4200" w:firstLineChars="17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14:paraId="7AF2E49A">
      <w:pPr>
        <w:spacing w:line="440" w:lineRule="exact"/>
        <w:ind w:firstLine="4200" w:firstLineChars="17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553226DA">
      <w:pPr>
        <w:spacing w:line="440" w:lineRule="exact"/>
        <w:ind w:firstLine="4200" w:firstLineChars="17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617A1091">
      <w:pPr>
        <w:spacing w:line="440" w:lineRule="exact"/>
        <w:ind w:firstLine="5760" w:firstLineChars="2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ECF9532">
      <w:pPr>
        <w:spacing w:line="440" w:lineRule="exact"/>
        <w:rPr>
          <w:rFonts w:hint="eastAsia" w:ascii="宋体" w:hAnsi="宋体" w:eastAsia="宋体" w:cs="宋体"/>
          <w:color w:val="auto"/>
          <w:sz w:val="24"/>
          <w:szCs w:val="24"/>
          <w:highlight w:val="none"/>
        </w:rPr>
      </w:pPr>
    </w:p>
    <w:p w14:paraId="2B6D0C80">
      <w:pPr>
        <w:spacing w:line="440" w:lineRule="exact"/>
        <w:rPr>
          <w:rFonts w:hint="eastAsia" w:ascii="宋体" w:hAnsi="宋体" w:eastAsia="宋体" w:cs="宋体"/>
          <w:color w:val="auto"/>
          <w:sz w:val="24"/>
          <w:szCs w:val="24"/>
          <w:highlight w:val="none"/>
        </w:rPr>
      </w:pPr>
    </w:p>
    <w:p w14:paraId="1FC2EA19">
      <w:pPr>
        <w:jc w:val="center"/>
        <w:rPr>
          <w:rFonts w:hint="eastAsia" w:ascii="宋体" w:hAnsi="宋体" w:eastAsia="宋体" w:cs="宋体"/>
          <w:color w:val="auto"/>
          <w:sz w:val="24"/>
          <w:szCs w:val="24"/>
          <w:highlight w:val="none"/>
        </w:rPr>
      </w:pPr>
      <w:bookmarkStart w:id="434" w:name="_Toc144974859"/>
      <w:bookmarkStart w:id="435" w:name="_Toc152042579"/>
      <w:bookmarkStart w:id="436" w:name="_Toc247085876"/>
      <w:bookmarkStart w:id="437" w:name="_Toc246996358"/>
      <w:bookmarkStart w:id="438" w:name="_Toc246997101"/>
      <w:bookmarkStart w:id="439" w:name="_Toc179632810"/>
      <w:bookmarkStart w:id="440" w:name="_Toc152045790"/>
      <w:r>
        <w:rPr>
          <w:rFonts w:hint="eastAsia" w:ascii="宋体" w:hAnsi="宋体" w:eastAsia="宋体" w:cs="宋体"/>
          <w:color w:val="auto"/>
          <w:sz w:val="24"/>
          <w:szCs w:val="24"/>
          <w:highlight w:val="none"/>
        </w:rPr>
        <w:br w:type="page"/>
      </w:r>
      <w:r>
        <w:rPr>
          <w:rFonts w:hint="eastAsia" w:ascii="宋体" w:hAnsi="宋体" w:eastAsia="宋体" w:cs="宋体"/>
          <w:b/>
          <w:color w:val="auto"/>
          <w:sz w:val="24"/>
          <w:szCs w:val="24"/>
          <w:highlight w:val="none"/>
        </w:rPr>
        <w:t>（二）投标函附录</w:t>
      </w:r>
      <w:bookmarkEnd w:id="434"/>
      <w:bookmarkEnd w:id="435"/>
      <w:bookmarkEnd w:id="436"/>
      <w:bookmarkEnd w:id="437"/>
      <w:bookmarkEnd w:id="438"/>
      <w:bookmarkEnd w:id="439"/>
      <w:bookmarkEnd w:id="440"/>
    </w:p>
    <w:tbl>
      <w:tblPr>
        <w:tblStyle w:val="26"/>
        <w:tblW w:w="49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3370"/>
        <w:gridCol w:w="3896"/>
        <w:gridCol w:w="1035"/>
      </w:tblGrid>
      <w:tr w14:paraId="14A7A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504" w:type="pct"/>
            <w:tcBorders>
              <w:top w:val="single" w:color="auto" w:sz="4" w:space="0"/>
              <w:left w:val="single" w:color="auto" w:sz="4" w:space="0"/>
              <w:bottom w:val="single" w:color="auto" w:sz="4" w:space="0"/>
              <w:right w:val="single" w:color="auto" w:sz="4" w:space="0"/>
            </w:tcBorders>
            <w:vAlign w:val="center"/>
          </w:tcPr>
          <w:p w14:paraId="1667FEC3">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824" w:type="pct"/>
            <w:tcBorders>
              <w:top w:val="single" w:color="auto" w:sz="4" w:space="0"/>
              <w:left w:val="single" w:color="auto" w:sz="4" w:space="0"/>
              <w:bottom w:val="single" w:color="auto" w:sz="4" w:space="0"/>
              <w:right w:val="single" w:color="auto" w:sz="4" w:space="0"/>
            </w:tcBorders>
            <w:vAlign w:val="center"/>
          </w:tcPr>
          <w:p w14:paraId="52C92FCE">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2109" w:type="pct"/>
            <w:tcBorders>
              <w:top w:val="single" w:color="auto" w:sz="4" w:space="0"/>
              <w:left w:val="single" w:color="auto" w:sz="4" w:space="0"/>
              <w:bottom w:val="single" w:color="auto" w:sz="4" w:space="0"/>
              <w:right w:val="single" w:color="auto" w:sz="4" w:space="0"/>
            </w:tcBorders>
            <w:vAlign w:val="center"/>
          </w:tcPr>
          <w:p w14:paraId="3BF656EE">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c>
          <w:tcPr>
            <w:tcW w:w="560" w:type="pct"/>
            <w:tcBorders>
              <w:top w:val="single" w:color="auto" w:sz="4" w:space="0"/>
              <w:left w:val="single" w:color="auto" w:sz="4" w:space="0"/>
              <w:bottom w:val="single" w:color="auto" w:sz="4" w:space="0"/>
              <w:right w:val="single" w:color="auto" w:sz="4" w:space="0"/>
            </w:tcBorders>
            <w:vAlign w:val="center"/>
          </w:tcPr>
          <w:p w14:paraId="45A74E58">
            <w:pPr>
              <w:spacing w:line="440" w:lineRule="exact"/>
              <w:jc w:val="center"/>
              <w:rPr>
                <w:rFonts w:hint="eastAsia" w:hAnsi="宋体" w:cs="宋体"/>
                <w:b/>
                <w:color w:val="auto"/>
                <w:sz w:val="24"/>
                <w:szCs w:val="24"/>
                <w:highlight w:val="none"/>
                <w:lang w:eastAsia="zh-CN"/>
              </w:rPr>
            </w:pPr>
            <w:r>
              <w:rPr>
                <w:rFonts w:hint="eastAsia" w:hAnsi="宋体" w:cs="宋体"/>
                <w:b/>
                <w:color w:val="auto"/>
                <w:sz w:val="24"/>
                <w:szCs w:val="24"/>
                <w:highlight w:val="none"/>
                <w:lang w:eastAsia="zh-CN"/>
              </w:rPr>
              <w:t>是否</w:t>
            </w:r>
          </w:p>
          <w:p w14:paraId="47839A36">
            <w:pPr>
              <w:spacing w:line="440" w:lineRule="exact"/>
              <w:jc w:val="center"/>
              <w:rPr>
                <w:rFonts w:hint="eastAsia" w:ascii="宋体" w:hAnsi="宋体" w:eastAsia="宋体" w:cs="宋体"/>
                <w:b/>
                <w:color w:val="auto"/>
                <w:sz w:val="24"/>
                <w:szCs w:val="24"/>
                <w:highlight w:val="none"/>
                <w:lang w:eastAsia="zh-CN"/>
              </w:rPr>
            </w:pPr>
            <w:r>
              <w:rPr>
                <w:rFonts w:hint="eastAsia" w:hAnsi="宋体" w:cs="宋体"/>
                <w:b/>
                <w:color w:val="auto"/>
                <w:sz w:val="24"/>
                <w:szCs w:val="24"/>
                <w:highlight w:val="none"/>
                <w:lang w:eastAsia="zh-CN"/>
              </w:rPr>
              <w:t>响应</w:t>
            </w:r>
          </w:p>
        </w:tc>
      </w:tr>
      <w:tr w14:paraId="6722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504" w:type="pct"/>
            <w:tcBorders>
              <w:top w:val="single" w:color="auto" w:sz="4" w:space="0"/>
              <w:left w:val="single" w:color="auto" w:sz="4" w:space="0"/>
              <w:bottom w:val="single" w:color="auto" w:sz="4" w:space="0"/>
              <w:right w:val="single" w:color="auto" w:sz="4" w:space="0"/>
            </w:tcBorders>
            <w:vAlign w:val="center"/>
          </w:tcPr>
          <w:p w14:paraId="43F0947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24" w:type="pct"/>
            <w:tcBorders>
              <w:top w:val="single" w:color="auto" w:sz="4" w:space="0"/>
              <w:left w:val="single" w:color="auto" w:sz="4" w:space="0"/>
              <w:bottom w:val="single" w:color="auto" w:sz="4" w:space="0"/>
              <w:right w:val="single" w:color="auto" w:sz="4" w:space="0"/>
            </w:tcBorders>
            <w:vAlign w:val="center"/>
          </w:tcPr>
          <w:p w14:paraId="0996E5D2">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项目经理</w:t>
            </w:r>
          </w:p>
        </w:tc>
        <w:tc>
          <w:tcPr>
            <w:tcW w:w="2109" w:type="pct"/>
            <w:tcBorders>
              <w:top w:val="single" w:color="auto" w:sz="4" w:space="0"/>
              <w:left w:val="single" w:color="auto" w:sz="4" w:space="0"/>
              <w:bottom w:val="single" w:color="auto" w:sz="4" w:space="0"/>
              <w:right w:val="single" w:color="auto" w:sz="4" w:space="0"/>
            </w:tcBorders>
            <w:vAlign w:val="center"/>
          </w:tcPr>
          <w:p w14:paraId="1CF31D36">
            <w:pPr>
              <w:widowControl w:val="0"/>
              <w:snapToGrid w:val="0"/>
              <w:spacing w:line="300" w:lineRule="exact"/>
              <w:rPr>
                <w:rFonts w:hint="eastAsia" w:ascii="宋体" w:hAnsi="宋体" w:cs="宋体"/>
                <w:sz w:val="21"/>
                <w:szCs w:val="21"/>
                <w:highlight w:val="none"/>
              </w:rPr>
            </w:pPr>
            <w:r>
              <w:rPr>
                <w:rFonts w:hint="eastAsia" w:ascii="宋体" w:hAnsi="宋体" w:cs="宋体"/>
                <w:sz w:val="21"/>
                <w:szCs w:val="21"/>
                <w:highlight w:val="none"/>
              </w:rPr>
              <w:t xml:space="preserve">姓名：           </w:t>
            </w:r>
          </w:p>
        </w:tc>
        <w:tc>
          <w:tcPr>
            <w:tcW w:w="560" w:type="pct"/>
            <w:tcBorders>
              <w:top w:val="single" w:color="auto" w:sz="4" w:space="0"/>
              <w:left w:val="single" w:color="auto" w:sz="4" w:space="0"/>
              <w:bottom w:val="single" w:color="auto" w:sz="4" w:space="0"/>
              <w:right w:val="single" w:color="auto" w:sz="4" w:space="0"/>
            </w:tcBorders>
            <w:vAlign w:val="center"/>
          </w:tcPr>
          <w:p w14:paraId="4E4C1B3B">
            <w:pPr>
              <w:spacing w:line="440" w:lineRule="exact"/>
              <w:jc w:val="center"/>
              <w:rPr>
                <w:rFonts w:hint="eastAsia" w:ascii="宋体" w:hAnsi="宋体" w:eastAsia="宋体" w:cs="宋体"/>
                <w:color w:val="auto"/>
                <w:sz w:val="24"/>
                <w:szCs w:val="24"/>
                <w:highlight w:val="none"/>
              </w:rPr>
            </w:pPr>
          </w:p>
        </w:tc>
      </w:tr>
      <w:tr w14:paraId="507A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504" w:type="pct"/>
            <w:tcBorders>
              <w:top w:val="single" w:color="auto" w:sz="4" w:space="0"/>
              <w:left w:val="single" w:color="auto" w:sz="4" w:space="0"/>
              <w:right w:val="single" w:color="auto" w:sz="4" w:space="0"/>
            </w:tcBorders>
            <w:vAlign w:val="center"/>
          </w:tcPr>
          <w:p w14:paraId="4544286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24" w:type="pct"/>
            <w:tcBorders>
              <w:top w:val="single" w:color="auto" w:sz="4" w:space="0"/>
              <w:left w:val="single" w:color="auto" w:sz="4" w:space="0"/>
              <w:bottom w:val="single" w:color="auto" w:sz="4" w:space="0"/>
              <w:right w:val="single" w:color="auto" w:sz="4" w:space="0"/>
            </w:tcBorders>
            <w:vAlign w:val="center"/>
          </w:tcPr>
          <w:p w14:paraId="70B03F75">
            <w:pPr>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合同履行期限（计划工期）</w:t>
            </w:r>
          </w:p>
        </w:tc>
        <w:tc>
          <w:tcPr>
            <w:tcW w:w="2109" w:type="pct"/>
            <w:tcBorders>
              <w:top w:val="single" w:color="auto" w:sz="4" w:space="0"/>
              <w:left w:val="single" w:color="auto" w:sz="4" w:space="0"/>
              <w:bottom w:val="single" w:color="auto" w:sz="4" w:space="0"/>
              <w:right w:val="single" w:color="auto" w:sz="4" w:space="0"/>
            </w:tcBorders>
            <w:vAlign w:val="center"/>
          </w:tcPr>
          <w:p w14:paraId="7D2EEC23">
            <w:pPr>
              <w:widowControl w:val="0"/>
              <w:snapToGrid w:val="0"/>
              <w:spacing w:line="300" w:lineRule="exact"/>
              <w:rPr>
                <w:rFonts w:hint="eastAsia" w:ascii="宋体" w:hAnsi="宋体" w:cs="宋体"/>
                <w:sz w:val="21"/>
                <w:szCs w:val="21"/>
                <w:highlight w:val="none"/>
              </w:rPr>
            </w:pPr>
          </w:p>
        </w:tc>
        <w:tc>
          <w:tcPr>
            <w:tcW w:w="560" w:type="pct"/>
            <w:tcBorders>
              <w:top w:val="single" w:color="auto" w:sz="4" w:space="0"/>
              <w:left w:val="single" w:color="auto" w:sz="4" w:space="0"/>
              <w:bottom w:val="single" w:color="auto" w:sz="4" w:space="0"/>
              <w:right w:val="single" w:color="auto" w:sz="4" w:space="0"/>
            </w:tcBorders>
            <w:vAlign w:val="center"/>
          </w:tcPr>
          <w:p w14:paraId="70DE8EE3">
            <w:pPr>
              <w:spacing w:line="440" w:lineRule="exact"/>
              <w:jc w:val="center"/>
              <w:rPr>
                <w:rFonts w:hint="eastAsia" w:ascii="宋体" w:hAnsi="宋体" w:eastAsia="宋体" w:cs="宋体"/>
                <w:color w:val="auto"/>
                <w:sz w:val="24"/>
                <w:szCs w:val="24"/>
                <w:highlight w:val="none"/>
              </w:rPr>
            </w:pPr>
          </w:p>
        </w:tc>
      </w:tr>
      <w:tr w14:paraId="53CD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504" w:type="pct"/>
            <w:tcBorders>
              <w:top w:val="single" w:color="auto" w:sz="4" w:space="0"/>
              <w:left w:val="single" w:color="auto" w:sz="4" w:space="0"/>
              <w:bottom w:val="single" w:color="auto" w:sz="4" w:space="0"/>
              <w:right w:val="single" w:color="auto" w:sz="4" w:space="0"/>
            </w:tcBorders>
            <w:vAlign w:val="center"/>
          </w:tcPr>
          <w:p w14:paraId="794A027D">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824" w:type="pct"/>
            <w:tcBorders>
              <w:top w:val="single" w:color="auto" w:sz="4" w:space="0"/>
              <w:left w:val="single" w:color="auto" w:sz="4" w:space="0"/>
              <w:bottom w:val="single" w:color="auto" w:sz="4" w:space="0"/>
              <w:right w:val="single" w:color="auto" w:sz="4" w:space="0"/>
            </w:tcBorders>
            <w:vAlign w:val="center"/>
          </w:tcPr>
          <w:p w14:paraId="06FC3F81">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质量</w:t>
            </w:r>
            <w:r>
              <w:rPr>
                <w:rFonts w:hint="eastAsia" w:ascii="宋体" w:hAnsi="宋体" w:eastAsia="宋体" w:cs="宋体"/>
                <w:color w:val="auto"/>
                <w:sz w:val="21"/>
                <w:szCs w:val="21"/>
                <w:highlight w:val="none"/>
                <w:lang w:val="en-US" w:eastAsia="zh-CN"/>
              </w:rPr>
              <w:t>要求</w:t>
            </w:r>
          </w:p>
        </w:tc>
        <w:tc>
          <w:tcPr>
            <w:tcW w:w="2109" w:type="pct"/>
            <w:tcBorders>
              <w:top w:val="single" w:color="auto" w:sz="4" w:space="0"/>
              <w:left w:val="single" w:color="auto" w:sz="4" w:space="0"/>
              <w:bottom w:val="single" w:color="auto" w:sz="4" w:space="0"/>
              <w:right w:val="single" w:color="auto" w:sz="4" w:space="0"/>
            </w:tcBorders>
            <w:vAlign w:val="center"/>
          </w:tcPr>
          <w:p w14:paraId="7C2D6B78">
            <w:pPr>
              <w:widowControl w:val="0"/>
              <w:snapToGrid w:val="0"/>
              <w:spacing w:line="300" w:lineRule="exact"/>
              <w:rPr>
                <w:rFonts w:hint="eastAsia" w:ascii="宋体" w:hAnsi="宋体" w:cs="宋体"/>
                <w:sz w:val="21"/>
                <w:szCs w:val="21"/>
                <w:highlight w:val="none"/>
                <w:lang w:eastAsia="zh-CN"/>
              </w:rPr>
            </w:pPr>
            <w:r>
              <w:rPr>
                <w:rFonts w:hint="eastAsia" w:ascii="宋体" w:hAnsi="宋体" w:cs="宋体"/>
                <w:sz w:val="21"/>
                <w:szCs w:val="21"/>
                <w:highlight w:val="none"/>
                <w:lang w:eastAsia="zh-CN"/>
              </w:rPr>
              <w:t>符合国家相关工程施工质量验收统一标准及相关标准的合格工程。</w:t>
            </w:r>
          </w:p>
        </w:tc>
        <w:tc>
          <w:tcPr>
            <w:tcW w:w="560" w:type="pct"/>
            <w:tcBorders>
              <w:top w:val="single" w:color="auto" w:sz="4" w:space="0"/>
              <w:left w:val="single" w:color="auto" w:sz="4" w:space="0"/>
              <w:bottom w:val="single" w:color="auto" w:sz="4" w:space="0"/>
              <w:right w:val="single" w:color="auto" w:sz="4" w:space="0"/>
            </w:tcBorders>
            <w:vAlign w:val="center"/>
          </w:tcPr>
          <w:p w14:paraId="34765936">
            <w:pPr>
              <w:spacing w:line="440" w:lineRule="exact"/>
              <w:jc w:val="center"/>
              <w:rPr>
                <w:rFonts w:hint="eastAsia" w:ascii="宋体" w:hAnsi="宋体" w:eastAsia="宋体" w:cs="宋体"/>
                <w:color w:val="auto"/>
                <w:sz w:val="24"/>
                <w:szCs w:val="24"/>
                <w:highlight w:val="none"/>
              </w:rPr>
            </w:pPr>
          </w:p>
        </w:tc>
      </w:tr>
      <w:tr w14:paraId="5461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504" w:type="pct"/>
            <w:tcBorders>
              <w:top w:val="single" w:color="auto" w:sz="4" w:space="0"/>
              <w:left w:val="single" w:color="auto" w:sz="4" w:space="0"/>
              <w:bottom w:val="single" w:color="auto" w:sz="4" w:space="0"/>
              <w:right w:val="single" w:color="auto" w:sz="4" w:space="0"/>
            </w:tcBorders>
            <w:vAlign w:val="center"/>
          </w:tcPr>
          <w:p w14:paraId="19040E63">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824" w:type="pct"/>
            <w:tcBorders>
              <w:top w:val="single" w:color="auto" w:sz="4" w:space="0"/>
              <w:left w:val="single" w:color="auto" w:sz="4" w:space="0"/>
              <w:bottom w:val="single" w:color="auto" w:sz="4" w:space="0"/>
              <w:right w:val="single" w:color="auto" w:sz="4" w:space="0"/>
            </w:tcBorders>
            <w:vAlign w:val="center"/>
          </w:tcPr>
          <w:p w14:paraId="381BBE4D">
            <w:pPr>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磋商有效期</w:t>
            </w:r>
          </w:p>
        </w:tc>
        <w:tc>
          <w:tcPr>
            <w:tcW w:w="2109" w:type="pct"/>
            <w:tcBorders>
              <w:top w:val="single" w:color="auto" w:sz="4" w:space="0"/>
              <w:left w:val="single" w:color="auto" w:sz="4" w:space="0"/>
              <w:bottom w:val="single" w:color="auto" w:sz="4" w:space="0"/>
              <w:right w:val="single" w:color="auto" w:sz="4" w:space="0"/>
            </w:tcBorders>
            <w:vAlign w:val="center"/>
          </w:tcPr>
          <w:p w14:paraId="07FAF820">
            <w:pPr>
              <w:widowControl w:val="0"/>
              <w:snapToGrid w:val="0"/>
              <w:spacing w:line="300" w:lineRule="exact"/>
              <w:rPr>
                <w:rFonts w:hint="eastAsia" w:ascii="宋体" w:hAnsi="宋体" w:cs="宋体"/>
                <w:sz w:val="21"/>
                <w:szCs w:val="21"/>
                <w:highlight w:val="none"/>
                <w:lang w:eastAsia="zh-CN"/>
              </w:rPr>
            </w:pPr>
            <w:r>
              <w:rPr>
                <w:rFonts w:hint="eastAsia" w:ascii="宋体" w:hAnsi="宋体" w:cs="宋体"/>
                <w:sz w:val="21"/>
                <w:szCs w:val="21"/>
                <w:highlight w:val="none"/>
              </w:rPr>
              <w:t>自供应商提交响应文件截止之日起计算90天</w:t>
            </w:r>
            <w:r>
              <w:rPr>
                <w:rFonts w:hint="eastAsia" w:ascii="宋体" w:hAnsi="宋体" w:cs="宋体"/>
                <w:sz w:val="21"/>
                <w:szCs w:val="21"/>
                <w:highlight w:val="none"/>
                <w:lang w:eastAsia="zh-CN"/>
              </w:rPr>
              <w:t>。</w:t>
            </w:r>
          </w:p>
        </w:tc>
        <w:tc>
          <w:tcPr>
            <w:tcW w:w="560" w:type="pct"/>
            <w:tcBorders>
              <w:top w:val="single" w:color="auto" w:sz="4" w:space="0"/>
              <w:left w:val="single" w:color="auto" w:sz="4" w:space="0"/>
              <w:bottom w:val="single" w:color="auto" w:sz="4" w:space="0"/>
              <w:right w:val="single" w:color="auto" w:sz="4" w:space="0"/>
            </w:tcBorders>
            <w:vAlign w:val="center"/>
          </w:tcPr>
          <w:p w14:paraId="04161E22">
            <w:pPr>
              <w:spacing w:line="440" w:lineRule="exact"/>
              <w:jc w:val="center"/>
              <w:rPr>
                <w:rFonts w:hint="eastAsia" w:ascii="宋体" w:hAnsi="宋体" w:eastAsia="宋体" w:cs="宋体"/>
                <w:color w:val="auto"/>
                <w:sz w:val="24"/>
                <w:szCs w:val="24"/>
                <w:highlight w:val="none"/>
              </w:rPr>
            </w:pPr>
          </w:p>
        </w:tc>
      </w:tr>
    </w:tbl>
    <w:p w14:paraId="0120A470">
      <w:pPr>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在响应竞争性磋商文件中规定的实质性要求和条件的基础上，可做出其他有利于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的承诺。此类承诺可在本表中予以补充填写。</w:t>
      </w:r>
    </w:p>
    <w:p w14:paraId="2C650CC0">
      <w:pPr>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4"/>
          <w:szCs w:val="24"/>
          <w:highlight w:val="none"/>
        </w:rPr>
        <w:t>（三）首次报价一览表</w:t>
      </w:r>
    </w:p>
    <w:p w14:paraId="39D1928B">
      <w:pPr>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0FA9E81E">
      <w:pPr>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38E53EC7">
      <w:pPr>
        <w:spacing w:line="360" w:lineRule="auto"/>
        <w:ind w:firstLine="120" w:firstLineChars="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p>
    <w:tbl>
      <w:tblPr>
        <w:tblStyle w:val="2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757"/>
        <w:gridCol w:w="6530"/>
      </w:tblGrid>
      <w:tr w14:paraId="3FFE0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1484" w:type="pct"/>
            <w:tcBorders>
              <w:top w:val="single" w:color="auto" w:sz="4" w:space="0"/>
              <w:left w:val="single" w:color="auto" w:sz="4" w:space="0"/>
              <w:right w:val="single" w:color="auto" w:sz="4" w:space="0"/>
            </w:tcBorders>
            <w:vAlign w:val="center"/>
          </w:tcPr>
          <w:p w14:paraId="5811F48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报价</w:t>
            </w:r>
          </w:p>
        </w:tc>
        <w:tc>
          <w:tcPr>
            <w:tcW w:w="3515" w:type="pct"/>
            <w:tcBorders>
              <w:top w:val="single" w:color="auto" w:sz="4" w:space="0"/>
              <w:left w:val="single" w:color="auto" w:sz="4" w:space="0"/>
              <w:right w:val="single" w:color="auto" w:sz="4" w:space="0"/>
            </w:tcBorders>
            <w:vAlign w:val="center"/>
          </w:tcPr>
          <w:p w14:paraId="5B36251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p>
        </w:tc>
      </w:tr>
      <w:tr w14:paraId="7ABC1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1484" w:type="pct"/>
            <w:tcBorders>
              <w:top w:val="single" w:color="auto" w:sz="4" w:space="0"/>
              <w:left w:val="single" w:color="auto" w:sz="4" w:space="0"/>
              <w:bottom w:val="single" w:color="auto" w:sz="4" w:space="0"/>
              <w:right w:val="single" w:color="auto" w:sz="4" w:space="0"/>
            </w:tcBorders>
            <w:vAlign w:val="center"/>
          </w:tcPr>
          <w:p w14:paraId="21703A8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合同履行期限（计划工期）</w:t>
            </w:r>
          </w:p>
        </w:tc>
        <w:tc>
          <w:tcPr>
            <w:tcW w:w="3515" w:type="pct"/>
            <w:tcBorders>
              <w:top w:val="single" w:color="auto" w:sz="4" w:space="0"/>
              <w:left w:val="single" w:color="auto" w:sz="4" w:space="0"/>
              <w:bottom w:val="single" w:color="auto" w:sz="4" w:space="0"/>
              <w:right w:val="single" w:color="auto" w:sz="4" w:space="0"/>
            </w:tcBorders>
            <w:vAlign w:val="center"/>
          </w:tcPr>
          <w:p w14:paraId="5ED9CB7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551FE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1484" w:type="pct"/>
            <w:tcBorders>
              <w:top w:val="single" w:color="auto" w:sz="4" w:space="0"/>
              <w:left w:val="single" w:color="auto" w:sz="4" w:space="0"/>
              <w:bottom w:val="single" w:color="auto" w:sz="4" w:space="0"/>
              <w:right w:val="single" w:color="auto" w:sz="4" w:space="0"/>
            </w:tcBorders>
            <w:vAlign w:val="center"/>
          </w:tcPr>
          <w:p w14:paraId="21E1DC6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c>
          <w:tcPr>
            <w:tcW w:w="3515" w:type="pct"/>
            <w:tcBorders>
              <w:top w:val="single" w:color="auto" w:sz="4" w:space="0"/>
              <w:left w:val="single" w:color="auto" w:sz="4" w:space="0"/>
              <w:bottom w:val="single" w:color="auto" w:sz="4" w:space="0"/>
              <w:right w:val="single" w:color="auto" w:sz="4" w:space="0"/>
            </w:tcBorders>
            <w:vAlign w:val="center"/>
          </w:tcPr>
          <w:p w14:paraId="47A6313D">
            <w:pPr>
              <w:spacing w:line="360" w:lineRule="auto"/>
              <w:jc w:val="center"/>
              <w:rPr>
                <w:rFonts w:hint="eastAsia" w:ascii="宋体" w:hAnsi="宋体" w:eastAsia="宋体" w:cs="宋体"/>
                <w:color w:val="auto"/>
                <w:sz w:val="24"/>
                <w:szCs w:val="24"/>
                <w:highlight w:val="none"/>
              </w:rPr>
            </w:pPr>
          </w:p>
        </w:tc>
      </w:tr>
      <w:tr w14:paraId="769AB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1484" w:type="pct"/>
            <w:tcBorders>
              <w:top w:val="single" w:color="auto" w:sz="4" w:space="0"/>
              <w:left w:val="single" w:color="auto" w:sz="4" w:space="0"/>
              <w:bottom w:val="single" w:color="auto" w:sz="4" w:space="0"/>
              <w:right w:val="single" w:color="auto" w:sz="4" w:space="0"/>
            </w:tcBorders>
            <w:vAlign w:val="center"/>
          </w:tcPr>
          <w:p w14:paraId="7CC79B99">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优惠条件及服务承诺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有/无</w:t>
            </w:r>
            <w:r>
              <w:rPr>
                <w:rFonts w:hint="eastAsia" w:ascii="宋体" w:hAnsi="宋体" w:eastAsia="宋体" w:cs="宋体"/>
                <w:color w:val="auto"/>
                <w:sz w:val="24"/>
                <w:szCs w:val="24"/>
                <w:highlight w:val="none"/>
                <w:lang w:eastAsia="zh-CN"/>
              </w:rPr>
              <w:t>）</w:t>
            </w:r>
          </w:p>
        </w:tc>
        <w:tc>
          <w:tcPr>
            <w:tcW w:w="3515" w:type="pct"/>
            <w:tcBorders>
              <w:top w:val="single" w:color="auto" w:sz="4" w:space="0"/>
              <w:left w:val="single" w:color="auto" w:sz="4" w:space="0"/>
              <w:bottom w:val="single" w:color="auto" w:sz="4" w:space="0"/>
              <w:right w:val="single" w:color="auto" w:sz="4" w:space="0"/>
            </w:tcBorders>
            <w:vAlign w:val="center"/>
          </w:tcPr>
          <w:p w14:paraId="4457B5E0">
            <w:pPr>
              <w:spacing w:line="360" w:lineRule="auto"/>
              <w:jc w:val="center"/>
              <w:rPr>
                <w:rFonts w:hint="eastAsia" w:ascii="宋体" w:hAnsi="宋体" w:eastAsia="宋体" w:cs="宋体"/>
                <w:color w:val="auto"/>
                <w:sz w:val="24"/>
                <w:szCs w:val="24"/>
                <w:highlight w:val="none"/>
                <w:lang w:val="en-US" w:eastAsia="zh-CN"/>
              </w:rPr>
            </w:pPr>
          </w:p>
        </w:tc>
      </w:tr>
      <w:tr w14:paraId="26503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1484" w:type="pct"/>
            <w:tcBorders>
              <w:top w:val="single" w:color="auto" w:sz="4" w:space="0"/>
              <w:left w:val="single" w:color="auto" w:sz="4" w:space="0"/>
              <w:bottom w:val="single" w:color="auto" w:sz="4" w:space="0"/>
              <w:right w:val="single" w:color="auto" w:sz="4" w:space="0"/>
            </w:tcBorders>
            <w:vAlign w:val="center"/>
          </w:tcPr>
          <w:p w14:paraId="774DC1F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    注</w:t>
            </w:r>
          </w:p>
        </w:tc>
        <w:tc>
          <w:tcPr>
            <w:tcW w:w="3515" w:type="pct"/>
            <w:tcBorders>
              <w:top w:val="single" w:color="auto" w:sz="4" w:space="0"/>
              <w:left w:val="single" w:color="auto" w:sz="4" w:space="0"/>
              <w:bottom w:val="single" w:color="auto" w:sz="4" w:space="0"/>
              <w:right w:val="single" w:color="auto" w:sz="4" w:space="0"/>
            </w:tcBorders>
            <w:vAlign w:val="center"/>
          </w:tcPr>
          <w:p w14:paraId="19F347AA">
            <w:pPr>
              <w:spacing w:line="360" w:lineRule="auto"/>
              <w:jc w:val="center"/>
              <w:rPr>
                <w:rFonts w:hint="eastAsia" w:ascii="宋体" w:hAnsi="宋体" w:eastAsia="宋体" w:cs="宋体"/>
                <w:color w:val="auto"/>
                <w:sz w:val="24"/>
                <w:szCs w:val="24"/>
                <w:highlight w:val="none"/>
              </w:rPr>
            </w:pPr>
          </w:p>
        </w:tc>
      </w:tr>
    </w:tbl>
    <w:p w14:paraId="1DC125A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注：1、填报的内容必须和响应文件及投标函中的内容一致。</w:t>
      </w:r>
    </w:p>
    <w:p w14:paraId="392CF965">
      <w:pPr>
        <w:spacing w:line="360" w:lineRule="auto"/>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本表为开标唱标用，应单独用小信封密封，与响应文件一并送达</w:t>
      </w:r>
      <w:r>
        <w:rPr>
          <w:rFonts w:hint="eastAsia" w:ascii="宋体" w:hAnsi="宋体" w:eastAsia="宋体" w:cs="宋体"/>
          <w:color w:val="auto"/>
          <w:sz w:val="24"/>
          <w:szCs w:val="24"/>
          <w:highlight w:val="none"/>
        </w:rPr>
        <w:t>。</w:t>
      </w:r>
    </w:p>
    <w:p w14:paraId="66E1E662">
      <w:pPr>
        <w:spacing w:line="360" w:lineRule="auto"/>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Cs/>
          <w:color w:val="auto"/>
          <w:sz w:val="24"/>
          <w:szCs w:val="24"/>
          <w:highlight w:val="none"/>
        </w:rPr>
        <w:t>投标报价保留小数点后</w:t>
      </w:r>
      <w:r>
        <w:rPr>
          <w:rFonts w:hint="eastAsia" w:ascii="宋体" w:hAnsi="宋体" w:eastAsia="宋体" w:cs="宋体"/>
          <w:bCs/>
          <w:color w:val="auto"/>
          <w:sz w:val="24"/>
          <w:szCs w:val="24"/>
          <w:highlight w:val="none"/>
          <w:lang w:val="en-US" w:eastAsia="zh-CN"/>
        </w:rPr>
        <w:t>两位</w:t>
      </w:r>
      <w:r>
        <w:rPr>
          <w:rFonts w:hint="eastAsia" w:ascii="宋体" w:hAnsi="宋体" w:eastAsia="宋体" w:cs="宋体"/>
          <w:color w:val="auto"/>
          <w:sz w:val="24"/>
          <w:szCs w:val="24"/>
          <w:highlight w:val="none"/>
        </w:rPr>
        <w:t>。</w:t>
      </w:r>
    </w:p>
    <w:p w14:paraId="00D4B7D8">
      <w:pPr>
        <w:spacing w:line="360" w:lineRule="auto"/>
        <w:rPr>
          <w:rFonts w:hint="eastAsia" w:ascii="宋体" w:hAnsi="宋体" w:eastAsia="宋体" w:cs="宋体"/>
          <w:color w:val="auto"/>
          <w:sz w:val="24"/>
          <w:szCs w:val="24"/>
          <w:highlight w:val="none"/>
        </w:rPr>
      </w:pPr>
    </w:p>
    <w:p w14:paraId="34BEA6CA">
      <w:pPr>
        <w:spacing w:line="360" w:lineRule="auto"/>
        <w:rPr>
          <w:rFonts w:hint="eastAsia" w:ascii="宋体" w:hAnsi="宋体" w:eastAsia="宋体" w:cs="宋体"/>
          <w:color w:val="auto"/>
          <w:sz w:val="24"/>
          <w:szCs w:val="24"/>
          <w:highlight w:val="none"/>
        </w:rPr>
      </w:pPr>
    </w:p>
    <w:p w14:paraId="11932146">
      <w:pPr>
        <w:spacing w:line="360" w:lineRule="auto"/>
        <w:rPr>
          <w:rFonts w:hint="eastAsia" w:ascii="宋体" w:hAnsi="宋体" w:eastAsia="宋体" w:cs="宋体"/>
          <w:color w:val="auto"/>
          <w:sz w:val="24"/>
          <w:szCs w:val="24"/>
          <w:highlight w:val="none"/>
        </w:rPr>
      </w:pPr>
    </w:p>
    <w:p w14:paraId="0E791F5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：（盖章）</w:t>
      </w:r>
    </w:p>
    <w:p w14:paraId="5493FF3A">
      <w:pPr>
        <w:spacing w:line="360" w:lineRule="auto"/>
        <w:rPr>
          <w:rFonts w:hint="eastAsia" w:ascii="宋体" w:hAnsi="宋体" w:eastAsia="宋体" w:cs="宋体"/>
          <w:color w:val="auto"/>
          <w:sz w:val="24"/>
          <w:szCs w:val="24"/>
          <w:highlight w:val="none"/>
        </w:rPr>
      </w:pPr>
    </w:p>
    <w:p w14:paraId="037AACB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p>
    <w:p w14:paraId="54874494">
      <w:pPr>
        <w:rPr>
          <w:rFonts w:hint="eastAsia" w:ascii="宋体" w:hAnsi="宋体" w:eastAsia="宋体" w:cs="宋体"/>
          <w:color w:val="auto"/>
          <w:sz w:val="24"/>
          <w:szCs w:val="24"/>
          <w:highlight w:val="none"/>
        </w:rPr>
      </w:pPr>
    </w:p>
    <w:p w14:paraId="719FA8D7">
      <w:pPr>
        <w:spacing w:line="440" w:lineRule="exact"/>
        <w:jc w:val="center"/>
        <w:rPr>
          <w:rFonts w:hint="eastAsia" w:ascii="宋体" w:hAnsi="宋体" w:eastAsia="宋体" w:cs="宋体"/>
          <w:color w:val="auto"/>
          <w:sz w:val="24"/>
          <w:szCs w:val="24"/>
          <w:highlight w:val="none"/>
        </w:rPr>
      </w:pPr>
    </w:p>
    <w:p w14:paraId="3944B5E0">
      <w:pPr>
        <w:spacing w:line="440" w:lineRule="exact"/>
        <w:jc w:val="center"/>
        <w:rPr>
          <w:rFonts w:hint="eastAsia" w:ascii="宋体" w:hAnsi="宋体" w:eastAsia="宋体" w:cs="宋体"/>
          <w:color w:val="auto"/>
          <w:sz w:val="24"/>
          <w:szCs w:val="24"/>
          <w:highlight w:val="none"/>
        </w:rPr>
      </w:pPr>
    </w:p>
    <w:p w14:paraId="5D7FBA41">
      <w:pPr>
        <w:jc w:val="center"/>
        <w:rPr>
          <w:rFonts w:hint="eastAsia" w:ascii="宋体" w:hAnsi="宋体" w:eastAsia="宋体" w:cs="宋体"/>
          <w:b/>
          <w:color w:val="auto"/>
          <w:sz w:val="24"/>
          <w:szCs w:val="24"/>
          <w:highlight w:val="none"/>
        </w:rPr>
      </w:pPr>
      <w:bookmarkStart w:id="441" w:name="_Toc246997102"/>
      <w:bookmarkStart w:id="442" w:name="_Toc144974860"/>
      <w:bookmarkStart w:id="443" w:name="_Toc179632811"/>
      <w:bookmarkStart w:id="444" w:name="_Toc247085877"/>
      <w:bookmarkStart w:id="445" w:name="_Toc246996359"/>
      <w:bookmarkStart w:id="446" w:name="_Toc152045791"/>
      <w:bookmarkStart w:id="447" w:name="_Toc152042580"/>
      <w:r>
        <w:rPr>
          <w:rFonts w:hint="eastAsia" w:ascii="宋体" w:hAnsi="宋体" w:eastAsia="宋体" w:cs="宋体"/>
          <w:color w:val="auto"/>
          <w:sz w:val="24"/>
          <w:szCs w:val="24"/>
          <w:highlight w:val="none"/>
        </w:rPr>
        <w:br w:type="page"/>
      </w:r>
      <w:r>
        <w:rPr>
          <w:rFonts w:hint="eastAsia" w:ascii="宋体" w:hAnsi="宋体" w:eastAsia="宋体" w:cs="宋体"/>
          <w:b/>
          <w:color w:val="auto"/>
          <w:sz w:val="24"/>
          <w:szCs w:val="24"/>
          <w:highlight w:val="none"/>
        </w:rPr>
        <w:t>二、法定代表人身份证明</w:t>
      </w:r>
      <w:bookmarkEnd w:id="441"/>
      <w:bookmarkEnd w:id="442"/>
      <w:bookmarkEnd w:id="443"/>
      <w:bookmarkEnd w:id="444"/>
      <w:bookmarkEnd w:id="445"/>
      <w:bookmarkEnd w:id="446"/>
      <w:bookmarkEnd w:id="447"/>
    </w:p>
    <w:p w14:paraId="242AB36F">
      <w:pPr>
        <w:spacing w:line="440" w:lineRule="exact"/>
        <w:rPr>
          <w:rFonts w:hint="eastAsia" w:ascii="宋体" w:hAnsi="宋体" w:eastAsia="宋体" w:cs="宋体"/>
          <w:color w:val="auto"/>
          <w:sz w:val="24"/>
          <w:szCs w:val="24"/>
          <w:highlight w:val="none"/>
        </w:rPr>
      </w:pPr>
    </w:p>
    <w:p w14:paraId="27BEE5B6">
      <w:pPr>
        <w:spacing w:line="440" w:lineRule="exact"/>
        <w:rPr>
          <w:rFonts w:hint="eastAsia" w:ascii="宋体" w:hAnsi="宋体" w:eastAsia="宋体" w:cs="宋体"/>
          <w:color w:val="auto"/>
          <w:sz w:val="24"/>
          <w:szCs w:val="24"/>
          <w:highlight w:val="none"/>
        </w:rPr>
      </w:pPr>
    </w:p>
    <w:p w14:paraId="60C5107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C54F0F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A112B8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3F75EAD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EDF99A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4F28741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2FCF3CE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名称）的法定代表人。</w:t>
      </w:r>
    </w:p>
    <w:p w14:paraId="08EF7AD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28FE46D9">
      <w:pPr>
        <w:spacing w:line="440" w:lineRule="exact"/>
        <w:rPr>
          <w:rFonts w:hint="eastAsia" w:ascii="宋体" w:hAnsi="宋体" w:eastAsia="宋体" w:cs="宋体"/>
          <w:color w:val="auto"/>
          <w:sz w:val="24"/>
          <w:szCs w:val="24"/>
          <w:highlight w:val="none"/>
        </w:rPr>
      </w:pPr>
    </w:p>
    <w:p w14:paraId="36CDE902">
      <w:pPr>
        <w:spacing w:line="440" w:lineRule="exact"/>
        <w:rPr>
          <w:rFonts w:hint="eastAsia" w:ascii="宋体" w:hAnsi="宋体" w:eastAsia="宋体" w:cs="宋体"/>
          <w:color w:val="auto"/>
          <w:sz w:val="24"/>
          <w:szCs w:val="24"/>
          <w:highlight w:val="none"/>
        </w:rPr>
      </w:pPr>
    </w:p>
    <w:p w14:paraId="14C4B1E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6E155F9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14:paraId="13A852D0">
      <w:pPr>
        <w:spacing w:line="440" w:lineRule="exact"/>
        <w:jc w:val="center"/>
        <w:rPr>
          <w:rFonts w:hint="eastAsia" w:ascii="宋体" w:hAnsi="宋体" w:eastAsia="宋体" w:cs="宋体"/>
          <w:color w:val="auto"/>
          <w:sz w:val="24"/>
          <w:szCs w:val="24"/>
          <w:highlight w:val="none"/>
        </w:rPr>
      </w:pPr>
    </w:p>
    <w:p w14:paraId="11DCB6FF">
      <w:pPr>
        <w:jc w:val="center"/>
        <w:rPr>
          <w:rFonts w:hint="eastAsia" w:ascii="宋体" w:hAnsi="宋体" w:eastAsia="宋体" w:cs="宋体"/>
          <w:b/>
          <w:color w:val="auto"/>
          <w:sz w:val="24"/>
          <w:szCs w:val="24"/>
          <w:highlight w:val="none"/>
        </w:rPr>
      </w:pPr>
      <w:bookmarkStart w:id="448" w:name="_Toc179632812"/>
      <w:bookmarkStart w:id="449" w:name="_Toc152042581"/>
      <w:bookmarkStart w:id="450" w:name="_Toc144974861"/>
      <w:bookmarkStart w:id="451" w:name="_Toc246996360"/>
      <w:bookmarkStart w:id="452" w:name="_Toc247085878"/>
      <w:bookmarkStart w:id="453" w:name="_Toc152045792"/>
      <w:bookmarkStart w:id="454" w:name="_Toc246997103"/>
      <w:r>
        <w:rPr>
          <w:rFonts w:hint="eastAsia" w:ascii="宋体" w:hAnsi="宋体" w:eastAsia="宋体" w:cs="宋体"/>
          <w:color w:val="auto"/>
          <w:sz w:val="24"/>
          <w:szCs w:val="24"/>
          <w:highlight w:val="none"/>
        </w:rPr>
        <w:br w:type="page"/>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、授权委托书</w:t>
      </w:r>
      <w:bookmarkEnd w:id="448"/>
      <w:bookmarkEnd w:id="449"/>
      <w:bookmarkEnd w:id="450"/>
      <w:bookmarkEnd w:id="451"/>
      <w:bookmarkEnd w:id="452"/>
      <w:bookmarkEnd w:id="453"/>
      <w:bookmarkEnd w:id="454"/>
    </w:p>
    <w:p w14:paraId="0983B8E4">
      <w:pPr>
        <w:spacing w:line="440" w:lineRule="exact"/>
        <w:rPr>
          <w:rFonts w:hint="eastAsia" w:ascii="宋体" w:hAnsi="宋体" w:eastAsia="宋体" w:cs="宋体"/>
          <w:color w:val="auto"/>
          <w:sz w:val="24"/>
          <w:szCs w:val="24"/>
          <w:highlight w:val="none"/>
        </w:rPr>
      </w:pPr>
    </w:p>
    <w:p w14:paraId="20517EAF">
      <w:pPr>
        <w:topLinePunct/>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（项目名称）响应文件、签订合同和处理有关事宜，其法律后果由我方承担。</w:t>
      </w:r>
    </w:p>
    <w:p w14:paraId="174EC11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委托期限：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1E7738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1A0C4C5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附：法定代表人及被授权人身份证复印件</w:t>
      </w:r>
    </w:p>
    <w:p w14:paraId="29043E15">
      <w:pPr>
        <w:spacing w:line="440" w:lineRule="exact"/>
        <w:ind w:firstLine="480" w:firstLineChars="200"/>
        <w:rPr>
          <w:rFonts w:hint="eastAsia" w:ascii="宋体" w:hAnsi="宋体" w:eastAsia="宋体" w:cs="宋体"/>
          <w:color w:val="auto"/>
          <w:sz w:val="24"/>
          <w:szCs w:val="24"/>
          <w:highlight w:val="none"/>
        </w:rPr>
      </w:pPr>
    </w:p>
    <w:tbl>
      <w:tblPr>
        <w:tblStyle w:val="26"/>
        <w:tblW w:w="0" w:type="auto"/>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3"/>
        <w:gridCol w:w="425"/>
        <w:gridCol w:w="4357"/>
      </w:tblGrid>
      <w:tr w14:paraId="6A04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trPr>
        <w:tc>
          <w:tcPr>
            <w:tcW w:w="4195" w:type="dxa"/>
            <w:vAlign w:val="center"/>
          </w:tcPr>
          <w:p w14:paraId="6DC8C63A">
            <w:pPr>
              <w:spacing w:line="440" w:lineRule="exact"/>
              <w:ind w:firstLine="480" w:firstLineChars="200"/>
              <w:jc w:val="center"/>
              <w:rPr>
                <w:rFonts w:hint="eastAsia" w:ascii="宋体" w:hAnsi="宋体" w:eastAsia="宋体" w:cs="宋体"/>
                <w:color w:val="auto"/>
                <w:sz w:val="24"/>
                <w:szCs w:val="24"/>
                <w:highlight w:val="none"/>
              </w:rPr>
            </w:pPr>
          </w:p>
          <w:p w14:paraId="67764197">
            <w:pPr>
              <w:spacing w:line="440" w:lineRule="exact"/>
              <w:ind w:firstLine="480" w:firstLineChars="200"/>
              <w:jc w:val="center"/>
              <w:rPr>
                <w:rFonts w:hint="eastAsia" w:ascii="宋体" w:hAnsi="宋体" w:eastAsia="宋体" w:cs="宋体"/>
                <w:color w:val="auto"/>
                <w:sz w:val="24"/>
                <w:szCs w:val="24"/>
                <w:highlight w:val="none"/>
              </w:rPr>
            </w:pPr>
          </w:p>
          <w:p w14:paraId="2F843585">
            <w:pPr>
              <w:spacing w:line="440" w:lineRule="exact"/>
              <w:ind w:firstLine="1320" w:firstLineChars="5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法人身份证复印件</w:t>
            </w:r>
          </w:p>
          <w:p w14:paraId="04530340">
            <w:pPr>
              <w:spacing w:line="440" w:lineRule="exact"/>
              <w:jc w:val="center"/>
              <w:rPr>
                <w:rFonts w:hint="eastAsia" w:ascii="宋体" w:hAnsi="宋体" w:eastAsia="宋体" w:cs="宋体"/>
                <w:color w:val="auto"/>
                <w:sz w:val="24"/>
                <w:szCs w:val="24"/>
                <w:highlight w:val="none"/>
              </w:rPr>
            </w:pPr>
          </w:p>
          <w:p w14:paraId="5B17B4E2">
            <w:pPr>
              <w:spacing w:line="440" w:lineRule="exact"/>
              <w:jc w:val="center"/>
              <w:rPr>
                <w:rFonts w:hint="eastAsia" w:ascii="宋体" w:hAnsi="宋体" w:eastAsia="宋体" w:cs="宋体"/>
                <w:color w:val="auto"/>
                <w:sz w:val="24"/>
                <w:szCs w:val="24"/>
                <w:highlight w:val="none"/>
              </w:rPr>
            </w:pPr>
          </w:p>
        </w:tc>
        <w:tc>
          <w:tcPr>
            <w:tcW w:w="426" w:type="dxa"/>
            <w:tcBorders>
              <w:top w:val="nil"/>
              <w:bottom w:val="nil"/>
            </w:tcBorders>
          </w:tcPr>
          <w:p w14:paraId="7697AE5F">
            <w:pPr>
              <w:widowControl/>
              <w:jc w:val="left"/>
              <w:rPr>
                <w:rFonts w:hint="eastAsia" w:ascii="宋体" w:hAnsi="宋体" w:eastAsia="宋体" w:cs="宋体"/>
                <w:color w:val="auto"/>
                <w:sz w:val="24"/>
                <w:szCs w:val="24"/>
                <w:highlight w:val="none"/>
              </w:rPr>
            </w:pPr>
          </w:p>
        </w:tc>
        <w:tc>
          <w:tcPr>
            <w:tcW w:w="4383" w:type="dxa"/>
            <w:vAlign w:val="center"/>
          </w:tcPr>
          <w:p w14:paraId="18A2555D">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被授权人身份证复印件</w:t>
            </w:r>
          </w:p>
        </w:tc>
      </w:tr>
    </w:tbl>
    <w:p w14:paraId="198ECFA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128F056C">
      <w:pPr>
        <w:spacing w:line="440" w:lineRule="exact"/>
        <w:rPr>
          <w:rFonts w:hint="eastAsia" w:ascii="宋体" w:hAnsi="宋体" w:eastAsia="宋体" w:cs="宋体"/>
          <w:color w:val="auto"/>
          <w:sz w:val="24"/>
          <w:szCs w:val="24"/>
          <w:highlight w:val="none"/>
        </w:rPr>
      </w:pPr>
    </w:p>
    <w:p w14:paraId="18F76F9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6C47F59F">
      <w:pPr>
        <w:spacing w:line="440" w:lineRule="exact"/>
        <w:rPr>
          <w:rFonts w:hint="eastAsia" w:ascii="宋体" w:hAnsi="宋体" w:eastAsia="宋体" w:cs="宋体"/>
          <w:color w:val="auto"/>
          <w:sz w:val="24"/>
          <w:szCs w:val="24"/>
          <w:highlight w:val="none"/>
        </w:rPr>
      </w:pPr>
    </w:p>
    <w:p w14:paraId="1B15311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5F7F9285">
      <w:pPr>
        <w:spacing w:line="440" w:lineRule="exact"/>
        <w:rPr>
          <w:rFonts w:hint="eastAsia" w:ascii="宋体" w:hAnsi="宋体" w:eastAsia="宋体" w:cs="宋体"/>
          <w:color w:val="auto"/>
          <w:sz w:val="24"/>
          <w:szCs w:val="24"/>
          <w:highlight w:val="none"/>
        </w:rPr>
      </w:pPr>
    </w:p>
    <w:p w14:paraId="4274FED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（签字） </w:t>
      </w:r>
    </w:p>
    <w:p w14:paraId="3640F6D2">
      <w:pPr>
        <w:spacing w:line="440" w:lineRule="exact"/>
        <w:rPr>
          <w:rFonts w:hint="eastAsia" w:ascii="宋体" w:hAnsi="宋体" w:eastAsia="宋体" w:cs="宋体"/>
          <w:color w:val="auto"/>
          <w:sz w:val="24"/>
          <w:szCs w:val="24"/>
          <w:highlight w:val="none"/>
        </w:rPr>
      </w:pPr>
    </w:p>
    <w:p w14:paraId="25DC6D3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42910BF0">
      <w:pPr>
        <w:spacing w:line="440" w:lineRule="exact"/>
        <w:rPr>
          <w:rFonts w:hint="eastAsia" w:ascii="宋体" w:hAnsi="宋体" w:eastAsia="宋体" w:cs="宋体"/>
          <w:color w:val="auto"/>
          <w:sz w:val="24"/>
          <w:szCs w:val="24"/>
          <w:highlight w:val="none"/>
        </w:rPr>
      </w:pPr>
    </w:p>
    <w:p w14:paraId="0D4383E6">
      <w:pPr>
        <w:spacing w:line="440" w:lineRule="exact"/>
        <w:rPr>
          <w:rFonts w:hint="eastAsia" w:ascii="宋体" w:hAnsi="宋体" w:eastAsia="宋体" w:cs="宋体"/>
          <w:color w:val="auto"/>
          <w:sz w:val="24"/>
          <w:szCs w:val="24"/>
          <w:highlight w:val="none"/>
        </w:rPr>
      </w:pPr>
    </w:p>
    <w:p w14:paraId="549A46B6">
      <w:pPr>
        <w:spacing w:line="440" w:lineRule="exact"/>
        <w:ind w:firstLine="2640" w:firstLineChars="1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3B3EDBD">
      <w:pPr>
        <w:spacing w:line="400" w:lineRule="exact"/>
        <w:rPr>
          <w:rFonts w:hint="eastAsia" w:ascii="宋体" w:hAnsi="宋体" w:eastAsia="宋体" w:cs="宋体"/>
          <w:color w:val="auto"/>
          <w:sz w:val="24"/>
          <w:szCs w:val="24"/>
          <w:highlight w:val="none"/>
        </w:rPr>
      </w:pPr>
    </w:p>
    <w:p w14:paraId="628F7E16">
      <w:pPr>
        <w:rPr>
          <w:rFonts w:hint="eastAsia" w:ascii="宋体" w:hAnsi="宋体" w:eastAsia="宋体" w:cs="宋体"/>
          <w:b/>
          <w:color w:val="auto"/>
          <w:sz w:val="24"/>
          <w:szCs w:val="24"/>
          <w:highlight w:val="none"/>
          <w:lang w:val="en-US" w:eastAsia="zh-CN"/>
        </w:rPr>
      </w:pPr>
      <w:bookmarkStart w:id="455" w:name="_Toc152045794"/>
      <w:bookmarkStart w:id="456" w:name="_Toc152042583"/>
      <w:bookmarkStart w:id="457" w:name="_Toc179632814"/>
      <w:bookmarkStart w:id="458" w:name="_Toc247085880"/>
      <w:bookmarkStart w:id="459" w:name="_Toc246997105"/>
      <w:bookmarkStart w:id="460" w:name="_Toc246996362"/>
      <w:bookmarkStart w:id="461" w:name="_Toc144974862"/>
      <w:r>
        <w:rPr>
          <w:rFonts w:hint="eastAsia" w:ascii="宋体" w:hAnsi="宋体" w:eastAsia="宋体" w:cs="宋体"/>
          <w:b/>
          <w:color w:val="auto"/>
          <w:sz w:val="24"/>
          <w:szCs w:val="24"/>
          <w:highlight w:val="none"/>
        </w:rPr>
        <w:br w:type="page"/>
      </w:r>
      <w:bookmarkEnd w:id="455"/>
      <w:bookmarkEnd w:id="456"/>
      <w:bookmarkEnd w:id="457"/>
      <w:bookmarkEnd w:id="458"/>
      <w:bookmarkEnd w:id="459"/>
      <w:bookmarkEnd w:id="460"/>
      <w:bookmarkEnd w:id="461"/>
      <w:bookmarkStart w:id="462" w:name="_Toc144974864"/>
      <w:bookmarkStart w:id="463" w:name="_Toc152045796"/>
      <w:bookmarkStart w:id="464" w:name="_Toc247085882"/>
      <w:bookmarkStart w:id="465" w:name="_Toc179632816"/>
      <w:bookmarkStart w:id="466" w:name="_Toc246996364"/>
      <w:bookmarkStart w:id="467" w:name="_Toc246997107"/>
      <w:bookmarkStart w:id="468" w:name="_Toc152042585"/>
    </w:p>
    <w:p w14:paraId="6550CF67">
      <w:pPr>
        <w:jc w:val="center"/>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t>四、磋商保证金</w:t>
      </w:r>
    </w:p>
    <w:p w14:paraId="7886CE0E">
      <w:pPr>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br w:type="page"/>
      </w:r>
    </w:p>
    <w:p w14:paraId="5E168706">
      <w:pPr>
        <w:jc w:val="center"/>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t>五、已标价工程量清单</w:t>
      </w:r>
    </w:p>
    <w:p w14:paraId="072C2B7B">
      <w:pPr>
        <w:jc w:val="left"/>
        <w:rPr>
          <w:rFonts w:hint="eastAsia" w:hAnsi="宋体" w:cs="宋体"/>
          <w:b/>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同一单位的造价师在本招标项目中不能为两个及两个以上的投标单位工作。非本单位的造价师，须附投标单位与其造价师所在的注册单位（工程造价咨询服务机构）签订的造价委托合同复印件并加盖单位公章</w:t>
      </w:r>
      <w:r>
        <w:rPr>
          <w:rFonts w:hint="eastAsia" w:hAnsi="宋体" w:cs="宋体"/>
          <w:b/>
          <w:color w:val="auto"/>
          <w:sz w:val="24"/>
          <w:szCs w:val="24"/>
          <w:highlight w:val="none"/>
          <w:lang w:val="en-US" w:eastAsia="zh-CN"/>
        </w:rPr>
        <w:t>。</w:t>
      </w:r>
    </w:p>
    <w:p w14:paraId="224AF820">
      <w:pPr>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br w:type="page"/>
      </w:r>
    </w:p>
    <w:p w14:paraId="30FBDAE4">
      <w:pPr>
        <w:jc w:val="center"/>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六</w:t>
      </w:r>
      <w:r>
        <w:rPr>
          <w:rFonts w:hint="eastAsia" w:ascii="宋体" w:hAnsi="宋体" w:eastAsia="宋体" w:cs="宋体"/>
          <w:b/>
          <w:color w:val="auto"/>
          <w:sz w:val="24"/>
          <w:szCs w:val="24"/>
          <w:highlight w:val="none"/>
        </w:rPr>
        <w:t>、施工组织设计</w:t>
      </w:r>
      <w:bookmarkEnd w:id="462"/>
      <w:bookmarkEnd w:id="463"/>
      <w:bookmarkEnd w:id="464"/>
      <w:bookmarkEnd w:id="465"/>
      <w:bookmarkEnd w:id="466"/>
      <w:bookmarkEnd w:id="467"/>
      <w:bookmarkEnd w:id="468"/>
    </w:p>
    <w:p w14:paraId="30FB7FD3">
      <w:pPr>
        <w:spacing w:line="420" w:lineRule="exact"/>
        <w:ind w:left="1280" w:leftChars="200" w:hanging="600" w:hangingChars="250"/>
        <w:rPr>
          <w:rFonts w:hint="eastAsia" w:ascii="宋体" w:hAnsi="宋体" w:eastAsia="宋体" w:cs="宋体"/>
          <w:color w:val="auto"/>
          <w:sz w:val="24"/>
          <w:szCs w:val="24"/>
          <w:highlight w:val="none"/>
        </w:rPr>
      </w:pPr>
    </w:p>
    <w:p w14:paraId="52902A3A">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bookmarkStart w:id="469" w:name="_Toc179632823"/>
      <w:bookmarkStart w:id="470" w:name="_Toc152042592"/>
      <w:bookmarkStart w:id="471" w:name="_Toc152045803"/>
      <w:bookmarkStart w:id="472" w:name="_Toc144974871"/>
      <w:r>
        <w:rPr>
          <w:rFonts w:hint="eastAsia" w:ascii="宋体" w:hAnsi="宋体" w:eastAsia="宋体" w:cs="宋体"/>
          <w:bCs/>
          <w:color w:val="auto"/>
          <w:sz w:val="24"/>
          <w:szCs w:val="24"/>
          <w:highlight w:val="none"/>
          <w:lang w:val="zh-CN"/>
        </w:rPr>
        <w:t>供应商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128C41FD">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p w14:paraId="444D50BD">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施工组织设计包括的内容（可根据竞争性磋商文件及项目情况实际增减）应包括：</w:t>
      </w:r>
    </w:p>
    <w:p w14:paraId="50BF52DF">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（一）施工方案与技术措施；</w:t>
      </w:r>
    </w:p>
    <w:p w14:paraId="64D761CF">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（二）</w:t>
      </w:r>
      <w:r>
        <w:rPr>
          <w:rFonts w:hint="eastAsia" w:ascii="宋体" w:hAnsi="宋体" w:eastAsia="宋体" w:cs="宋体"/>
          <w:b w:val="0"/>
          <w:color w:val="auto"/>
          <w:kern w:val="2"/>
          <w:sz w:val="24"/>
          <w:szCs w:val="24"/>
          <w:highlight w:val="none"/>
          <w:lang w:val="en-US" w:eastAsia="zh-CN"/>
        </w:rPr>
        <w:t>质量管理体系与措施</w:t>
      </w:r>
      <w:r>
        <w:rPr>
          <w:rFonts w:hint="eastAsia" w:ascii="宋体" w:hAnsi="宋体" w:eastAsia="宋体" w:cs="宋体"/>
          <w:bCs/>
          <w:color w:val="auto"/>
          <w:sz w:val="24"/>
          <w:szCs w:val="24"/>
          <w:highlight w:val="none"/>
          <w:lang w:val="zh-CN"/>
        </w:rPr>
        <w:t>；</w:t>
      </w:r>
    </w:p>
    <w:p w14:paraId="5829E586">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（三）</w:t>
      </w:r>
      <w:r>
        <w:rPr>
          <w:rFonts w:hint="eastAsia" w:ascii="宋体" w:hAnsi="宋体" w:eastAsia="宋体" w:cs="宋体"/>
          <w:b w:val="0"/>
          <w:color w:val="auto"/>
          <w:kern w:val="2"/>
          <w:sz w:val="24"/>
          <w:szCs w:val="24"/>
          <w:highlight w:val="none"/>
          <w:lang w:val="en-US" w:eastAsia="zh-CN"/>
        </w:rPr>
        <w:t>安全管理体系与措施</w:t>
      </w:r>
      <w:r>
        <w:rPr>
          <w:rFonts w:hint="eastAsia" w:ascii="宋体" w:hAnsi="宋体" w:eastAsia="宋体" w:cs="宋体"/>
          <w:bCs/>
          <w:color w:val="auto"/>
          <w:sz w:val="24"/>
          <w:szCs w:val="24"/>
          <w:highlight w:val="none"/>
          <w:lang w:val="zh-CN"/>
        </w:rPr>
        <w:t>；</w:t>
      </w:r>
    </w:p>
    <w:p w14:paraId="41299485">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（四）</w:t>
      </w:r>
      <w:r>
        <w:rPr>
          <w:rFonts w:hint="eastAsia" w:ascii="宋体" w:hAnsi="宋体" w:eastAsia="宋体" w:cs="宋体"/>
          <w:b w:val="0"/>
          <w:color w:val="auto"/>
          <w:kern w:val="2"/>
          <w:sz w:val="24"/>
          <w:szCs w:val="24"/>
          <w:highlight w:val="none"/>
          <w:lang w:val="en-US" w:eastAsia="zh-CN"/>
        </w:rPr>
        <w:t>环境保护管理体系与措施</w:t>
      </w:r>
      <w:r>
        <w:rPr>
          <w:rFonts w:hint="eastAsia" w:ascii="宋体" w:hAnsi="宋体" w:eastAsia="宋体" w:cs="宋体"/>
          <w:bCs/>
          <w:color w:val="auto"/>
          <w:sz w:val="24"/>
          <w:szCs w:val="24"/>
          <w:highlight w:val="none"/>
          <w:lang w:val="zh-CN"/>
        </w:rPr>
        <w:t>；</w:t>
      </w:r>
    </w:p>
    <w:p w14:paraId="2AC305DA">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（五）</w:t>
      </w:r>
      <w:r>
        <w:rPr>
          <w:rFonts w:hint="eastAsia" w:ascii="宋体" w:hAnsi="宋体" w:eastAsia="宋体" w:cs="宋体"/>
          <w:b w:val="0"/>
          <w:color w:val="auto"/>
          <w:kern w:val="2"/>
          <w:sz w:val="24"/>
          <w:szCs w:val="24"/>
          <w:highlight w:val="none"/>
          <w:lang w:val="en-US" w:eastAsia="zh-CN"/>
        </w:rPr>
        <w:t>工程进度计划与措施</w:t>
      </w:r>
      <w:r>
        <w:rPr>
          <w:rFonts w:hint="eastAsia" w:ascii="宋体" w:hAnsi="宋体" w:eastAsia="宋体" w:cs="宋体"/>
          <w:bCs/>
          <w:color w:val="auto"/>
          <w:sz w:val="24"/>
          <w:szCs w:val="24"/>
          <w:highlight w:val="none"/>
          <w:lang w:val="zh-CN"/>
        </w:rPr>
        <w:t>；</w:t>
      </w:r>
    </w:p>
    <w:p w14:paraId="19540126">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（六）</w:t>
      </w:r>
      <w:r>
        <w:rPr>
          <w:rFonts w:hint="eastAsia" w:ascii="宋体" w:hAnsi="宋体" w:eastAsia="宋体" w:cs="宋体"/>
          <w:b w:val="0"/>
          <w:color w:val="auto"/>
          <w:kern w:val="2"/>
          <w:sz w:val="24"/>
          <w:szCs w:val="24"/>
          <w:highlight w:val="none"/>
          <w:lang w:val="en-US" w:eastAsia="zh-CN"/>
        </w:rPr>
        <w:t>资源配备计划</w:t>
      </w:r>
      <w:r>
        <w:rPr>
          <w:rFonts w:hint="eastAsia" w:ascii="宋体" w:hAnsi="宋体" w:eastAsia="宋体" w:cs="宋体"/>
          <w:bCs/>
          <w:color w:val="auto"/>
          <w:sz w:val="24"/>
          <w:szCs w:val="24"/>
          <w:highlight w:val="none"/>
          <w:lang w:val="zh-CN"/>
        </w:rPr>
        <w:t>；</w:t>
      </w:r>
    </w:p>
    <w:p w14:paraId="4A4659BA">
      <w:pPr>
        <w:autoSpaceDE w:val="0"/>
        <w:autoSpaceDN w:val="0"/>
        <w:adjustRightInd w:val="0"/>
        <w:spacing w:line="400" w:lineRule="exact"/>
        <w:jc w:val="left"/>
        <w:rPr>
          <w:rFonts w:hint="eastAsia" w:ascii="宋体" w:hAnsi="宋体" w:cs="宋体"/>
          <w:color w:val="auto"/>
          <w:sz w:val="24"/>
          <w:szCs w:val="24"/>
          <w:highlight w:val="none"/>
        </w:rPr>
      </w:pPr>
      <w:r>
        <w:rPr>
          <w:rFonts w:hint="eastAsia" w:ascii="宋体" w:hAnsi="宋体" w:eastAsia="宋体" w:cs="宋体"/>
          <w:bCs/>
          <w:color w:val="auto"/>
          <w:sz w:val="24"/>
          <w:szCs w:val="24"/>
          <w:highlight w:val="none"/>
          <w:lang w:val="zh-CN"/>
        </w:rPr>
        <w:t>（七）</w:t>
      </w:r>
      <w:r>
        <w:rPr>
          <w:rFonts w:hint="eastAsia" w:ascii="宋体" w:hAnsi="宋体" w:cs="宋体"/>
          <w:color w:val="auto"/>
          <w:sz w:val="24"/>
          <w:szCs w:val="24"/>
          <w:highlight w:val="none"/>
        </w:rPr>
        <w:t>劳动力安排计划</w:t>
      </w:r>
    </w:p>
    <w:p w14:paraId="2BADDE23">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（八）成品保护措施；</w:t>
      </w:r>
    </w:p>
    <w:p w14:paraId="3E76946B">
      <w:pPr>
        <w:autoSpaceDE w:val="0"/>
        <w:autoSpaceDN w:val="0"/>
        <w:adjustRightInd w:val="0"/>
        <w:spacing w:line="400" w:lineRule="exact"/>
        <w:jc w:val="left"/>
        <w:rPr>
          <w:rFonts w:hint="eastAsia" w:ascii="宋体" w:hAnsi="宋体" w:cs="宋体"/>
          <w:color w:val="auto"/>
          <w:sz w:val="24"/>
          <w:szCs w:val="24"/>
          <w:highlight w:val="none"/>
        </w:rPr>
      </w:pP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en-US" w:eastAsia="zh-CN"/>
        </w:rPr>
        <w:t>九</w:t>
      </w:r>
      <w:r>
        <w:rPr>
          <w:rFonts w:hint="eastAsia" w:ascii="宋体" w:hAnsi="宋体" w:eastAsia="宋体" w:cs="宋体"/>
          <w:bCs/>
          <w:color w:val="auto"/>
          <w:sz w:val="24"/>
          <w:szCs w:val="24"/>
          <w:highlight w:val="none"/>
          <w:lang w:val="zh-CN"/>
        </w:rPr>
        <w:t>）</w:t>
      </w:r>
      <w:r>
        <w:rPr>
          <w:rFonts w:hint="eastAsia" w:ascii="宋体" w:hAnsi="宋体" w:cs="宋体"/>
          <w:color w:val="auto"/>
          <w:sz w:val="24"/>
          <w:szCs w:val="24"/>
          <w:highlight w:val="none"/>
        </w:rPr>
        <w:t>工程保修措施</w:t>
      </w:r>
    </w:p>
    <w:p w14:paraId="2DA1357C">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en-US" w:eastAsia="zh-CN"/>
        </w:rPr>
        <w:t>十</w:t>
      </w:r>
      <w:r>
        <w:rPr>
          <w:rFonts w:hint="eastAsia" w:ascii="宋体" w:hAnsi="宋体" w:eastAsia="宋体" w:cs="宋体"/>
          <w:bCs/>
          <w:color w:val="auto"/>
          <w:sz w:val="24"/>
          <w:szCs w:val="24"/>
          <w:highlight w:val="none"/>
          <w:lang w:val="zh-CN"/>
        </w:rPr>
        <w:t>）</w:t>
      </w:r>
      <w:r>
        <w:rPr>
          <w:rFonts w:hint="eastAsia" w:ascii="宋体" w:hAnsi="宋体" w:eastAsia="宋体" w:cs="宋体"/>
          <w:b w:val="0"/>
          <w:color w:val="auto"/>
          <w:kern w:val="2"/>
          <w:sz w:val="24"/>
          <w:szCs w:val="24"/>
          <w:highlight w:val="none"/>
          <w:lang w:val="en-US" w:eastAsia="zh-CN"/>
        </w:rPr>
        <w:t>紧急情况的处理措施、预案以及抵抗风险的措施</w:t>
      </w:r>
      <w:r>
        <w:rPr>
          <w:rFonts w:hint="eastAsia" w:ascii="宋体" w:hAnsi="宋体" w:eastAsia="宋体" w:cs="宋体"/>
          <w:bCs/>
          <w:color w:val="auto"/>
          <w:sz w:val="24"/>
          <w:szCs w:val="24"/>
          <w:highlight w:val="none"/>
          <w:lang w:val="zh-CN"/>
        </w:rPr>
        <w:t>；</w:t>
      </w:r>
    </w:p>
    <w:p w14:paraId="2C20D91E">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附表：</w:t>
      </w:r>
      <w:bookmarkStart w:id="473" w:name="_Toc207164821"/>
      <w:bookmarkStart w:id="474" w:name="_Toc269373943"/>
      <w:r>
        <w:rPr>
          <w:rFonts w:hint="eastAsia" w:ascii="宋体" w:hAnsi="宋体" w:eastAsia="宋体" w:cs="宋体"/>
          <w:bCs/>
          <w:color w:val="auto"/>
          <w:sz w:val="24"/>
          <w:szCs w:val="24"/>
          <w:highlight w:val="none"/>
          <w:lang w:val="zh-CN"/>
        </w:rPr>
        <w:t>附表一  拟投入本标段的主要施工设备表</w:t>
      </w:r>
    </w:p>
    <w:p w14:paraId="5EC69663">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附表二  拟配备本标段的试验和检测仪器设备表</w:t>
      </w:r>
    </w:p>
    <w:p w14:paraId="6F70CB88">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附表三  劳动力计划表</w:t>
      </w:r>
    </w:p>
    <w:p w14:paraId="44EEFAAE">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附表四  计划开、竣工日期和施工进度网络图</w:t>
      </w:r>
      <w:r>
        <w:rPr>
          <w:rFonts w:hint="eastAsia" w:ascii="宋体" w:hAnsi="宋体" w:eastAsia="宋体" w:cs="宋体"/>
          <w:bCs/>
          <w:color w:val="auto"/>
          <w:sz w:val="24"/>
          <w:szCs w:val="24"/>
          <w:highlight w:val="none"/>
        </w:rPr>
        <w:t>和（或）横道图表示</w:t>
      </w:r>
    </w:p>
    <w:p w14:paraId="4AEB0349">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附表五  施工总平面图</w:t>
      </w:r>
    </w:p>
    <w:p w14:paraId="738672C8">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附表六  临时用地表</w:t>
      </w:r>
    </w:p>
    <w:p w14:paraId="07289131">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p w14:paraId="1640DA3A">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p w14:paraId="5FADF792">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p w14:paraId="57C51EBF">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p w14:paraId="02EBB091">
      <w:pPr>
        <w:autoSpaceDE w:val="0"/>
        <w:autoSpaceDN w:val="0"/>
        <w:adjustRightInd w:val="0"/>
        <w:spacing w:line="400" w:lineRule="exact"/>
        <w:ind w:firstLine="352" w:firstLineChars="147"/>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br w:type="page"/>
      </w:r>
      <w:r>
        <w:rPr>
          <w:rFonts w:hint="eastAsia" w:ascii="宋体" w:hAnsi="宋体" w:eastAsia="宋体" w:cs="宋体"/>
          <w:b/>
          <w:bCs/>
          <w:color w:val="auto"/>
          <w:sz w:val="24"/>
          <w:szCs w:val="24"/>
          <w:highlight w:val="none"/>
          <w:lang w:val="zh-CN"/>
        </w:rPr>
        <w:t>附表一：拟投入本标段的主要施工设备表</w:t>
      </w:r>
      <w:bookmarkEnd w:id="473"/>
      <w:bookmarkEnd w:id="474"/>
    </w:p>
    <w:p w14:paraId="66ADBDD7">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162"/>
        <w:gridCol w:w="885"/>
        <w:gridCol w:w="885"/>
        <w:gridCol w:w="886"/>
        <w:gridCol w:w="886"/>
        <w:gridCol w:w="1096"/>
        <w:gridCol w:w="676"/>
        <w:gridCol w:w="1124"/>
        <w:gridCol w:w="648"/>
      </w:tblGrid>
      <w:tr w14:paraId="62A8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14:paraId="415578F2">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序号</w:t>
            </w:r>
          </w:p>
        </w:tc>
        <w:tc>
          <w:tcPr>
            <w:tcW w:w="1162" w:type="dxa"/>
            <w:vAlign w:val="center"/>
          </w:tcPr>
          <w:p w14:paraId="0581E477">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设备</w:t>
            </w:r>
          </w:p>
          <w:p w14:paraId="335BFAD4">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名称</w:t>
            </w:r>
          </w:p>
        </w:tc>
        <w:tc>
          <w:tcPr>
            <w:tcW w:w="885" w:type="dxa"/>
            <w:vAlign w:val="center"/>
          </w:tcPr>
          <w:p w14:paraId="7425F54D">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型号</w:t>
            </w:r>
          </w:p>
          <w:p w14:paraId="495EF043">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规格</w:t>
            </w:r>
          </w:p>
        </w:tc>
        <w:tc>
          <w:tcPr>
            <w:tcW w:w="885" w:type="dxa"/>
            <w:vAlign w:val="center"/>
          </w:tcPr>
          <w:p w14:paraId="4C0E237F">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数量</w:t>
            </w:r>
          </w:p>
        </w:tc>
        <w:tc>
          <w:tcPr>
            <w:tcW w:w="886" w:type="dxa"/>
            <w:vAlign w:val="center"/>
          </w:tcPr>
          <w:p w14:paraId="16D65CA1">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国别</w:t>
            </w:r>
          </w:p>
          <w:p w14:paraId="482009BE">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产地</w:t>
            </w:r>
          </w:p>
        </w:tc>
        <w:tc>
          <w:tcPr>
            <w:tcW w:w="886" w:type="dxa"/>
            <w:vAlign w:val="center"/>
          </w:tcPr>
          <w:p w14:paraId="786C9E5A">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制造</w:t>
            </w:r>
          </w:p>
          <w:p w14:paraId="78D36546">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年份</w:t>
            </w:r>
          </w:p>
        </w:tc>
        <w:tc>
          <w:tcPr>
            <w:tcW w:w="1096" w:type="dxa"/>
            <w:vAlign w:val="center"/>
          </w:tcPr>
          <w:p w14:paraId="3D2A5B6C">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额定功率</w:t>
            </w:r>
          </w:p>
          <w:p w14:paraId="7A7330DD">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(KW)</w:t>
            </w:r>
          </w:p>
        </w:tc>
        <w:tc>
          <w:tcPr>
            <w:tcW w:w="676" w:type="dxa"/>
            <w:vAlign w:val="center"/>
          </w:tcPr>
          <w:p w14:paraId="440B81DB">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生产</w:t>
            </w:r>
          </w:p>
          <w:p w14:paraId="2EB287A3">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能力</w:t>
            </w:r>
          </w:p>
        </w:tc>
        <w:tc>
          <w:tcPr>
            <w:tcW w:w="1124" w:type="dxa"/>
            <w:vAlign w:val="center"/>
          </w:tcPr>
          <w:p w14:paraId="7442F879">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用于施工</w:t>
            </w:r>
          </w:p>
          <w:p w14:paraId="14EFC35B">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部位</w:t>
            </w:r>
          </w:p>
        </w:tc>
        <w:tc>
          <w:tcPr>
            <w:tcW w:w="648" w:type="dxa"/>
            <w:vAlign w:val="center"/>
          </w:tcPr>
          <w:p w14:paraId="528E8557">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备注</w:t>
            </w:r>
          </w:p>
        </w:tc>
      </w:tr>
      <w:tr w14:paraId="579B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14:paraId="2436760E">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62" w:type="dxa"/>
            <w:vAlign w:val="center"/>
          </w:tcPr>
          <w:p w14:paraId="573334E6">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07123CC6">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5699CF90">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7DAA5634">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0887D041">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24F05D99">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76" w:type="dxa"/>
            <w:vAlign w:val="center"/>
          </w:tcPr>
          <w:p w14:paraId="17DDEB88">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4" w:type="dxa"/>
            <w:vAlign w:val="center"/>
          </w:tcPr>
          <w:p w14:paraId="28F2CC13">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48" w:type="dxa"/>
            <w:vAlign w:val="center"/>
          </w:tcPr>
          <w:p w14:paraId="4E15B453">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1E3C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14:paraId="1AD8B60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62" w:type="dxa"/>
            <w:vAlign w:val="center"/>
          </w:tcPr>
          <w:p w14:paraId="7FF83ED2">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4B540E9B">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31000F6C">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4F093CE6">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5025A47A">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6D6EB2C1">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76" w:type="dxa"/>
            <w:vAlign w:val="center"/>
          </w:tcPr>
          <w:p w14:paraId="48CB9607">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4" w:type="dxa"/>
            <w:vAlign w:val="center"/>
          </w:tcPr>
          <w:p w14:paraId="1CA9FE08">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48" w:type="dxa"/>
            <w:vAlign w:val="center"/>
          </w:tcPr>
          <w:p w14:paraId="6C6CF42B">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0EC6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14:paraId="32248A9F">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62" w:type="dxa"/>
            <w:vAlign w:val="center"/>
          </w:tcPr>
          <w:p w14:paraId="1F5B5E08">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2552BC76">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393E51DA">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24D11FF7">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65E5AE2D">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3FE45C5A">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76" w:type="dxa"/>
            <w:vAlign w:val="center"/>
          </w:tcPr>
          <w:p w14:paraId="727A7184">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4" w:type="dxa"/>
            <w:vAlign w:val="center"/>
          </w:tcPr>
          <w:p w14:paraId="5715ABCF">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48" w:type="dxa"/>
            <w:vAlign w:val="center"/>
          </w:tcPr>
          <w:p w14:paraId="72C918F6">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5E14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14:paraId="2953F946">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62" w:type="dxa"/>
            <w:vAlign w:val="center"/>
          </w:tcPr>
          <w:p w14:paraId="4A086F17">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29FFCF9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0AFBF562">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524ED23E">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43CB2B20">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24B2869F">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76" w:type="dxa"/>
            <w:vAlign w:val="center"/>
          </w:tcPr>
          <w:p w14:paraId="11BC841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4" w:type="dxa"/>
            <w:vAlign w:val="center"/>
          </w:tcPr>
          <w:p w14:paraId="51426CD4">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48" w:type="dxa"/>
            <w:vAlign w:val="center"/>
          </w:tcPr>
          <w:p w14:paraId="0232D647">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5FE9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14:paraId="138A54BD">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62" w:type="dxa"/>
            <w:vAlign w:val="center"/>
          </w:tcPr>
          <w:p w14:paraId="19A435CE">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0058D16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0A75E570">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6691942E">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63143F28">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16870AF0">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76" w:type="dxa"/>
            <w:vAlign w:val="center"/>
          </w:tcPr>
          <w:p w14:paraId="6F6A40CA">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4" w:type="dxa"/>
            <w:vAlign w:val="center"/>
          </w:tcPr>
          <w:p w14:paraId="1DB706A0">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48" w:type="dxa"/>
            <w:vAlign w:val="center"/>
          </w:tcPr>
          <w:p w14:paraId="35B58748">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7CA87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14:paraId="65069629">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62" w:type="dxa"/>
            <w:vAlign w:val="center"/>
          </w:tcPr>
          <w:p w14:paraId="28B75E16">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75E4B039">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0542BA03">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3D5E69D7">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07B0E912">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24AB7C37">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76" w:type="dxa"/>
            <w:vAlign w:val="center"/>
          </w:tcPr>
          <w:p w14:paraId="79712762">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4" w:type="dxa"/>
            <w:vAlign w:val="center"/>
          </w:tcPr>
          <w:p w14:paraId="2B0D334C">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48" w:type="dxa"/>
            <w:vAlign w:val="center"/>
          </w:tcPr>
          <w:p w14:paraId="286F6703">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1835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14:paraId="59440DA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62" w:type="dxa"/>
            <w:vAlign w:val="center"/>
          </w:tcPr>
          <w:p w14:paraId="195C5D02">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2B556490">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615DDC28">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283B8F29">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582361CC">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56E60F46">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76" w:type="dxa"/>
            <w:vAlign w:val="center"/>
          </w:tcPr>
          <w:p w14:paraId="3034F762">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4" w:type="dxa"/>
            <w:vAlign w:val="center"/>
          </w:tcPr>
          <w:p w14:paraId="5C6F8563">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48" w:type="dxa"/>
            <w:vAlign w:val="center"/>
          </w:tcPr>
          <w:p w14:paraId="02802724">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047A5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14:paraId="0D9873C4">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62" w:type="dxa"/>
            <w:vAlign w:val="center"/>
          </w:tcPr>
          <w:p w14:paraId="3A906F1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776CEE2F">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6F1BBD53">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5533502D">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56C07872">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36401B0A">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76" w:type="dxa"/>
            <w:vAlign w:val="center"/>
          </w:tcPr>
          <w:p w14:paraId="10E70D58">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4" w:type="dxa"/>
            <w:vAlign w:val="center"/>
          </w:tcPr>
          <w:p w14:paraId="068534E8">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48" w:type="dxa"/>
            <w:vAlign w:val="center"/>
          </w:tcPr>
          <w:p w14:paraId="543BD0B0">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4194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14:paraId="7BF440C4">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62" w:type="dxa"/>
            <w:vAlign w:val="center"/>
          </w:tcPr>
          <w:p w14:paraId="76F33306">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45862611">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0B7884C4">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221AF1D9">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3A604B9C">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5F39F8DD">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76" w:type="dxa"/>
            <w:vAlign w:val="center"/>
          </w:tcPr>
          <w:p w14:paraId="3CC30326">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4" w:type="dxa"/>
            <w:vAlign w:val="center"/>
          </w:tcPr>
          <w:p w14:paraId="10040F94">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48" w:type="dxa"/>
            <w:vAlign w:val="center"/>
          </w:tcPr>
          <w:p w14:paraId="61E8BEC5">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4CF8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14:paraId="54936298">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62" w:type="dxa"/>
            <w:vAlign w:val="center"/>
          </w:tcPr>
          <w:p w14:paraId="57E27B3C">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0F7CB69B">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4DDF65FD">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34FA2177">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4B80198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5C3E55FE">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76" w:type="dxa"/>
            <w:vAlign w:val="center"/>
          </w:tcPr>
          <w:p w14:paraId="0FA3B043">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4" w:type="dxa"/>
            <w:vAlign w:val="center"/>
          </w:tcPr>
          <w:p w14:paraId="20885077">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48" w:type="dxa"/>
            <w:vAlign w:val="center"/>
          </w:tcPr>
          <w:p w14:paraId="3679830F">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2788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14:paraId="25ADC91B">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62" w:type="dxa"/>
            <w:vAlign w:val="center"/>
          </w:tcPr>
          <w:p w14:paraId="2FDD4AE2">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7E8E517B">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31754576">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333847E3">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1BF084E3">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6E04C62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76" w:type="dxa"/>
            <w:vAlign w:val="center"/>
          </w:tcPr>
          <w:p w14:paraId="2930AC5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4" w:type="dxa"/>
            <w:vAlign w:val="center"/>
          </w:tcPr>
          <w:p w14:paraId="1EF6DC16">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48" w:type="dxa"/>
            <w:vAlign w:val="center"/>
          </w:tcPr>
          <w:p w14:paraId="382708C4">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0860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14:paraId="6E238872">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62" w:type="dxa"/>
            <w:vAlign w:val="center"/>
          </w:tcPr>
          <w:p w14:paraId="2C57A77B">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66FBA723">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04B2F71F">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434358EF">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6E1574C2">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43E4F3FC">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76" w:type="dxa"/>
            <w:vAlign w:val="center"/>
          </w:tcPr>
          <w:p w14:paraId="7DD4A141">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4" w:type="dxa"/>
            <w:vAlign w:val="center"/>
          </w:tcPr>
          <w:p w14:paraId="061DD33A">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48" w:type="dxa"/>
            <w:vAlign w:val="center"/>
          </w:tcPr>
          <w:p w14:paraId="019BB6E3">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1BCE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14:paraId="3C4CD5FF">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62" w:type="dxa"/>
            <w:vAlign w:val="center"/>
          </w:tcPr>
          <w:p w14:paraId="0EE83A1B">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2F2289F8">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0875BB0F">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06F6C141">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7E7F8DF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2A0C4609">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76" w:type="dxa"/>
            <w:vAlign w:val="center"/>
          </w:tcPr>
          <w:p w14:paraId="74AB7A7B">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4" w:type="dxa"/>
            <w:vAlign w:val="center"/>
          </w:tcPr>
          <w:p w14:paraId="7891BEAC">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48" w:type="dxa"/>
            <w:vAlign w:val="center"/>
          </w:tcPr>
          <w:p w14:paraId="4F08C05F">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1643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14:paraId="41E866AD">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62" w:type="dxa"/>
            <w:vAlign w:val="center"/>
          </w:tcPr>
          <w:p w14:paraId="3D3FB283">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372353B3">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76D53661">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203E8FAA">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760D07CF">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3B0D1D69">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76" w:type="dxa"/>
            <w:vAlign w:val="center"/>
          </w:tcPr>
          <w:p w14:paraId="1F7C2C56">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4" w:type="dxa"/>
            <w:vAlign w:val="center"/>
          </w:tcPr>
          <w:p w14:paraId="5B534E90">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48" w:type="dxa"/>
            <w:vAlign w:val="center"/>
          </w:tcPr>
          <w:p w14:paraId="68612A92">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1CE0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14:paraId="3BECE44A">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62" w:type="dxa"/>
            <w:vAlign w:val="center"/>
          </w:tcPr>
          <w:p w14:paraId="43F6B211">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0270A388">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0D7A5271">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7865F213">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5F8C9767">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56FECD06">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76" w:type="dxa"/>
            <w:vAlign w:val="center"/>
          </w:tcPr>
          <w:p w14:paraId="1697E619">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4" w:type="dxa"/>
            <w:vAlign w:val="center"/>
          </w:tcPr>
          <w:p w14:paraId="1F1DEF01">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48" w:type="dxa"/>
            <w:vAlign w:val="center"/>
          </w:tcPr>
          <w:p w14:paraId="79757C81">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4BF1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14:paraId="36B4F6E6">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62" w:type="dxa"/>
            <w:vAlign w:val="center"/>
          </w:tcPr>
          <w:p w14:paraId="10925CF1">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5D588B7D">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0EF9B79D">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18FBBFD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198143E8">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19DB71F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76" w:type="dxa"/>
            <w:vAlign w:val="center"/>
          </w:tcPr>
          <w:p w14:paraId="7245FB19">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4" w:type="dxa"/>
            <w:vAlign w:val="center"/>
          </w:tcPr>
          <w:p w14:paraId="6DA39C31">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48" w:type="dxa"/>
            <w:vAlign w:val="center"/>
          </w:tcPr>
          <w:p w14:paraId="485E8E9A">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2D66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14:paraId="5B89353E">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62" w:type="dxa"/>
            <w:vAlign w:val="center"/>
          </w:tcPr>
          <w:p w14:paraId="5C085640">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0F3B51D9">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1A83E386">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41433853">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5A661937">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17F50344">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76" w:type="dxa"/>
            <w:vAlign w:val="center"/>
          </w:tcPr>
          <w:p w14:paraId="237910A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4" w:type="dxa"/>
            <w:vAlign w:val="center"/>
          </w:tcPr>
          <w:p w14:paraId="5B91F34D">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48" w:type="dxa"/>
            <w:vAlign w:val="center"/>
          </w:tcPr>
          <w:p w14:paraId="019DDF8C">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04B8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14:paraId="039976A6">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62" w:type="dxa"/>
            <w:vAlign w:val="center"/>
          </w:tcPr>
          <w:p w14:paraId="50DF685D">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180A662F">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453A16FB">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7E2AEF13">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3CB03491">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3BB5BB38">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76" w:type="dxa"/>
            <w:vAlign w:val="center"/>
          </w:tcPr>
          <w:p w14:paraId="40DAF121">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4" w:type="dxa"/>
            <w:vAlign w:val="center"/>
          </w:tcPr>
          <w:p w14:paraId="3CEF9E3D">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48" w:type="dxa"/>
            <w:vAlign w:val="center"/>
          </w:tcPr>
          <w:p w14:paraId="6188B5DF">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13DC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14:paraId="30AA6C9C">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62" w:type="dxa"/>
            <w:vAlign w:val="center"/>
          </w:tcPr>
          <w:p w14:paraId="66C517F6">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636AC1D3">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4373A7C9">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3C3C8699">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559BDD9F">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294BE68A">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76" w:type="dxa"/>
            <w:vAlign w:val="center"/>
          </w:tcPr>
          <w:p w14:paraId="4FEC7B9A">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4" w:type="dxa"/>
            <w:vAlign w:val="center"/>
          </w:tcPr>
          <w:p w14:paraId="338966CD">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48" w:type="dxa"/>
            <w:vAlign w:val="center"/>
          </w:tcPr>
          <w:p w14:paraId="55D02796">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4114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14:paraId="16890A1F">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62" w:type="dxa"/>
            <w:vAlign w:val="center"/>
          </w:tcPr>
          <w:p w14:paraId="10F52C44">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3A56C4B7">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26151D61">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3C61E710">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6DC0538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2C397B87">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76" w:type="dxa"/>
            <w:vAlign w:val="center"/>
          </w:tcPr>
          <w:p w14:paraId="23777E67">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4" w:type="dxa"/>
            <w:vAlign w:val="center"/>
          </w:tcPr>
          <w:p w14:paraId="0C24D289">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48" w:type="dxa"/>
            <w:vAlign w:val="center"/>
          </w:tcPr>
          <w:p w14:paraId="6B986116">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5D10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14:paraId="678009E1">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62" w:type="dxa"/>
            <w:vAlign w:val="center"/>
          </w:tcPr>
          <w:p w14:paraId="65B98974">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5A34DEA7">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06C9D34B">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41D45D96">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6A068D4B">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4943FAA0">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76" w:type="dxa"/>
            <w:vAlign w:val="center"/>
          </w:tcPr>
          <w:p w14:paraId="2DE1E91A">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4" w:type="dxa"/>
            <w:vAlign w:val="center"/>
          </w:tcPr>
          <w:p w14:paraId="7E432DEE">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48" w:type="dxa"/>
            <w:vAlign w:val="center"/>
          </w:tcPr>
          <w:p w14:paraId="1999488E">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34B9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14:paraId="464A752A">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62" w:type="dxa"/>
            <w:vAlign w:val="center"/>
          </w:tcPr>
          <w:p w14:paraId="5041D692">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5157DD3E">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354AEEE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62DEE46C">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23394B00">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03473BBF">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76" w:type="dxa"/>
            <w:vAlign w:val="center"/>
          </w:tcPr>
          <w:p w14:paraId="4B98B4C1">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4" w:type="dxa"/>
            <w:vAlign w:val="center"/>
          </w:tcPr>
          <w:p w14:paraId="51DA5900">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48" w:type="dxa"/>
            <w:vAlign w:val="center"/>
          </w:tcPr>
          <w:p w14:paraId="680E5C9B">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29D4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14:paraId="03D33FB4">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62" w:type="dxa"/>
            <w:vAlign w:val="center"/>
          </w:tcPr>
          <w:p w14:paraId="0223A564">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327E4728">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5E6B10ED">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055D735C">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5D0E63DF">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76215332">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76" w:type="dxa"/>
            <w:vAlign w:val="center"/>
          </w:tcPr>
          <w:p w14:paraId="3FC7F36D">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4" w:type="dxa"/>
            <w:vAlign w:val="center"/>
          </w:tcPr>
          <w:p w14:paraId="25E7F28F">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648" w:type="dxa"/>
            <w:vAlign w:val="center"/>
          </w:tcPr>
          <w:p w14:paraId="3A0BE574">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bl>
    <w:p w14:paraId="32A9A346">
      <w:pPr>
        <w:autoSpaceDE w:val="0"/>
        <w:autoSpaceDN w:val="0"/>
        <w:adjustRightInd w:val="0"/>
        <w:spacing w:line="400" w:lineRule="exact"/>
        <w:jc w:val="left"/>
        <w:rPr>
          <w:rFonts w:hint="eastAsia" w:ascii="宋体" w:hAnsi="宋体" w:eastAsia="宋体" w:cs="宋体"/>
          <w:color w:val="auto"/>
          <w:sz w:val="24"/>
          <w:szCs w:val="24"/>
          <w:highlight w:val="none"/>
          <w:lang w:val="zh-CN"/>
        </w:rPr>
      </w:pPr>
    </w:p>
    <w:p w14:paraId="6475D79B">
      <w:pPr>
        <w:autoSpaceDE w:val="0"/>
        <w:autoSpaceDN w:val="0"/>
        <w:adjustRightInd w:val="0"/>
        <w:spacing w:line="400" w:lineRule="exact"/>
        <w:jc w:val="left"/>
        <w:rPr>
          <w:rFonts w:hint="eastAsia" w:ascii="宋体" w:hAnsi="宋体" w:eastAsia="宋体" w:cs="宋体"/>
          <w:color w:val="auto"/>
          <w:sz w:val="24"/>
          <w:szCs w:val="24"/>
          <w:highlight w:val="none"/>
          <w:lang w:val="zh-CN"/>
        </w:rPr>
      </w:pPr>
    </w:p>
    <w:p w14:paraId="2E8FDDFF">
      <w:pPr>
        <w:pStyle w:val="23"/>
        <w:ind w:firstLine="354" w:firstLineChars="147"/>
        <w:jc w:val="both"/>
        <w:rPr>
          <w:rFonts w:hint="eastAsia" w:ascii="宋体" w:hAnsi="宋体" w:eastAsia="宋体" w:cs="宋体"/>
          <w:color w:val="auto"/>
          <w:sz w:val="24"/>
          <w:szCs w:val="24"/>
          <w:highlight w:val="none"/>
          <w:lang w:val="zh-CN"/>
        </w:rPr>
      </w:pPr>
      <w:bookmarkStart w:id="475" w:name="_Toc269373944"/>
      <w:bookmarkStart w:id="476" w:name="_Toc207164822"/>
      <w:bookmarkStart w:id="477" w:name="_Toc8912"/>
      <w:r>
        <w:rPr>
          <w:rFonts w:hint="eastAsia" w:ascii="宋体" w:hAnsi="宋体" w:eastAsia="宋体" w:cs="宋体"/>
          <w:color w:val="auto"/>
          <w:sz w:val="24"/>
          <w:szCs w:val="24"/>
          <w:highlight w:val="none"/>
          <w:lang w:val="zh-CN"/>
        </w:rPr>
        <w:br w:type="page"/>
      </w:r>
      <w:r>
        <w:rPr>
          <w:rFonts w:hint="eastAsia" w:ascii="宋体" w:hAnsi="宋体" w:eastAsia="宋体" w:cs="宋体"/>
          <w:color w:val="auto"/>
          <w:sz w:val="24"/>
          <w:szCs w:val="24"/>
          <w:highlight w:val="none"/>
          <w:lang w:val="zh-CN"/>
        </w:rPr>
        <w:t>附表二：拟配备本标段的试验和检测仪器设备表</w:t>
      </w:r>
      <w:bookmarkEnd w:id="475"/>
      <w:bookmarkEnd w:id="476"/>
      <w:bookmarkEnd w:id="477"/>
    </w:p>
    <w:p w14:paraId="375CFFB9">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22"/>
        <w:gridCol w:w="885"/>
        <w:gridCol w:w="885"/>
        <w:gridCol w:w="886"/>
        <w:gridCol w:w="886"/>
        <w:gridCol w:w="1096"/>
        <w:gridCol w:w="1440"/>
        <w:gridCol w:w="900"/>
      </w:tblGrid>
      <w:tr w14:paraId="253B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vAlign w:val="center"/>
          </w:tcPr>
          <w:p w14:paraId="28EB59AD">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序号</w:t>
            </w:r>
          </w:p>
        </w:tc>
        <w:tc>
          <w:tcPr>
            <w:tcW w:w="1122" w:type="dxa"/>
            <w:vAlign w:val="center"/>
          </w:tcPr>
          <w:p w14:paraId="2586C0C1">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仪器设备</w:t>
            </w:r>
          </w:p>
          <w:p w14:paraId="0C6C75EC">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名称</w:t>
            </w:r>
          </w:p>
        </w:tc>
        <w:tc>
          <w:tcPr>
            <w:tcW w:w="885" w:type="dxa"/>
            <w:vAlign w:val="center"/>
          </w:tcPr>
          <w:p w14:paraId="749435C0">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型号</w:t>
            </w:r>
          </w:p>
          <w:p w14:paraId="5F5783E0">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规格</w:t>
            </w:r>
          </w:p>
        </w:tc>
        <w:tc>
          <w:tcPr>
            <w:tcW w:w="885" w:type="dxa"/>
            <w:vAlign w:val="center"/>
          </w:tcPr>
          <w:p w14:paraId="797AAA22">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数量</w:t>
            </w:r>
          </w:p>
        </w:tc>
        <w:tc>
          <w:tcPr>
            <w:tcW w:w="886" w:type="dxa"/>
            <w:vAlign w:val="center"/>
          </w:tcPr>
          <w:p w14:paraId="35C6FB5D">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国别</w:t>
            </w:r>
          </w:p>
          <w:p w14:paraId="7D43F543">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产地</w:t>
            </w:r>
          </w:p>
        </w:tc>
        <w:tc>
          <w:tcPr>
            <w:tcW w:w="886" w:type="dxa"/>
            <w:vAlign w:val="center"/>
          </w:tcPr>
          <w:p w14:paraId="147E2429">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制造</w:t>
            </w:r>
          </w:p>
          <w:p w14:paraId="6DD3F169">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年份</w:t>
            </w:r>
          </w:p>
        </w:tc>
        <w:tc>
          <w:tcPr>
            <w:tcW w:w="1096" w:type="dxa"/>
            <w:vAlign w:val="center"/>
          </w:tcPr>
          <w:p w14:paraId="4CC70331">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已使用</w:t>
            </w:r>
          </w:p>
          <w:p w14:paraId="6FE61623">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台时数</w:t>
            </w:r>
          </w:p>
        </w:tc>
        <w:tc>
          <w:tcPr>
            <w:tcW w:w="1440" w:type="dxa"/>
            <w:vAlign w:val="center"/>
          </w:tcPr>
          <w:p w14:paraId="5BC1EBF7">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用途</w:t>
            </w:r>
          </w:p>
        </w:tc>
        <w:tc>
          <w:tcPr>
            <w:tcW w:w="900" w:type="dxa"/>
            <w:vAlign w:val="center"/>
          </w:tcPr>
          <w:p w14:paraId="700BC85F">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备注</w:t>
            </w:r>
          </w:p>
        </w:tc>
      </w:tr>
      <w:tr w14:paraId="6DD0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2B08899D">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2" w:type="dxa"/>
            <w:vAlign w:val="center"/>
          </w:tcPr>
          <w:p w14:paraId="7EE8B437">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46BE93A0">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2D481ACE">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5AF370C2">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6AD9B2CE">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53DF6AE9">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40" w:type="dxa"/>
            <w:vAlign w:val="center"/>
          </w:tcPr>
          <w:p w14:paraId="2B6AF6D8">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900" w:type="dxa"/>
            <w:vAlign w:val="center"/>
          </w:tcPr>
          <w:p w14:paraId="43FCFA70">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4710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6C8A8BEC">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2" w:type="dxa"/>
            <w:vAlign w:val="center"/>
          </w:tcPr>
          <w:p w14:paraId="4154FF8F">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0C336EA1">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30857CAD">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4C8572F1">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74D5B148">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2786150E">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40" w:type="dxa"/>
            <w:vAlign w:val="center"/>
          </w:tcPr>
          <w:p w14:paraId="4BF4AC7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900" w:type="dxa"/>
            <w:vAlign w:val="center"/>
          </w:tcPr>
          <w:p w14:paraId="0FB2E0D1">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7920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6C88692B">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2" w:type="dxa"/>
            <w:vAlign w:val="center"/>
          </w:tcPr>
          <w:p w14:paraId="08236818">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0EF64708">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54FF8D76">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6AD01DFE">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5CF7507C">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0F697173">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40" w:type="dxa"/>
            <w:vAlign w:val="center"/>
          </w:tcPr>
          <w:p w14:paraId="68ED87E0">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900" w:type="dxa"/>
            <w:vAlign w:val="center"/>
          </w:tcPr>
          <w:p w14:paraId="6FB46AB0">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7873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7D57A990">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2" w:type="dxa"/>
            <w:vAlign w:val="center"/>
          </w:tcPr>
          <w:p w14:paraId="4C6491AB">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7CEE9E7F">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234AB0AE">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68746E68">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4B09146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23C6F4A8">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40" w:type="dxa"/>
            <w:vAlign w:val="center"/>
          </w:tcPr>
          <w:p w14:paraId="3BB21D31">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900" w:type="dxa"/>
            <w:vAlign w:val="center"/>
          </w:tcPr>
          <w:p w14:paraId="24AC62FF">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2387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67348744">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2" w:type="dxa"/>
            <w:vAlign w:val="center"/>
          </w:tcPr>
          <w:p w14:paraId="0E3EC64D">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4BE3932C">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36112A67">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31DB38FF">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126FB2E7">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7158FB82">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40" w:type="dxa"/>
            <w:vAlign w:val="center"/>
          </w:tcPr>
          <w:p w14:paraId="55A3F69C">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900" w:type="dxa"/>
            <w:vAlign w:val="center"/>
          </w:tcPr>
          <w:p w14:paraId="0BCB51D7">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27AE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3B771C0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2" w:type="dxa"/>
            <w:vAlign w:val="center"/>
          </w:tcPr>
          <w:p w14:paraId="1DCB8399">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4FE13A99">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0BA5DD9E">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5F8FA957">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1D2A3526">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6FD7E73F">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40" w:type="dxa"/>
            <w:vAlign w:val="center"/>
          </w:tcPr>
          <w:p w14:paraId="76A29663">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900" w:type="dxa"/>
            <w:vAlign w:val="center"/>
          </w:tcPr>
          <w:p w14:paraId="3782EF87">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014B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14BDD47C">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2" w:type="dxa"/>
            <w:vAlign w:val="center"/>
          </w:tcPr>
          <w:p w14:paraId="6A6A8793">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06971C9D">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69E61B8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3EC2E911">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31F37018">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63A44F91">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40" w:type="dxa"/>
            <w:vAlign w:val="center"/>
          </w:tcPr>
          <w:p w14:paraId="3912544C">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900" w:type="dxa"/>
            <w:vAlign w:val="center"/>
          </w:tcPr>
          <w:p w14:paraId="5F252257">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52C5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31963497">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2" w:type="dxa"/>
            <w:vAlign w:val="center"/>
          </w:tcPr>
          <w:p w14:paraId="62693EF6">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0389925D">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3E047642">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64B16B8A">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63127B9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048329BB">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40" w:type="dxa"/>
            <w:vAlign w:val="center"/>
          </w:tcPr>
          <w:p w14:paraId="018C969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900" w:type="dxa"/>
            <w:vAlign w:val="center"/>
          </w:tcPr>
          <w:p w14:paraId="5ACE6F0C">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51DF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7A2CA82B">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2" w:type="dxa"/>
            <w:vAlign w:val="center"/>
          </w:tcPr>
          <w:p w14:paraId="39413A6C">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19171DFE">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04094D69">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0594C8BA">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54CE70E8">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47F3553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40" w:type="dxa"/>
            <w:vAlign w:val="center"/>
          </w:tcPr>
          <w:p w14:paraId="4960209B">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900" w:type="dxa"/>
            <w:vAlign w:val="center"/>
          </w:tcPr>
          <w:p w14:paraId="1A54CCAA">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4547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61E53807">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2" w:type="dxa"/>
            <w:vAlign w:val="center"/>
          </w:tcPr>
          <w:p w14:paraId="69F2EAC1">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5C4E2416">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009921A2">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515B79D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1D729577">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369E00EC">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40" w:type="dxa"/>
            <w:vAlign w:val="center"/>
          </w:tcPr>
          <w:p w14:paraId="421C4A7F">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900" w:type="dxa"/>
            <w:vAlign w:val="center"/>
          </w:tcPr>
          <w:p w14:paraId="499CD70E">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0DC7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0E5A263E">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2" w:type="dxa"/>
            <w:vAlign w:val="center"/>
          </w:tcPr>
          <w:p w14:paraId="3F2D8F3B">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67D3381B">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27B69760">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5DAC0400">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5D741613">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26A68CD1">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40" w:type="dxa"/>
            <w:vAlign w:val="center"/>
          </w:tcPr>
          <w:p w14:paraId="169AB3CE">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900" w:type="dxa"/>
            <w:vAlign w:val="center"/>
          </w:tcPr>
          <w:p w14:paraId="564F0201">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704AA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20DC41B8">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2" w:type="dxa"/>
            <w:vAlign w:val="center"/>
          </w:tcPr>
          <w:p w14:paraId="606ACF56">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3D6DC383">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4E15891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41F1AACF">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3D97D04F">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045736C6">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40" w:type="dxa"/>
            <w:vAlign w:val="center"/>
          </w:tcPr>
          <w:p w14:paraId="19F48C44">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900" w:type="dxa"/>
            <w:vAlign w:val="center"/>
          </w:tcPr>
          <w:p w14:paraId="35F6D869">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66F79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5BBA890A">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2" w:type="dxa"/>
            <w:vAlign w:val="center"/>
          </w:tcPr>
          <w:p w14:paraId="38301082">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1CEE97A6">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68467BF6">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5DF533BF">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688B8530">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6F8DCCA4">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40" w:type="dxa"/>
            <w:vAlign w:val="center"/>
          </w:tcPr>
          <w:p w14:paraId="2F924044">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900" w:type="dxa"/>
            <w:vAlign w:val="center"/>
          </w:tcPr>
          <w:p w14:paraId="0DEDC651">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31D7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1A67A5A2">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2" w:type="dxa"/>
            <w:vAlign w:val="center"/>
          </w:tcPr>
          <w:p w14:paraId="396438C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29063EC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7CDCAB0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5AFA614E">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4D7E21F9">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77247544">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40" w:type="dxa"/>
            <w:vAlign w:val="center"/>
          </w:tcPr>
          <w:p w14:paraId="2571D960">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900" w:type="dxa"/>
            <w:vAlign w:val="center"/>
          </w:tcPr>
          <w:p w14:paraId="17485EDC">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1F2D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6871C33A">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2" w:type="dxa"/>
            <w:vAlign w:val="center"/>
          </w:tcPr>
          <w:p w14:paraId="75AED95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7BEBFDE0">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37D4C48B">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0E02E1B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5221F4AC">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012726D3">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40" w:type="dxa"/>
            <w:vAlign w:val="center"/>
          </w:tcPr>
          <w:p w14:paraId="5E23DB69">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900" w:type="dxa"/>
            <w:vAlign w:val="center"/>
          </w:tcPr>
          <w:p w14:paraId="7401B151">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65E6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79AC2FC6">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2" w:type="dxa"/>
            <w:vAlign w:val="center"/>
          </w:tcPr>
          <w:p w14:paraId="4D696B8F">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39572FAB">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1D707F07">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5F1E8BEE">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2DFD0C30">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624ACD58">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40" w:type="dxa"/>
            <w:vAlign w:val="center"/>
          </w:tcPr>
          <w:p w14:paraId="0D0B0D77">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900" w:type="dxa"/>
            <w:vAlign w:val="center"/>
          </w:tcPr>
          <w:p w14:paraId="4936F52B">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3FC4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4C94B57B">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2" w:type="dxa"/>
            <w:vAlign w:val="center"/>
          </w:tcPr>
          <w:p w14:paraId="5C5EB92E">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2AEE367D">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486906E1">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5F2E501A">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18234FBB">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54B7F66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40" w:type="dxa"/>
            <w:vAlign w:val="center"/>
          </w:tcPr>
          <w:p w14:paraId="3F61D453">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900" w:type="dxa"/>
            <w:vAlign w:val="center"/>
          </w:tcPr>
          <w:p w14:paraId="417C3384">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4E48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5C46D29A">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2" w:type="dxa"/>
            <w:vAlign w:val="center"/>
          </w:tcPr>
          <w:p w14:paraId="50C0584E">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1DAE5531">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6300290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4672E0A8">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3A147DD6">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65F1D80F">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40" w:type="dxa"/>
            <w:vAlign w:val="center"/>
          </w:tcPr>
          <w:p w14:paraId="44121703">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900" w:type="dxa"/>
            <w:vAlign w:val="center"/>
          </w:tcPr>
          <w:p w14:paraId="20DD0C88">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6BFC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1C9EFD42">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2" w:type="dxa"/>
            <w:vAlign w:val="center"/>
          </w:tcPr>
          <w:p w14:paraId="68482F9E">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28AFA97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4F498AD9">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0E753F8C">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218252E8">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1A05761E">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40" w:type="dxa"/>
            <w:vAlign w:val="center"/>
          </w:tcPr>
          <w:p w14:paraId="2BC59F67">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900" w:type="dxa"/>
            <w:vAlign w:val="center"/>
          </w:tcPr>
          <w:p w14:paraId="3C87E95A">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29B0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6FD00D27">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2" w:type="dxa"/>
            <w:vAlign w:val="center"/>
          </w:tcPr>
          <w:p w14:paraId="7E67C733">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3ACCCE86">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11B3CEF6">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68524319">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7A19BA2E">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0E2E49B3">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40" w:type="dxa"/>
            <w:vAlign w:val="center"/>
          </w:tcPr>
          <w:p w14:paraId="305751CC">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900" w:type="dxa"/>
            <w:vAlign w:val="center"/>
          </w:tcPr>
          <w:p w14:paraId="57542B0D">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6A97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091D3E2C">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2" w:type="dxa"/>
            <w:vAlign w:val="center"/>
          </w:tcPr>
          <w:p w14:paraId="770AA843">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0C555EAC">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2FE0F19E">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79928D6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7E14B09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6E12E9FC">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40" w:type="dxa"/>
            <w:vAlign w:val="center"/>
          </w:tcPr>
          <w:p w14:paraId="44569833">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900" w:type="dxa"/>
            <w:vAlign w:val="center"/>
          </w:tcPr>
          <w:p w14:paraId="4D1A2248">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35F9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01C865A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2" w:type="dxa"/>
            <w:vAlign w:val="center"/>
          </w:tcPr>
          <w:p w14:paraId="37145973">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008F9EE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4BC103C0">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560BEAB2">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36FC18F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0950D338">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40" w:type="dxa"/>
            <w:vAlign w:val="center"/>
          </w:tcPr>
          <w:p w14:paraId="32A4EBDD">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900" w:type="dxa"/>
            <w:vAlign w:val="center"/>
          </w:tcPr>
          <w:p w14:paraId="376E65E7">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3C54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0DC107AD">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2" w:type="dxa"/>
            <w:vAlign w:val="center"/>
          </w:tcPr>
          <w:p w14:paraId="2B7C9FC8">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5D9DF87B">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2F817284">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4888EB8D">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426FA238">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28941B99">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40" w:type="dxa"/>
            <w:vAlign w:val="center"/>
          </w:tcPr>
          <w:p w14:paraId="6F9AA5AD">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900" w:type="dxa"/>
            <w:vAlign w:val="center"/>
          </w:tcPr>
          <w:p w14:paraId="21EAB254">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0D64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3E3C2D2A">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122" w:type="dxa"/>
            <w:vAlign w:val="center"/>
          </w:tcPr>
          <w:p w14:paraId="501EBE66">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1B34F9A7">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5" w:type="dxa"/>
            <w:vAlign w:val="center"/>
          </w:tcPr>
          <w:p w14:paraId="52EF3814">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2CFC345C">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886" w:type="dxa"/>
            <w:vAlign w:val="center"/>
          </w:tcPr>
          <w:p w14:paraId="59F67C19">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096" w:type="dxa"/>
            <w:vAlign w:val="center"/>
          </w:tcPr>
          <w:p w14:paraId="67F4FFA7">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40" w:type="dxa"/>
            <w:vAlign w:val="center"/>
          </w:tcPr>
          <w:p w14:paraId="10A8F0BB">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900" w:type="dxa"/>
            <w:vAlign w:val="center"/>
          </w:tcPr>
          <w:p w14:paraId="52DE6083">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bl>
    <w:p w14:paraId="3CBFE2B0">
      <w:pPr>
        <w:autoSpaceDE w:val="0"/>
        <w:autoSpaceDN w:val="0"/>
        <w:adjustRightInd w:val="0"/>
        <w:spacing w:line="400" w:lineRule="exact"/>
        <w:jc w:val="left"/>
        <w:rPr>
          <w:rFonts w:hint="eastAsia" w:ascii="宋体" w:hAnsi="宋体" w:eastAsia="宋体" w:cs="宋体"/>
          <w:color w:val="auto"/>
          <w:sz w:val="24"/>
          <w:szCs w:val="24"/>
          <w:highlight w:val="none"/>
          <w:lang w:val="zh-CN"/>
        </w:rPr>
      </w:pPr>
    </w:p>
    <w:p w14:paraId="11D8BB8A">
      <w:pPr>
        <w:pStyle w:val="23"/>
        <w:ind w:firstLine="236" w:firstLineChars="98"/>
        <w:jc w:val="both"/>
        <w:rPr>
          <w:rFonts w:hint="eastAsia" w:ascii="宋体" w:hAnsi="宋体" w:eastAsia="宋体" w:cs="宋体"/>
          <w:color w:val="auto"/>
          <w:sz w:val="24"/>
          <w:szCs w:val="24"/>
          <w:highlight w:val="none"/>
          <w:lang w:val="zh-CN"/>
        </w:rPr>
      </w:pPr>
      <w:bookmarkStart w:id="478" w:name="_Toc207164823"/>
      <w:bookmarkStart w:id="479" w:name="_Toc269373945"/>
      <w:bookmarkStart w:id="480" w:name="_Toc19997"/>
      <w:r>
        <w:rPr>
          <w:rFonts w:hint="eastAsia" w:ascii="宋体" w:hAnsi="宋体" w:eastAsia="宋体" w:cs="宋体"/>
          <w:color w:val="auto"/>
          <w:sz w:val="24"/>
          <w:szCs w:val="24"/>
          <w:highlight w:val="none"/>
          <w:lang w:val="zh-CN"/>
        </w:rPr>
        <w:br w:type="page"/>
      </w:r>
      <w:r>
        <w:rPr>
          <w:rFonts w:hint="eastAsia" w:ascii="宋体" w:hAnsi="宋体" w:eastAsia="宋体" w:cs="宋体"/>
          <w:color w:val="auto"/>
          <w:sz w:val="24"/>
          <w:szCs w:val="24"/>
          <w:highlight w:val="none"/>
          <w:lang w:val="zh-CN"/>
        </w:rPr>
        <w:t>附表三：劳动力计划表</w:t>
      </w:r>
      <w:bookmarkEnd w:id="478"/>
      <w:bookmarkEnd w:id="479"/>
      <w:bookmarkEnd w:id="480"/>
    </w:p>
    <w:p w14:paraId="5D2A6418">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p w14:paraId="47940B57">
      <w:pPr>
        <w:autoSpaceDE w:val="0"/>
        <w:autoSpaceDN w:val="0"/>
        <w:adjustRightInd w:val="0"/>
        <w:spacing w:line="400" w:lineRule="exact"/>
        <w:ind w:firstLine="7440" w:firstLineChars="31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单位：</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zh-CN"/>
        </w:rPr>
        <w:t>人</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07"/>
        <w:gridCol w:w="1107"/>
        <w:gridCol w:w="1107"/>
        <w:gridCol w:w="1064"/>
        <w:gridCol w:w="1150"/>
        <w:gridCol w:w="1107"/>
        <w:gridCol w:w="1107"/>
      </w:tblGrid>
      <w:tr w14:paraId="551A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7" w:type="dxa"/>
            <w:vAlign w:val="center"/>
          </w:tcPr>
          <w:p w14:paraId="499EAAB3">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工种</w:t>
            </w:r>
          </w:p>
        </w:tc>
        <w:tc>
          <w:tcPr>
            <w:tcW w:w="7749" w:type="dxa"/>
            <w:gridSpan w:val="7"/>
            <w:vAlign w:val="center"/>
          </w:tcPr>
          <w:p w14:paraId="0444E22D">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按工程施工阶段投入劳动力情况</w:t>
            </w:r>
          </w:p>
        </w:tc>
      </w:tr>
      <w:tr w14:paraId="192D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5E0ECBBE">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1B05B8BD">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452B5147">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50DEA8C6">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064" w:type="dxa"/>
          </w:tcPr>
          <w:p w14:paraId="30BF43F5">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50" w:type="dxa"/>
          </w:tcPr>
          <w:p w14:paraId="36942FE2">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30644F6D">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40E1D3DA">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5CA4B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2D4E0B45">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6990F698">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0C7D0903">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105DB2F7">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064" w:type="dxa"/>
          </w:tcPr>
          <w:p w14:paraId="56E0AE26">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50" w:type="dxa"/>
          </w:tcPr>
          <w:p w14:paraId="3ED40AC9">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2DF6D8BA">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129D544B">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0223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193D4323">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0B3C5695">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03FAC807">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5721060B">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064" w:type="dxa"/>
          </w:tcPr>
          <w:p w14:paraId="6CCE1696">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50" w:type="dxa"/>
          </w:tcPr>
          <w:p w14:paraId="61C12F1F">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29A83406">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06C886BB">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4D14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04D62816">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2AC52DE3">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3E4EA43C">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1DA5E5BB">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064" w:type="dxa"/>
          </w:tcPr>
          <w:p w14:paraId="2FAF70F2">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50" w:type="dxa"/>
          </w:tcPr>
          <w:p w14:paraId="4B3DEC44">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21947AE9">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649F3938">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6588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7B37B4EC">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604A9896">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183A361A">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48F2768B">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064" w:type="dxa"/>
          </w:tcPr>
          <w:p w14:paraId="35F38864">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50" w:type="dxa"/>
          </w:tcPr>
          <w:p w14:paraId="7816F1BD">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6D298763">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6265714C">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7905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2A669F2D">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44354371">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1E647A2F">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4A42D686">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064" w:type="dxa"/>
          </w:tcPr>
          <w:p w14:paraId="2658DC8F">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50" w:type="dxa"/>
          </w:tcPr>
          <w:p w14:paraId="109AFED7">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2049FDEF">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26F43331">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58DB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6A1B6F46">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49BFD491">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3368DEAD">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42AA9903">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064" w:type="dxa"/>
          </w:tcPr>
          <w:p w14:paraId="5C9BD210">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50" w:type="dxa"/>
          </w:tcPr>
          <w:p w14:paraId="6A257603">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0BEB0BEA">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5E2345D1">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72C0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00E3B185">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25E8A9E1">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463AE4FA">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4CB96C1D">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064" w:type="dxa"/>
          </w:tcPr>
          <w:p w14:paraId="565E0792">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50" w:type="dxa"/>
          </w:tcPr>
          <w:p w14:paraId="271B1B73">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1C6EB3C7">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10028380">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2B86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1E198843">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72D2F4E2">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6D6C0380">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77A4B981">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064" w:type="dxa"/>
          </w:tcPr>
          <w:p w14:paraId="1B22E4AD">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50" w:type="dxa"/>
          </w:tcPr>
          <w:p w14:paraId="593B2DD9">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62F03ECD">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174AE7BF">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02AE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37B96A5B">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19A009C5">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6115C1D8">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1FCDECE8">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064" w:type="dxa"/>
          </w:tcPr>
          <w:p w14:paraId="769BFC54">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50" w:type="dxa"/>
          </w:tcPr>
          <w:p w14:paraId="76112E05">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69989B83">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5F67D9AC">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19DA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1A141DA2">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166DAACA">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6E630B30">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54E70B40">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064" w:type="dxa"/>
          </w:tcPr>
          <w:p w14:paraId="21198C79">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50" w:type="dxa"/>
          </w:tcPr>
          <w:p w14:paraId="789A8FE9">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4A789F20">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3D8B905F">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6068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4BCDEAFB">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66953A75">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4E391F64">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19E85DB5">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064" w:type="dxa"/>
          </w:tcPr>
          <w:p w14:paraId="5B3F9B29">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50" w:type="dxa"/>
          </w:tcPr>
          <w:p w14:paraId="3904BAC9">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0D06EC29">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68BFF042">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7946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7FA40C41">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68FF1D53">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2E7FC930">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74ED209E">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064" w:type="dxa"/>
          </w:tcPr>
          <w:p w14:paraId="27E1312C">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50" w:type="dxa"/>
          </w:tcPr>
          <w:p w14:paraId="3ABCC008">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2E832AFF">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1CE4CADD">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44D6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562F843B">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53C1E7B2">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6BD1F49C">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067BDA6B">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064" w:type="dxa"/>
          </w:tcPr>
          <w:p w14:paraId="3230F18A">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50" w:type="dxa"/>
          </w:tcPr>
          <w:p w14:paraId="5B0CDB89">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2464DFD8">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09ACCF7B">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574E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2D8FA7A6">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438A6D48">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6971E338">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3AFC1DD4">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064" w:type="dxa"/>
          </w:tcPr>
          <w:p w14:paraId="0D99A9FD">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50" w:type="dxa"/>
          </w:tcPr>
          <w:p w14:paraId="68254066">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068C3142">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14E608D9">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73B9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140AB93B">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7AF667BB">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13A8A986">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0B29AF43">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064" w:type="dxa"/>
          </w:tcPr>
          <w:p w14:paraId="6384E544">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50" w:type="dxa"/>
          </w:tcPr>
          <w:p w14:paraId="489C7098">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2A1683DD">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7B5E7BE6">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454D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308B6CBC">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0FDAB662">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7E4EF5B2">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30E38F1D">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064" w:type="dxa"/>
          </w:tcPr>
          <w:p w14:paraId="0DB0B601">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50" w:type="dxa"/>
          </w:tcPr>
          <w:p w14:paraId="56889EA6">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4686CCE0">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6611219B">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0104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3B51D969">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00787C07">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0DA70264">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40DE6012">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064" w:type="dxa"/>
          </w:tcPr>
          <w:p w14:paraId="6CB30BB0">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50" w:type="dxa"/>
          </w:tcPr>
          <w:p w14:paraId="31097701">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7950B1BB">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09C28A23">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4778D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2B1C0562">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61A37667">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37CBA161">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09FDA6A9">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064" w:type="dxa"/>
          </w:tcPr>
          <w:p w14:paraId="70805831">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50" w:type="dxa"/>
          </w:tcPr>
          <w:p w14:paraId="7F739F84">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08D07381">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120ED982">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1DBC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5FBF5F21">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6DD4B83E">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4A86AE74">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65D2B405">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064" w:type="dxa"/>
          </w:tcPr>
          <w:p w14:paraId="2CD34C42">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50" w:type="dxa"/>
          </w:tcPr>
          <w:p w14:paraId="79FAB663">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5DA236F1">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18334F86">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32D7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1E67A6E8">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20FDD8B3">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3EB1FA9C">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7A52E844">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064" w:type="dxa"/>
          </w:tcPr>
          <w:p w14:paraId="5A2371F4">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50" w:type="dxa"/>
          </w:tcPr>
          <w:p w14:paraId="7A6DB383">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3577DF72">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3B784161">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52BB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71DFD906">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68C26E9B">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7C0A9E00">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3D6878ED">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064" w:type="dxa"/>
          </w:tcPr>
          <w:p w14:paraId="0AFE9027">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50" w:type="dxa"/>
          </w:tcPr>
          <w:p w14:paraId="2FD2DC0C">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53B35301">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21FF240C">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4865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31864E22">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64EDB7BB">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7EA1D8B3">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10DCC136">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064" w:type="dxa"/>
          </w:tcPr>
          <w:p w14:paraId="14456450">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50" w:type="dxa"/>
          </w:tcPr>
          <w:p w14:paraId="318C4BB7">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66CF6709">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58AEBF06">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47F2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32F34591">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734E3F8C">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69E035C0">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725E9CE2">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064" w:type="dxa"/>
          </w:tcPr>
          <w:p w14:paraId="741211CC">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50" w:type="dxa"/>
          </w:tcPr>
          <w:p w14:paraId="4A847875">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3D3DEF59">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1107" w:type="dxa"/>
          </w:tcPr>
          <w:p w14:paraId="03E5CC31">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bl>
    <w:p w14:paraId="343765FB">
      <w:pPr>
        <w:autoSpaceDE w:val="0"/>
        <w:autoSpaceDN w:val="0"/>
        <w:adjustRightInd w:val="0"/>
        <w:spacing w:line="400" w:lineRule="exact"/>
        <w:jc w:val="left"/>
        <w:rPr>
          <w:rFonts w:hint="eastAsia" w:ascii="宋体" w:hAnsi="宋体" w:eastAsia="宋体" w:cs="宋体"/>
          <w:color w:val="auto"/>
          <w:sz w:val="24"/>
          <w:szCs w:val="24"/>
          <w:highlight w:val="none"/>
          <w:lang w:val="zh-CN"/>
        </w:rPr>
      </w:pPr>
    </w:p>
    <w:p w14:paraId="1106CB2B">
      <w:pPr>
        <w:pStyle w:val="23"/>
        <w:jc w:val="both"/>
        <w:rPr>
          <w:rFonts w:hint="eastAsia" w:ascii="宋体" w:hAnsi="宋体" w:eastAsia="宋体" w:cs="宋体"/>
          <w:color w:val="auto"/>
          <w:sz w:val="24"/>
          <w:szCs w:val="24"/>
          <w:highlight w:val="none"/>
          <w:lang w:val="zh-CN"/>
        </w:rPr>
      </w:pPr>
      <w:bookmarkStart w:id="481" w:name="_Toc207164824"/>
      <w:bookmarkStart w:id="482" w:name="_Toc269373946"/>
      <w:bookmarkStart w:id="483" w:name="_Toc18585"/>
      <w:r>
        <w:rPr>
          <w:rFonts w:hint="eastAsia" w:ascii="宋体" w:hAnsi="宋体" w:eastAsia="宋体" w:cs="宋体"/>
          <w:color w:val="auto"/>
          <w:sz w:val="24"/>
          <w:szCs w:val="24"/>
          <w:highlight w:val="none"/>
          <w:lang w:val="zh-CN"/>
        </w:rPr>
        <w:br w:type="page"/>
      </w:r>
      <w:r>
        <w:rPr>
          <w:rFonts w:hint="eastAsia" w:ascii="宋体" w:hAnsi="宋体" w:eastAsia="宋体" w:cs="宋体"/>
          <w:color w:val="auto"/>
          <w:sz w:val="24"/>
          <w:szCs w:val="24"/>
          <w:highlight w:val="none"/>
          <w:lang w:val="zh-CN"/>
        </w:rPr>
        <w:t>附表四：计划开、竣工日期和施工进度网络图</w:t>
      </w:r>
      <w:bookmarkEnd w:id="481"/>
      <w:bookmarkEnd w:id="482"/>
      <w:r>
        <w:rPr>
          <w:rFonts w:hint="eastAsia" w:ascii="宋体" w:hAnsi="宋体" w:eastAsia="宋体" w:cs="宋体"/>
          <w:color w:val="auto"/>
          <w:sz w:val="24"/>
          <w:szCs w:val="24"/>
          <w:highlight w:val="none"/>
          <w:lang w:val="zh-CN"/>
        </w:rPr>
        <w:t>（或）横道图</w:t>
      </w:r>
      <w:bookmarkEnd w:id="483"/>
    </w:p>
    <w:p w14:paraId="6219A2D5">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p w14:paraId="65C21A45">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1.供应商应递交施工进度网络图或施工进度表，说明按竞争性磋商文件要求的计划工期进行</w:t>
      </w:r>
    </w:p>
    <w:p w14:paraId="0C40BF29">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施工的各个关键日期。</w:t>
      </w:r>
    </w:p>
    <w:p w14:paraId="16299F3F">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2.施工进度表可采用网络图（或横道图)表示。</w:t>
      </w:r>
    </w:p>
    <w:p w14:paraId="2A9CC807">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p w14:paraId="57FB2796">
      <w:pPr>
        <w:pStyle w:val="23"/>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br w:type="page"/>
      </w:r>
      <w:bookmarkStart w:id="484" w:name="_Toc207164825"/>
      <w:bookmarkStart w:id="485" w:name="_Toc12271"/>
      <w:bookmarkStart w:id="486" w:name="_Toc269373947"/>
      <w:r>
        <w:rPr>
          <w:rFonts w:hint="eastAsia" w:ascii="宋体" w:hAnsi="宋体" w:eastAsia="宋体" w:cs="宋体"/>
          <w:color w:val="auto"/>
          <w:sz w:val="24"/>
          <w:szCs w:val="24"/>
          <w:highlight w:val="none"/>
          <w:lang w:val="zh-CN"/>
        </w:rPr>
        <w:t>附表五：施工总平面图</w:t>
      </w:r>
      <w:bookmarkEnd w:id="484"/>
      <w:bookmarkEnd w:id="485"/>
      <w:bookmarkEnd w:id="486"/>
    </w:p>
    <w:p w14:paraId="058846E5">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p w14:paraId="712C7A47">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供应商应递交一份施工总平面图，绘出现场临时设施布置图表并附文字说明，说明临时设施、加工车间、现场办公、设备及仓储、供电、供水、卫生、生活、道路、消防等设施的情况和布置。</w:t>
      </w:r>
    </w:p>
    <w:p w14:paraId="35FFE182">
      <w:pPr>
        <w:autoSpaceDE w:val="0"/>
        <w:autoSpaceDN w:val="0"/>
        <w:adjustRightInd w:val="0"/>
        <w:spacing w:line="400" w:lineRule="exact"/>
        <w:jc w:val="left"/>
        <w:rPr>
          <w:rFonts w:hint="eastAsia" w:ascii="宋体" w:hAnsi="宋体" w:eastAsia="宋体" w:cs="宋体"/>
          <w:color w:val="auto"/>
          <w:sz w:val="24"/>
          <w:szCs w:val="24"/>
          <w:highlight w:val="none"/>
        </w:rPr>
      </w:pPr>
    </w:p>
    <w:p w14:paraId="200229F2">
      <w:pPr>
        <w:autoSpaceDE w:val="0"/>
        <w:autoSpaceDN w:val="0"/>
        <w:adjustRightInd w:val="0"/>
        <w:spacing w:line="400" w:lineRule="exact"/>
        <w:jc w:val="left"/>
        <w:rPr>
          <w:rFonts w:hint="eastAsia" w:ascii="宋体" w:hAnsi="宋体" w:eastAsia="宋体" w:cs="宋体"/>
          <w:color w:val="auto"/>
          <w:sz w:val="24"/>
          <w:szCs w:val="24"/>
          <w:highlight w:val="none"/>
        </w:rPr>
      </w:pPr>
    </w:p>
    <w:p w14:paraId="37E3798C">
      <w:pPr>
        <w:pStyle w:val="23"/>
        <w:jc w:val="both"/>
        <w:rPr>
          <w:rFonts w:hint="eastAsia" w:ascii="宋体" w:hAnsi="宋体" w:eastAsia="宋体" w:cs="宋体"/>
          <w:color w:val="auto"/>
          <w:sz w:val="24"/>
          <w:szCs w:val="24"/>
          <w:highlight w:val="none"/>
          <w:lang w:val="zh-CN"/>
        </w:rPr>
      </w:pPr>
      <w:bookmarkStart w:id="487" w:name="_Toc269373948"/>
      <w:bookmarkStart w:id="488" w:name="_Toc207164826"/>
    </w:p>
    <w:p w14:paraId="487C45ED">
      <w:pPr>
        <w:pStyle w:val="23"/>
        <w:jc w:val="both"/>
        <w:rPr>
          <w:rFonts w:hint="eastAsia" w:ascii="宋体" w:hAnsi="宋体" w:eastAsia="宋体" w:cs="宋体"/>
          <w:color w:val="auto"/>
          <w:sz w:val="24"/>
          <w:szCs w:val="24"/>
          <w:highlight w:val="none"/>
          <w:lang w:val="zh-CN"/>
        </w:rPr>
        <w:sectPr>
          <w:pgSz w:w="11906" w:h="16838"/>
          <w:pgMar w:top="1361" w:right="1361" w:bottom="1361" w:left="1361" w:header="624" w:footer="1020" w:gutter="113"/>
          <w:pgNumType w:fmt="decimal"/>
          <w:cols w:space="720" w:num="1"/>
          <w:titlePg/>
          <w:rtlGutter w:val="0"/>
          <w:docGrid w:type="lines" w:linePitch="316" w:charSpace="0"/>
        </w:sectPr>
      </w:pPr>
    </w:p>
    <w:p w14:paraId="7DB8D021">
      <w:pPr>
        <w:pStyle w:val="23"/>
        <w:jc w:val="both"/>
        <w:rPr>
          <w:rFonts w:hint="eastAsia" w:ascii="宋体" w:hAnsi="宋体" w:eastAsia="宋体" w:cs="宋体"/>
          <w:color w:val="auto"/>
          <w:sz w:val="24"/>
          <w:szCs w:val="24"/>
          <w:highlight w:val="none"/>
          <w:lang w:val="zh-CN"/>
        </w:rPr>
      </w:pPr>
      <w:bookmarkStart w:id="489" w:name="_Toc20928"/>
      <w:r>
        <w:rPr>
          <w:rFonts w:hint="eastAsia" w:ascii="宋体" w:hAnsi="宋体" w:eastAsia="宋体" w:cs="宋体"/>
          <w:color w:val="auto"/>
          <w:sz w:val="24"/>
          <w:szCs w:val="24"/>
          <w:highlight w:val="none"/>
          <w:lang w:val="zh-CN"/>
        </w:rPr>
        <w:t>附表六：临时用地表</w:t>
      </w:r>
      <w:bookmarkEnd w:id="487"/>
      <w:bookmarkEnd w:id="488"/>
      <w:bookmarkEnd w:id="489"/>
    </w:p>
    <w:p w14:paraId="255DA9F4">
      <w:pPr>
        <w:autoSpaceDE w:val="0"/>
        <w:autoSpaceDN w:val="0"/>
        <w:adjustRightInd w:val="0"/>
        <w:spacing w:line="400" w:lineRule="exact"/>
        <w:jc w:val="left"/>
        <w:rPr>
          <w:rFonts w:hint="eastAsia" w:ascii="宋体" w:hAnsi="宋体" w:eastAsia="宋体" w:cs="宋体"/>
          <w:bCs/>
          <w:color w:val="auto"/>
          <w:sz w:val="24"/>
          <w:szCs w:val="24"/>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4"/>
        <w:gridCol w:w="2214"/>
      </w:tblGrid>
      <w:tr w14:paraId="139C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666F1E3E">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用途</w:t>
            </w:r>
          </w:p>
        </w:tc>
        <w:tc>
          <w:tcPr>
            <w:tcW w:w="2214" w:type="dxa"/>
            <w:vAlign w:val="center"/>
          </w:tcPr>
          <w:p w14:paraId="293280A4">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面积（平方米)</w:t>
            </w:r>
          </w:p>
        </w:tc>
        <w:tc>
          <w:tcPr>
            <w:tcW w:w="2214" w:type="dxa"/>
            <w:vAlign w:val="center"/>
          </w:tcPr>
          <w:p w14:paraId="6B00215D">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位置</w:t>
            </w:r>
          </w:p>
        </w:tc>
        <w:tc>
          <w:tcPr>
            <w:tcW w:w="2214" w:type="dxa"/>
            <w:vAlign w:val="center"/>
          </w:tcPr>
          <w:p w14:paraId="238451E1">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需用时间</w:t>
            </w:r>
          </w:p>
        </w:tc>
      </w:tr>
      <w:tr w14:paraId="4753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470C09CF">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51ED0599">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57DF7C61">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50D9BEAD">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16C2F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208BC94F">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00AEC80E">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65871372">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4266FEB6">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68E8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102419F1">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39650E31">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4CE9CC8B">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0DCFB57B">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6351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18BD0713">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0622EE61">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0C701DC9">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4D21289D">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4F2B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06CF4935">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3DF287BE">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247F0706">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32F80187">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13979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16283BF0">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48C382FA">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29853987">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21198E78">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6FD2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7963B88D">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3AFDE05D">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2DCFEF08">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61C328D1">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706A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3AB72E90">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26AD333B">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48FF55EA">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64A21828">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7106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327C9D4D">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3B8F3953">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3D96AA94">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7CEDACB9">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6CD0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22058D57">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267E23FA">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4278F0AF">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575F4049">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31A51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1F198866">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2684A142">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661710E5">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0E99912A">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3933B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1A10CA7C">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51327CB3">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2C67BC7C">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1DD0D7B3">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3385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0D67A5DF">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4ECE8DA5">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2FE1AA0C">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2F93EC63">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637A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67EB711C">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03E92B81">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1CD88933">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4BA7FA56">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5A136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13593A07">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662DC731">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5632B87A">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5D1C31DF">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0314B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7A98AB4F">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3A289561">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2CFD0065">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66D37C29">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6990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1A23A6A8">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0E90A036">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0B1C5903">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0B74EEBD">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6B80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0D4473C0">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74C043E8">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5887F189">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0F1343C6">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2095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7BB490C4">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494CAA38">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7F44E696">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27DCFF6D">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1580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0B9AE0CC">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7C265252">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02A3753C">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4EC754C4">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6D15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02B9BEE8">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5F0A9412">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708CC487">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5EFB5684">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4A50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6539C43D">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378AC335">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01E93EC1">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5B16E36B">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54DD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03AA86CE">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06BDFA96">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1E7DFDE9">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5B619F50">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r w14:paraId="2037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03CB8758">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67B561E4">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1946B093">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c>
          <w:tcPr>
            <w:tcW w:w="2214" w:type="dxa"/>
          </w:tcPr>
          <w:p w14:paraId="098F96A4">
            <w:pPr>
              <w:autoSpaceDE w:val="0"/>
              <w:autoSpaceDN w:val="0"/>
              <w:adjustRightInd w:val="0"/>
              <w:spacing w:line="400" w:lineRule="exact"/>
              <w:jc w:val="left"/>
              <w:rPr>
                <w:rFonts w:hint="eastAsia" w:ascii="宋体" w:hAnsi="宋体" w:eastAsia="宋体" w:cs="宋体"/>
                <w:bCs/>
                <w:color w:val="auto"/>
                <w:sz w:val="24"/>
                <w:szCs w:val="24"/>
                <w:highlight w:val="none"/>
                <w:lang w:val="zh-CN"/>
              </w:rPr>
            </w:pPr>
          </w:p>
        </w:tc>
      </w:tr>
    </w:tbl>
    <w:p w14:paraId="27E95C47">
      <w:pPr>
        <w:autoSpaceDE w:val="0"/>
        <w:autoSpaceDN w:val="0"/>
        <w:adjustRightInd w:val="0"/>
        <w:spacing w:line="400" w:lineRule="exact"/>
        <w:jc w:val="left"/>
        <w:rPr>
          <w:rFonts w:hint="eastAsia" w:ascii="宋体" w:hAnsi="宋体" w:eastAsia="宋体" w:cs="宋体"/>
          <w:color w:val="auto"/>
          <w:sz w:val="24"/>
          <w:szCs w:val="24"/>
          <w:highlight w:val="none"/>
          <w:lang w:val="zh-CN"/>
        </w:rPr>
      </w:pPr>
    </w:p>
    <w:p w14:paraId="5274848A">
      <w:pPr>
        <w:spacing w:line="440" w:lineRule="exact"/>
        <w:ind w:firstLine="480" w:firstLineChars="200"/>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bookmarkStart w:id="490" w:name="_Toc246996369"/>
      <w:bookmarkStart w:id="491" w:name="_Toc246997112"/>
      <w:bookmarkStart w:id="492" w:name="_Toc247085887"/>
      <w:r>
        <w:rPr>
          <w:rFonts w:hint="eastAsia" w:hAnsi="宋体" w:cs="宋体"/>
          <w:b/>
          <w:color w:val="auto"/>
          <w:sz w:val="24"/>
          <w:szCs w:val="24"/>
          <w:highlight w:val="none"/>
          <w:lang w:val="en-US" w:eastAsia="zh-CN"/>
        </w:rPr>
        <w:t>七</w:t>
      </w:r>
      <w:r>
        <w:rPr>
          <w:rFonts w:hint="eastAsia" w:ascii="宋体" w:hAnsi="宋体" w:eastAsia="宋体" w:cs="宋体"/>
          <w:b/>
          <w:color w:val="auto"/>
          <w:sz w:val="24"/>
          <w:szCs w:val="24"/>
          <w:highlight w:val="none"/>
        </w:rPr>
        <w:t>、项目管理机构</w:t>
      </w:r>
      <w:bookmarkEnd w:id="469"/>
      <w:bookmarkEnd w:id="470"/>
      <w:bookmarkEnd w:id="471"/>
      <w:bookmarkEnd w:id="472"/>
      <w:bookmarkEnd w:id="490"/>
      <w:bookmarkEnd w:id="491"/>
      <w:bookmarkEnd w:id="492"/>
    </w:p>
    <w:p w14:paraId="0E6A36D5">
      <w:pPr>
        <w:rPr>
          <w:rFonts w:hint="eastAsia" w:ascii="宋体" w:hAnsi="宋体" w:eastAsia="宋体" w:cs="宋体"/>
          <w:color w:val="auto"/>
          <w:sz w:val="24"/>
          <w:szCs w:val="24"/>
          <w:highlight w:val="none"/>
        </w:rPr>
      </w:pPr>
    </w:p>
    <w:p w14:paraId="636351EE">
      <w:pPr>
        <w:jc w:val="center"/>
        <w:rPr>
          <w:rFonts w:hint="eastAsia" w:ascii="宋体" w:hAnsi="宋体" w:eastAsia="宋体" w:cs="宋体"/>
          <w:b/>
          <w:color w:val="auto"/>
          <w:sz w:val="24"/>
          <w:szCs w:val="24"/>
          <w:highlight w:val="none"/>
        </w:rPr>
      </w:pPr>
      <w:bookmarkStart w:id="493" w:name="_Toc152045804"/>
      <w:bookmarkStart w:id="494" w:name="_Toc144974872"/>
      <w:bookmarkStart w:id="495" w:name="_Toc247085888"/>
      <w:bookmarkStart w:id="496" w:name="_Toc246996370"/>
      <w:bookmarkStart w:id="497" w:name="_Toc246997113"/>
      <w:bookmarkStart w:id="498" w:name="_Toc179632824"/>
      <w:bookmarkStart w:id="499" w:name="_Toc152042593"/>
      <w:r>
        <w:rPr>
          <w:rFonts w:hint="eastAsia" w:ascii="宋体" w:hAnsi="宋体" w:eastAsia="宋体" w:cs="宋体"/>
          <w:b/>
          <w:color w:val="auto"/>
          <w:sz w:val="24"/>
          <w:szCs w:val="24"/>
          <w:highlight w:val="none"/>
        </w:rPr>
        <w:t>（一）项目管理机构组成表</w:t>
      </w:r>
      <w:bookmarkEnd w:id="493"/>
      <w:bookmarkEnd w:id="494"/>
      <w:bookmarkEnd w:id="495"/>
      <w:bookmarkEnd w:id="496"/>
      <w:bookmarkEnd w:id="497"/>
      <w:bookmarkEnd w:id="498"/>
      <w:bookmarkEnd w:id="499"/>
    </w:p>
    <w:p w14:paraId="4DB8B38B">
      <w:pPr>
        <w:spacing w:line="440" w:lineRule="exact"/>
        <w:jc w:val="center"/>
        <w:rPr>
          <w:rFonts w:hint="eastAsia" w:ascii="宋体" w:hAnsi="宋体" w:eastAsia="宋体" w:cs="宋体"/>
          <w:color w:val="auto"/>
          <w:sz w:val="24"/>
          <w:szCs w:val="24"/>
          <w:highlight w:val="none"/>
        </w:rPr>
      </w:pP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786"/>
        <w:gridCol w:w="784"/>
        <w:gridCol w:w="1571"/>
        <w:gridCol w:w="1571"/>
        <w:gridCol w:w="1571"/>
        <w:gridCol w:w="1575"/>
        <w:gridCol w:w="732"/>
      </w:tblGrid>
      <w:tr w14:paraId="794E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5" w:type="pct"/>
            <w:vMerge w:val="restart"/>
            <w:tcBorders>
              <w:top w:val="single" w:color="auto" w:sz="4" w:space="0"/>
              <w:left w:val="single" w:color="auto" w:sz="4" w:space="0"/>
              <w:bottom w:val="single" w:color="auto" w:sz="4" w:space="0"/>
              <w:right w:val="single" w:color="auto" w:sz="4" w:space="0"/>
            </w:tcBorders>
            <w:vAlign w:val="center"/>
          </w:tcPr>
          <w:p w14:paraId="0F7D54E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423" w:type="pct"/>
            <w:vMerge w:val="restart"/>
            <w:tcBorders>
              <w:top w:val="single" w:color="auto" w:sz="4" w:space="0"/>
              <w:left w:val="single" w:color="auto" w:sz="4" w:space="0"/>
              <w:bottom w:val="single" w:color="auto" w:sz="4" w:space="0"/>
              <w:right w:val="single" w:color="auto" w:sz="4" w:space="0"/>
            </w:tcBorders>
            <w:vAlign w:val="center"/>
          </w:tcPr>
          <w:p w14:paraId="0A2C0E9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422" w:type="pct"/>
            <w:vMerge w:val="restart"/>
            <w:tcBorders>
              <w:top w:val="single" w:color="auto" w:sz="4" w:space="0"/>
              <w:left w:val="single" w:color="auto" w:sz="4" w:space="0"/>
              <w:bottom w:val="single" w:color="auto" w:sz="4" w:space="0"/>
              <w:right w:val="single" w:color="auto" w:sz="4" w:space="0"/>
            </w:tcBorders>
            <w:vAlign w:val="center"/>
          </w:tcPr>
          <w:p w14:paraId="5726CAD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3386" w:type="pct"/>
            <w:gridSpan w:val="4"/>
            <w:tcBorders>
              <w:top w:val="single" w:color="auto" w:sz="4" w:space="0"/>
              <w:left w:val="single" w:color="auto" w:sz="4" w:space="0"/>
              <w:bottom w:val="single" w:color="auto" w:sz="4" w:space="0"/>
              <w:right w:val="single" w:color="auto" w:sz="4" w:space="0"/>
            </w:tcBorders>
            <w:vAlign w:val="center"/>
          </w:tcPr>
          <w:p w14:paraId="1819B54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执业或职业资格证明</w:t>
            </w:r>
          </w:p>
        </w:tc>
        <w:tc>
          <w:tcPr>
            <w:tcW w:w="394" w:type="pct"/>
            <w:tcBorders>
              <w:top w:val="single" w:color="auto" w:sz="4" w:space="0"/>
              <w:left w:val="single" w:color="auto" w:sz="4" w:space="0"/>
              <w:bottom w:val="single" w:color="auto" w:sz="4" w:space="0"/>
              <w:right w:val="single" w:color="auto" w:sz="4" w:space="0"/>
            </w:tcBorders>
            <w:vAlign w:val="center"/>
          </w:tcPr>
          <w:p w14:paraId="21E0B0F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622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5" w:type="pct"/>
            <w:vMerge w:val="continue"/>
            <w:tcBorders>
              <w:top w:val="single" w:color="auto" w:sz="4" w:space="0"/>
              <w:left w:val="single" w:color="auto" w:sz="4" w:space="0"/>
              <w:bottom w:val="single" w:color="auto" w:sz="4" w:space="0"/>
              <w:right w:val="single" w:color="auto" w:sz="4" w:space="0"/>
            </w:tcBorders>
            <w:vAlign w:val="center"/>
          </w:tcPr>
          <w:p w14:paraId="0BD509EA">
            <w:pPr>
              <w:spacing w:line="440" w:lineRule="exact"/>
              <w:jc w:val="center"/>
              <w:rPr>
                <w:rFonts w:hint="eastAsia" w:ascii="宋体" w:hAnsi="宋体" w:eastAsia="宋体" w:cs="宋体"/>
                <w:color w:val="auto"/>
                <w:sz w:val="24"/>
                <w:szCs w:val="24"/>
                <w:highlight w:val="none"/>
              </w:rPr>
            </w:pPr>
          </w:p>
        </w:tc>
        <w:tc>
          <w:tcPr>
            <w:tcW w:w="423" w:type="pct"/>
            <w:vMerge w:val="continue"/>
            <w:tcBorders>
              <w:top w:val="single" w:color="auto" w:sz="4" w:space="0"/>
              <w:left w:val="single" w:color="auto" w:sz="4" w:space="0"/>
              <w:bottom w:val="single" w:color="auto" w:sz="4" w:space="0"/>
              <w:right w:val="single" w:color="auto" w:sz="4" w:space="0"/>
            </w:tcBorders>
            <w:vAlign w:val="center"/>
          </w:tcPr>
          <w:p w14:paraId="6AF59AE2">
            <w:pPr>
              <w:spacing w:line="440" w:lineRule="exact"/>
              <w:jc w:val="center"/>
              <w:rPr>
                <w:rFonts w:hint="eastAsia" w:ascii="宋体" w:hAnsi="宋体" w:eastAsia="宋体" w:cs="宋体"/>
                <w:color w:val="auto"/>
                <w:sz w:val="24"/>
                <w:szCs w:val="24"/>
                <w:highlight w:val="none"/>
              </w:rPr>
            </w:pPr>
          </w:p>
        </w:tc>
        <w:tc>
          <w:tcPr>
            <w:tcW w:w="422" w:type="pct"/>
            <w:vMerge w:val="continue"/>
            <w:tcBorders>
              <w:top w:val="single" w:color="auto" w:sz="4" w:space="0"/>
              <w:left w:val="single" w:color="auto" w:sz="4" w:space="0"/>
              <w:bottom w:val="single" w:color="auto" w:sz="4" w:space="0"/>
              <w:right w:val="single" w:color="auto" w:sz="4" w:space="0"/>
            </w:tcBorders>
            <w:vAlign w:val="center"/>
          </w:tcPr>
          <w:p w14:paraId="017FEBD2">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vAlign w:val="center"/>
          </w:tcPr>
          <w:p w14:paraId="499F2CE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846" w:type="pct"/>
            <w:tcBorders>
              <w:top w:val="single" w:color="auto" w:sz="4" w:space="0"/>
              <w:left w:val="single" w:color="auto" w:sz="4" w:space="0"/>
              <w:bottom w:val="single" w:color="auto" w:sz="4" w:space="0"/>
              <w:right w:val="single" w:color="auto" w:sz="4" w:space="0"/>
            </w:tcBorders>
            <w:vAlign w:val="center"/>
          </w:tcPr>
          <w:p w14:paraId="08A0FC2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846" w:type="pct"/>
            <w:tcBorders>
              <w:top w:val="single" w:color="auto" w:sz="4" w:space="0"/>
              <w:left w:val="single" w:color="auto" w:sz="4" w:space="0"/>
              <w:bottom w:val="single" w:color="auto" w:sz="4" w:space="0"/>
              <w:right w:val="single" w:color="auto" w:sz="4" w:space="0"/>
            </w:tcBorders>
            <w:vAlign w:val="center"/>
          </w:tcPr>
          <w:p w14:paraId="3CD7A71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847" w:type="pct"/>
            <w:tcBorders>
              <w:top w:val="single" w:color="auto" w:sz="4" w:space="0"/>
              <w:left w:val="single" w:color="auto" w:sz="4" w:space="0"/>
              <w:bottom w:val="single" w:color="auto" w:sz="4" w:space="0"/>
              <w:right w:val="single" w:color="auto" w:sz="4" w:space="0"/>
            </w:tcBorders>
            <w:vAlign w:val="center"/>
          </w:tcPr>
          <w:p w14:paraId="4D1050C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394" w:type="pct"/>
            <w:tcBorders>
              <w:top w:val="single" w:color="auto" w:sz="4" w:space="0"/>
              <w:left w:val="single" w:color="auto" w:sz="4" w:space="0"/>
              <w:bottom w:val="single" w:color="auto" w:sz="4" w:space="0"/>
              <w:right w:val="single" w:color="auto" w:sz="4" w:space="0"/>
            </w:tcBorders>
            <w:vAlign w:val="center"/>
          </w:tcPr>
          <w:p w14:paraId="3AE3D738">
            <w:pPr>
              <w:spacing w:line="440" w:lineRule="exact"/>
              <w:jc w:val="center"/>
              <w:rPr>
                <w:rFonts w:hint="eastAsia" w:ascii="宋体" w:hAnsi="宋体" w:eastAsia="宋体" w:cs="宋体"/>
                <w:color w:val="auto"/>
                <w:sz w:val="24"/>
                <w:szCs w:val="24"/>
                <w:highlight w:val="none"/>
              </w:rPr>
            </w:pPr>
          </w:p>
        </w:tc>
      </w:tr>
      <w:tr w14:paraId="068C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vAlign w:val="center"/>
          </w:tcPr>
          <w:p w14:paraId="7B665C8C">
            <w:pPr>
              <w:spacing w:line="440" w:lineRule="exact"/>
              <w:jc w:val="center"/>
              <w:rPr>
                <w:rFonts w:hint="eastAsia" w:ascii="宋体" w:hAnsi="宋体" w:eastAsia="宋体" w:cs="宋体"/>
                <w:color w:val="auto"/>
                <w:sz w:val="24"/>
                <w:szCs w:val="24"/>
                <w:highlight w:val="none"/>
              </w:rPr>
            </w:pPr>
          </w:p>
        </w:tc>
        <w:tc>
          <w:tcPr>
            <w:tcW w:w="423" w:type="pct"/>
            <w:tcBorders>
              <w:top w:val="single" w:color="auto" w:sz="4" w:space="0"/>
              <w:left w:val="single" w:color="auto" w:sz="4" w:space="0"/>
              <w:bottom w:val="single" w:color="auto" w:sz="4" w:space="0"/>
              <w:right w:val="single" w:color="auto" w:sz="4" w:space="0"/>
            </w:tcBorders>
            <w:vAlign w:val="center"/>
          </w:tcPr>
          <w:p w14:paraId="613D3744">
            <w:pPr>
              <w:spacing w:line="440" w:lineRule="exact"/>
              <w:jc w:val="center"/>
              <w:rPr>
                <w:rFonts w:hint="eastAsia" w:ascii="宋体" w:hAnsi="宋体" w:eastAsia="宋体" w:cs="宋体"/>
                <w:color w:val="auto"/>
                <w:sz w:val="24"/>
                <w:szCs w:val="24"/>
                <w:highlight w:val="none"/>
              </w:rPr>
            </w:pPr>
          </w:p>
        </w:tc>
        <w:tc>
          <w:tcPr>
            <w:tcW w:w="422" w:type="pct"/>
            <w:tcBorders>
              <w:top w:val="single" w:color="auto" w:sz="4" w:space="0"/>
              <w:left w:val="single" w:color="auto" w:sz="4" w:space="0"/>
              <w:bottom w:val="single" w:color="auto" w:sz="4" w:space="0"/>
              <w:right w:val="single" w:color="auto" w:sz="4" w:space="0"/>
            </w:tcBorders>
            <w:vAlign w:val="center"/>
          </w:tcPr>
          <w:p w14:paraId="17212A79">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vAlign w:val="center"/>
          </w:tcPr>
          <w:p w14:paraId="01DD9C28">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vAlign w:val="center"/>
          </w:tcPr>
          <w:p w14:paraId="5068D92C">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vAlign w:val="center"/>
          </w:tcPr>
          <w:p w14:paraId="2860B8A8">
            <w:pPr>
              <w:spacing w:line="440" w:lineRule="exact"/>
              <w:jc w:val="center"/>
              <w:rPr>
                <w:rFonts w:hint="eastAsia" w:ascii="宋体" w:hAnsi="宋体" w:eastAsia="宋体" w:cs="宋体"/>
                <w:color w:val="auto"/>
                <w:sz w:val="24"/>
                <w:szCs w:val="24"/>
                <w:highlight w:val="none"/>
              </w:rPr>
            </w:pPr>
          </w:p>
        </w:tc>
        <w:tc>
          <w:tcPr>
            <w:tcW w:w="847" w:type="pct"/>
            <w:tcBorders>
              <w:top w:val="single" w:color="auto" w:sz="4" w:space="0"/>
              <w:left w:val="single" w:color="auto" w:sz="4" w:space="0"/>
              <w:bottom w:val="single" w:color="auto" w:sz="4" w:space="0"/>
              <w:right w:val="single" w:color="auto" w:sz="4" w:space="0"/>
            </w:tcBorders>
            <w:vAlign w:val="center"/>
          </w:tcPr>
          <w:p w14:paraId="7A05DC1D">
            <w:pPr>
              <w:spacing w:line="440" w:lineRule="exact"/>
              <w:jc w:val="center"/>
              <w:rPr>
                <w:rFonts w:hint="eastAsia" w:ascii="宋体" w:hAnsi="宋体" w:eastAsia="宋体" w:cs="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vAlign w:val="center"/>
          </w:tcPr>
          <w:p w14:paraId="22C9AC0C">
            <w:pPr>
              <w:spacing w:line="440" w:lineRule="exact"/>
              <w:jc w:val="center"/>
              <w:rPr>
                <w:rFonts w:hint="eastAsia" w:ascii="宋体" w:hAnsi="宋体" w:eastAsia="宋体" w:cs="宋体"/>
                <w:color w:val="auto"/>
                <w:sz w:val="24"/>
                <w:szCs w:val="24"/>
                <w:highlight w:val="none"/>
              </w:rPr>
            </w:pPr>
          </w:p>
        </w:tc>
      </w:tr>
      <w:tr w14:paraId="2592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tcPr>
          <w:p w14:paraId="6D451194">
            <w:pPr>
              <w:spacing w:line="440" w:lineRule="exact"/>
              <w:jc w:val="center"/>
              <w:rPr>
                <w:rFonts w:hint="eastAsia" w:ascii="宋体" w:hAnsi="宋体" w:eastAsia="宋体" w:cs="宋体"/>
                <w:color w:val="auto"/>
                <w:sz w:val="24"/>
                <w:szCs w:val="24"/>
                <w:highlight w:val="none"/>
              </w:rPr>
            </w:pPr>
          </w:p>
        </w:tc>
        <w:tc>
          <w:tcPr>
            <w:tcW w:w="423" w:type="pct"/>
            <w:tcBorders>
              <w:top w:val="single" w:color="auto" w:sz="4" w:space="0"/>
              <w:left w:val="single" w:color="auto" w:sz="4" w:space="0"/>
              <w:bottom w:val="single" w:color="auto" w:sz="4" w:space="0"/>
              <w:right w:val="single" w:color="auto" w:sz="4" w:space="0"/>
            </w:tcBorders>
          </w:tcPr>
          <w:p w14:paraId="0C5CA7E3">
            <w:pPr>
              <w:spacing w:line="440" w:lineRule="exact"/>
              <w:jc w:val="center"/>
              <w:rPr>
                <w:rFonts w:hint="eastAsia" w:ascii="宋体" w:hAnsi="宋体" w:eastAsia="宋体" w:cs="宋体"/>
                <w:color w:val="auto"/>
                <w:sz w:val="24"/>
                <w:szCs w:val="24"/>
                <w:highlight w:val="none"/>
              </w:rPr>
            </w:pPr>
          </w:p>
        </w:tc>
        <w:tc>
          <w:tcPr>
            <w:tcW w:w="422" w:type="pct"/>
            <w:tcBorders>
              <w:top w:val="single" w:color="auto" w:sz="4" w:space="0"/>
              <w:left w:val="single" w:color="auto" w:sz="4" w:space="0"/>
              <w:bottom w:val="single" w:color="auto" w:sz="4" w:space="0"/>
              <w:right w:val="single" w:color="auto" w:sz="4" w:space="0"/>
            </w:tcBorders>
          </w:tcPr>
          <w:p w14:paraId="73E79E54">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4A2C7FF7">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681D3BED">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0D64C38B">
            <w:pPr>
              <w:spacing w:line="440" w:lineRule="exact"/>
              <w:jc w:val="center"/>
              <w:rPr>
                <w:rFonts w:hint="eastAsia" w:ascii="宋体" w:hAnsi="宋体" w:eastAsia="宋体" w:cs="宋体"/>
                <w:color w:val="auto"/>
                <w:sz w:val="24"/>
                <w:szCs w:val="24"/>
                <w:highlight w:val="none"/>
              </w:rPr>
            </w:pPr>
          </w:p>
        </w:tc>
        <w:tc>
          <w:tcPr>
            <w:tcW w:w="847" w:type="pct"/>
            <w:tcBorders>
              <w:top w:val="single" w:color="auto" w:sz="4" w:space="0"/>
              <w:left w:val="single" w:color="auto" w:sz="4" w:space="0"/>
              <w:bottom w:val="single" w:color="auto" w:sz="4" w:space="0"/>
              <w:right w:val="single" w:color="auto" w:sz="4" w:space="0"/>
            </w:tcBorders>
          </w:tcPr>
          <w:p w14:paraId="6D98083A">
            <w:pPr>
              <w:spacing w:line="440" w:lineRule="exact"/>
              <w:jc w:val="center"/>
              <w:rPr>
                <w:rFonts w:hint="eastAsia" w:ascii="宋体" w:hAnsi="宋体" w:eastAsia="宋体" w:cs="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tcPr>
          <w:p w14:paraId="1AB8EA99">
            <w:pPr>
              <w:spacing w:line="440" w:lineRule="exact"/>
              <w:jc w:val="center"/>
              <w:rPr>
                <w:rFonts w:hint="eastAsia" w:ascii="宋体" w:hAnsi="宋体" w:eastAsia="宋体" w:cs="宋体"/>
                <w:color w:val="auto"/>
                <w:sz w:val="24"/>
                <w:szCs w:val="24"/>
                <w:highlight w:val="none"/>
              </w:rPr>
            </w:pPr>
          </w:p>
        </w:tc>
      </w:tr>
      <w:tr w14:paraId="6B9A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tcPr>
          <w:p w14:paraId="4F2E0730">
            <w:pPr>
              <w:spacing w:line="440" w:lineRule="exact"/>
              <w:jc w:val="center"/>
              <w:rPr>
                <w:rFonts w:hint="eastAsia" w:ascii="宋体" w:hAnsi="宋体" w:eastAsia="宋体" w:cs="宋体"/>
                <w:color w:val="auto"/>
                <w:sz w:val="24"/>
                <w:szCs w:val="24"/>
                <w:highlight w:val="none"/>
              </w:rPr>
            </w:pPr>
          </w:p>
        </w:tc>
        <w:tc>
          <w:tcPr>
            <w:tcW w:w="423" w:type="pct"/>
            <w:tcBorders>
              <w:top w:val="single" w:color="auto" w:sz="4" w:space="0"/>
              <w:left w:val="single" w:color="auto" w:sz="4" w:space="0"/>
              <w:bottom w:val="single" w:color="auto" w:sz="4" w:space="0"/>
              <w:right w:val="single" w:color="auto" w:sz="4" w:space="0"/>
            </w:tcBorders>
          </w:tcPr>
          <w:p w14:paraId="23B0A2B6">
            <w:pPr>
              <w:spacing w:line="440" w:lineRule="exact"/>
              <w:jc w:val="center"/>
              <w:rPr>
                <w:rFonts w:hint="eastAsia" w:ascii="宋体" w:hAnsi="宋体" w:eastAsia="宋体" w:cs="宋体"/>
                <w:color w:val="auto"/>
                <w:sz w:val="24"/>
                <w:szCs w:val="24"/>
                <w:highlight w:val="none"/>
              </w:rPr>
            </w:pPr>
          </w:p>
        </w:tc>
        <w:tc>
          <w:tcPr>
            <w:tcW w:w="422" w:type="pct"/>
            <w:tcBorders>
              <w:top w:val="single" w:color="auto" w:sz="4" w:space="0"/>
              <w:left w:val="single" w:color="auto" w:sz="4" w:space="0"/>
              <w:bottom w:val="single" w:color="auto" w:sz="4" w:space="0"/>
              <w:right w:val="single" w:color="auto" w:sz="4" w:space="0"/>
            </w:tcBorders>
          </w:tcPr>
          <w:p w14:paraId="04634E6F">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2B363691">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11115E65">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0B5B5433">
            <w:pPr>
              <w:spacing w:line="440" w:lineRule="exact"/>
              <w:jc w:val="center"/>
              <w:rPr>
                <w:rFonts w:hint="eastAsia" w:ascii="宋体" w:hAnsi="宋体" w:eastAsia="宋体" w:cs="宋体"/>
                <w:color w:val="auto"/>
                <w:sz w:val="24"/>
                <w:szCs w:val="24"/>
                <w:highlight w:val="none"/>
              </w:rPr>
            </w:pPr>
          </w:p>
        </w:tc>
        <w:tc>
          <w:tcPr>
            <w:tcW w:w="847" w:type="pct"/>
            <w:tcBorders>
              <w:top w:val="single" w:color="auto" w:sz="4" w:space="0"/>
              <w:left w:val="single" w:color="auto" w:sz="4" w:space="0"/>
              <w:bottom w:val="single" w:color="auto" w:sz="4" w:space="0"/>
              <w:right w:val="single" w:color="auto" w:sz="4" w:space="0"/>
            </w:tcBorders>
          </w:tcPr>
          <w:p w14:paraId="0C43738F">
            <w:pPr>
              <w:spacing w:line="440" w:lineRule="exact"/>
              <w:jc w:val="center"/>
              <w:rPr>
                <w:rFonts w:hint="eastAsia" w:ascii="宋体" w:hAnsi="宋体" w:eastAsia="宋体" w:cs="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tcPr>
          <w:p w14:paraId="176979C6">
            <w:pPr>
              <w:spacing w:line="440" w:lineRule="exact"/>
              <w:jc w:val="center"/>
              <w:rPr>
                <w:rFonts w:hint="eastAsia" w:ascii="宋体" w:hAnsi="宋体" w:eastAsia="宋体" w:cs="宋体"/>
                <w:color w:val="auto"/>
                <w:sz w:val="24"/>
                <w:szCs w:val="24"/>
                <w:highlight w:val="none"/>
              </w:rPr>
            </w:pPr>
          </w:p>
        </w:tc>
      </w:tr>
      <w:tr w14:paraId="00CC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tcPr>
          <w:p w14:paraId="360EE378">
            <w:pPr>
              <w:spacing w:line="440" w:lineRule="exact"/>
              <w:jc w:val="center"/>
              <w:rPr>
                <w:rFonts w:hint="eastAsia" w:ascii="宋体" w:hAnsi="宋体" w:eastAsia="宋体" w:cs="宋体"/>
                <w:color w:val="auto"/>
                <w:sz w:val="24"/>
                <w:szCs w:val="24"/>
                <w:highlight w:val="none"/>
              </w:rPr>
            </w:pPr>
          </w:p>
        </w:tc>
        <w:tc>
          <w:tcPr>
            <w:tcW w:w="423" w:type="pct"/>
            <w:tcBorders>
              <w:top w:val="single" w:color="auto" w:sz="4" w:space="0"/>
              <w:left w:val="single" w:color="auto" w:sz="4" w:space="0"/>
              <w:bottom w:val="single" w:color="auto" w:sz="4" w:space="0"/>
              <w:right w:val="single" w:color="auto" w:sz="4" w:space="0"/>
            </w:tcBorders>
          </w:tcPr>
          <w:p w14:paraId="670BD253">
            <w:pPr>
              <w:spacing w:line="440" w:lineRule="exact"/>
              <w:jc w:val="center"/>
              <w:rPr>
                <w:rFonts w:hint="eastAsia" w:ascii="宋体" w:hAnsi="宋体" w:eastAsia="宋体" w:cs="宋体"/>
                <w:color w:val="auto"/>
                <w:sz w:val="24"/>
                <w:szCs w:val="24"/>
                <w:highlight w:val="none"/>
              </w:rPr>
            </w:pPr>
          </w:p>
        </w:tc>
        <w:tc>
          <w:tcPr>
            <w:tcW w:w="422" w:type="pct"/>
            <w:tcBorders>
              <w:top w:val="single" w:color="auto" w:sz="4" w:space="0"/>
              <w:left w:val="single" w:color="auto" w:sz="4" w:space="0"/>
              <w:bottom w:val="single" w:color="auto" w:sz="4" w:space="0"/>
              <w:right w:val="single" w:color="auto" w:sz="4" w:space="0"/>
            </w:tcBorders>
          </w:tcPr>
          <w:p w14:paraId="6A3CDAAA">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6C0D6498">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34E6CC68">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45EDB953">
            <w:pPr>
              <w:spacing w:line="440" w:lineRule="exact"/>
              <w:jc w:val="center"/>
              <w:rPr>
                <w:rFonts w:hint="eastAsia" w:ascii="宋体" w:hAnsi="宋体" w:eastAsia="宋体" w:cs="宋体"/>
                <w:color w:val="auto"/>
                <w:sz w:val="24"/>
                <w:szCs w:val="24"/>
                <w:highlight w:val="none"/>
              </w:rPr>
            </w:pPr>
          </w:p>
        </w:tc>
        <w:tc>
          <w:tcPr>
            <w:tcW w:w="847" w:type="pct"/>
            <w:tcBorders>
              <w:top w:val="single" w:color="auto" w:sz="4" w:space="0"/>
              <w:left w:val="single" w:color="auto" w:sz="4" w:space="0"/>
              <w:bottom w:val="single" w:color="auto" w:sz="4" w:space="0"/>
              <w:right w:val="single" w:color="auto" w:sz="4" w:space="0"/>
            </w:tcBorders>
          </w:tcPr>
          <w:p w14:paraId="72C17E52">
            <w:pPr>
              <w:spacing w:line="440" w:lineRule="exact"/>
              <w:jc w:val="center"/>
              <w:rPr>
                <w:rFonts w:hint="eastAsia" w:ascii="宋体" w:hAnsi="宋体" w:eastAsia="宋体" w:cs="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tcPr>
          <w:p w14:paraId="4DCED93F">
            <w:pPr>
              <w:spacing w:line="440" w:lineRule="exact"/>
              <w:jc w:val="center"/>
              <w:rPr>
                <w:rFonts w:hint="eastAsia" w:ascii="宋体" w:hAnsi="宋体" w:eastAsia="宋体" w:cs="宋体"/>
                <w:color w:val="auto"/>
                <w:sz w:val="24"/>
                <w:szCs w:val="24"/>
                <w:highlight w:val="none"/>
              </w:rPr>
            </w:pPr>
          </w:p>
        </w:tc>
      </w:tr>
      <w:tr w14:paraId="6F8A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tcPr>
          <w:p w14:paraId="415120A3">
            <w:pPr>
              <w:spacing w:line="440" w:lineRule="exact"/>
              <w:jc w:val="center"/>
              <w:rPr>
                <w:rFonts w:hint="eastAsia" w:ascii="宋体" w:hAnsi="宋体" w:eastAsia="宋体" w:cs="宋体"/>
                <w:color w:val="auto"/>
                <w:sz w:val="24"/>
                <w:szCs w:val="24"/>
                <w:highlight w:val="none"/>
              </w:rPr>
            </w:pPr>
          </w:p>
        </w:tc>
        <w:tc>
          <w:tcPr>
            <w:tcW w:w="423" w:type="pct"/>
            <w:tcBorders>
              <w:top w:val="single" w:color="auto" w:sz="4" w:space="0"/>
              <w:left w:val="single" w:color="auto" w:sz="4" w:space="0"/>
              <w:bottom w:val="single" w:color="auto" w:sz="4" w:space="0"/>
              <w:right w:val="single" w:color="auto" w:sz="4" w:space="0"/>
            </w:tcBorders>
          </w:tcPr>
          <w:p w14:paraId="11C34D6B">
            <w:pPr>
              <w:spacing w:line="440" w:lineRule="exact"/>
              <w:jc w:val="center"/>
              <w:rPr>
                <w:rFonts w:hint="eastAsia" w:ascii="宋体" w:hAnsi="宋体" w:eastAsia="宋体" w:cs="宋体"/>
                <w:color w:val="auto"/>
                <w:sz w:val="24"/>
                <w:szCs w:val="24"/>
                <w:highlight w:val="none"/>
              </w:rPr>
            </w:pPr>
          </w:p>
        </w:tc>
        <w:tc>
          <w:tcPr>
            <w:tcW w:w="422" w:type="pct"/>
            <w:tcBorders>
              <w:top w:val="single" w:color="auto" w:sz="4" w:space="0"/>
              <w:left w:val="single" w:color="auto" w:sz="4" w:space="0"/>
              <w:bottom w:val="single" w:color="auto" w:sz="4" w:space="0"/>
              <w:right w:val="single" w:color="auto" w:sz="4" w:space="0"/>
            </w:tcBorders>
          </w:tcPr>
          <w:p w14:paraId="6F1CD448">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4283C98B">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20FD77B0">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52ABAB19">
            <w:pPr>
              <w:spacing w:line="440" w:lineRule="exact"/>
              <w:jc w:val="center"/>
              <w:rPr>
                <w:rFonts w:hint="eastAsia" w:ascii="宋体" w:hAnsi="宋体" w:eastAsia="宋体" w:cs="宋体"/>
                <w:color w:val="auto"/>
                <w:sz w:val="24"/>
                <w:szCs w:val="24"/>
                <w:highlight w:val="none"/>
              </w:rPr>
            </w:pPr>
          </w:p>
        </w:tc>
        <w:tc>
          <w:tcPr>
            <w:tcW w:w="847" w:type="pct"/>
            <w:tcBorders>
              <w:top w:val="single" w:color="auto" w:sz="4" w:space="0"/>
              <w:left w:val="single" w:color="auto" w:sz="4" w:space="0"/>
              <w:bottom w:val="single" w:color="auto" w:sz="4" w:space="0"/>
              <w:right w:val="single" w:color="auto" w:sz="4" w:space="0"/>
            </w:tcBorders>
          </w:tcPr>
          <w:p w14:paraId="282DFC7C">
            <w:pPr>
              <w:spacing w:line="440" w:lineRule="exact"/>
              <w:jc w:val="center"/>
              <w:rPr>
                <w:rFonts w:hint="eastAsia" w:ascii="宋体" w:hAnsi="宋体" w:eastAsia="宋体" w:cs="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tcPr>
          <w:p w14:paraId="4D6AEFC4">
            <w:pPr>
              <w:spacing w:line="440" w:lineRule="exact"/>
              <w:jc w:val="center"/>
              <w:rPr>
                <w:rFonts w:hint="eastAsia" w:ascii="宋体" w:hAnsi="宋体" w:eastAsia="宋体" w:cs="宋体"/>
                <w:color w:val="auto"/>
                <w:sz w:val="24"/>
                <w:szCs w:val="24"/>
                <w:highlight w:val="none"/>
              </w:rPr>
            </w:pPr>
          </w:p>
        </w:tc>
      </w:tr>
      <w:tr w14:paraId="4217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tcPr>
          <w:p w14:paraId="7AB73CF2">
            <w:pPr>
              <w:spacing w:line="440" w:lineRule="exact"/>
              <w:jc w:val="center"/>
              <w:rPr>
                <w:rFonts w:hint="eastAsia" w:ascii="宋体" w:hAnsi="宋体" w:eastAsia="宋体" w:cs="宋体"/>
                <w:color w:val="auto"/>
                <w:sz w:val="24"/>
                <w:szCs w:val="24"/>
                <w:highlight w:val="none"/>
              </w:rPr>
            </w:pPr>
          </w:p>
        </w:tc>
        <w:tc>
          <w:tcPr>
            <w:tcW w:w="423" w:type="pct"/>
            <w:tcBorders>
              <w:top w:val="single" w:color="auto" w:sz="4" w:space="0"/>
              <w:left w:val="single" w:color="auto" w:sz="4" w:space="0"/>
              <w:bottom w:val="single" w:color="auto" w:sz="4" w:space="0"/>
              <w:right w:val="single" w:color="auto" w:sz="4" w:space="0"/>
            </w:tcBorders>
          </w:tcPr>
          <w:p w14:paraId="367159B2">
            <w:pPr>
              <w:spacing w:line="440" w:lineRule="exact"/>
              <w:jc w:val="center"/>
              <w:rPr>
                <w:rFonts w:hint="eastAsia" w:ascii="宋体" w:hAnsi="宋体" w:eastAsia="宋体" w:cs="宋体"/>
                <w:color w:val="auto"/>
                <w:sz w:val="24"/>
                <w:szCs w:val="24"/>
                <w:highlight w:val="none"/>
              </w:rPr>
            </w:pPr>
          </w:p>
        </w:tc>
        <w:tc>
          <w:tcPr>
            <w:tcW w:w="422" w:type="pct"/>
            <w:tcBorders>
              <w:top w:val="single" w:color="auto" w:sz="4" w:space="0"/>
              <w:left w:val="single" w:color="auto" w:sz="4" w:space="0"/>
              <w:bottom w:val="single" w:color="auto" w:sz="4" w:space="0"/>
              <w:right w:val="single" w:color="auto" w:sz="4" w:space="0"/>
            </w:tcBorders>
          </w:tcPr>
          <w:p w14:paraId="46869D71">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3AB783FA">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5F3FED40">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52EFC2C4">
            <w:pPr>
              <w:spacing w:line="440" w:lineRule="exact"/>
              <w:jc w:val="center"/>
              <w:rPr>
                <w:rFonts w:hint="eastAsia" w:ascii="宋体" w:hAnsi="宋体" w:eastAsia="宋体" w:cs="宋体"/>
                <w:color w:val="auto"/>
                <w:sz w:val="24"/>
                <w:szCs w:val="24"/>
                <w:highlight w:val="none"/>
              </w:rPr>
            </w:pPr>
          </w:p>
        </w:tc>
        <w:tc>
          <w:tcPr>
            <w:tcW w:w="847" w:type="pct"/>
            <w:tcBorders>
              <w:top w:val="single" w:color="auto" w:sz="4" w:space="0"/>
              <w:left w:val="single" w:color="auto" w:sz="4" w:space="0"/>
              <w:bottom w:val="single" w:color="auto" w:sz="4" w:space="0"/>
              <w:right w:val="single" w:color="auto" w:sz="4" w:space="0"/>
            </w:tcBorders>
          </w:tcPr>
          <w:p w14:paraId="45FFE935">
            <w:pPr>
              <w:spacing w:line="440" w:lineRule="exact"/>
              <w:jc w:val="center"/>
              <w:rPr>
                <w:rFonts w:hint="eastAsia" w:ascii="宋体" w:hAnsi="宋体" w:eastAsia="宋体" w:cs="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tcPr>
          <w:p w14:paraId="76078672">
            <w:pPr>
              <w:spacing w:line="440" w:lineRule="exact"/>
              <w:jc w:val="center"/>
              <w:rPr>
                <w:rFonts w:hint="eastAsia" w:ascii="宋体" w:hAnsi="宋体" w:eastAsia="宋体" w:cs="宋体"/>
                <w:color w:val="auto"/>
                <w:sz w:val="24"/>
                <w:szCs w:val="24"/>
                <w:highlight w:val="none"/>
              </w:rPr>
            </w:pPr>
          </w:p>
        </w:tc>
      </w:tr>
      <w:tr w14:paraId="28D6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tcPr>
          <w:p w14:paraId="2E15C7BB">
            <w:pPr>
              <w:spacing w:line="440" w:lineRule="exact"/>
              <w:jc w:val="center"/>
              <w:rPr>
                <w:rFonts w:hint="eastAsia" w:ascii="宋体" w:hAnsi="宋体" w:eastAsia="宋体" w:cs="宋体"/>
                <w:color w:val="auto"/>
                <w:sz w:val="24"/>
                <w:szCs w:val="24"/>
                <w:highlight w:val="none"/>
              </w:rPr>
            </w:pPr>
          </w:p>
        </w:tc>
        <w:tc>
          <w:tcPr>
            <w:tcW w:w="423" w:type="pct"/>
            <w:tcBorders>
              <w:top w:val="single" w:color="auto" w:sz="4" w:space="0"/>
              <w:left w:val="single" w:color="auto" w:sz="4" w:space="0"/>
              <w:bottom w:val="single" w:color="auto" w:sz="4" w:space="0"/>
              <w:right w:val="single" w:color="auto" w:sz="4" w:space="0"/>
            </w:tcBorders>
          </w:tcPr>
          <w:p w14:paraId="6BE0E991">
            <w:pPr>
              <w:spacing w:line="440" w:lineRule="exact"/>
              <w:jc w:val="center"/>
              <w:rPr>
                <w:rFonts w:hint="eastAsia" w:ascii="宋体" w:hAnsi="宋体" w:eastAsia="宋体" w:cs="宋体"/>
                <w:color w:val="auto"/>
                <w:sz w:val="24"/>
                <w:szCs w:val="24"/>
                <w:highlight w:val="none"/>
              </w:rPr>
            </w:pPr>
          </w:p>
        </w:tc>
        <w:tc>
          <w:tcPr>
            <w:tcW w:w="422" w:type="pct"/>
            <w:tcBorders>
              <w:top w:val="single" w:color="auto" w:sz="4" w:space="0"/>
              <w:left w:val="single" w:color="auto" w:sz="4" w:space="0"/>
              <w:bottom w:val="single" w:color="auto" w:sz="4" w:space="0"/>
              <w:right w:val="single" w:color="auto" w:sz="4" w:space="0"/>
            </w:tcBorders>
          </w:tcPr>
          <w:p w14:paraId="01F850FD">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4976A673">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08FA1EE3">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4047EF98">
            <w:pPr>
              <w:spacing w:line="440" w:lineRule="exact"/>
              <w:jc w:val="center"/>
              <w:rPr>
                <w:rFonts w:hint="eastAsia" w:ascii="宋体" w:hAnsi="宋体" w:eastAsia="宋体" w:cs="宋体"/>
                <w:color w:val="auto"/>
                <w:sz w:val="24"/>
                <w:szCs w:val="24"/>
                <w:highlight w:val="none"/>
              </w:rPr>
            </w:pPr>
          </w:p>
        </w:tc>
        <w:tc>
          <w:tcPr>
            <w:tcW w:w="847" w:type="pct"/>
            <w:tcBorders>
              <w:top w:val="single" w:color="auto" w:sz="4" w:space="0"/>
              <w:left w:val="single" w:color="auto" w:sz="4" w:space="0"/>
              <w:bottom w:val="single" w:color="auto" w:sz="4" w:space="0"/>
              <w:right w:val="single" w:color="auto" w:sz="4" w:space="0"/>
            </w:tcBorders>
          </w:tcPr>
          <w:p w14:paraId="24FCEADB">
            <w:pPr>
              <w:spacing w:line="440" w:lineRule="exact"/>
              <w:jc w:val="center"/>
              <w:rPr>
                <w:rFonts w:hint="eastAsia" w:ascii="宋体" w:hAnsi="宋体" w:eastAsia="宋体" w:cs="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tcPr>
          <w:p w14:paraId="6AAFA1B9">
            <w:pPr>
              <w:spacing w:line="440" w:lineRule="exact"/>
              <w:jc w:val="center"/>
              <w:rPr>
                <w:rFonts w:hint="eastAsia" w:ascii="宋体" w:hAnsi="宋体" w:eastAsia="宋体" w:cs="宋体"/>
                <w:color w:val="auto"/>
                <w:sz w:val="24"/>
                <w:szCs w:val="24"/>
                <w:highlight w:val="none"/>
              </w:rPr>
            </w:pPr>
          </w:p>
        </w:tc>
      </w:tr>
      <w:tr w14:paraId="205EA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tcPr>
          <w:p w14:paraId="540728EF">
            <w:pPr>
              <w:spacing w:line="440" w:lineRule="exact"/>
              <w:jc w:val="center"/>
              <w:rPr>
                <w:rFonts w:hint="eastAsia" w:ascii="宋体" w:hAnsi="宋体" w:eastAsia="宋体" w:cs="宋体"/>
                <w:color w:val="auto"/>
                <w:sz w:val="24"/>
                <w:szCs w:val="24"/>
                <w:highlight w:val="none"/>
              </w:rPr>
            </w:pPr>
          </w:p>
        </w:tc>
        <w:tc>
          <w:tcPr>
            <w:tcW w:w="423" w:type="pct"/>
            <w:tcBorders>
              <w:top w:val="single" w:color="auto" w:sz="4" w:space="0"/>
              <w:left w:val="single" w:color="auto" w:sz="4" w:space="0"/>
              <w:bottom w:val="single" w:color="auto" w:sz="4" w:space="0"/>
              <w:right w:val="single" w:color="auto" w:sz="4" w:space="0"/>
            </w:tcBorders>
          </w:tcPr>
          <w:p w14:paraId="6DC7F6A6">
            <w:pPr>
              <w:spacing w:line="440" w:lineRule="exact"/>
              <w:jc w:val="center"/>
              <w:rPr>
                <w:rFonts w:hint="eastAsia" w:ascii="宋体" w:hAnsi="宋体" w:eastAsia="宋体" w:cs="宋体"/>
                <w:color w:val="auto"/>
                <w:sz w:val="24"/>
                <w:szCs w:val="24"/>
                <w:highlight w:val="none"/>
              </w:rPr>
            </w:pPr>
          </w:p>
        </w:tc>
        <w:tc>
          <w:tcPr>
            <w:tcW w:w="422" w:type="pct"/>
            <w:tcBorders>
              <w:top w:val="single" w:color="auto" w:sz="4" w:space="0"/>
              <w:left w:val="single" w:color="auto" w:sz="4" w:space="0"/>
              <w:bottom w:val="single" w:color="auto" w:sz="4" w:space="0"/>
              <w:right w:val="single" w:color="auto" w:sz="4" w:space="0"/>
            </w:tcBorders>
          </w:tcPr>
          <w:p w14:paraId="040306F0">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65172D61">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39287573">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5E88A14B">
            <w:pPr>
              <w:spacing w:line="440" w:lineRule="exact"/>
              <w:jc w:val="center"/>
              <w:rPr>
                <w:rFonts w:hint="eastAsia" w:ascii="宋体" w:hAnsi="宋体" w:eastAsia="宋体" w:cs="宋体"/>
                <w:color w:val="auto"/>
                <w:sz w:val="24"/>
                <w:szCs w:val="24"/>
                <w:highlight w:val="none"/>
              </w:rPr>
            </w:pPr>
          </w:p>
        </w:tc>
        <w:tc>
          <w:tcPr>
            <w:tcW w:w="847" w:type="pct"/>
            <w:tcBorders>
              <w:top w:val="single" w:color="auto" w:sz="4" w:space="0"/>
              <w:left w:val="single" w:color="auto" w:sz="4" w:space="0"/>
              <w:bottom w:val="single" w:color="auto" w:sz="4" w:space="0"/>
              <w:right w:val="single" w:color="auto" w:sz="4" w:space="0"/>
            </w:tcBorders>
          </w:tcPr>
          <w:p w14:paraId="7E7878AA">
            <w:pPr>
              <w:spacing w:line="440" w:lineRule="exact"/>
              <w:jc w:val="center"/>
              <w:rPr>
                <w:rFonts w:hint="eastAsia" w:ascii="宋体" w:hAnsi="宋体" w:eastAsia="宋体" w:cs="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tcPr>
          <w:p w14:paraId="5F6EB3EB">
            <w:pPr>
              <w:spacing w:line="440" w:lineRule="exact"/>
              <w:jc w:val="center"/>
              <w:rPr>
                <w:rFonts w:hint="eastAsia" w:ascii="宋体" w:hAnsi="宋体" w:eastAsia="宋体" w:cs="宋体"/>
                <w:color w:val="auto"/>
                <w:sz w:val="24"/>
                <w:szCs w:val="24"/>
                <w:highlight w:val="none"/>
              </w:rPr>
            </w:pPr>
          </w:p>
        </w:tc>
      </w:tr>
      <w:tr w14:paraId="782D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tcPr>
          <w:p w14:paraId="7BB034CE">
            <w:pPr>
              <w:spacing w:line="440" w:lineRule="exact"/>
              <w:jc w:val="center"/>
              <w:rPr>
                <w:rFonts w:hint="eastAsia" w:ascii="宋体" w:hAnsi="宋体" w:eastAsia="宋体" w:cs="宋体"/>
                <w:color w:val="auto"/>
                <w:sz w:val="24"/>
                <w:szCs w:val="24"/>
                <w:highlight w:val="none"/>
              </w:rPr>
            </w:pPr>
          </w:p>
        </w:tc>
        <w:tc>
          <w:tcPr>
            <w:tcW w:w="423" w:type="pct"/>
            <w:tcBorders>
              <w:top w:val="single" w:color="auto" w:sz="4" w:space="0"/>
              <w:left w:val="single" w:color="auto" w:sz="4" w:space="0"/>
              <w:bottom w:val="single" w:color="auto" w:sz="4" w:space="0"/>
              <w:right w:val="single" w:color="auto" w:sz="4" w:space="0"/>
            </w:tcBorders>
          </w:tcPr>
          <w:p w14:paraId="02582B96">
            <w:pPr>
              <w:spacing w:line="440" w:lineRule="exact"/>
              <w:jc w:val="center"/>
              <w:rPr>
                <w:rFonts w:hint="eastAsia" w:ascii="宋体" w:hAnsi="宋体" w:eastAsia="宋体" w:cs="宋体"/>
                <w:color w:val="auto"/>
                <w:sz w:val="24"/>
                <w:szCs w:val="24"/>
                <w:highlight w:val="none"/>
              </w:rPr>
            </w:pPr>
          </w:p>
        </w:tc>
        <w:tc>
          <w:tcPr>
            <w:tcW w:w="422" w:type="pct"/>
            <w:tcBorders>
              <w:top w:val="single" w:color="auto" w:sz="4" w:space="0"/>
              <w:left w:val="single" w:color="auto" w:sz="4" w:space="0"/>
              <w:bottom w:val="single" w:color="auto" w:sz="4" w:space="0"/>
              <w:right w:val="single" w:color="auto" w:sz="4" w:space="0"/>
            </w:tcBorders>
          </w:tcPr>
          <w:p w14:paraId="3BE1D931">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2E18DA8D">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4C5C05D1">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04EC8B52">
            <w:pPr>
              <w:spacing w:line="440" w:lineRule="exact"/>
              <w:jc w:val="center"/>
              <w:rPr>
                <w:rFonts w:hint="eastAsia" w:ascii="宋体" w:hAnsi="宋体" w:eastAsia="宋体" w:cs="宋体"/>
                <w:color w:val="auto"/>
                <w:sz w:val="24"/>
                <w:szCs w:val="24"/>
                <w:highlight w:val="none"/>
              </w:rPr>
            </w:pPr>
          </w:p>
        </w:tc>
        <w:tc>
          <w:tcPr>
            <w:tcW w:w="847" w:type="pct"/>
            <w:tcBorders>
              <w:top w:val="single" w:color="auto" w:sz="4" w:space="0"/>
              <w:left w:val="single" w:color="auto" w:sz="4" w:space="0"/>
              <w:bottom w:val="single" w:color="auto" w:sz="4" w:space="0"/>
              <w:right w:val="single" w:color="auto" w:sz="4" w:space="0"/>
            </w:tcBorders>
          </w:tcPr>
          <w:p w14:paraId="08E7D71B">
            <w:pPr>
              <w:spacing w:line="440" w:lineRule="exact"/>
              <w:jc w:val="center"/>
              <w:rPr>
                <w:rFonts w:hint="eastAsia" w:ascii="宋体" w:hAnsi="宋体" w:eastAsia="宋体" w:cs="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tcPr>
          <w:p w14:paraId="5AC378EC">
            <w:pPr>
              <w:spacing w:line="440" w:lineRule="exact"/>
              <w:jc w:val="center"/>
              <w:rPr>
                <w:rFonts w:hint="eastAsia" w:ascii="宋体" w:hAnsi="宋体" w:eastAsia="宋体" w:cs="宋体"/>
                <w:color w:val="auto"/>
                <w:sz w:val="24"/>
                <w:szCs w:val="24"/>
                <w:highlight w:val="none"/>
              </w:rPr>
            </w:pPr>
          </w:p>
        </w:tc>
      </w:tr>
      <w:tr w14:paraId="4C58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tcPr>
          <w:p w14:paraId="71AAD154">
            <w:pPr>
              <w:spacing w:line="440" w:lineRule="exact"/>
              <w:jc w:val="center"/>
              <w:rPr>
                <w:rFonts w:hint="eastAsia" w:ascii="宋体" w:hAnsi="宋体" w:eastAsia="宋体" w:cs="宋体"/>
                <w:color w:val="auto"/>
                <w:sz w:val="24"/>
                <w:szCs w:val="24"/>
                <w:highlight w:val="none"/>
              </w:rPr>
            </w:pPr>
          </w:p>
        </w:tc>
        <w:tc>
          <w:tcPr>
            <w:tcW w:w="423" w:type="pct"/>
            <w:tcBorders>
              <w:top w:val="single" w:color="auto" w:sz="4" w:space="0"/>
              <w:left w:val="single" w:color="auto" w:sz="4" w:space="0"/>
              <w:bottom w:val="single" w:color="auto" w:sz="4" w:space="0"/>
              <w:right w:val="single" w:color="auto" w:sz="4" w:space="0"/>
            </w:tcBorders>
          </w:tcPr>
          <w:p w14:paraId="49E2D16D">
            <w:pPr>
              <w:spacing w:line="440" w:lineRule="exact"/>
              <w:jc w:val="center"/>
              <w:rPr>
                <w:rFonts w:hint="eastAsia" w:ascii="宋体" w:hAnsi="宋体" w:eastAsia="宋体" w:cs="宋体"/>
                <w:color w:val="auto"/>
                <w:sz w:val="24"/>
                <w:szCs w:val="24"/>
                <w:highlight w:val="none"/>
              </w:rPr>
            </w:pPr>
          </w:p>
        </w:tc>
        <w:tc>
          <w:tcPr>
            <w:tcW w:w="422" w:type="pct"/>
            <w:tcBorders>
              <w:top w:val="single" w:color="auto" w:sz="4" w:space="0"/>
              <w:left w:val="single" w:color="auto" w:sz="4" w:space="0"/>
              <w:bottom w:val="single" w:color="auto" w:sz="4" w:space="0"/>
              <w:right w:val="single" w:color="auto" w:sz="4" w:space="0"/>
            </w:tcBorders>
          </w:tcPr>
          <w:p w14:paraId="09BD4852">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204CD1CA">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260162E7">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58D96292">
            <w:pPr>
              <w:spacing w:line="440" w:lineRule="exact"/>
              <w:jc w:val="center"/>
              <w:rPr>
                <w:rFonts w:hint="eastAsia" w:ascii="宋体" w:hAnsi="宋体" w:eastAsia="宋体" w:cs="宋体"/>
                <w:color w:val="auto"/>
                <w:sz w:val="24"/>
                <w:szCs w:val="24"/>
                <w:highlight w:val="none"/>
              </w:rPr>
            </w:pPr>
          </w:p>
        </w:tc>
        <w:tc>
          <w:tcPr>
            <w:tcW w:w="847" w:type="pct"/>
            <w:tcBorders>
              <w:top w:val="single" w:color="auto" w:sz="4" w:space="0"/>
              <w:left w:val="single" w:color="auto" w:sz="4" w:space="0"/>
              <w:bottom w:val="single" w:color="auto" w:sz="4" w:space="0"/>
              <w:right w:val="single" w:color="auto" w:sz="4" w:space="0"/>
            </w:tcBorders>
          </w:tcPr>
          <w:p w14:paraId="7BF57B62">
            <w:pPr>
              <w:spacing w:line="440" w:lineRule="exact"/>
              <w:jc w:val="center"/>
              <w:rPr>
                <w:rFonts w:hint="eastAsia" w:ascii="宋体" w:hAnsi="宋体" w:eastAsia="宋体" w:cs="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tcPr>
          <w:p w14:paraId="6C310DB4">
            <w:pPr>
              <w:spacing w:line="440" w:lineRule="exact"/>
              <w:jc w:val="center"/>
              <w:rPr>
                <w:rFonts w:hint="eastAsia" w:ascii="宋体" w:hAnsi="宋体" w:eastAsia="宋体" w:cs="宋体"/>
                <w:color w:val="auto"/>
                <w:sz w:val="24"/>
                <w:szCs w:val="24"/>
                <w:highlight w:val="none"/>
              </w:rPr>
            </w:pPr>
          </w:p>
        </w:tc>
      </w:tr>
      <w:tr w14:paraId="07BA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tcPr>
          <w:p w14:paraId="16EE4F38">
            <w:pPr>
              <w:spacing w:line="440" w:lineRule="exact"/>
              <w:jc w:val="center"/>
              <w:rPr>
                <w:rFonts w:hint="eastAsia" w:ascii="宋体" w:hAnsi="宋体" w:eastAsia="宋体" w:cs="宋体"/>
                <w:color w:val="auto"/>
                <w:sz w:val="24"/>
                <w:szCs w:val="24"/>
                <w:highlight w:val="none"/>
              </w:rPr>
            </w:pPr>
          </w:p>
        </w:tc>
        <w:tc>
          <w:tcPr>
            <w:tcW w:w="423" w:type="pct"/>
            <w:tcBorders>
              <w:top w:val="single" w:color="auto" w:sz="4" w:space="0"/>
              <w:left w:val="single" w:color="auto" w:sz="4" w:space="0"/>
              <w:bottom w:val="single" w:color="auto" w:sz="4" w:space="0"/>
              <w:right w:val="single" w:color="auto" w:sz="4" w:space="0"/>
            </w:tcBorders>
          </w:tcPr>
          <w:p w14:paraId="72D00BD7">
            <w:pPr>
              <w:spacing w:line="440" w:lineRule="exact"/>
              <w:jc w:val="center"/>
              <w:rPr>
                <w:rFonts w:hint="eastAsia" w:ascii="宋体" w:hAnsi="宋体" w:eastAsia="宋体" w:cs="宋体"/>
                <w:color w:val="auto"/>
                <w:sz w:val="24"/>
                <w:szCs w:val="24"/>
                <w:highlight w:val="none"/>
              </w:rPr>
            </w:pPr>
          </w:p>
        </w:tc>
        <w:tc>
          <w:tcPr>
            <w:tcW w:w="422" w:type="pct"/>
            <w:tcBorders>
              <w:top w:val="single" w:color="auto" w:sz="4" w:space="0"/>
              <w:left w:val="single" w:color="auto" w:sz="4" w:space="0"/>
              <w:bottom w:val="single" w:color="auto" w:sz="4" w:space="0"/>
              <w:right w:val="single" w:color="auto" w:sz="4" w:space="0"/>
            </w:tcBorders>
          </w:tcPr>
          <w:p w14:paraId="7A1C0D26">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627C93AB">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4D0C0B11">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10E4E68F">
            <w:pPr>
              <w:spacing w:line="440" w:lineRule="exact"/>
              <w:jc w:val="center"/>
              <w:rPr>
                <w:rFonts w:hint="eastAsia" w:ascii="宋体" w:hAnsi="宋体" w:eastAsia="宋体" w:cs="宋体"/>
                <w:color w:val="auto"/>
                <w:sz w:val="24"/>
                <w:szCs w:val="24"/>
                <w:highlight w:val="none"/>
              </w:rPr>
            </w:pPr>
          </w:p>
        </w:tc>
        <w:tc>
          <w:tcPr>
            <w:tcW w:w="847" w:type="pct"/>
            <w:tcBorders>
              <w:top w:val="single" w:color="auto" w:sz="4" w:space="0"/>
              <w:left w:val="single" w:color="auto" w:sz="4" w:space="0"/>
              <w:bottom w:val="single" w:color="auto" w:sz="4" w:space="0"/>
              <w:right w:val="single" w:color="auto" w:sz="4" w:space="0"/>
            </w:tcBorders>
          </w:tcPr>
          <w:p w14:paraId="2A1CE48C">
            <w:pPr>
              <w:spacing w:line="440" w:lineRule="exact"/>
              <w:jc w:val="center"/>
              <w:rPr>
                <w:rFonts w:hint="eastAsia" w:ascii="宋体" w:hAnsi="宋体" w:eastAsia="宋体" w:cs="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tcPr>
          <w:p w14:paraId="1511D191">
            <w:pPr>
              <w:spacing w:line="440" w:lineRule="exact"/>
              <w:jc w:val="center"/>
              <w:rPr>
                <w:rFonts w:hint="eastAsia" w:ascii="宋体" w:hAnsi="宋体" w:eastAsia="宋体" w:cs="宋体"/>
                <w:color w:val="auto"/>
                <w:sz w:val="24"/>
                <w:szCs w:val="24"/>
                <w:highlight w:val="none"/>
              </w:rPr>
            </w:pPr>
          </w:p>
        </w:tc>
      </w:tr>
      <w:tr w14:paraId="5C99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tcPr>
          <w:p w14:paraId="66261C58">
            <w:pPr>
              <w:spacing w:line="440" w:lineRule="exact"/>
              <w:jc w:val="center"/>
              <w:rPr>
                <w:rFonts w:hint="eastAsia" w:ascii="宋体" w:hAnsi="宋体" w:eastAsia="宋体" w:cs="宋体"/>
                <w:color w:val="auto"/>
                <w:sz w:val="24"/>
                <w:szCs w:val="24"/>
                <w:highlight w:val="none"/>
              </w:rPr>
            </w:pPr>
          </w:p>
        </w:tc>
        <w:tc>
          <w:tcPr>
            <w:tcW w:w="423" w:type="pct"/>
            <w:tcBorders>
              <w:top w:val="single" w:color="auto" w:sz="4" w:space="0"/>
              <w:left w:val="single" w:color="auto" w:sz="4" w:space="0"/>
              <w:bottom w:val="single" w:color="auto" w:sz="4" w:space="0"/>
              <w:right w:val="single" w:color="auto" w:sz="4" w:space="0"/>
            </w:tcBorders>
          </w:tcPr>
          <w:p w14:paraId="1638C00C">
            <w:pPr>
              <w:spacing w:line="440" w:lineRule="exact"/>
              <w:jc w:val="center"/>
              <w:rPr>
                <w:rFonts w:hint="eastAsia" w:ascii="宋体" w:hAnsi="宋体" w:eastAsia="宋体" w:cs="宋体"/>
                <w:color w:val="auto"/>
                <w:sz w:val="24"/>
                <w:szCs w:val="24"/>
                <w:highlight w:val="none"/>
              </w:rPr>
            </w:pPr>
          </w:p>
        </w:tc>
        <w:tc>
          <w:tcPr>
            <w:tcW w:w="422" w:type="pct"/>
            <w:tcBorders>
              <w:top w:val="single" w:color="auto" w:sz="4" w:space="0"/>
              <w:left w:val="single" w:color="auto" w:sz="4" w:space="0"/>
              <w:bottom w:val="single" w:color="auto" w:sz="4" w:space="0"/>
              <w:right w:val="single" w:color="auto" w:sz="4" w:space="0"/>
            </w:tcBorders>
          </w:tcPr>
          <w:p w14:paraId="3A1666A9">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7D4DBBC1">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1EFE86C0">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05844577">
            <w:pPr>
              <w:spacing w:line="440" w:lineRule="exact"/>
              <w:jc w:val="center"/>
              <w:rPr>
                <w:rFonts w:hint="eastAsia" w:ascii="宋体" w:hAnsi="宋体" w:eastAsia="宋体" w:cs="宋体"/>
                <w:color w:val="auto"/>
                <w:sz w:val="24"/>
                <w:szCs w:val="24"/>
                <w:highlight w:val="none"/>
              </w:rPr>
            </w:pPr>
          </w:p>
        </w:tc>
        <w:tc>
          <w:tcPr>
            <w:tcW w:w="847" w:type="pct"/>
            <w:tcBorders>
              <w:top w:val="single" w:color="auto" w:sz="4" w:space="0"/>
              <w:left w:val="single" w:color="auto" w:sz="4" w:space="0"/>
              <w:bottom w:val="single" w:color="auto" w:sz="4" w:space="0"/>
              <w:right w:val="single" w:color="auto" w:sz="4" w:space="0"/>
            </w:tcBorders>
          </w:tcPr>
          <w:p w14:paraId="51EFB9C4">
            <w:pPr>
              <w:spacing w:line="440" w:lineRule="exact"/>
              <w:jc w:val="center"/>
              <w:rPr>
                <w:rFonts w:hint="eastAsia" w:ascii="宋体" w:hAnsi="宋体" w:eastAsia="宋体" w:cs="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tcPr>
          <w:p w14:paraId="17962AAB">
            <w:pPr>
              <w:spacing w:line="440" w:lineRule="exact"/>
              <w:jc w:val="center"/>
              <w:rPr>
                <w:rFonts w:hint="eastAsia" w:ascii="宋体" w:hAnsi="宋体" w:eastAsia="宋体" w:cs="宋体"/>
                <w:color w:val="auto"/>
                <w:sz w:val="24"/>
                <w:szCs w:val="24"/>
                <w:highlight w:val="none"/>
              </w:rPr>
            </w:pPr>
          </w:p>
        </w:tc>
      </w:tr>
      <w:tr w14:paraId="15E8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tcPr>
          <w:p w14:paraId="4C588B84">
            <w:pPr>
              <w:spacing w:line="440" w:lineRule="exact"/>
              <w:jc w:val="center"/>
              <w:rPr>
                <w:rFonts w:hint="eastAsia" w:ascii="宋体" w:hAnsi="宋体" w:eastAsia="宋体" w:cs="宋体"/>
                <w:color w:val="auto"/>
                <w:sz w:val="24"/>
                <w:szCs w:val="24"/>
                <w:highlight w:val="none"/>
              </w:rPr>
            </w:pPr>
          </w:p>
        </w:tc>
        <w:tc>
          <w:tcPr>
            <w:tcW w:w="423" w:type="pct"/>
            <w:tcBorders>
              <w:top w:val="single" w:color="auto" w:sz="4" w:space="0"/>
              <w:left w:val="single" w:color="auto" w:sz="4" w:space="0"/>
              <w:bottom w:val="single" w:color="auto" w:sz="4" w:space="0"/>
              <w:right w:val="single" w:color="auto" w:sz="4" w:space="0"/>
            </w:tcBorders>
          </w:tcPr>
          <w:p w14:paraId="24B8D2CD">
            <w:pPr>
              <w:spacing w:line="440" w:lineRule="exact"/>
              <w:jc w:val="center"/>
              <w:rPr>
                <w:rFonts w:hint="eastAsia" w:ascii="宋体" w:hAnsi="宋体" w:eastAsia="宋体" w:cs="宋体"/>
                <w:color w:val="auto"/>
                <w:sz w:val="24"/>
                <w:szCs w:val="24"/>
                <w:highlight w:val="none"/>
              </w:rPr>
            </w:pPr>
          </w:p>
        </w:tc>
        <w:tc>
          <w:tcPr>
            <w:tcW w:w="422" w:type="pct"/>
            <w:tcBorders>
              <w:top w:val="single" w:color="auto" w:sz="4" w:space="0"/>
              <w:left w:val="single" w:color="auto" w:sz="4" w:space="0"/>
              <w:bottom w:val="single" w:color="auto" w:sz="4" w:space="0"/>
              <w:right w:val="single" w:color="auto" w:sz="4" w:space="0"/>
            </w:tcBorders>
          </w:tcPr>
          <w:p w14:paraId="0DFE0086">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47A8CF4A">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58B0651D">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59DA2511">
            <w:pPr>
              <w:spacing w:line="440" w:lineRule="exact"/>
              <w:jc w:val="center"/>
              <w:rPr>
                <w:rFonts w:hint="eastAsia" w:ascii="宋体" w:hAnsi="宋体" w:eastAsia="宋体" w:cs="宋体"/>
                <w:color w:val="auto"/>
                <w:sz w:val="24"/>
                <w:szCs w:val="24"/>
                <w:highlight w:val="none"/>
              </w:rPr>
            </w:pPr>
          </w:p>
        </w:tc>
        <w:tc>
          <w:tcPr>
            <w:tcW w:w="847" w:type="pct"/>
            <w:tcBorders>
              <w:top w:val="single" w:color="auto" w:sz="4" w:space="0"/>
              <w:left w:val="single" w:color="auto" w:sz="4" w:space="0"/>
              <w:bottom w:val="single" w:color="auto" w:sz="4" w:space="0"/>
              <w:right w:val="single" w:color="auto" w:sz="4" w:space="0"/>
            </w:tcBorders>
          </w:tcPr>
          <w:p w14:paraId="0DEFF650">
            <w:pPr>
              <w:spacing w:line="440" w:lineRule="exact"/>
              <w:jc w:val="center"/>
              <w:rPr>
                <w:rFonts w:hint="eastAsia" w:ascii="宋体" w:hAnsi="宋体" w:eastAsia="宋体" w:cs="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tcPr>
          <w:p w14:paraId="6341C5A7">
            <w:pPr>
              <w:spacing w:line="440" w:lineRule="exact"/>
              <w:jc w:val="center"/>
              <w:rPr>
                <w:rFonts w:hint="eastAsia" w:ascii="宋体" w:hAnsi="宋体" w:eastAsia="宋体" w:cs="宋体"/>
                <w:color w:val="auto"/>
                <w:sz w:val="24"/>
                <w:szCs w:val="24"/>
                <w:highlight w:val="none"/>
              </w:rPr>
            </w:pPr>
          </w:p>
        </w:tc>
      </w:tr>
      <w:tr w14:paraId="711C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tcPr>
          <w:p w14:paraId="0DB28411">
            <w:pPr>
              <w:spacing w:line="440" w:lineRule="exact"/>
              <w:jc w:val="center"/>
              <w:rPr>
                <w:rFonts w:hint="eastAsia" w:ascii="宋体" w:hAnsi="宋体" w:eastAsia="宋体" w:cs="宋体"/>
                <w:color w:val="auto"/>
                <w:sz w:val="24"/>
                <w:szCs w:val="24"/>
                <w:highlight w:val="none"/>
              </w:rPr>
            </w:pPr>
          </w:p>
        </w:tc>
        <w:tc>
          <w:tcPr>
            <w:tcW w:w="423" w:type="pct"/>
            <w:tcBorders>
              <w:top w:val="single" w:color="auto" w:sz="4" w:space="0"/>
              <w:left w:val="single" w:color="auto" w:sz="4" w:space="0"/>
              <w:bottom w:val="single" w:color="auto" w:sz="4" w:space="0"/>
              <w:right w:val="single" w:color="auto" w:sz="4" w:space="0"/>
            </w:tcBorders>
          </w:tcPr>
          <w:p w14:paraId="180144A4">
            <w:pPr>
              <w:spacing w:line="440" w:lineRule="exact"/>
              <w:jc w:val="center"/>
              <w:rPr>
                <w:rFonts w:hint="eastAsia" w:ascii="宋体" w:hAnsi="宋体" w:eastAsia="宋体" w:cs="宋体"/>
                <w:color w:val="auto"/>
                <w:sz w:val="24"/>
                <w:szCs w:val="24"/>
                <w:highlight w:val="none"/>
              </w:rPr>
            </w:pPr>
          </w:p>
        </w:tc>
        <w:tc>
          <w:tcPr>
            <w:tcW w:w="422" w:type="pct"/>
            <w:tcBorders>
              <w:top w:val="single" w:color="auto" w:sz="4" w:space="0"/>
              <w:left w:val="single" w:color="auto" w:sz="4" w:space="0"/>
              <w:bottom w:val="single" w:color="auto" w:sz="4" w:space="0"/>
              <w:right w:val="single" w:color="auto" w:sz="4" w:space="0"/>
            </w:tcBorders>
          </w:tcPr>
          <w:p w14:paraId="709FCFB1">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5F60E916">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5D163E19">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3C916297">
            <w:pPr>
              <w:spacing w:line="440" w:lineRule="exact"/>
              <w:jc w:val="center"/>
              <w:rPr>
                <w:rFonts w:hint="eastAsia" w:ascii="宋体" w:hAnsi="宋体" w:eastAsia="宋体" w:cs="宋体"/>
                <w:color w:val="auto"/>
                <w:sz w:val="24"/>
                <w:szCs w:val="24"/>
                <w:highlight w:val="none"/>
              </w:rPr>
            </w:pPr>
          </w:p>
        </w:tc>
        <w:tc>
          <w:tcPr>
            <w:tcW w:w="847" w:type="pct"/>
            <w:tcBorders>
              <w:top w:val="single" w:color="auto" w:sz="4" w:space="0"/>
              <w:left w:val="single" w:color="auto" w:sz="4" w:space="0"/>
              <w:bottom w:val="single" w:color="auto" w:sz="4" w:space="0"/>
              <w:right w:val="single" w:color="auto" w:sz="4" w:space="0"/>
            </w:tcBorders>
          </w:tcPr>
          <w:p w14:paraId="0AB60CF2">
            <w:pPr>
              <w:spacing w:line="440" w:lineRule="exact"/>
              <w:jc w:val="center"/>
              <w:rPr>
                <w:rFonts w:hint="eastAsia" w:ascii="宋体" w:hAnsi="宋体" w:eastAsia="宋体" w:cs="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tcPr>
          <w:p w14:paraId="34495FBC">
            <w:pPr>
              <w:spacing w:line="440" w:lineRule="exact"/>
              <w:jc w:val="center"/>
              <w:rPr>
                <w:rFonts w:hint="eastAsia" w:ascii="宋体" w:hAnsi="宋体" w:eastAsia="宋体" w:cs="宋体"/>
                <w:color w:val="auto"/>
                <w:sz w:val="24"/>
                <w:szCs w:val="24"/>
                <w:highlight w:val="none"/>
              </w:rPr>
            </w:pPr>
          </w:p>
        </w:tc>
      </w:tr>
      <w:tr w14:paraId="390B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tcPr>
          <w:p w14:paraId="28AB99F1">
            <w:pPr>
              <w:spacing w:line="440" w:lineRule="exact"/>
              <w:jc w:val="center"/>
              <w:rPr>
                <w:rFonts w:hint="eastAsia" w:ascii="宋体" w:hAnsi="宋体" w:eastAsia="宋体" w:cs="宋体"/>
                <w:color w:val="auto"/>
                <w:sz w:val="24"/>
                <w:szCs w:val="24"/>
                <w:highlight w:val="none"/>
              </w:rPr>
            </w:pPr>
          </w:p>
        </w:tc>
        <w:tc>
          <w:tcPr>
            <w:tcW w:w="423" w:type="pct"/>
            <w:tcBorders>
              <w:top w:val="single" w:color="auto" w:sz="4" w:space="0"/>
              <w:left w:val="single" w:color="auto" w:sz="4" w:space="0"/>
              <w:bottom w:val="single" w:color="auto" w:sz="4" w:space="0"/>
              <w:right w:val="single" w:color="auto" w:sz="4" w:space="0"/>
            </w:tcBorders>
          </w:tcPr>
          <w:p w14:paraId="08608856">
            <w:pPr>
              <w:spacing w:line="440" w:lineRule="exact"/>
              <w:jc w:val="center"/>
              <w:rPr>
                <w:rFonts w:hint="eastAsia" w:ascii="宋体" w:hAnsi="宋体" w:eastAsia="宋体" w:cs="宋体"/>
                <w:color w:val="auto"/>
                <w:sz w:val="24"/>
                <w:szCs w:val="24"/>
                <w:highlight w:val="none"/>
              </w:rPr>
            </w:pPr>
          </w:p>
        </w:tc>
        <w:tc>
          <w:tcPr>
            <w:tcW w:w="422" w:type="pct"/>
            <w:tcBorders>
              <w:top w:val="single" w:color="auto" w:sz="4" w:space="0"/>
              <w:left w:val="single" w:color="auto" w:sz="4" w:space="0"/>
              <w:bottom w:val="single" w:color="auto" w:sz="4" w:space="0"/>
              <w:right w:val="single" w:color="auto" w:sz="4" w:space="0"/>
            </w:tcBorders>
          </w:tcPr>
          <w:p w14:paraId="75FD78F7">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5A8AADBF">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72ACE087">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6F5F1C4E">
            <w:pPr>
              <w:spacing w:line="440" w:lineRule="exact"/>
              <w:jc w:val="center"/>
              <w:rPr>
                <w:rFonts w:hint="eastAsia" w:ascii="宋体" w:hAnsi="宋体" w:eastAsia="宋体" w:cs="宋体"/>
                <w:color w:val="auto"/>
                <w:sz w:val="24"/>
                <w:szCs w:val="24"/>
                <w:highlight w:val="none"/>
              </w:rPr>
            </w:pPr>
          </w:p>
        </w:tc>
        <w:tc>
          <w:tcPr>
            <w:tcW w:w="847" w:type="pct"/>
            <w:tcBorders>
              <w:top w:val="single" w:color="auto" w:sz="4" w:space="0"/>
              <w:left w:val="single" w:color="auto" w:sz="4" w:space="0"/>
              <w:bottom w:val="single" w:color="auto" w:sz="4" w:space="0"/>
              <w:right w:val="single" w:color="auto" w:sz="4" w:space="0"/>
            </w:tcBorders>
          </w:tcPr>
          <w:p w14:paraId="16E2A834">
            <w:pPr>
              <w:spacing w:line="440" w:lineRule="exact"/>
              <w:jc w:val="center"/>
              <w:rPr>
                <w:rFonts w:hint="eastAsia" w:ascii="宋体" w:hAnsi="宋体" w:eastAsia="宋体" w:cs="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tcPr>
          <w:p w14:paraId="6B17ABA8">
            <w:pPr>
              <w:spacing w:line="440" w:lineRule="exact"/>
              <w:jc w:val="center"/>
              <w:rPr>
                <w:rFonts w:hint="eastAsia" w:ascii="宋体" w:hAnsi="宋体" w:eastAsia="宋体" w:cs="宋体"/>
                <w:color w:val="auto"/>
                <w:sz w:val="24"/>
                <w:szCs w:val="24"/>
                <w:highlight w:val="none"/>
              </w:rPr>
            </w:pPr>
          </w:p>
        </w:tc>
      </w:tr>
      <w:tr w14:paraId="0327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tcPr>
          <w:p w14:paraId="3498479C">
            <w:pPr>
              <w:spacing w:line="440" w:lineRule="exact"/>
              <w:jc w:val="center"/>
              <w:rPr>
                <w:rFonts w:hint="eastAsia" w:ascii="宋体" w:hAnsi="宋体" w:eastAsia="宋体" w:cs="宋体"/>
                <w:color w:val="auto"/>
                <w:sz w:val="24"/>
                <w:szCs w:val="24"/>
                <w:highlight w:val="none"/>
              </w:rPr>
            </w:pPr>
          </w:p>
        </w:tc>
        <w:tc>
          <w:tcPr>
            <w:tcW w:w="423" w:type="pct"/>
            <w:tcBorders>
              <w:top w:val="single" w:color="auto" w:sz="4" w:space="0"/>
              <w:left w:val="single" w:color="auto" w:sz="4" w:space="0"/>
              <w:bottom w:val="single" w:color="auto" w:sz="4" w:space="0"/>
              <w:right w:val="single" w:color="auto" w:sz="4" w:space="0"/>
            </w:tcBorders>
          </w:tcPr>
          <w:p w14:paraId="450C6F95">
            <w:pPr>
              <w:spacing w:line="440" w:lineRule="exact"/>
              <w:jc w:val="center"/>
              <w:rPr>
                <w:rFonts w:hint="eastAsia" w:ascii="宋体" w:hAnsi="宋体" w:eastAsia="宋体" w:cs="宋体"/>
                <w:color w:val="auto"/>
                <w:sz w:val="24"/>
                <w:szCs w:val="24"/>
                <w:highlight w:val="none"/>
              </w:rPr>
            </w:pPr>
          </w:p>
        </w:tc>
        <w:tc>
          <w:tcPr>
            <w:tcW w:w="422" w:type="pct"/>
            <w:tcBorders>
              <w:top w:val="single" w:color="auto" w:sz="4" w:space="0"/>
              <w:left w:val="single" w:color="auto" w:sz="4" w:space="0"/>
              <w:bottom w:val="single" w:color="auto" w:sz="4" w:space="0"/>
              <w:right w:val="single" w:color="auto" w:sz="4" w:space="0"/>
            </w:tcBorders>
          </w:tcPr>
          <w:p w14:paraId="78F96890">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7BEF1D3A">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3E0A48FB">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40103C8A">
            <w:pPr>
              <w:spacing w:line="440" w:lineRule="exact"/>
              <w:jc w:val="center"/>
              <w:rPr>
                <w:rFonts w:hint="eastAsia" w:ascii="宋体" w:hAnsi="宋体" w:eastAsia="宋体" w:cs="宋体"/>
                <w:color w:val="auto"/>
                <w:sz w:val="24"/>
                <w:szCs w:val="24"/>
                <w:highlight w:val="none"/>
              </w:rPr>
            </w:pPr>
          </w:p>
        </w:tc>
        <w:tc>
          <w:tcPr>
            <w:tcW w:w="847" w:type="pct"/>
            <w:tcBorders>
              <w:top w:val="single" w:color="auto" w:sz="4" w:space="0"/>
              <w:left w:val="single" w:color="auto" w:sz="4" w:space="0"/>
              <w:bottom w:val="single" w:color="auto" w:sz="4" w:space="0"/>
              <w:right w:val="single" w:color="auto" w:sz="4" w:space="0"/>
            </w:tcBorders>
          </w:tcPr>
          <w:p w14:paraId="7056E250">
            <w:pPr>
              <w:spacing w:line="440" w:lineRule="exact"/>
              <w:jc w:val="center"/>
              <w:rPr>
                <w:rFonts w:hint="eastAsia" w:ascii="宋体" w:hAnsi="宋体" w:eastAsia="宋体" w:cs="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tcPr>
          <w:p w14:paraId="7D62E43D">
            <w:pPr>
              <w:spacing w:line="440" w:lineRule="exact"/>
              <w:jc w:val="center"/>
              <w:rPr>
                <w:rFonts w:hint="eastAsia" w:ascii="宋体" w:hAnsi="宋体" w:eastAsia="宋体" w:cs="宋体"/>
                <w:color w:val="auto"/>
                <w:sz w:val="24"/>
                <w:szCs w:val="24"/>
                <w:highlight w:val="none"/>
              </w:rPr>
            </w:pPr>
          </w:p>
        </w:tc>
      </w:tr>
      <w:tr w14:paraId="3D5C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tcPr>
          <w:p w14:paraId="30D8A1EE">
            <w:pPr>
              <w:spacing w:line="440" w:lineRule="exact"/>
              <w:jc w:val="center"/>
              <w:rPr>
                <w:rFonts w:hint="eastAsia" w:ascii="宋体" w:hAnsi="宋体" w:eastAsia="宋体" w:cs="宋体"/>
                <w:color w:val="auto"/>
                <w:sz w:val="24"/>
                <w:szCs w:val="24"/>
                <w:highlight w:val="none"/>
              </w:rPr>
            </w:pPr>
          </w:p>
        </w:tc>
        <w:tc>
          <w:tcPr>
            <w:tcW w:w="423" w:type="pct"/>
            <w:tcBorders>
              <w:top w:val="single" w:color="auto" w:sz="4" w:space="0"/>
              <w:left w:val="single" w:color="auto" w:sz="4" w:space="0"/>
              <w:bottom w:val="single" w:color="auto" w:sz="4" w:space="0"/>
              <w:right w:val="single" w:color="auto" w:sz="4" w:space="0"/>
            </w:tcBorders>
          </w:tcPr>
          <w:p w14:paraId="57D03AAC">
            <w:pPr>
              <w:spacing w:line="440" w:lineRule="exact"/>
              <w:jc w:val="center"/>
              <w:rPr>
                <w:rFonts w:hint="eastAsia" w:ascii="宋体" w:hAnsi="宋体" w:eastAsia="宋体" w:cs="宋体"/>
                <w:color w:val="auto"/>
                <w:sz w:val="24"/>
                <w:szCs w:val="24"/>
                <w:highlight w:val="none"/>
              </w:rPr>
            </w:pPr>
          </w:p>
        </w:tc>
        <w:tc>
          <w:tcPr>
            <w:tcW w:w="422" w:type="pct"/>
            <w:tcBorders>
              <w:top w:val="single" w:color="auto" w:sz="4" w:space="0"/>
              <w:left w:val="single" w:color="auto" w:sz="4" w:space="0"/>
              <w:bottom w:val="single" w:color="auto" w:sz="4" w:space="0"/>
              <w:right w:val="single" w:color="auto" w:sz="4" w:space="0"/>
            </w:tcBorders>
          </w:tcPr>
          <w:p w14:paraId="0FA454D1">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2A05DDDD">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4CD21879">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6D242E3D">
            <w:pPr>
              <w:spacing w:line="440" w:lineRule="exact"/>
              <w:jc w:val="center"/>
              <w:rPr>
                <w:rFonts w:hint="eastAsia" w:ascii="宋体" w:hAnsi="宋体" w:eastAsia="宋体" w:cs="宋体"/>
                <w:color w:val="auto"/>
                <w:sz w:val="24"/>
                <w:szCs w:val="24"/>
                <w:highlight w:val="none"/>
              </w:rPr>
            </w:pPr>
          </w:p>
        </w:tc>
        <w:tc>
          <w:tcPr>
            <w:tcW w:w="847" w:type="pct"/>
            <w:tcBorders>
              <w:top w:val="single" w:color="auto" w:sz="4" w:space="0"/>
              <w:left w:val="single" w:color="auto" w:sz="4" w:space="0"/>
              <w:bottom w:val="single" w:color="auto" w:sz="4" w:space="0"/>
              <w:right w:val="single" w:color="auto" w:sz="4" w:space="0"/>
            </w:tcBorders>
          </w:tcPr>
          <w:p w14:paraId="49BBF1CC">
            <w:pPr>
              <w:spacing w:line="440" w:lineRule="exact"/>
              <w:jc w:val="center"/>
              <w:rPr>
                <w:rFonts w:hint="eastAsia" w:ascii="宋体" w:hAnsi="宋体" w:eastAsia="宋体" w:cs="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tcPr>
          <w:p w14:paraId="347A4B68">
            <w:pPr>
              <w:spacing w:line="440" w:lineRule="exact"/>
              <w:jc w:val="center"/>
              <w:rPr>
                <w:rFonts w:hint="eastAsia" w:ascii="宋体" w:hAnsi="宋体" w:eastAsia="宋体" w:cs="宋体"/>
                <w:color w:val="auto"/>
                <w:sz w:val="24"/>
                <w:szCs w:val="24"/>
                <w:highlight w:val="none"/>
              </w:rPr>
            </w:pPr>
          </w:p>
        </w:tc>
      </w:tr>
      <w:tr w14:paraId="1B27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tcPr>
          <w:p w14:paraId="74099A10">
            <w:pPr>
              <w:spacing w:line="440" w:lineRule="exact"/>
              <w:jc w:val="center"/>
              <w:rPr>
                <w:rFonts w:hint="eastAsia" w:ascii="宋体" w:hAnsi="宋体" w:eastAsia="宋体" w:cs="宋体"/>
                <w:color w:val="auto"/>
                <w:sz w:val="24"/>
                <w:szCs w:val="24"/>
                <w:highlight w:val="none"/>
              </w:rPr>
            </w:pPr>
          </w:p>
        </w:tc>
        <w:tc>
          <w:tcPr>
            <w:tcW w:w="423" w:type="pct"/>
            <w:tcBorders>
              <w:top w:val="single" w:color="auto" w:sz="4" w:space="0"/>
              <w:left w:val="single" w:color="auto" w:sz="4" w:space="0"/>
              <w:bottom w:val="single" w:color="auto" w:sz="4" w:space="0"/>
              <w:right w:val="single" w:color="auto" w:sz="4" w:space="0"/>
            </w:tcBorders>
          </w:tcPr>
          <w:p w14:paraId="5EC518EB">
            <w:pPr>
              <w:spacing w:line="440" w:lineRule="exact"/>
              <w:jc w:val="center"/>
              <w:rPr>
                <w:rFonts w:hint="eastAsia" w:ascii="宋体" w:hAnsi="宋体" w:eastAsia="宋体" w:cs="宋体"/>
                <w:color w:val="auto"/>
                <w:sz w:val="24"/>
                <w:szCs w:val="24"/>
                <w:highlight w:val="none"/>
              </w:rPr>
            </w:pPr>
          </w:p>
        </w:tc>
        <w:tc>
          <w:tcPr>
            <w:tcW w:w="422" w:type="pct"/>
            <w:tcBorders>
              <w:top w:val="single" w:color="auto" w:sz="4" w:space="0"/>
              <w:left w:val="single" w:color="auto" w:sz="4" w:space="0"/>
              <w:bottom w:val="single" w:color="auto" w:sz="4" w:space="0"/>
              <w:right w:val="single" w:color="auto" w:sz="4" w:space="0"/>
            </w:tcBorders>
          </w:tcPr>
          <w:p w14:paraId="25096CA6">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425E0345">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704A30F8">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5E0BFE79">
            <w:pPr>
              <w:spacing w:line="440" w:lineRule="exact"/>
              <w:jc w:val="center"/>
              <w:rPr>
                <w:rFonts w:hint="eastAsia" w:ascii="宋体" w:hAnsi="宋体" w:eastAsia="宋体" w:cs="宋体"/>
                <w:color w:val="auto"/>
                <w:sz w:val="24"/>
                <w:szCs w:val="24"/>
                <w:highlight w:val="none"/>
              </w:rPr>
            </w:pPr>
          </w:p>
        </w:tc>
        <w:tc>
          <w:tcPr>
            <w:tcW w:w="847" w:type="pct"/>
            <w:tcBorders>
              <w:top w:val="single" w:color="auto" w:sz="4" w:space="0"/>
              <w:left w:val="single" w:color="auto" w:sz="4" w:space="0"/>
              <w:bottom w:val="single" w:color="auto" w:sz="4" w:space="0"/>
              <w:right w:val="single" w:color="auto" w:sz="4" w:space="0"/>
            </w:tcBorders>
          </w:tcPr>
          <w:p w14:paraId="1BC29F2D">
            <w:pPr>
              <w:spacing w:line="440" w:lineRule="exact"/>
              <w:jc w:val="center"/>
              <w:rPr>
                <w:rFonts w:hint="eastAsia" w:ascii="宋体" w:hAnsi="宋体" w:eastAsia="宋体" w:cs="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tcPr>
          <w:p w14:paraId="007D0B71">
            <w:pPr>
              <w:spacing w:line="440" w:lineRule="exact"/>
              <w:jc w:val="center"/>
              <w:rPr>
                <w:rFonts w:hint="eastAsia" w:ascii="宋体" w:hAnsi="宋体" w:eastAsia="宋体" w:cs="宋体"/>
                <w:color w:val="auto"/>
                <w:sz w:val="24"/>
                <w:szCs w:val="24"/>
                <w:highlight w:val="none"/>
              </w:rPr>
            </w:pPr>
          </w:p>
        </w:tc>
      </w:tr>
      <w:tr w14:paraId="62CC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tcPr>
          <w:p w14:paraId="40ADF27F">
            <w:pPr>
              <w:spacing w:line="440" w:lineRule="exact"/>
              <w:jc w:val="center"/>
              <w:rPr>
                <w:rFonts w:hint="eastAsia" w:ascii="宋体" w:hAnsi="宋体" w:eastAsia="宋体" w:cs="宋体"/>
                <w:color w:val="auto"/>
                <w:sz w:val="24"/>
                <w:szCs w:val="24"/>
                <w:highlight w:val="none"/>
              </w:rPr>
            </w:pPr>
          </w:p>
        </w:tc>
        <w:tc>
          <w:tcPr>
            <w:tcW w:w="423" w:type="pct"/>
            <w:tcBorders>
              <w:top w:val="single" w:color="auto" w:sz="4" w:space="0"/>
              <w:left w:val="single" w:color="auto" w:sz="4" w:space="0"/>
              <w:bottom w:val="single" w:color="auto" w:sz="4" w:space="0"/>
              <w:right w:val="single" w:color="auto" w:sz="4" w:space="0"/>
            </w:tcBorders>
          </w:tcPr>
          <w:p w14:paraId="1C09B82A">
            <w:pPr>
              <w:spacing w:line="440" w:lineRule="exact"/>
              <w:jc w:val="center"/>
              <w:rPr>
                <w:rFonts w:hint="eastAsia" w:ascii="宋体" w:hAnsi="宋体" w:eastAsia="宋体" w:cs="宋体"/>
                <w:color w:val="auto"/>
                <w:sz w:val="24"/>
                <w:szCs w:val="24"/>
                <w:highlight w:val="none"/>
              </w:rPr>
            </w:pPr>
          </w:p>
        </w:tc>
        <w:tc>
          <w:tcPr>
            <w:tcW w:w="422" w:type="pct"/>
            <w:tcBorders>
              <w:top w:val="single" w:color="auto" w:sz="4" w:space="0"/>
              <w:left w:val="single" w:color="auto" w:sz="4" w:space="0"/>
              <w:bottom w:val="single" w:color="auto" w:sz="4" w:space="0"/>
              <w:right w:val="single" w:color="auto" w:sz="4" w:space="0"/>
            </w:tcBorders>
          </w:tcPr>
          <w:p w14:paraId="19DBA0D5">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41F6E190">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0F5C8696">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3914B951">
            <w:pPr>
              <w:spacing w:line="440" w:lineRule="exact"/>
              <w:jc w:val="center"/>
              <w:rPr>
                <w:rFonts w:hint="eastAsia" w:ascii="宋体" w:hAnsi="宋体" w:eastAsia="宋体" w:cs="宋体"/>
                <w:color w:val="auto"/>
                <w:sz w:val="24"/>
                <w:szCs w:val="24"/>
                <w:highlight w:val="none"/>
              </w:rPr>
            </w:pPr>
          </w:p>
        </w:tc>
        <w:tc>
          <w:tcPr>
            <w:tcW w:w="847" w:type="pct"/>
            <w:tcBorders>
              <w:top w:val="single" w:color="auto" w:sz="4" w:space="0"/>
              <w:left w:val="single" w:color="auto" w:sz="4" w:space="0"/>
              <w:bottom w:val="single" w:color="auto" w:sz="4" w:space="0"/>
              <w:right w:val="single" w:color="auto" w:sz="4" w:space="0"/>
            </w:tcBorders>
          </w:tcPr>
          <w:p w14:paraId="7BD86C7A">
            <w:pPr>
              <w:spacing w:line="440" w:lineRule="exact"/>
              <w:jc w:val="center"/>
              <w:rPr>
                <w:rFonts w:hint="eastAsia" w:ascii="宋体" w:hAnsi="宋体" w:eastAsia="宋体" w:cs="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tcPr>
          <w:p w14:paraId="132024A3">
            <w:pPr>
              <w:spacing w:line="440" w:lineRule="exact"/>
              <w:jc w:val="center"/>
              <w:rPr>
                <w:rFonts w:hint="eastAsia" w:ascii="宋体" w:hAnsi="宋体" w:eastAsia="宋体" w:cs="宋体"/>
                <w:color w:val="auto"/>
                <w:sz w:val="24"/>
                <w:szCs w:val="24"/>
                <w:highlight w:val="none"/>
              </w:rPr>
            </w:pPr>
          </w:p>
        </w:tc>
      </w:tr>
      <w:tr w14:paraId="6475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tcPr>
          <w:p w14:paraId="67DEACE0">
            <w:pPr>
              <w:spacing w:line="440" w:lineRule="exact"/>
              <w:jc w:val="center"/>
              <w:rPr>
                <w:rFonts w:hint="eastAsia" w:ascii="宋体" w:hAnsi="宋体" w:eastAsia="宋体" w:cs="宋体"/>
                <w:color w:val="auto"/>
                <w:sz w:val="24"/>
                <w:szCs w:val="24"/>
                <w:highlight w:val="none"/>
              </w:rPr>
            </w:pPr>
          </w:p>
        </w:tc>
        <w:tc>
          <w:tcPr>
            <w:tcW w:w="423" w:type="pct"/>
            <w:tcBorders>
              <w:top w:val="single" w:color="auto" w:sz="4" w:space="0"/>
              <w:left w:val="single" w:color="auto" w:sz="4" w:space="0"/>
              <w:bottom w:val="single" w:color="auto" w:sz="4" w:space="0"/>
              <w:right w:val="single" w:color="auto" w:sz="4" w:space="0"/>
            </w:tcBorders>
          </w:tcPr>
          <w:p w14:paraId="1E6CE976">
            <w:pPr>
              <w:spacing w:line="440" w:lineRule="exact"/>
              <w:jc w:val="center"/>
              <w:rPr>
                <w:rFonts w:hint="eastAsia" w:ascii="宋体" w:hAnsi="宋体" w:eastAsia="宋体" w:cs="宋体"/>
                <w:color w:val="auto"/>
                <w:sz w:val="24"/>
                <w:szCs w:val="24"/>
                <w:highlight w:val="none"/>
              </w:rPr>
            </w:pPr>
          </w:p>
        </w:tc>
        <w:tc>
          <w:tcPr>
            <w:tcW w:w="422" w:type="pct"/>
            <w:tcBorders>
              <w:top w:val="single" w:color="auto" w:sz="4" w:space="0"/>
              <w:left w:val="single" w:color="auto" w:sz="4" w:space="0"/>
              <w:bottom w:val="single" w:color="auto" w:sz="4" w:space="0"/>
              <w:right w:val="single" w:color="auto" w:sz="4" w:space="0"/>
            </w:tcBorders>
          </w:tcPr>
          <w:p w14:paraId="10C396CD">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148CFF17">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323D63C0">
            <w:pPr>
              <w:spacing w:line="440" w:lineRule="exact"/>
              <w:jc w:val="center"/>
              <w:rPr>
                <w:rFonts w:hint="eastAsia" w:ascii="宋体" w:hAnsi="宋体" w:eastAsia="宋体" w:cs="宋体"/>
                <w:color w:val="auto"/>
                <w:sz w:val="24"/>
                <w:szCs w:val="24"/>
                <w:highlight w:val="none"/>
              </w:rPr>
            </w:pPr>
          </w:p>
        </w:tc>
        <w:tc>
          <w:tcPr>
            <w:tcW w:w="846" w:type="pct"/>
            <w:tcBorders>
              <w:top w:val="single" w:color="auto" w:sz="4" w:space="0"/>
              <w:left w:val="single" w:color="auto" w:sz="4" w:space="0"/>
              <w:bottom w:val="single" w:color="auto" w:sz="4" w:space="0"/>
              <w:right w:val="single" w:color="auto" w:sz="4" w:space="0"/>
            </w:tcBorders>
          </w:tcPr>
          <w:p w14:paraId="67347F6E">
            <w:pPr>
              <w:spacing w:line="440" w:lineRule="exact"/>
              <w:jc w:val="center"/>
              <w:rPr>
                <w:rFonts w:hint="eastAsia" w:ascii="宋体" w:hAnsi="宋体" w:eastAsia="宋体" w:cs="宋体"/>
                <w:color w:val="auto"/>
                <w:sz w:val="24"/>
                <w:szCs w:val="24"/>
                <w:highlight w:val="none"/>
              </w:rPr>
            </w:pPr>
          </w:p>
        </w:tc>
        <w:tc>
          <w:tcPr>
            <w:tcW w:w="847" w:type="pct"/>
            <w:tcBorders>
              <w:top w:val="single" w:color="auto" w:sz="4" w:space="0"/>
              <w:left w:val="single" w:color="auto" w:sz="4" w:space="0"/>
              <w:bottom w:val="single" w:color="auto" w:sz="4" w:space="0"/>
              <w:right w:val="single" w:color="auto" w:sz="4" w:space="0"/>
            </w:tcBorders>
          </w:tcPr>
          <w:p w14:paraId="20B84104">
            <w:pPr>
              <w:spacing w:line="440" w:lineRule="exact"/>
              <w:jc w:val="center"/>
              <w:rPr>
                <w:rFonts w:hint="eastAsia" w:ascii="宋体" w:hAnsi="宋体" w:eastAsia="宋体" w:cs="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tcPr>
          <w:p w14:paraId="383E0A2D">
            <w:pPr>
              <w:spacing w:line="440" w:lineRule="exact"/>
              <w:jc w:val="center"/>
              <w:rPr>
                <w:rFonts w:hint="eastAsia" w:ascii="宋体" w:hAnsi="宋体" w:eastAsia="宋体" w:cs="宋体"/>
                <w:color w:val="auto"/>
                <w:sz w:val="24"/>
                <w:szCs w:val="24"/>
                <w:highlight w:val="none"/>
              </w:rPr>
            </w:pPr>
          </w:p>
        </w:tc>
      </w:tr>
    </w:tbl>
    <w:p w14:paraId="1DEEBB95">
      <w:pPr>
        <w:topLinePunct/>
        <w:spacing w:line="440" w:lineRule="exact"/>
        <w:jc w:val="center"/>
        <w:rPr>
          <w:rFonts w:hint="eastAsia" w:ascii="宋体" w:hAnsi="宋体" w:eastAsia="宋体" w:cs="宋体"/>
          <w:color w:val="auto"/>
          <w:sz w:val="24"/>
          <w:szCs w:val="24"/>
          <w:highlight w:val="none"/>
        </w:rPr>
      </w:pPr>
    </w:p>
    <w:p w14:paraId="05850116">
      <w:pPr>
        <w:topLinePunct/>
        <w:spacing w:line="44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b w:val="0"/>
          <w:color w:val="auto"/>
          <w:sz w:val="24"/>
          <w:szCs w:val="24"/>
          <w:highlight w:val="none"/>
        </w:rPr>
        <w:t>拟派往本项目的项目管理人员均须填入此表</w:t>
      </w:r>
      <w:r>
        <w:rPr>
          <w:rFonts w:hint="eastAsia" w:ascii="宋体" w:hAnsi="宋体" w:eastAsia="宋体" w:cs="宋体"/>
          <w:b w:val="0"/>
          <w:color w:val="auto"/>
          <w:sz w:val="24"/>
          <w:szCs w:val="24"/>
          <w:highlight w:val="none"/>
          <w:lang w:eastAsia="zh-CN"/>
        </w:rPr>
        <w:t>。</w:t>
      </w:r>
    </w:p>
    <w:p w14:paraId="2C3B3BFE">
      <w:pPr>
        <w:jc w:val="center"/>
        <w:rPr>
          <w:rFonts w:hint="eastAsia" w:ascii="宋体" w:hAnsi="宋体" w:eastAsia="宋体" w:cs="宋体"/>
          <w:b/>
          <w:color w:val="auto"/>
          <w:sz w:val="24"/>
          <w:szCs w:val="24"/>
          <w:highlight w:val="none"/>
        </w:rPr>
      </w:pPr>
      <w:bookmarkStart w:id="500" w:name="_Toc152045805"/>
      <w:bookmarkStart w:id="501" w:name="_Toc144974873"/>
      <w:bookmarkStart w:id="502" w:name="_Toc246996371"/>
      <w:bookmarkStart w:id="503" w:name="_Toc247085889"/>
      <w:bookmarkStart w:id="504" w:name="_Toc179632825"/>
      <w:bookmarkStart w:id="505" w:name="_Toc246997114"/>
      <w:bookmarkStart w:id="506" w:name="_Toc152042594"/>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val="en-US" w:eastAsia="zh-CN"/>
        </w:rPr>
        <w:t>项目经理</w:t>
      </w:r>
      <w:r>
        <w:rPr>
          <w:rFonts w:hint="eastAsia" w:ascii="宋体" w:hAnsi="宋体" w:eastAsia="宋体" w:cs="宋体"/>
          <w:b/>
          <w:color w:val="auto"/>
          <w:sz w:val="24"/>
          <w:szCs w:val="24"/>
          <w:highlight w:val="none"/>
        </w:rPr>
        <w:t>简历表</w:t>
      </w:r>
      <w:bookmarkEnd w:id="500"/>
      <w:bookmarkEnd w:id="501"/>
      <w:bookmarkEnd w:id="502"/>
      <w:bookmarkEnd w:id="503"/>
      <w:bookmarkEnd w:id="504"/>
      <w:bookmarkEnd w:id="505"/>
      <w:bookmarkEnd w:id="506"/>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390"/>
        <w:gridCol w:w="786"/>
        <w:gridCol w:w="1010"/>
        <w:gridCol w:w="1161"/>
        <w:gridCol w:w="771"/>
        <w:gridCol w:w="1374"/>
        <w:gridCol w:w="176"/>
        <w:gridCol w:w="2328"/>
      </w:tblGrid>
      <w:tr w14:paraId="4D90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pct"/>
            <w:tcBorders>
              <w:top w:val="single" w:color="auto" w:sz="4" w:space="0"/>
              <w:left w:val="single" w:color="auto" w:sz="4" w:space="0"/>
              <w:bottom w:val="single" w:color="auto" w:sz="4" w:space="0"/>
              <w:right w:val="single" w:color="auto" w:sz="4" w:space="0"/>
            </w:tcBorders>
            <w:vAlign w:val="center"/>
          </w:tcPr>
          <w:p w14:paraId="5A17956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633" w:type="pct"/>
            <w:gridSpan w:val="2"/>
            <w:tcBorders>
              <w:top w:val="single" w:color="auto" w:sz="4" w:space="0"/>
              <w:left w:val="single" w:color="auto" w:sz="4" w:space="0"/>
              <w:bottom w:val="single" w:color="auto" w:sz="4" w:space="0"/>
              <w:right w:val="single" w:color="auto" w:sz="4" w:space="0"/>
            </w:tcBorders>
            <w:vAlign w:val="center"/>
          </w:tcPr>
          <w:p w14:paraId="5644CBD2">
            <w:pPr>
              <w:spacing w:line="440" w:lineRule="exact"/>
              <w:jc w:val="center"/>
              <w:rPr>
                <w:rFonts w:hint="eastAsia" w:ascii="宋体" w:hAnsi="宋体" w:eastAsia="宋体" w:cs="宋体"/>
                <w:color w:val="auto"/>
                <w:sz w:val="24"/>
                <w:szCs w:val="24"/>
                <w:highlight w:val="none"/>
              </w:rPr>
            </w:pPr>
          </w:p>
        </w:tc>
        <w:tc>
          <w:tcPr>
            <w:tcW w:w="544" w:type="pct"/>
            <w:tcBorders>
              <w:top w:val="single" w:color="auto" w:sz="4" w:space="0"/>
              <w:left w:val="single" w:color="auto" w:sz="4" w:space="0"/>
              <w:bottom w:val="single" w:color="auto" w:sz="4" w:space="0"/>
              <w:right w:val="single" w:color="auto" w:sz="4" w:space="0"/>
            </w:tcBorders>
            <w:vAlign w:val="center"/>
          </w:tcPr>
          <w:p w14:paraId="248891B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625" w:type="pct"/>
            <w:tcBorders>
              <w:top w:val="single" w:color="auto" w:sz="4" w:space="0"/>
              <w:left w:val="single" w:color="auto" w:sz="4" w:space="0"/>
              <w:bottom w:val="single" w:color="auto" w:sz="4" w:space="0"/>
              <w:right w:val="single" w:color="auto" w:sz="4" w:space="0"/>
            </w:tcBorders>
            <w:vAlign w:val="center"/>
          </w:tcPr>
          <w:p w14:paraId="37808611">
            <w:pPr>
              <w:spacing w:line="440" w:lineRule="exact"/>
              <w:jc w:val="center"/>
              <w:rPr>
                <w:rFonts w:hint="eastAsia" w:ascii="宋体" w:hAnsi="宋体" w:eastAsia="宋体" w:cs="宋体"/>
                <w:color w:val="auto"/>
                <w:sz w:val="24"/>
                <w:szCs w:val="24"/>
                <w:highlight w:val="none"/>
              </w:rPr>
            </w:pPr>
          </w:p>
        </w:tc>
        <w:tc>
          <w:tcPr>
            <w:tcW w:w="1250" w:type="pct"/>
            <w:gridSpan w:val="3"/>
            <w:tcBorders>
              <w:top w:val="single" w:color="auto" w:sz="4" w:space="0"/>
              <w:left w:val="single" w:color="auto" w:sz="4" w:space="0"/>
              <w:bottom w:val="single" w:color="auto" w:sz="4" w:space="0"/>
              <w:right w:val="single" w:color="auto" w:sz="4" w:space="0"/>
            </w:tcBorders>
            <w:vAlign w:val="center"/>
          </w:tcPr>
          <w:p w14:paraId="4D18AD3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252" w:type="pct"/>
            <w:tcBorders>
              <w:top w:val="single" w:color="auto" w:sz="4" w:space="0"/>
              <w:left w:val="single" w:color="auto" w:sz="4" w:space="0"/>
              <w:bottom w:val="single" w:color="auto" w:sz="4" w:space="0"/>
              <w:right w:val="single" w:color="auto" w:sz="4" w:space="0"/>
            </w:tcBorders>
            <w:vAlign w:val="center"/>
          </w:tcPr>
          <w:p w14:paraId="5EED2195">
            <w:pPr>
              <w:spacing w:line="440" w:lineRule="exact"/>
              <w:rPr>
                <w:rFonts w:hint="eastAsia" w:ascii="宋体" w:hAnsi="宋体" w:eastAsia="宋体" w:cs="宋体"/>
                <w:color w:val="auto"/>
                <w:sz w:val="24"/>
                <w:szCs w:val="24"/>
                <w:highlight w:val="none"/>
              </w:rPr>
            </w:pPr>
          </w:p>
        </w:tc>
      </w:tr>
      <w:tr w14:paraId="6AA4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pct"/>
            <w:tcBorders>
              <w:top w:val="single" w:color="auto" w:sz="4" w:space="0"/>
              <w:left w:val="single" w:color="auto" w:sz="4" w:space="0"/>
              <w:bottom w:val="single" w:color="auto" w:sz="4" w:space="0"/>
              <w:right w:val="single" w:color="auto" w:sz="4" w:space="0"/>
            </w:tcBorders>
            <w:vAlign w:val="center"/>
          </w:tcPr>
          <w:p w14:paraId="2923B87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633" w:type="pct"/>
            <w:gridSpan w:val="2"/>
            <w:tcBorders>
              <w:top w:val="single" w:color="auto" w:sz="4" w:space="0"/>
              <w:left w:val="single" w:color="auto" w:sz="4" w:space="0"/>
              <w:bottom w:val="single" w:color="auto" w:sz="4" w:space="0"/>
              <w:right w:val="single" w:color="auto" w:sz="4" w:space="0"/>
            </w:tcBorders>
            <w:vAlign w:val="center"/>
          </w:tcPr>
          <w:p w14:paraId="78E7425E">
            <w:pPr>
              <w:spacing w:line="440" w:lineRule="exact"/>
              <w:jc w:val="center"/>
              <w:rPr>
                <w:rFonts w:hint="eastAsia" w:ascii="宋体" w:hAnsi="宋体" w:eastAsia="宋体" w:cs="宋体"/>
                <w:color w:val="auto"/>
                <w:sz w:val="24"/>
                <w:szCs w:val="24"/>
                <w:highlight w:val="none"/>
              </w:rPr>
            </w:pPr>
          </w:p>
        </w:tc>
        <w:tc>
          <w:tcPr>
            <w:tcW w:w="544" w:type="pct"/>
            <w:tcBorders>
              <w:top w:val="single" w:color="auto" w:sz="4" w:space="0"/>
              <w:left w:val="single" w:color="auto" w:sz="4" w:space="0"/>
              <w:bottom w:val="single" w:color="auto" w:sz="4" w:space="0"/>
              <w:right w:val="single" w:color="auto" w:sz="4" w:space="0"/>
            </w:tcBorders>
            <w:vAlign w:val="center"/>
          </w:tcPr>
          <w:p w14:paraId="6C9E150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625" w:type="pct"/>
            <w:tcBorders>
              <w:top w:val="single" w:color="auto" w:sz="4" w:space="0"/>
              <w:left w:val="single" w:color="auto" w:sz="4" w:space="0"/>
              <w:bottom w:val="single" w:color="auto" w:sz="4" w:space="0"/>
              <w:right w:val="single" w:color="auto" w:sz="4" w:space="0"/>
            </w:tcBorders>
            <w:vAlign w:val="center"/>
          </w:tcPr>
          <w:p w14:paraId="6DFDD276">
            <w:pPr>
              <w:spacing w:line="440" w:lineRule="exact"/>
              <w:jc w:val="center"/>
              <w:rPr>
                <w:rFonts w:hint="eastAsia" w:ascii="宋体" w:hAnsi="宋体" w:eastAsia="宋体" w:cs="宋体"/>
                <w:color w:val="auto"/>
                <w:sz w:val="24"/>
                <w:szCs w:val="24"/>
                <w:highlight w:val="none"/>
              </w:rPr>
            </w:pPr>
          </w:p>
        </w:tc>
        <w:tc>
          <w:tcPr>
            <w:tcW w:w="1250" w:type="pct"/>
            <w:gridSpan w:val="3"/>
            <w:tcBorders>
              <w:top w:val="single" w:color="auto" w:sz="4" w:space="0"/>
              <w:left w:val="single" w:color="auto" w:sz="4" w:space="0"/>
              <w:bottom w:val="single" w:color="auto" w:sz="4" w:space="0"/>
              <w:right w:val="single" w:color="auto" w:sz="4" w:space="0"/>
            </w:tcBorders>
            <w:vAlign w:val="center"/>
          </w:tcPr>
          <w:p w14:paraId="23D9D4D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1252" w:type="pct"/>
            <w:tcBorders>
              <w:top w:val="single" w:color="auto" w:sz="4" w:space="0"/>
              <w:left w:val="single" w:color="auto" w:sz="4" w:space="0"/>
              <w:bottom w:val="single" w:color="auto" w:sz="4" w:space="0"/>
              <w:right w:val="single" w:color="auto" w:sz="4" w:space="0"/>
            </w:tcBorders>
            <w:vAlign w:val="center"/>
          </w:tcPr>
          <w:p w14:paraId="77CB25C6">
            <w:pPr>
              <w:spacing w:line="440" w:lineRule="exact"/>
              <w:rPr>
                <w:rFonts w:hint="eastAsia" w:ascii="宋体" w:hAnsi="宋体" w:eastAsia="宋体" w:cs="宋体"/>
                <w:color w:val="auto"/>
                <w:sz w:val="24"/>
                <w:szCs w:val="24"/>
                <w:highlight w:val="none"/>
              </w:rPr>
            </w:pPr>
          </w:p>
        </w:tc>
      </w:tr>
      <w:tr w14:paraId="329E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pct"/>
            <w:tcBorders>
              <w:top w:val="single" w:color="auto" w:sz="4" w:space="0"/>
              <w:left w:val="single" w:color="auto" w:sz="4" w:space="0"/>
              <w:bottom w:val="single" w:color="auto" w:sz="4" w:space="0"/>
              <w:right w:val="single" w:color="auto" w:sz="4" w:space="0"/>
            </w:tcBorders>
            <w:vAlign w:val="center"/>
          </w:tcPr>
          <w:p w14:paraId="294216F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4305" w:type="pct"/>
            <w:gridSpan w:val="8"/>
            <w:tcBorders>
              <w:top w:val="single" w:color="auto" w:sz="4" w:space="0"/>
              <w:left w:val="single" w:color="auto" w:sz="4" w:space="0"/>
              <w:bottom w:val="single" w:color="auto" w:sz="4" w:space="0"/>
              <w:right w:val="single" w:color="auto" w:sz="4" w:space="0"/>
            </w:tcBorders>
          </w:tcPr>
          <w:p w14:paraId="64BD5EC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年毕业于            学校        专业</w:t>
            </w:r>
          </w:p>
        </w:tc>
      </w:tr>
      <w:tr w14:paraId="12DF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6AB4FBC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00A2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 w:type="pct"/>
            <w:gridSpan w:val="2"/>
            <w:tcBorders>
              <w:top w:val="single" w:color="auto" w:sz="4" w:space="0"/>
              <w:left w:val="single" w:color="auto" w:sz="4" w:space="0"/>
              <w:bottom w:val="single" w:color="auto" w:sz="4" w:space="0"/>
              <w:right w:val="single" w:color="auto" w:sz="4" w:space="0"/>
            </w:tcBorders>
            <w:vAlign w:val="center"/>
          </w:tcPr>
          <w:p w14:paraId="2136133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2007" w:type="pct"/>
            <w:gridSpan w:val="4"/>
            <w:tcBorders>
              <w:top w:val="single" w:color="auto" w:sz="4" w:space="0"/>
              <w:left w:val="single" w:color="auto" w:sz="4" w:space="0"/>
              <w:bottom w:val="single" w:color="auto" w:sz="4" w:space="0"/>
              <w:right w:val="single" w:color="auto" w:sz="4" w:space="0"/>
            </w:tcBorders>
            <w:vAlign w:val="center"/>
          </w:tcPr>
          <w:p w14:paraId="3758B79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740" w:type="pct"/>
            <w:tcBorders>
              <w:top w:val="single" w:color="auto" w:sz="4" w:space="0"/>
              <w:left w:val="single" w:color="auto" w:sz="4" w:space="0"/>
              <w:bottom w:val="single" w:color="auto" w:sz="4" w:space="0"/>
              <w:right w:val="single" w:color="auto" w:sz="4" w:space="0"/>
            </w:tcBorders>
            <w:vAlign w:val="center"/>
          </w:tcPr>
          <w:p w14:paraId="3826E41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12897FF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192B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tcPr>
          <w:p w14:paraId="62F5F3E4">
            <w:pPr>
              <w:spacing w:line="440" w:lineRule="exact"/>
              <w:rPr>
                <w:rFonts w:hint="eastAsia" w:ascii="宋体" w:hAnsi="宋体" w:eastAsia="宋体" w:cs="宋体"/>
                <w:color w:val="auto"/>
                <w:sz w:val="24"/>
                <w:szCs w:val="24"/>
                <w:highlight w:val="none"/>
              </w:rPr>
            </w:pPr>
          </w:p>
        </w:tc>
        <w:tc>
          <w:tcPr>
            <w:tcW w:w="2007" w:type="pct"/>
            <w:gridSpan w:val="4"/>
            <w:tcBorders>
              <w:top w:val="single" w:color="auto" w:sz="4" w:space="0"/>
              <w:left w:val="single" w:color="auto" w:sz="4" w:space="0"/>
              <w:bottom w:val="single" w:color="auto" w:sz="4" w:space="0"/>
              <w:right w:val="single" w:color="auto" w:sz="4" w:space="0"/>
            </w:tcBorders>
          </w:tcPr>
          <w:p w14:paraId="55CEC9CD">
            <w:pPr>
              <w:spacing w:line="440" w:lineRule="exact"/>
              <w:rPr>
                <w:rFonts w:hint="eastAsia" w:ascii="宋体" w:hAnsi="宋体" w:eastAsia="宋体" w:cs="宋体"/>
                <w:color w:val="auto"/>
                <w:sz w:val="24"/>
                <w:szCs w:val="24"/>
                <w:highlight w:val="none"/>
              </w:rPr>
            </w:pPr>
          </w:p>
        </w:tc>
        <w:tc>
          <w:tcPr>
            <w:tcW w:w="740" w:type="pct"/>
            <w:tcBorders>
              <w:top w:val="single" w:color="auto" w:sz="4" w:space="0"/>
              <w:left w:val="single" w:color="auto" w:sz="4" w:space="0"/>
              <w:bottom w:val="single" w:color="auto" w:sz="4" w:space="0"/>
              <w:right w:val="single" w:color="auto" w:sz="4" w:space="0"/>
            </w:tcBorders>
          </w:tcPr>
          <w:p w14:paraId="6F685640">
            <w:pPr>
              <w:spacing w:line="440" w:lineRule="exact"/>
              <w:rPr>
                <w:rFonts w:hint="eastAsia" w:ascii="宋体" w:hAnsi="宋体" w:eastAsia="宋体" w:cs="宋体"/>
                <w:color w:val="auto"/>
                <w:sz w:val="24"/>
                <w:szCs w:val="24"/>
                <w:highlight w:val="none"/>
              </w:rPr>
            </w:pPr>
          </w:p>
        </w:tc>
        <w:tc>
          <w:tcPr>
            <w:tcW w:w="1347" w:type="pct"/>
            <w:gridSpan w:val="2"/>
            <w:tcBorders>
              <w:top w:val="single" w:color="auto" w:sz="4" w:space="0"/>
              <w:left w:val="single" w:color="auto" w:sz="4" w:space="0"/>
              <w:bottom w:val="single" w:color="auto" w:sz="4" w:space="0"/>
              <w:right w:val="single" w:color="auto" w:sz="4" w:space="0"/>
            </w:tcBorders>
          </w:tcPr>
          <w:p w14:paraId="19082E54">
            <w:pPr>
              <w:spacing w:line="440" w:lineRule="exact"/>
              <w:rPr>
                <w:rFonts w:hint="eastAsia" w:ascii="宋体" w:hAnsi="宋体" w:eastAsia="宋体" w:cs="宋体"/>
                <w:color w:val="auto"/>
                <w:sz w:val="24"/>
                <w:szCs w:val="24"/>
                <w:highlight w:val="none"/>
              </w:rPr>
            </w:pPr>
          </w:p>
        </w:tc>
      </w:tr>
      <w:tr w14:paraId="6FBD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tcPr>
          <w:p w14:paraId="33A68D7B">
            <w:pPr>
              <w:spacing w:line="440" w:lineRule="exact"/>
              <w:rPr>
                <w:rFonts w:hint="eastAsia" w:ascii="宋体" w:hAnsi="宋体" w:eastAsia="宋体" w:cs="宋体"/>
                <w:color w:val="auto"/>
                <w:sz w:val="24"/>
                <w:szCs w:val="24"/>
                <w:highlight w:val="none"/>
              </w:rPr>
            </w:pPr>
          </w:p>
        </w:tc>
        <w:tc>
          <w:tcPr>
            <w:tcW w:w="2007" w:type="pct"/>
            <w:gridSpan w:val="4"/>
            <w:tcBorders>
              <w:top w:val="single" w:color="auto" w:sz="4" w:space="0"/>
              <w:left w:val="single" w:color="auto" w:sz="4" w:space="0"/>
              <w:bottom w:val="single" w:color="auto" w:sz="4" w:space="0"/>
              <w:right w:val="single" w:color="auto" w:sz="4" w:space="0"/>
            </w:tcBorders>
          </w:tcPr>
          <w:p w14:paraId="42856D6D">
            <w:pPr>
              <w:spacing w:line="440" w:lineRule="exact"/>
              <w:rPr>
                <w:rFonts w:hint="eastAsia" w:ascii="宋体" w:hAnsi="宋体" w:eastAsia="宋体" w:cs="宋体"/>
                <w:color w:val="auto"/>
                <w:sz w:val="24"/>
                <w:szCs w:val="24"/>
                <w:highlight w:val="none"/>
              </w:rPr>
            </w:pPr>
          </w:p>
        </w:tc>
        <w:tc>
          <w:tcPr>
            <w:tcW w:w="740" w:type="pct"/>
            <w:tcBorders>
              <w:top w:val="single" w:color="auto" w:sz="4" w:space="0"/>
              <w:left w:val="single" w:color="auto" w:sz="4" w:space="0"/>
              <w:bottom w:val="single" w:color="auto" w:sz="4" w:space="0"/>
              <w:right w:val="single" w:color="auto" w:sz="4" w:space="0"/>
            </w:tcBorders>
          </w:tcPr>
          <w:p w14:paraId="599F8AD5">
            <w:pPr>
              <w:spacing w:line="440" w:lineRule="exact"/>
              <w:rPr>
                <w:rFonts w:hint="eastAsia" w:ascii="宋体" w:hAnsi="宋体" w:eastAsia="宋体" w:cs="宋体"/>
                <w:color w:val="auto"/>
                <w:sz w:val="24"/>
                <w:szCs w:val="24"/>
                <w:highlight w:val="none"/>
              </w:rPr>
            </w:pPr>
          </w:p>
        </w:tc>
        <w:tc>
          <w:tcPr>
            <w:tcW w:w="1347" w:type="pct"/>
            <w:gridSpan w:val="2"/>
            <w:tcBorders>
              <w:top w:val="single" w:color="auto" w:sz="4" w:space="0"/>
              <w:left w:val="single" w:color="auto" w:sz="4" w:space="0"/>
              <w:bottom w:val="single" w:color="auto" w:sz="4" w:space="0"/>
              <w:right w:val="single" w:color="auto" w:sz="4" w:space="0"/>
            </w:tcBorders>
          </w:tcPr>
          <w:p w14:paraId="19952370">
            <w:pPr>
              <w:spacing w:line="440" w:lineRule="exact"/>
              <w:rPr>
                <w:rFonts w:hint="eastAsia" w:ascii="宋体" w:hAnsi="宋体" w:eastAsia="宋体" w:cs="宋体"/>
                <w:color w:val="auto"/>
                <w:sz w:val="24"/>
                <w:szCs w:val="24"/>
                <w:highlight w:val="none"/>
              </w:rPr>
            </w:pPr>
          </w:p>
        </w:tc>
      </w:tr>
      <w:tr w14:paraId="2171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tcPr>
          <w:p w14:paraId="6D89C9AA">
            <w:pPr>
              <w:spacing w:line="440" w:lineRule="exact"/>
              <w:rPr>
                <w:rFonts w:hint="eastAsia" w:ascii="宋体" w:hAnsi="宋体" w:eastAsia="宋体" w:cs="宋体"/>
                <w:color w:val="auto"/>
                <w:sz w:val="24"/>
                <w:szCs w:val="24"/>
                <w:highlight w:val="none"/>
              </w:rPr>
            </w:pPr>
          </w:p>
        </w:tc>
        <w:tc>
          <w:tcPr>
            <w:tcW w:w="2007" w:type="pct"/>
            <w:gridSpan w:val="4"/>
            <w:tcBorders>
              <w:top w:val="single" w:color="auto" w:sz="4" w:space="0"/>
              <w:left w:val="single" w:color="auto" w:sz="4" w:space="0"/>
              <w:bottom w:val="single" w:color="auto" w:sz="4" w:space="0"/>
              <w:right w:val="single" w:color="auto" w:sz="4" w:space="0"/>
            </w:tcBorders>
          </w:tcPr>
          <w:p w14:paraId="1D53C8F5">
            <w:pPr>
              <w:spacing w:line="440" w:lineRule="exact"/>
              <w:rPr>
                <w:rFonts w:hint="eastAsia" w:ascii="宋体" w:hAnsi="宋体" w:eastAsia="宋体" w:cs="宋体"/>
                <w:color w:val="auto"/>
                <w:sz w:val="24"/>
                <w:szCs w:val="24"/>
                <w:highlight w:val="none"/>
              </w:rPr>
            </w:pPr>
          </w:p>
        </w:tc>
        <w:tc>
          <w:tcPr>
            <w:tcW w:w="740" w:type="pct"/>
            <w:tcBorders>
              <w:top w:val="single" w:color="auto" w:sz="4" w:space="0"/>
              <w:left w:val="single" w:color="auto" w:sz="4" w:space="0"/>
              <w:bottom w:val="single" w:color="auto" w:sz="4" w:space="0"/>
              <w:right w:val="single" w:color="auto" w:sz="4" w:space="0"/>
            </w:tcBorders>
          </w:tcPr>
          <w:p w14:paraId="0EC2FD07">
            <w:pPr>
              <w:spacing w:line="440" w:lineRule="exact"/>
              <w:rPr>
                <w:rFonts w:hint="eastAsia" w:ascii="宋体" w:hAnsi="宋体" w:eastAsia="宋体" w:cs="宋体"/>
                <w:color w:val="auto"/>
                <w:sz w:val="24"/>
                <w:szCs w:val="24"/>
                <w:highlight w:val="none"/>
              </w:rPr>
            </w:pPr>
          </w:p>
        </w:tc>
        <w:tc>
          <w:tcPr>
            <w:tcW w:w="1347" w:type="pct"/>
            <w:gridSpan w:val="2"/>
            <w:tcBorders>
              <w:top w:val="single" w:color="auto" w:sz="4" w:space="0"/>
              <w:left w:val="single" w:color="auto" w:sz="4" w:space="0"/>
              <w:bottom w:val="single" w:color="auto" w:sz="4" w:space="0"/>
              <w:right w:val="single" w:color="auto" w:sz="4" w:space="0"/>
            </w:tcBorders>
          </w:tcPr>
          <w:p w14:paraId="4ED9CC37">
            <w:pPr>
              <w:spacing w:line="440" w:lineRule="exact"/>
              <w:rPr>
                <w:rFonts w:hint="eastAsia" w:ascii="宋体" w:hAnsi="宋体" w:eastAsia="宋体" w:cs="宋体"/>
                <w:color w:val="auto"/>
                <w:sz w:val="24"/>
                <w:szCs w:val="24"/>
                <w:highlight w:val="none"/>
              </w:rPr>
            </w:pPr>
          </w:p>
        </w:tc>
      </w:tr>
      <w:tr w14:paraId="575D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tcPr>
          <w:p w14:paraId="09E1E7CD">
            <w:pPr>
              <w:spacing w:line="440" w:lineRule="exact"/>
              <w:rPr>
                <w:rFonts w:hint="eastAsia" w:ascii="宋体" w:hAnsi="宋体" w:eastAsia="宋体" w:cs="宋体"/>
                <w:color w:val="auto"/>
                <w:sz w:val="24"/>
                <w:szCs w:val="24"/>
                <w:highlight w:val="none"/>
              </w:rPr>
            </w:pPr>
          </w:p>
        </w:tc>
        <w:tc>
          <w:tcPr>
            <w:tcW w:w="2007" w:type="pct"/>
            <w:gridSpan w:val="4"/>
            <w:tcBorders>
              <w:top w:val="single" w:color="auto" w:sz="4" w:space="0"/>
              <w:left w:val="single" w:color="auto" w:sz="4" w:space="0"/>
              <w:bottom w:val="single" w:color="auto" w:sz="4" w:space="0"/>
              <w:right w:val="single" w:color="auto" w:sz="4" w:space="0"/>
            </w:tcBorders>
          </w:tcPr>
          <w:p w14:paraId="2D5F23B5">
            <w:pPr>
              <w:spacing w:line="440" w:lineRule="exact"/>
              <w:rPr>
                <w:rFonts w:hint="eastAsia" w:ascii="宋体" w:hAnsi="宋体" w:eastAsia="宋体" w:cs="宋体"/>
                <w:color w:val="auto"/>
                <w:sz w:val="24"/>
                <w:szCs w:val="24"/>
                <w:highlight w:val="none"/>
              </w:rPr>
            </w:pPr>
          </w:p>
        </w:tc>
        <w:tc>
          <w:tcPr>
            <w:tcW w:w="740" w:type="pct"/>
            <w:tcBorders>
              <w:top w:val="single" w:color="auto" w:sz="4" w:space="0"/>
              <w:left w:val="single" w:color="auto" w:sz="4" w:space="0"/>
              <w:bottom w:val="single" w:color="auto" w:sz="4" w:space="0"/>
              <w:right w:val="single" w:color="auto" w:sz="4" w:space="0"/>
            </w:tcBorders>
          </w:tcPr>
          <w:p w14:paraId="331EA902">
            <w:pPr>
              <w:spacing w:line="440" w:lineRule="exact"/>
              <w:rPr>
                <w:rFonts w:hint="eastAsia" w:ascii="宋体" w:hAnsi="宋体" w:eastAsia="宋体" w:cs="宋体"/>
                <w:color w:val="auto"/>
                <w:sz w:val="24"/>
                <w:szCs w:val="24"/>
                <w:highlight w:val="none"/>
              </w:rPr>
            </w:pPr>
          </w:p>
        </w:tc>
        <w:tc>
          <w:tcPr>
            <w:tcW w:w="1347" w:type="pct"/>
            <w:gridSpan w:val="2"/>
            <w:tcBorders>
              <w:top w:val="single" w:color="auto" w:sz="4" w:space="0"/>
              <w:left w:val="single" w:color="auto" w:sz="4" w:space="0"/>
              <w:bottom w:val="single" w:color="auto" w:sz="4" w:space="0"/>
              <w:right w:val="single" w:color="auto" w:sz="4" w:space="0"/>
            </w:tcBorders>
          </w:tcPr>
          <w:p w14:paraId="2C1049BC">
            <w:pPr>
              <w:spacing w:line="440" w:lineRule="exact"/>
              <w:rPr>
                <w:rFonts w:hint="eastAsia" w:ascii="宋体" w:hAnsi="宋体" w:eastAsia="宋体" w:cs="宋体"/>
                <w:color w:val="auto"/>
                <w:sz w:val="24"/>
                <w:szCs w:val="24"/>
                <w:highlight w:val="none"/>
              </w:rPr>
            </w:pPr>
          </w:p>
        </w:tc>
      </w:tr>
      <w:tr w14:paraId="7391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tcPr>
          <w:p w14:paraId="64432506">
            <w:pPr>
              <w:spacing w:line="440" w:lineRule="exact"/>
              <w:rPr>
                <w:rFonts w:hint="eastAsia" w:ascii="宋体" w:hAnsi="宋体" w:eastAsia="宋体" w:cs="宋体"/>
                <w:color w:val="auto"/>
                <w:sz w:val="24"/>
                <w:szCs w:val="24"/>
                <w:highlight w:val="none"/>
              </w:rPr>
            </w:pPr>
          </w:p>
        </w:tc>
        <w:tc>
          <w:tcPr>
            <w:tcW w:w="2007" w:type="pct"/>
            <w:gridSpan w:val="4"/>
            <w:tcBorders>
              <w:top w:val="single" w:color="auto" w:sz="4" w:space="0"/>
              <w:left w:val="single" w:color="auto" w:sz="4" w:space="0"/>
              <w:bottom w:val="single" w:color="auto" w:sz="4" w:space="0"/>
              <w:right w:val="single" w:color="auto" w:sz="4" w:space="0"/>
            </w:tcBorders>
          </w:tcPr>
          <w:p w14:paraId="1A184318">
            <w:pPr>
              <w:spacing w:line="440" w:lineRule="exact"/>
              <w:rPr>
                <w:rFonts w:hint="eastAsia" w:ascii="宋体" w:hAnsi="宋体" w:eastAsia="宋体" w:cs="宋体"/>
                <w:color w:val="auto"/>
                <w:sz w:val="24"/>
                <w:szCs w:val="24"/>
                <w:highlight w:val="none"/>
              </w:rPr>
            </w:pPr>
          </w:p>
        </w:tc>
        <w:tc>
          <w:tcPr>
            <w:tcW w:w="740" w:type="pct"/>
            <w:tcBorders>
              <w:top w:val="single" w:color="auto" w:sz="4" w:space="0"/>
              <w:left w:val="single" w:color="auto" w:sz="4" w:space="0"/>
              <w:bottom w:val="single" w:color="auto" w:sz="4" w:space="0"/>
              <w:right w:val="single" w:color="auto" w:sz="4" w:space="0"/>
            </w:tcBorders>
          </w:tcPr>
          <w:p w14:paraId="2439B08F">
            <w:pPr>
              <w:spacing w:line="440" w:lineRule="exact"/>
              <w:rPr>
                <w:rFonts w:hint="eastAsia" w:ascii="宋体" w:hAnsi="宋体" w:eastAsia="宋体" w:cs="宋体"/>
                <w:color w:val="auto"/>
                <w:sz w:val="24"/>
                <w:szCs w:val="24"/>
                <w:highlight w:val="none"/>
              </w:rPr>
            </w:pPr>
          </w:p>
        </w:tc>
        <w:tc>
          <w:tcPr>
            <w:tcW w:w="1347" w:type="pct"/>
            <w:gridSpan w:val="2"/>
            <w:tcBorders>
              <w:top w:val="single" w:color="auto" w:sz="4" w:space="0"/>
              <w:left w:val="single" w:color="auto" w:sz="4" w:space="0"/>
              <w:bottom w:val="single" w:color="auto" w:sz="4" w:space="0"/>
              <w:right w:val="single" w:color="auto" w:sz="4" w:space="0"/>
            </w:tcBorders>
          </w:tcPr>
          <w:p w14:paraId="338C485F">
            <w:pPr>
              <w:spacing w:line="440" w:lineRule="exact"/>
              <w:rPr>
                <w:rFonts w:hint="eastAsia" w:ascii="宋体" w:hAnsi="宋体" w:eastAsia="宋体" w:cs="宋体"/>
                <w:color w:val="auto"/>
                <w:sz w:val="24"/>
                <w:szCs w:val="24"/>
                <w:highlight w:val="none"/>
              </w:rPr>
            </w:pPr>
          </w:p>
        </w:tc>
      </w:tr>
      <w:tr w14:paraId="543C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tcPr>
          <w:p w14:paraId="48A11BFA">
            <w:pPr>
              <w:spacing w:line="440" w:lineRule="exact"/>
              <w:rPr>
                <w:rFonts w:hint="eastAsia" w:ascii="宋体" w:hAnsi="宋体" w:eastAsia="宋体" w:cs="宋体"/>
                <w:color w:val="auto"/>
                <w:sz w:val="24"/>
                <w:szCs w:val="24"/>
                <w:highlight w:val="none"/>
              </w:rPr>
            </w:pPr>
          </w:p>
        </w:tc>
        <w:tc>
          <w:tcPr>
            <w:tcW w:w="2007" w:type="pct"/>
            <w:gridSpan w:val="4"/>
            <w:tcBorders>
              <w:top w:val="single" w:color="auto" w:sz="4" w:space="0"/>
              <w:left w:val="single" w:color="auto" w:sz="4" w:space="0"/>
              <w:bottom w:val="single" w:color="auto" w:sz="4" w:space="0"/>
              <w:right w:val="single" w:color="auto" w:sz="4" w:space="0"/>
            </w:tcBorders>
          </w:tcPr>
          <w:p w14:paraId="7FCF97AD">
            <w:pPr>
              <w:spacing w:line="440" w:lineRule="exact"/>
              <w:rPr>
                <w:rFonts w:hint="eastAsia" w:ascii="宋体" w:hAnsi="宋体" w:eastAsia="宋体" w:cs="宋体"/>
                <w:color w:val="auto"/>
                <w:sz w:val="24"/>
                <w:szCs w:val="24"/>
                <w:highlight w:val="none"/>
              </w:rPr>
            </w:pPr>
          </w:p>
        </w:tc>
        <w:tc>
          <w:tcPr>
            <w:tcW w:w="740" w:type="pct"/>
            <w:tcBorders>
              <w:top w:val="single" w:color="auto" w:sz="4" w:space="0"/>
              <w:left w:val="single" w:color="auto" w:sz="4" w:space="0"/>
              <w:bottom w:val="single" w:color="auto" w:sz="4" w:space="0"/>
              <w:right w:val="single" w:color="auto" w:sz="4" w:space="0"/>
            </w:tcBorders>
          </w:tcPr>
          <w:p w14:paraId="3BFC8A2C">
            <w:pPr>
              <w:spacing w:line="440" w:lineRule="exact"/>
              <w:rPr>
                <w:rFonts w:hint="eastAsia" w:ascii="宋体" w:hAnsi="宋体" w:eastAsia="宋体" w:cs="宋体"/>
                <w:color w:val="auto"/>
                <w:sz w:val="24"/>
                <w:szCs w:val="24"/>
                <w:highlight w:val="none"/>
              </w:rPr>
            </w:pPr>
          </w:p>
        </w:tc>
        <w:tc>
          <w:tcPr>
            <w:tcW w:w="1347" w:type="pct"/>
            <w:gridSpan w:val="2"/>
            <w:tcBorders>
              <w:top w:val="single" w:color="auto" w:sz="4" w:space="0"/>
              <w:left w:val="single" w:color="auto" w:sz="4" w:space="0"/>
              <w:bottom w:val="single" w:color="auto" w:sz="4" w:space="0"/>
              <w:right w:val="single" w:color="auto" w:sz="4" w:space="0"/>
            </w:tcBorders>
          </w:tcPr>
          <w:p w14:paraId="7746F7B7">
            <w:pPr>
              <w:spacing w:line="440" w:lineRule="exact"/>
              <w:rPr>
                <w:rFonts w:hint="eastAsia" w:ascii="宋体" w:hAnsi="宋体" w:eastAsia="宋体" w:cs="宋体"/>
                <w:color w:val="auto"/>
                <w:sz w:val="24"/>
                <w:szCs w:val="24"/>
                <w:highlight w:val="none"/>
              </w:rPr>
            </w:pPr>
          </w:p>
        </w:tc>
      </w:tr>
      <w:tr w14:paraId="3C66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tcPr>
          <w:p w14:paraId="7508FFF2">
            <w:pPr>
              <w:spacing w:line="440" w:lineRule="exact"/>
              <w:rPr>
                <w:rFonts w:hint="eastAsia" w:ascii="宋体" w:hAnsi="宋体" w:eastAsia="宋体" w:cs="宋体"/>
                <w:color w:val="auto"/>
                <w:sz w:val="24"/>
                <w:szCs w:val="24"/>
                <w:highlight w:val="none"/>
              </w:rPr>
            </w:pPr>
          </w:p>
        </w:tc>
        <w:tc>
          <w:tcPr>
            <w:tcW w:w="2007" w:type="pct"/>
            <w:gridSpan w:val="4"/>
            <w:tcBorders>
              <w:top w:val="single" w:color="auto" w:sz="4" w:space="0"/>
              <w:left w:val="single" w:color="auto" w:sz="4" w:space="0"/>
              <w:bottom w:val="single" w:color="auto" w:sz="4" w:space="0"/>
              <w:right w:val="single" w:color="auto" w:sz="4" w:space="0"/>
            </w:tcBorders>
          </w:tcPr>
          <w:p w14:paraId="123B5204">
            <w:pPr>
              <w:spacing w:line="440" w:lineRule="exact"/>
              <w:rPr>
                <w:rFonts w:hint="eastAsia" w:ascii="宋体" w:hAnsi="宋体" w:eastAsia="宋体" w:cs="宋体"/>
                <w:color w:val="auto"/>
                <w:sz w:val="24"/>
                <w:szCs w:val="24"/>
                <w:highlight w:val="none"/>
              </w:rPr>
            </w:pPr>
          </w:p>
        </w:tc>
        <w:tc>
          <w:tcPr>
            <w:tcW w:w="740" w:type="pct"/>
            <w:tcBorders>
              <w:top w:val="single" w:color="auto" w:sz="4" w:space="0"/>
              <w:left w:val="single" w:color="auto" w:sz="4" w:space="0"/>
              <w:bottom w:val="single" w:color="auto" w:sz="4" w:space="0"/>
              <w:right w:val="single" w:color="auto" w:sz="4" w:space="0"/>
            </w:tcBorders>
          </w:tcPr>
          <w:p w14:paraId="545FC957">
            <w:pPr>
              <w:spacing w:line="440" w:lineRule="exact"/>
              <w:rPr>
                <w:rFonts w:hint="eastAsia" w:ascii="宋体" w:hAnsi="宋体" w:eastAsia="宋体" w:cs="宋体"/>
                <w:color w:val="auto"/>
                <w:sz w:val="24"/>
                <w:szCs w:val="24"/>
                <w:highlight w:val="none"/>
              </w:rPr>
            </w:pPr>
          </w:p>
        </w:tc>
        <w:tc>
          <w:tcPr>
            <w:tcW w:w="1347" w:type="pct"/>
            <w:gridSpan w:val="2"/>
            <w:tcBorders>
              <w:top w:val="single" w:color="auto" w:sz="4" w:space="0"/>
              <w:left w:val="single" w:color="auto" w:sz="4" w:space="0"/>
              <w:bottom w:val="single" w:color="auto" w:sz="4" w:space="0"/>
              <w:right w:val="single" w:color="auto" w:sz="4" w:space="0"/>
            </w:tcBorders>
          </w:tcPr>
          <w:p w14:paraId="02E17F86">
            <w:pPr>
              <w:spacing w:line="440" w:lineRule="exact"/>
              <w:rPr>
                <w:rFonts w:hint="eastAsia" w:ascii="宋体" w:hAnsi="宋体" w:eastAsia="宋体" w:cs="宋体"/>
                <w:color w:val="auto"/>
                <w:sz w:val="24"/>
                <w:szCs w:val="24"/>
                <w:highlight w:val="none"/>
              </w:rPr>
            </w:pPr>
          </w:p>
        </w:tc>
      </w:tr>
      <w:tr w14:paraId="38A8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tcPr>
          <w:p w14:paraId="731C5B04">
            <w:pPr>
              <w:spacing w:line="440" w:lineRule="exact"/>
              <w:rPr>
                <w:rFonts w:hint="eastAsia" w:ascii="宋体" w:hAnsi="宋体" w:eastAsia="宋体" w:cs="宋体"/>
                <w:color w:val="auto"/>
                <w:sz w:val="24"/>
                <w:szCs w:val="24"/>
                <w:highlight w:val="none"/>
              </w:rPr>
            </w:pPr>
          </w:p>
        </w:tc>
        <w:tc>
          <w:tcPr>
            <w:tcW w:w="2007" w:type="pct"/>
            <w:gridSpan w:val="4"/>
            <w:tcBorders>
              <w:top w:val="single" w:color="auto" w:sz="4" w:space="0"/>
              <w:left w:val="single" w:color="auto" w:sz="4" w:space="0"/>
              <w:bottom w:val="single" w:color="auto" w:sz="4" w:space="0"/>
              <w:right w:val="single" w:color="auto" w:sz="4" w:space="0"/>
            </w:tcBorders>
          </w:tcPr>
          <w:p w14:paraId="5613D4B8">
            <w:pPr>
              <w:spacing w:line="440" w:lineRule="exact"/>
              <w:rPr>
                <w:rFonts w:hint="eastAsia" w:ascii="宋体" w:hAnsi="宋体" w:eastAsia="宋体" w:cs="宋体"/>
                <w:color w:val="auto"/>
                <w:sz w:val="24"/>
                <w:szCs w:val="24"/>
                <w:highlight w:val="none"/>
              </w:rPr>
            </w:pPr>
          </w:p>
        </w:tc>
        <w:tc>
          <w:tcPr>
            <w:tcW w:w="740" w:type="pct"/>
            <w:tcBorders>
              <w:top w:val="single" w:color="auto" w:sz="4" w:space="0"/>
              <w:left w:val="single" w:color="auto" w:sz="4" w:space="0"/>
              <w:bottom w:val="single" w:color="auto" w:sz="4" w:space="0"/>
              <w:right w:val="single" w:color="auto" w:sz="4" w:space="0"/>
            </w:tcBorders>
          </w:tcPr>
          <w:p w14:paraId="3B4CE55B">
            <w:pPr>
              <w:spacing w:line="440" w:lineRule="exact"/>
              <w:rPr>
                <w:rFonts w:hint="eastAsia" w:ascii="宋体" w:hAnsi="宋体" w:eastAsia="宋体" w:cs="宋体"/>
                <w:color w:val="auto"/>
                <w:sz w:val="24"/>
                <w:szCs w:val="24"/>
                <w:highlight w:val="none"/>
              </w:rPr>
            </w:pPr>
          </w:p>
        </w:tc>
        <w:tc>
          <w:tcPr>
            <w:tcW w:w="1347" w:type="pct"/>
            <w:gridSpan w:val="2"/>
            <w:tcBorders>
              <w:top w:val="single" w:color="auto" w:sz="4" w:space="0"/>
              <w:left w:val="single" w:color="auto" w:sz="4" w:space="0"/>
              <w:bottom w:val="single" w:color="auto" w:sz="4" w:space="0"/>
              <w:right w:val="single" w:color="auto" w:sz="4" w:space="0"/>
            </w:tcBorders>
          </w:tcPr>
          <w:p w14:paraId="7EC5C0D7">
            <w:pPr>
              <w:spacing w:line="440" w:lineRule="exact"/>
              <w:rPr>
                <w:rFonts w:hint="eastAsia" w:ascii="宋体" w:hAnsi="宋体" w:eastAsia="宋体" w:cs="宋体"/>
                <w:color w:val="auto"/>
                <w:sz w:val="24"/>
                <w:szCs w:val="24"/>
                <w:highlight w:val="none"/>
              </w:rPr>
            </w:pPr>
          </w:p>
        </w:tc>
      </w:tr>
      <w:tr w14:paraId="1EC3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tcPr>
          <w:p w14:paraId="183098A5">
            <w:pPr>
              <w:spacing w:line="440" w:lineRule="exact"/>
              <w:rPr>
                <w:rFonts w:hint="eastAsia" w:ascii="宋体" w:hAnsi="宋体" w:eastAsia="宋体" w:cs="宋体"/>
                <w:color w:val="auto"/>
                <w:sz w:val="24"/>
                <w:szCs w:val="24"/>
                <w:highlight w:val="none"/>
              </w:rPr>
            </w:pPr>
          </w:p>
        </w:tc>
        <w:tc>
          <w:tcPr>
            <w:tcW w:w="2007" w:type="pct"/>
            <w:gridSpan w:val="4"/>
            <w:tcBorders>
              <w:top w:val="single" w:color="auto" w:sz="4" w:space="0"/>
              <w:left w:val="single" w:color="auto" w:sz="4" w:space="0"/>
              <w:bottom w:val="single" w:color="auto" w:sz="4" w:space="0"/>
              <w:right w:val="single" w:color="auto" w:sz="4" w:space="0"/>
            </w:tcBorders>
          </w:tcPr>
          <w:p w14:paraId="7DB3E00C">
            <w:pPr>
              <w:spacing w:line="440" w:lineRule="exact"/>
              <w:rPr>
                <w:rFonts w:hint="eastAsia" w:ascii="宋体" w:hAnsi="宋体" w:eastAsia="宋体" w:cs="宋体"/>
                <w:color w:val="auto"/>
                <w:sz w:val="24"/>
                <w:szCs w:val="24"/>
                <w:highlight w:val="none"/>
              </w:rPr>
            </w:pPr>
          </w:p>
        </w:tc>
        <w:tc>
          <w:tcPr>
            <w:tcW w:w="740" w:type="pct"/>
            <w:tcBorders>
              <w:top w:val="single" w:color="auto" w:sz="4" w:space="0"/>
              <w:left w:val="single" w:color="auto" w:sz="4" w:space="0"/>
              <w:bottom w:val="single" w:color="auto" w:sz="4" w:space="0"/>
              <w:right w:val="single" w:color="auto" w:sz="4" w:space="0"/>
            </w:tcBorders>
          </w:tcPr>
          <w:p w14:paraId="49617BE1">
            <w:pPr>
              <w:spacing w:line="440" w:lineRule="exact"/>
              <w:rPr>
                <w:rFonts w:hint="eastAsia" w:ascii="宋体" w:hAnsi="宋体" w:eastAsia="宋体" w:cs="宋体"/>
                <w:color w:val="auto"/>
                <w:sz w:val="24"/>
                <w:szCs w:val="24"/>
                <w:highlight w:val="none"/>
              </w:rPr>
            </w:pPr>
          </w:p>
        </w:tc>
        <w:tc>
          <w:tcPr>
            <w:tcW w:w="1347" w:type="pct"/>
            <w:gridSpan w:val="2"/>
            <w:tcBorders>
              <w:top w:val="single" w:color="auto" w:sz="4" w:space="0"/>
              <w:left w:val="single" w:color="auto" w:sz="4" w:space="0"/>
              <w:bottom w:val="single" w:color="auto" w:sz="4" w:space="0"/>
              <w:right w:val="single" w:color="auto" w:sz="4" w:space="0"/>
            </w:tcBorders>
          </w:tcPr>
          <w:p w14:paraId="239F5915">
            <w:pPr>
              <w:spacing w:line="440" w:lineRule="exact"/>
              <w:rPr>
                <w:rFonts w:hint="eastAsia" w:ascii="宋体" w:hAnsi="宋体" w:eastAsia="宋体" w:cs="宋体"/>
                <w:color w:val="auto"/>
                <w:sz w:val="24"/>
                <w:szCs w:val="24"/>
                <w:highlight w:val="none"/>
              </w:rPr>
            </w:pPr>
          </w:p>
        </w:tc>
      </w:tr>
      <w:tr w14:paraId="2858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tcPr>
          <w:p w14:paraId="1BCA1FB4">
            <w:pPr>
              <w:spacing w:line="440" w:lineRule="exact"/>
              <w:rPr>
                <w:rFonts w:hint="eastAsia" w:ascii="宋体" w:hAnsi="宋体" w:eastAsia="宋体" w:cs="宋体"/>
                <w:color w:val="auto"/>
                <w:sz w:val="24"/>
                <w:szCs w:val="24"/>
                <w:highlight w:val="none"/>
              </w:rPr>
            </w:pPr>
          </w:p>
        </w:tc>
        <w:tc>
          <w:tcPr>
            <w:tcW w:w="2007" w:type="pct"/>
            <w:gridSpan w:val="4"/>
            <w:tcBorders>
              <w:top w:val="single" w:color="auto" w:sz="4" w:space="0"/>
              <w:left w:val="single" w:color="auto" w:sz="4" w:space="0"/>
              <w:bottom w:val="single" w:color="auto" w:sz="4" w:space="0"/>
              <w:right w:val="single" w:color="auto" w:sz="4" w:space="0"/>
            </w:tcBorders>
          </w:tcPr>
          <w:p w14:paraId="6E4BB2D9">
            <w:pPr>
              <w:spacing w:line="440" w:lineRule="exact"/>
              <w:rPr>
                <w:rFonts w:hint="eastAsia" w:ascii="宋体" w:hAnsi="宋体" w:eastAsia="宋体" w:cs="宋体"/>
                <w:color w:val="auto"/>
                <w:sz w:val="24"/>
                <w:szCs w:val="24"/>
                <w:highlight w:val="none"/>
              </w:rPr>
            </w:pPr>
          </w:p>
        </w:tc>
        <w:tc>
          <w:tcPr>
            <w:tcW w:w="740" w:type="pct"/>
            <w:tcBorders>
              <w:top w:val="single" w:color="auto" w:sz="4" w:space="0"/>
              <w:left w:val="single" w:color="auto" w:sz="4" w:space="0"/>
              <w:bottom w:val="single" w:color="auto" w:sz="4" w:space="0"/>
              <w:right w:val="single" w:color="auto" w:sz="4" w:space="0"/>
            </w:tcBorders>
          </w:tcPr>
          <w:p w14:paraId="38876021">
            <w:pPr>
              <w:spacing w:line="440" w:lineRule="exact"/>
              <w:rPr>
                <w:rFonts w:hint="eastAsia" w:ascii="宋体" w:hAnsi="宋体" w:eastAsia="宋体" w:cs="宋体"/>
                <w:color w:val="auto"/>
                <w:sz w:val="24"/>
                <w:szCs w:val="24"/>
                <w:highlight w:val="none"/>
              </w:rPr>
            </w:pPr>
          </w:p>
        </w:tc>
        <w:tc>
          <w:tcPr>
            <w:tcW w:w="1347" w:type="pct"/>
            <w:gridSpan w:val="2"/>
            <w:tcBorders>
              <w:top w:val="single" w:color="auto" w:sz="4" w:space="0"/>
              <w:left w:val="single" w:color="auto" w:sz="4" w:space="0"/>
              <w:bottom w:val="single" w:color="auto" w:sz="4" w:space="0"/>
              <w:right w:val="single" w:color="auto" w:sz="4" w:space="0"/>
            </w:tcBorders>
          </w:tcPr>
          <w:p w14:paraId="58C0160E">
            <w:pPr>
              <w:spacing w:line="440" w:lineRule="exact"/>
              <w:rPr>
                <w:rFonts w:hint="eastAsia" w:ascii="宋体" w:hAnsi="宋体" w:eastAsia="宋体" w:cs="宋体"/>
                <w:color w:val="auto"/>
                <w:sz w:val="24"/>
                <w:szCs w:val="24"/>
                <w:highlight w:val="none"/>
              </w:rPr>
            </w:pPr>
          </w:p>
        </w:tc>
      </w:tr>
      <w:tr w14:paraId="3495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tcPr>
          <w:p w14:paraId="7912CA13">
            <w:pPr>
              <w:spacing w:line="440" w:lineRule="exact"/>
              <w:rPr>
                <w:rFonts w:hint="eastAsia" w:ascii="宋体" w:hAnsi="宋体" w:eastAsia="宋体" w:cs="宋体"/>
                <w:color w:val="auto"/>
                <w:sz w:val="24"/>
                <w:szCs w:val="24"/>
                <w:highlight w:val="none"/>
              </w:rPr>
            </w:pPr>
          </w:p>
        </w:tc>
        <w:tc>
          <w:tcPr>
            <w:tcW w:w="2007" w:type="pct"/>
            <w:gridSpan w:val="4"/>
            <w:tcBorders>
              <w:top w:val="single" w:color="auto" w:sz="4" w:space="0"/>
              <w:left w:val="single" w:color="auto" w:sz="4" w:space="0"/>
              <w:bottom w:val="single" w:color="auto" w:sz="4" w:space="0"/>
              <w:right w:val="single" w:color="auto" w:sz="4" w:space="0"/>
            </w:tcBorders>
          </w:tcPr>
          <w:p w14:paraId="199B37BD">
            <w:pPr>
              <w:spacing w:line="440" w:lineRule="exact"/>
              <w:rPr>
                <w:rFonts w:hint="eastAsia" w:ascii="宋体" w:hAnsi="宋体" w:eastAsia="宋体" w:cs="宋体"/>
                <w:color w:val="auto"/>
                <w:sz w:val="24"/>
                <w:szCs w:val="24"/>
                <w:highlight w:val="none"/>
              </w:rPr>
            </w:pPr>
          </w:p>
        </w:tc>
        <w:tc>
          <w:tcPr>
            <w:tcW w:w="740" w:type="pct"/>
            <w:tcBorders>
              <w:top w:val="single" w:color="auto" w:sz="4" w:space="0"/>
              <w:left w:val="single" w:color="auto" w:sz="4" w:space="0"/>
              <w:bottom w:val="single" w:color="auto" w:sz="4" w:space="0"/>
              <w:right w:val="single" w:color="auto" w:sz="4" w:space="0"/>
            </w:tcBorders>
          </w:tcPr>
          <w:p w14:paraId="12613C6F">
            <w:pPr>
              <w:spacing w:line="440" w:lineRule="exact"/>
              <w:rPr>
                <w:rFonts w:hint="eastAsia" w:ascii="宋体" w:hAnsi="宋体" w:eastAsia="宋体" w:cs="宋体"/>
                <w:color w:val="auto"/>
                <w:sz w:val="24"/>
                <w:szCs w:val="24"/>
                <w:highlight w:val="none"/>
              </w:rPr>
            </w:pPr>
          </w:p>
        </w:tc>
        <w:tc>
          <w:tcPr>
            <w:tcW w:w="1347" w:type="pct"/>
            <w:gridSpan w:val="2"/>
            <w:tcBorders>
              <w:top w:val="single" w:color="auto" w:sz="4" w:space="0"/>
              <w:left w:val="single" w:color="auto" w:sz="4" w:space="0"/>
              <w:bottom w:val="single" w:color="auto" w:sz="4" w:space="0"/>
              <w:right w:val="single" w:color="auto" w:sz="4" w:space="0"/>
            </w:tcBorders>
          </w:tcPr>
          <w:p w14:paraId="2645CBC9">
            <w:pPr>
              <w:spacing w:line="440" w:lineRule="exact"/>
              <w:rPr>
                <w:rFonts w:hint="eastAsia" w:ascii="宋体" w:hAnsi="宋体" w:eastAsia="宋体" w:cs="宋体"/>
                <w:color w:val="auto"/>
                <w:sz w:val="24"/>
                <w:szCs w:val="24"/>
                <w:highlight w:val="none"/>
              </w:rPr>
            </w:pPr>
          </w:p>
        </w:tc>
      </w:tr>
    </w:tbl>
    <w:p w14:paraId="0DFA4DEF">
      <w:pPr>
        <w:pStyle w:val="21"/>
        <w:rPr>
          <w:rFonts w:hint="eastAsia" w:ascii="宋体" w:hAnsi="宋体" w:eastAsia="宋体" w:cs="宋体"/>
          <w:b w:val="0"/>
          <w:color w:val="auto"/>
          <w:kern w:val="2"/>
          <w:sz w:val="24"/>
          <w:szCs w:val="24"/>
          <w:highlight w:val="none"/>
          <w:lang w:val="zh-CN" w:eastAsia="zh-CN" w:bidi="ar-SA"/>
        </w:rPr>
      </w:pPr>
      <w:bookmarkStart w:id="507" w:name="_Toc179632827"/>
      <w:bookmarkStart w:id="508" w:name="_Toc246996372"/>
      <w:bookmarkStart w:id="509" w:name="_Toc152045807"/>
      <w:bookmarkStart w:id="510" w:name="_Toc152042596"/>
      <w:bookmarkStart w:id="511" w:name="_Toc247085890"/>
      <w:bookmarkStart w:id="512" w:name="_Toc144974875"/>
      <w:bookmarkStart w:id="513" w:name="_Toc246997115"/>
      <w:r>
        <w:rPr>
          <w:rFonts w:hint="eastAsia" w:ascii="宋体" w:hAnsi="宋体" w:eastAsia="宋体" w:cs="宋体"/>
          <w:b w:val="0"/>
          <w:color w:val="auto"/>
          <w:kern w:val="2"/>
          <w:sz w:val="24"/>
          <w:szCs w:val="24"/>
          <w:highlight w:val="none"/>
          <w:lang w:val="en-US" w:eastAsia="zh-CN" w:bidi="ar-SA"/>
        </w:rPr>
        <w:t>1.</w:t>
      </w:r>
      <w:r>
        <w:rPr>
          <w:rFonts w:hint="eastAsia" w:ascii="宋体" w:hAnsi="宋体" w:eastAsia="宋体" w:cs="宋体"/>
          <w:b w:val="0"/>
          <w:color w:val="auto"/>
          <w:kern w:val="2"/>
          <w:sz w:val="24"/>
          <w:szCs w:val="24"/>
          <w:highlight w:val="none"/>
          <w:lang w:val="zh-CN" w:eastAsia="zh-CN" w:bidi="ar-SA"/>
        </w:rPr>
        <w:t>后附</w:t>
      </w:r>
      <w:r>
        <w:rPr>
          <w:rFonts w:hint="eastAsia" w:ascii="宋体" w:hAnsi="宋体" w:eastAsia="宋体" w:cs="宋体"/>
          <w:b w:val="0"/>
          <w:color w:val="auto"/>
          <w:kern w:val="2"/>
          <w:sz w:val="24"/>
          <w:szCs w:val="24"/>
          <w:highlight w:val="none"/>
          <w:lang w:val="en-US" w:eastAsia="zh-CN" w:bidi="ar-SA"/>
        </w:rPr>
        <w:t>项目经理证书复印件和管理过的业绩（</w:t>
      </w:r>
      <w:r>
        <w:rPr>
          <w:rFonts w:hint="eastAsia" w:hAnsi="宋体" w:cs="宋体"/>
          <w:b w:val="0"/>
          <w:color w:val="auto"/>
          <w:kern w:val="2"/>
          <w:sz w:val="24"/>
          <w:szCs w:val="24"/>
          <w:highlight w:val="none"/>
          <w:lang w:val="en-US" w:eastAsia="zh-CN" w:bidi="ar-SA"/>
        </w:rPr>
        <w:t>如有，附</w:t>
      </w:r>
      <w:r>
        <w:rPr>
          <w:rFonts w:hint="eastAsia" w:ascii="宋体" w:hAnsi="宋体" w:eastAsia="宋体" w:cs="宋体"/>
          <w:b w:val="0"/>
          <w:color w:val="auto"/>
          <w:kern w:val="2"/>
          <w:sz w:val="24"/>
          <w:szCs w:val="24"/>
          <w:highlight w:val="none"/>
          <w:lang w:val="en-US" w:eastAsia="zh-CN" w:bidi="ar-SA"/>
        </w:rPr>
        <w:t>中标通知书或合同协议书和竣工验收报告证明）复印件并加盖单位公章</w:t>
      </w:r>
      <w:r>
        <w:rPr>
          <w:rFonts w:hint="eastAsia" w:ascii="宋体" w:hAnsi="宋体" w:eastAsia="宋体" w:cs="宋体"/>
          <w:b w:val="0"/>
          <w:color w:val="auto"/>
          <w:kern w:val="2"/>
          <w:sz w:val="24"/>
          <w:szCs w:val="24"/>
          <w:highlight w:val="none"/>
          <w:lang w:val="zh-CN" w:eastAsia="zh-CN" w:bidi="ar-SA"/>
        </w:rPr>
        <w:t>。</w:t>
      </w:r>
    </w:p>
    <w:p w14:paraId="0DA1DA16">
      <w:pPr>
        <w:pStyle w:val="21"/>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en-US" w:eastAsia="zh-CN" w:bidi="ar-SA"/>
        </w:rPr>
        <w:t>2.</w:t>
      </w:r>
      <w:r>
        <w:rPr>
          <w:rFonts w:hint="eastAsia" w:ascii="宋体" w:hAnsi="宋体" w:eastAsia="宋体" w:cs="宋体"/>
          <w:b w:val="0"/>
          <w:color w:val="auto"/>
          <w:kern w:val="2"/>
          <w:sz w:val="24"/>
          <w:szCs w:val="24"/>
          <w:highlight w:val="none"/>
          <w:lang w:val="zh-CN" w:eastAsia="zh-CN" w:bidi="ar-SA"/>
        </w:rPr>
        <w:t>上述内容中如某一证件正在年检或换证，需年检部门及换证部门出具有效证明方可确认。</w:t>
      </w:r>
    </w:p>
    <w:p w14:paraId="721FA6E9">
      <w:pPr>
        <w:pStyle w:val="21"/>
        <w:rPr>
          <w:rFonts w:hint="eastAsia" w:ascii="宋体" w:hAnsi="宋体" w:eastAsia="宋体" w:cs="宋体"/>
          <w:b/>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3.</w:t>
      </w:r>
      <w:r>
        <w:rPr>
          <w:rFonts w:hint="eastAsia" w:ascii="宋体" w:hAnsi="宋体" w:eastAsia="宋体" w:cs="宋体"/>
          <w:b w:val="0"/>
          <w:color w:val="auto"/>
          <w:kern w:val="2"/>
          <w:sz w:val="24"/>
          <w:szCs w:val="24"/>
          <w:highlight w:val="none"/>
          <w:lang w:val="zh-CN" w:eastAsia="zh-CN" w:bidi="ar-SA"/>
        </w:rPr>
        <w:t>所有复印件必须要清晰、字迹清楚。</w:t>
      </w:r>
    </w:p>
    <w:p w14:paraId="6EA2D0B5">
      <w:pPr>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shd w:val="clear" w:color="auto" w:fill="FFFFFF"/>
        </w:rPr>
        <w:br w:type="page"/>
      </w:r>
      <w:r>
        <w:rPr>
          <w:rFonts w:hint="eastAsia" w:ascii="宋体" w:hAnsi="宋体" w:eastAsia="宋体" w:cs="宋体"/>
          <w:b/>
          <w:bCs/>
          <w:color w:val="auto"/>
          <w:kern w:val="0"/>
          <w:sz w:val="24"/>
          <w:szCs w:val="24"/>
          <w:highlight w:val="none"/>
          <w:shd w:val="clear" w:color="auto" w:fill="FFFFFF"/>
        </w:rPr>
        <w:t>主要项目管理人员简历表</w:t>
      </w:r>
    </w:p>
    <w:tbl>
      <w:tblPr>
        <w:tblStyle w:val="26"/>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2409"/>
        <w:gridCol w:w="1476"/>
        <w:gridCol w:w="2952"/>
      </w:tblGrid>
      <w:tr w14:paraId="221E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6" w:type="dxa"/>
            <w:gridSpan w:val="4"/>
            <w:vAlign w:val="center"/>
          </w:tcPr>
          <w:p w14:paraId="3B010AE4">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岗位名称</w:t>
            </w:r>
          </w:p>
        </w:tc>
      </w:tr>
      <w:tr w14:paraId="0F42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vAlign w:val="center"/>
          </w:tcPr>
          <w:p w14:paraId="5B46ED57">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姓名</w:t>
            </w:r>
          </w:p>
        </w:tc>
        <w:tc>
          <w:tcPr>
            <w:tcW w:w="2409" w:type="dxa"/>
            <w:vAlign w:val="center"/>
          </w:tcPr>
          <w:p w14:paraId="7EFA665E">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76" w:type="dxa"/>
            <w:vAlign w:val="center"/>
          </w:tcPr>
          <w:p w14:paraId="2F38E921">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年龄</w:t>
            </w:r>
          </w:p>
        </w:tc>
        <w:tc>
          <w:tcPr>
            <w:tcW w:w="2952" w:type="dxa"/>
            <w:vAlign w:val="center"/>
          </w:tcPr>
          <w:p w14:paraId="5EA7908B">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117C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vAlign w:val="center"/>
          </w:tcPr>
          <w:p w14:paraId="73334D60">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性别</w:t>
            </w:r>
          </w:p>
        </w:tc>
        <w:tc>
          <w:tcPr>
            <w:tcW w:w="2409" w:type="dxa"/>
            <w:vAlign w:val="center"/>
          </w:tcPr>
          <w:p w14:paraId="31A8E1CA">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76" w:type="dxa"/>
            <w:vAlign w:val="center"/>
          </w:tcPr>
          <w:p w14:paraId="7EA66FA4">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毕业学校</w:t>
            </w:r>
          </w:p>
        </w:tc>
        <w:tc>
          <w:tcPr>
            <w:tcW w:w="2952" w:type="dxa"/>
            <w:vAlign w:val="center"/>
          </w:tcPr>
          <w:p w14:paraId="451D5BB7">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6FAF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vAlign w:val="center"/>
          </w:tcPr>
          <w:p w14:paraId="433C1C23">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学历和专业</w:t>
            </w:r>
          </w:p>
        </w:tc>
        <w:tc>
          <w:tcPr>
            <w:tcW w:w="2409" w:type="dxa"/>
            <w:vAlign w:val="center"/>
          </w:tcPr>
          <w:p w14:paraId="116C71D3">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76" w:type="dxa"/>
            <w:vAlign w:val="center"/>
          </w:tcPr>
          <w:p w14:paraId="5DFBADB7">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毕业时间</w:t>
            </w:r>
          </w:p>
        </w:tc>
        <w:tc>
          <w:tcPr>
            <w:tcW w:w="2952" w:type="dxa"/>
            <w:vAlign w:val="center"/>
          </w:tcPr>
          <w:p w14:paraId="55767214">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66FB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vAlign w:val="center"/>
          </w:tcPr>
          <w:p w14:paraId="5A1F3AE3">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拥有的执业资格</w:t>
            </w:r>
          </w:p>
        </w:tc>
        <w:tc>
          <w:tcPr>
            <w:tcW w:w="2409" w:type="dxa"/>
            <w:vAlign w:val="center"/>
          </w:tcPr>
          <w:p w14:paraId="674BEEAE">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76" w:type="dxa"/>
            <w:vAlign w:val="center"/>
          </w:tcPr>
          <w:p w14:paraId="0FC152D2">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专业职称</w:t>
            </w:r>
          </w:p>
        </w:tc>
        <w:tc>
          <w:tcPr>
            <w:tcW w:w="2952" w:type="dxa"/>
            <w:vAlign w:val="center"/>
          </w:tcPr>
          <w:p w14:paraId="7A7FD861">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7247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vAlign w:val="center"/>
          </w:tcPr>
          <w:p w14:paraId="112BEBFE">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执业资格证书编号</w:t>
            </w:r>
          </w:p>
        </w:tc>
        <w:tc>
          <w:tcPr>
            <w:tcW w:w="2409" w:type="dxa"/>
            <w:vAlign w:val="center"/>
          </w:tcPr>
          <w:p w14:paraId="26EFAB33">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76" w:type="dxa"/>
            <w:vAlign w:val="center"/>
          </w:tcPr>
          <w:p w14:paraId="473FA419">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工作年限</w:t>
            </w:r>
          </w:p>
        </w:tc>
        <w:tc>
          <w:tcPr>
            <w:tcW w:w="2952" w:type="dxa"/>
            <w:vAlign w:val="center"/>
          </w:tcPr>
          <w:p w14:paraId="025704CF">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49C7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56" w:type="dxa"/>
            <w:gridSpan w:val="4"/>
            <w:vAlign w:val="center"/>
          </w:tcPr>
          <w:p w14:paraId="02F043D2">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主要工作业绩及担任的主要工作</w:t>
            </w:r>
          </w:p>
        </w:tc>
      </w:tr>
      <w:tr w14:paraId="460B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019" w:type="dxa"/>
            <w:vAlign w:val="center"/>
          </w:tcPr>
          <w:p w14:paraId="049A693F">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时间</w:t>
            </w:r>
          </w:p>
        </w:tc>
        <w:tc>
          <w:tcPr>
            <w:tcW w:w="2409" w:type="dxa"/>
            <w:vAlign w:val="center"/>
          </w:tcPr>
          <w:p w14:paraId="176BE835">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参加过的类似项目</w:t>
            </w:r>
          </w:p>
        </w:tc>
        <w:tc>
          <w:tcPr>
            <w:tcW w:w="1476" w:type="dxa"/>
            <w:vAlign w:val="center"/>
          </w:tcPr>
          <w:p w14:paraId="3A09197C">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担任职务</w:t>
            </w:r>
          </w:p>
        </w:tc>
        <w:tc>
          <w:tcPr>
            <w:tcW w:w="2952" w:type="dxa"/>
            <w:vAlign w:val="center"/>
          </w:tcPr>
          <w:p w14:paraId="0B5A2161">
            <w:pPr>
              <w:pStyle w:val="18"/>
              <w:pBdr>
                <w:bottom w:val="none" w:color="auto" w:sz="0" w:space="0"/>
              </w:pBdr>
              <w:tabs>
                <w:tab w:val="clear" w:pos="4153"/>
                <w:tab w:val="clear" w:pos="8306"/>
              </w:tabs>
              <w:autoSpaceDE w:val="0"/>
              <w:autoSpaceDN w:val="0"/>
              <w:adjustRightInd w:val="0"/>
              <w:snapToGrid/>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发包人及联系电话</w:t>
            </w:r>
          </w:p>
        </w:tc>
      </w:tr>
      <w:tr w14:paraId="5A39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9" w:type="dxa"/>
            <w:vAlign w:val="center"/>
          </w:tcPr>
          <w:p w14:paraId="45421EAD">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2409" w:type="dxa"/>
            <w:vAlign w:val="center"/>
          </w:tcPr>
          <w:p w14:paraId="663C3F93">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76" w:type="dxa"/>
            <w:vAlign w:val="center"/>
          </w:tcPr>
          <w:p w14:paraId="17303F21">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2952" w:type="dxa"/>
            <w:vAlign w:val="center"/>
          </w:tcPr>
          <w:p w14:paraId="1974AB27">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1F77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9" w:type="dxa"/>
            <w:vAlign w:val="center"/>
          </w:tcPr>
          <w:p w14:paraId="77835BB6">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2409" w:type="dxa"/>
            <w:vAlign w:val="center"/>
          </w:tcPr>
          <w:p w14:paraId="50D3BE91">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76" w:type="dxa"/>
            <w:vAlign w:val="center"/>
          </w:tcPr>
          <w:p w14:paraId="6AF1932E">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2952" w:type="dxa"/>
            <w:vAlign w:val="center"/>
          </w:tcPr>
          <w:p w14:paraId="259DB01E">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0B2C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9" w:type="dxa"/>
            <w:vAlign w:val="center"/>
          </w:tcPr>
          <w:p w14:paraId="437D30E5">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2409" w:type="dxa"/>
            <w:vAlign w:val="center"/>
          </w:tcPr>
          <w:p w14:paraId="756DB0FB">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76" w:type="dxa"/>
            <w:vAlign w:val="center"/>
          </w:tcPr>
          <w:p w14:paraId="5469D8AE">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2952" w:type="dxa"/>
            <w:vAlign w:val="center"/>
          </w:tcPr>
          <w:p w14:paraId="2710F5E8">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4FA25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9" w:type="dxa"/>
            <w:vAlign w:val="center"/>
          </w:tcPr>
          <w:p w14:paraId="2E3EEAE8">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2409" w:type="dxa"/>
            <w:vAlign w:val="center"/>
          </w:tcPr>
          <w:p w14:paraId="76FBE02A">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76" w:type="dxa"/>
            <w:vAlign w:val="center"/>
          </w:tcPr>
          <w:p w14:paraId="6D118A81">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2952" w:type="dxa"/>
            <w:vAlign w:val="center"/>
          </w:tcPr>
          <w:p w14:paraId="3660B2AC">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61D2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9" w:type="dxa"/>
            <w:vAlign w:val="center"/>
          </w:tcPr>
          <w:p w14:paraId="70F8A558">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2409" w:type="dxa"/>
            <w:vAlign w:val="center"/>
          </w:tcPr>
          <w:p w14:paraId="1D86BF69">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76" w:type="dxa"/>
            <w:vAlign w:val="center"/>
          </w:tcPr>
          <w:p w14:paraId="74DD488B">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2952" w:type="dxa"/>
            <w:vAlign w:val="center"/>
          </w:tcPr>
          <w:p w14:paraId="263E14FB">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r w14:paraId="5661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9" w:type="dxa"/>
            <w:vAlign w:val="center"/>
          </w:tcPr>
          <w:p w14:paraId="574D5DC7">
            <w:pPr>
              <w:autoSpaceDE w:val="0"/>
              <w:autoSpaceDN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w:t>
            </w:r>
          </w:p>
        </w:tc>
        <w:tc>
          <w:tcPr>
            <w:tcW w:w="2409" w:type="dxa"/>
            <w:vAlign w:val="center"/>
          </w:tcPr>
          <w:p w14:paraId="2A69D4AC">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1476" w:type="dxa"/>
            <w:vAlign w:val="center"/>
          </w:tcPr>
          <w:p w14:paraId="10841AEB">
            <w:pPr>
              <w:autoSpaceDE w:val="0"/>
              <w:autoSpaceDN w:val="0"/>
              <w:adjustRightInd w:val="0"/>
              <w:spacing w:line="400" w:lineRule="exact"/>
              <w:rPr>
                <w:rFonts w:hint="eastAsia" w:ascii="宋体" w:hAnsi="宋体" w:eastAsia="宋体" w:cs="宋体"/>
                <w:bCs/>
                <w:color w:val="auto"/>
                <w:sz w:val="24"/>
                <w:szCs w:val="24"/>
                <w:highlight w:val="none"/>
                <w:lang w:val="zh-CN"/>
              </w:rPr>
            </w:pPr>
          </w:p>
        </w:tc>
        <w:tc>
          <w:tcPr>
            <w:tcW w:w="2952" w:type="dxa"/>
            <w:vAlign w:val="center"/>
          </w:tcPr>
          <w:p w14:paraId="68058D9B">
            <w:pPr>
              <w:autoSpaceDE w:val="0"/>
              <w:autoSpaceDN w:val="0"/>
              <w:adjustRightInd w:val="0"/>
              <w:spacing w:line="400" w:lineRule="exact"/>
              <w:rPr>
                <w:rFonts w:hint="eastAsia" w:ascii="宋体" w:hAnsi="宋体" w:eastAsia="宋体" w:cs="宋体"/>
                <w:bCs/>
                <w:color w:val="auto"/>
                <w:sz w:val="24"/>
                <w:szCs w:val="24"/>
                <w:highlight w:val="none"/>
                <w:lang w:val="zh-CN"/>
              </w:rPr>
            </w:pPr>
          </w:p>
        </w:tc>
      </w:tr>
    </w:tbl>
    <w:p w14:paraId="6B65D53A">
      <w:pPr>
        <w:autoSpaceDE w:val="0"/>
        <w:autoSpaceDN w:val="0"/>
        <w:adjustRightInd w:val="0"/>
        <w:spacing w:line="480" w:lineRule="auto"/>
        <w:ind w:firstLine="480"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注：1</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上述证书及相关资料需提供复印件，复印件须加盖企业公章后装订在</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lang w:val="zh-CN"/>
        </w:rPr>
        <w:t>文件中。上述内容中如某一证件正在年检或换证，需年检部门及换证部门出具有效证明方可确认。</w:t>
      </w:r>
    </w:p>
    <w:p w14:paraId="20D2D322">
      <w:pPr>
        <w:pStyle w:val="11"/>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所有复印件必须要清晰、字迹清楚。</w:t>
      </w:r>
    </w:p>
    <w:p w14:paraId="434DABE0">
      <w:pPr>
        <w:spacing w:before="312" w:beforeLines="100" w:after="312" w:afterLine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 xml:space="preserve">附件1                    </w:t>
      </w:r>
    </w:p>
    <w:p w14:paraId="1A6457EA">
      <w:pPr>
        <w:spacing w:before="312" w:beforeLines="100" w:after="312" w:afterLine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项目经理承诺书</w:t>
      </w:r>
    </w:p>
    <w:p w14:paraId="409F49D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名称）</w:t>
      </w:r>
    </w:p>
    <w:p w14:paraId="0F86EFEC">
      <w:pPr>
        <w:spacing w:line="440" w:lineRule="exact"/>
        <w:ind w:firstLine="480" w:firstLineChars="200"/>
        <w:rPr>
          <w:rFonts w:hint="eastAsia" w:ascii="宋体" w:hAnsi="宋体" w:eastAsia="宋体" w:cs="宋体"/>
          <w:color w:val="auto"/>
          <w:sz w:val="24"/>
          <w:szCs w:val="24"/>
          <w:highlight w:val="none"/>
        </w:rPr>
      </w:pPr>
    </w:p>
    <w:p w14:paraId="35BA60C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我方在此郑重承诺：</w:t>
      </w:r>
    </w:p>
    <w:p w14:paraId="6FCAE63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1、我方拟派往</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（以下简称“本工程”）的项目经理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（项目经理姓名）现阶段没有担任任何在施建设工程项目的项目经理；</w:t>
      </w:r>
    </w:p>
    <w:p w14:paraId="4715BCBB">
      <w:pPr>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2、项目经理</w:t>
      </w:r>
      <w:r>
        <w:rPr>
          <w:rFonts w:hint="eastAsia" w:ascii="宋体" w:hAnsi="宋体" w:eastAsia="宋体" w:cs="宋体"/>
          <w:bCs/>
          <w:color w:val="auto"/>
          <w:sz w:val="24"/>
          <w:szCs w:val="24"/>
          <w:highlight w:val="none"/>
          <w:lang w:val="zh-CN"/>
        </w:rPr>
        <w:t>近三年没有出现行贿受贿等违法违规或失信行为、允许他人以自己的名义从事执业活动、非法转让资格证书、注册证书和执业印章等行为；</w:t>
      </w:r>
    </w:p>
    <w:p w14:paraId="3C76D4B4">
      <w:pPr>
        <w:spacing w:line="440" w:lineRule="exact"/>
        <w:ind w:firstLine="42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3、项目经理</w:t>
      </w:r>
      <w:r>
        <w:rPr>
          <w:rFonts w:hint="eastAsia" w:ascii="宋体" w:hAnsi="宋体" w:eastAsia="宋体" w:cs="宋体"/>
          <w:bCs/>
          <w:color w:val="auto"/>
          <w:sz w:val="24"/>
          <w:szCs w:val="24"/>
          <w:highlight w:val="none"/>
          <w:lang w:val="zh-CN"/>
        </w:rPr>
        <w:t>近三年没有严重违约及严重工程质量、安全问题记录；</w:t>
      </w:r>
    </w:p>
    <w:p w14:paraId="619B980B">
      <w:pPr>
        <w:spacing w:line="440" w:lineRule="exact"/>
        <w:ind w:firstLine="42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4、项目经理提供的所有证件、业绩等证明材料真实有效；</w:t>
      </w:r>
    </w:p>
    <w:p w14:paraId="470B56E4">
      <w:pPr>
        <w:spacing w:line="440" w:lineRule="exact"/>
        <w:ind w:firstLine="4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5、中标后，</w:t>
      </w:r>
      <w:r>
        <w:rPr>
          <w:rFonts w:hint="eastAsia" w:ascii="宋体" w:hAnsi="宋体" w:eastAsia="宋体" w:cs="宋体"/>
          <w:color w:val="auto"/>
          <w:sz w:val="24"/>
          <w:szCs w:val="24"/>
          <w:highlight w:val="none"/>
        </w:rPr>
        <w:t>项目经理将按合同约定和相关规定要求，按时到岗，在岗履职，全力配合</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要求，保质保量完成工程项目。</w:t>
      </w:r>
    </w:p>
    <w:p w14:paraId="62DA4B9C">
      <w:pPr>
        <w:spacing w:line="440" w:lineRule="exact"/>
        <w:rPr>
          <w:rFonts w:hint="eastAsia" w:ascii="宋体" w:hAnsi="宋体" w:eastAsia="宋体" w:cs="宋体"/>
          <w:color w:val="auto"/>
          <w:sz w:val="24"/>
          <w:szCs w:val="24"/>
          <w:highlight w:val="none"/>
        </w:rPr>
      </w:pPr>
    </w:p>
    <w:p w14:paraId="2235338A">
      <w:pPr>
        <w:spacing w:line="440" w:lineRule="exact"/>
        <w:ind w:firstLine="480" w:firstLineChars="200"/>
        <w:rPr>
          <w:rFonts w:hint="eastAsia" w:ascii="宋体" w:hAnsi="宋体" w:eastAsia="宋体" w:cs="宋体"/>
          <w:color w:val="auto"/>
          <w:sz w:val="24"/>
          <w:szCs w:val="24"/>
          <w:highlight w:val="none"/>
        </w:rPr>
      </w:pPr>
    </w:p>
    <w:p w14:paraId="0AE43CA8">
      <w:pPr>
        <w:spacing w:line="440" w:lineRule="exact"/>
        <w:ind w:firstLine="480" w:firstLineChars="200"/>
        <w:rPr>
          <w:rFonts w:hint="eastAsia" w:ascii="宋体" w:hAnsi="宋体" w:eastAsia="宋体" w:cs="宋体"/>
          <w:color w:val="auto"/>
          <w:sz w:val="24"/>
          <w:szCs w:val="24"/>
          <w:highlight w:val="none"/>
        </w:rPr>
      </w:pPr>
    </w:p>
    <w:p w14:paraId="70B4544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我方保证上述信息的真实和准确，并愿意承担因我方就此弄虚作假所引起的一切后果。</w:t>
      </w:r>
    </w:p>
    <w:p w14:paraId="2D1F2A07">
      <w:pPr>
        <w:spacing w:line="440" w:lineRule="exact"/>
        <w:ind w:firstLine="480" w:firstLineChars="200"/>
        <w:rPr>
          <w:rFonts w:hint="eastAsia" w:ascii="宋体" w:hAnsi="宋体" w:eastAsia="宋体" w:cs="宋体"/>
          <w:color w:val="auto"/>
          <w:sz w:val="24"/>
          <w:szCs w:val="24"/>
          <w:highlight w:val="none"/>
        </w:rPr>
      </w:pPr>
    </w:p>
    <w:p w14:paraId="346AC42E">
      <w:pPr>
        <w:spacing w:line="440" w:lineRule="exact"/>
        <w:ind w:firstLine="480" w:firstLineChars="200"/>
        <w:rPr>
          <w:rFonts w:hint="eastAsia" w:ascii="宋体" w:hAnsi="宋体" w:eastAsia="宋体" w:cs="宋体"/>
          <w:color w:val="auto"/>
          <w:sz w:val="24"/>
          <w:szCs w:val="24"/>
          <w:highlight w:val="none"/>
        </w:rPr>
      </w:pPr>
    </w:p>
    <w:p w14:paraId="1E9059C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43B9F967">
      <w:pPr>
        <w:spacing w:line="440" w:lineRule="exact"/>
        <w:ind w:firstLine="480" w:firstLineChars="200"/>
        <w:rPr>
          <w:rFonts w:hint="eastAsia" w:ascii="宋体" w:hAnsi="宋体" w:eastAsia="宋体" w:cs="宋体"/>
          <w:color w:val="auto"/>
          <w:sz w:val="24"/>
          <w:szCs w:val="24"/>
          <w:highlight w:val="none"/>
        </w:rPr>
      </w:pPr>
    </w:p>
    <w:p w14:paraId="37EAF149">
      <w:pPr>
        <w:spacing w:line="440" w:lineRule="exact"/>
        <w:ind w:firstLine="480" w:firstLineChars="200"/>
        <w:rPr>
          <w:rFonts w:hint="eastAsia" w:ascii="宋体" w:hAnsi="宋体" w:eastAsia="宋体" w:cs="宋体"/>
          <w:color w:val="auto"/>
          <w:sz w:val="24"/>
          <w:szCs w:val="24"/>
          <w:highlight w:val="none"/>
        </w:rPr>
      </w:pPr>
    </w:p>
    <w:p w14:paraId="20ED2951">
      <w:pPr>
        <w:spacing w:line="44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610DBD19">
      <w:pPr>
        <w:spacing w:line="44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70A4CE5F">
      <w:pPr>
        <w:spacing w:line="44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5ABE42F">
      <w:pPr>
        <w:spacing w:before="312" w:beforeLines="100" w:after="312" w:afterLines="100"/>
        <w:rPr>
          <w:rFonts w:hint="eastAsia" w:ascii="宋体" w:hAnsi="宋体" w:eastAsia="宋体" w:cs="宋体"/>
          <w:color w:val="auto"/>
          <w:sz w:val="24"/>
          <w:szCs w:val="24"/>
          <w:highlight w:val="none"/>
        </w:rPr>
        <w:sectPr>
          <w:pgSz w:w="11906" w:h="16838"/>
          <w:pgMar w:top="1361" w:right="1361" w:bottom="1361" w:left="1361" w:header="624" w:footer="1020" w:gutter="113"/>
          <w:pgNumType w:fmt="decimal"/>
          <w:cols w:space="720" w:num="1"/>
          <w:titlePg/>
          <w:rtlGutter w:val="0"/>
          <w:docGrid w:type="lines" w:linePitch="316" w:charSpace="0"/>
        </w:sectPr>
      </w:pPr>
    </w:p>
    <w:p w14:paraId="72CB3D86">
      <w:pPr>
        <w:spacing w:before="312" w:beforeLines="100" w:after="312" w:afterLine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附件2                 </w:t>
      </w:r>
    </w:p>
    <w:p w14:paraId="19A62E21">
      <w:pPr>
        <w:spacing w:before="312" w:beforeLines="100" w:after="312" w:afterLine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项目管理机构承诺书</w:t>
      </w:r>
    </w:p>
    <w:p w14:paraId="5A3BF7E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名称）</w:t>
      </w:r>
    </w:p>
    <w:p w14:paraId="62A3EAFE">
      <w:pPr>
        <w:spacing w:line="440" w:lineRule="exact"/>
        <w:ind w:firstLine="480" w:firstLineChars="200"/>
        <w:rPr>
          <w:rFonts w:hint="eastAsia" w:ascii="宋体" w:hAnsi="宋体" w:eastAsia="宋体" w:cs="宋体"/>
          <w:color w:val="auto"/>
          <w:sz w:val="24"/>
          <w:szCs w:val="24"/>
          <w:highlight w:val="none"/>
        </w:rPr>
      </w:pPr>
    </w:p>
    <w:p w14:paraId="17A19DA2">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我方在此声明，</w:t>
      </w:r>
      <w:r>
        <w:rPr>
          <w:rFonts w:hint="eastAsia" w:ascii="宋体" w:hAnsi="宋体" w:eastAsia="宋体" w:cs="宋体"/>
          <w:color w:val="auto"/>
          <w:sz w:val="24"/>
          <w:szCs w:val="24"/>
          <w:highlight w:val="none"/>
          <w:lang w:val="zh-CN"/>
        </w:rPr>
        <w:t>我方拟派往</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（项目名称）（以下简称“本工程”）的</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（项目管理机构成员姓名）   </w:t>
      </w:r>
      <w:r>
        <w:rPr>
          <w:rFonts w:hint="eastAsia" w:ascii="宋体" w:hAnsi="宋体" w:eastAsia="宋体" w:cs="宋体"/>
          <w:color w:val="auto"/>
          <w:sz w:val="24"/>
          <w:szCs w:val="24"/>
          <w:highlight w:val="none"/>
          <w:lang w:val="zh-CN"/>
        </w:rPr>
        <w:t>现阶段没有担任任何在施建设工程项目的管理机构成员。</w:t>
      </w:r>
    </w:p>
    <w:p w14:paraId="2AE9FC28">
      <w:pPr>
        <w:spacing w:line="440" w:lineRule="exact"/>
        <w:ind w:firstLine="480" w:firstLineChars="200"/>
        <w:rPr>
          <w:rFonts w:hint="eastAsia" w:ascii="宋体" w:hAnsi="宋体" w:eastAsia="宋体" w:cs="宋体"/>
          <w:color w:val="auto"/>
          <w:sz w:val="24"/>
          <w:szCs w:val="24"/>
          <w:highlight w:val="none"/>
        </w:rPr>
      </w:pPr>
    </w:p>
    <w:p w14:paraId="351D46B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如中标后，我公司保证项目管理机构人员（包括项目经理及项目机构其他管理人员）全部到达施工现场工作，并与响应文件中所列的人员一致，保证本项目的施工质量及安全。</w:t>
      </w:r>
    </w:p>
    <w:p w14:paraId="180EC9E4">
      <w:pPr>
        <w:spacing w:line="440" w:lineRule="exact"/>
        <w:ind w:firstLine="480" w:firstLineChars="200"/>
        <w:rPr>
          <w:rFonts w:hint="eastAsia" w:ascii="宋体" w:hAnsi="宋体" w:eastAsia="宋体" w:cs="宋体"/>
          <w:color w:val="auto"/>
          <w:sz w:val="24"/>
          <w:szCs w:val="24"/>
          <w:highlight w:val="none"/>
        </w:rPr>
      </w:pPr>
    </w:p>
    <w:p w14:paraId="19FEAFA8">
      <w:pPr>
        <w:spacing w:line="440" w:lineRule="exact"/>
        <w:ind w:firstLine="480" w:firstLineChars="200"/>
        <w:rPr>
          <w:rFonts w:hint="eastAsia" w:ascii="宋体" w:hAnsi="宋体" w:eastAsia="宋体" w:cs="宋体"/>
          <w:color w:val="auto"/>
          <w:sz w:val="24"/>
          <w:szCs w:val="24"/>
          <w:highlight w:val="none"/>
        </w:rPr>
      </w:pPr>
    </w:p>
    <w:p w14:paraId="6979953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我方保证上述信息的真实和准确，并愿意承担因我方就此弄虚作假所引起的一切后果。</w:t>
      </w:r>
    </w:p>
    <w:p w14:paraId="2401AFE3">
      <w:pPr>
        <w:spacing w:line="440" w:lineRule="exact"/>
        <w:ind w:firstLine="480" w:firstLineChars="200"/>
        <w:rPr>
          <w:rFonts w:hint="eastAsia" w:ascii="宋体" w:hAnsi="宋体" w:eastAsia="宋体" w:cs="宋体"/>
          <w:color w:val="auto"/>
          <w:sz w:val="24"/>
          <w:szCs w:val="24"/>
          <w:highlight w:val="none"/>
        </w:rPr>
      </w:pPr>
    </w:p>
    <w:p w14:paraId="53654C2F">
      <w:pPr>
        <w:spacing w:line="440" w:lineRule="exact"/>
        <w:ind w:firstLine="480" w:firstLineChars="200"/>
        <w:rPr>
          <w:rFonts w:hint="eastAsia" w:ascii="宋体" w:hAnsi="宋体" w:eastAsia="宋体" w:cs="宋体"/>
          <w:color w:val="auto"/>
          <w:sz w:val="24"/>
          <w:szCs w:val="24"/>
          <w:highlight w:val="none"/>
        </w:rPr>
      </w:pPr>
    </w:p>
    <w:p w14:paraId="3615777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7FB2151B">
      <w:pPr>
        <w:ind w:firstLine="480" w:firstLineChars="200"/>
        <w:rPr>
          <w:rFonts w:hint="eastAsia" w:ascii="宋体" w:hAnsi="宋体" w:eastAsia="宋体" w:cs="宋体"/>
          <w:color w:val="auto"/>
          <w:sz w:val="24"/>
          <w:szCs w:val="24"/>
          <w:highlight w:val="none"/>
        </w:rPr>
      </w:pPr>
    </w:p>
    <w:p w14:paraId="15FA6CE1">
      <w:pPr>
        <w:ind w:firstLine="480" w:firstLineChars="200"/>
        <w:rPr>
          <w:rFonts w:hint="eastAsia" w:ascii="宋体" w:hAnsi="宋体" w:eastAsia="宋体" w:cs="宋体"/>
          <w:color w:val="auto"/>
          <w:sz w:val="24"/>
          <w:szCs w:val="24"/>
          <w:highlight w:val="none"/>
        </w:rPr>
      </w:pPr>
    </w:p>
    <w:p w14:paraId="19536649">
      <w:pPr>
        <w:ind w:firstLine="480" w:firstLineChars="200"/>
        <w:rPr>
          <w:rFonts w:hint="eastAsia" w:ascii="宋体" w:hAnsi="宋体" w:eastAsia="宋体" w:cs="宋体"/>
          <w:color w:val="auto"/>
          <w:sz w:val="24"/>
          <w:szCs w:val="24"/>
          <w:highlight w:val="none"/>
        </w:rPr>
      </w:pPr>
    </w:p>
    <w:p w14:paraId="6A2A2C90">
      <w:pPr>
        <w:ind w:firstLine="480" w:firstLineChars="200"/>
        <w:rPr>
          <w:rFonts w:hint="eastAsia" w:ascii="宋体" w:hAnsi="宋体" w:eastAsia="宋体" w:cs="宋体"/>
          <w:color w:val="auto"/>
          <w:sz w:val="24"/>
          <w:szCs w:val="24"/>
          <w:highlight w:val="none"/>
        </w:rPr>
      </w:pPr>
    </w:p>
    <w:p w14:paraId="23D6B9B3">
      <w:pPr>
        <w:ind w:firstLine="480" w:firstLineChars="200"/>
        <w:rPr>
          <w:rFonts w:hint="eastAsia" w:ascii="宋体" w:hAnsi="宋体" w:eastAsia="宋体" w:cs="宋体"/>
          <w:color w:val="auto"/>
          <w:sz w:val="24"/>
          <w:szCs w:val="24"/>
          <w:highlight w:val="none"/>
        </w:rPr>
      </w:pPr>
    </w:p>
    <w:p w14:paraId="01D9F3D2">
      <w:pPr>
        <w:ind w:firstLine="480" w:firstLineChars="200"/>
        <w:rPr>
          <w:rFonts w:hint="eastAsia" w:ascii="宋体" w:hAnsi="宋体" w:eastAsia="宋体" w:cs="宋体"/>
          <w:color w:val="auto"/>
          <w:sz w:val="24"/>
          <w:szCs w:val="24"/>
          <w:highlight w:val="none"/>
        </w:rPr>
      </w:pPr>
    </w:p>
    <w:p w14:paraId="6E8FE266">
      <w:pPr>
        <w:ind w:firstLine="480" w:firstLineChars="200"/>
        <w:rPr>
          <w:rFonts w:hint="eastAsia" w:ascii="宋体" w:hAnsi="宋体" w:eastAsia="宋体" w:cs="宋体"/>
          <w:color w:val="auto"/>
          <w:sz w:val="24"/>
          <w:szCs w:val="24"/>
          <w:highlight w:val="none"/>
        </w:rPr>
      </w:pPr>
    </w:p>
    <w:p w14:paraId="753B320E">
      <w:pPr>
        <w:ind w:firstLine="480" w:firstLineChars="200"/>
        <w:rPr>
          <w:rFonts w:hint="eastAsia" w:ascii="宋体" w:hAnsi="宋体" w:eastAsia="宋体" w:cs="宋体"/>
          <w:color w:val="auto"/>
          <w:sz w:val="24"/>
          <w:szCs w:val="24"/>
          <w:highlight w:val="none"/>
        </w:rPr>
      </w:pPr>
    </w:p>
    <w:p w14:paraId="63CF5674">
      <w:pPr>
        <w:wordWrap w:val="0"/>
        <w:spacing w:line="44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45E397C6">
      <w:pPr>
        <w:spacing w:line="440" w:lineRule="exact"/>
        <w:ind w:right="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6F190156">
      <w:pPr>
        <w:spacing w:line="440" w:lineRule="exact"/>
        <w:ind w:right="420"/>
        <w:jc w:val="right"/>
        <w:rPr>
          <w:rFonts w:hint="eastAsia" w:ascii="宋体" w:hAnsi="宋体" w:eastAsia="宋体" w:cs="宋体"/>
          <w:color w:val="auto"/>
          <w:sz w:val="24"/>
          <w:szCs w:val="24"/>
          <w:highlight w:val="none"/>
        </w:rPr>
      </w:pPr>
    </w:p>
    <w:p w14:paraId="38BEF929">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393CEFE7">
      <w:pPr>
        <w:adjustRightInd w:val="0"/>
        <w:spacing w:line="52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hAnsi="宋体" w:cs="宋体"/>
          <w:b/>
          <w:color w:val="auto"/>
          <w:sz w:val="24"/>
          <w:szCs w:val="24"/>
          <w:highlight w:val="none"/>
          <w:lang w:val="en-US" w:eastAsia="zh-CN"/>
        </w:rPr>
        <w:t>八</w:t>
      </w:r>
      <w:r>
        <w:rPr>
          <w:rFonts w:hint="eastAsia" w:ascii="宋体" w:hAnsi="宋体" w:eastAsia="宋体" w:cs="宋体"/>
          <w:b/>
          <w:color w:val="auto"/>
          <w:sz w:val="24"/>
          <w:szCs w:val="24"/>
          <w:highlight w:val="none"/>
        </w:rPr>
        <w:t>、资格审查资料</w:t>
      </w:r>
      <w:bookmarkEnd w:id="507"/>
      <w:bookmarkEnd w:id="508"/>
      <w:bookmarkEnd w:id="509"/>
      <w:bookmarkEnd w:id="510"/>
      <w:bookmarkEnd w:id="511"/>
      <w:bookmarkEnd w:id="512"/>
      <w:bookmarkEnd w:id="513"/>
    </w:p>
    <w:p w14:paraId="78D00556">
      <w:pPr>
        <w:jc w:val="center"/>
        <w:rPr>
          <w:rFonts w:hint="eastAsia" w:ascii="宋体" w:hAnsi="宋体" w:eastAsia="宋体" w:cs="宋体"/>
          <w:b/>
          <w:color w:val="auto"/>
          <w:sz w:val="24"/>
          <w:szCs w:val="24"/>
          <w:highlight w:val="none"/>
        </w:rPr>
      </w:pPr>
      <w:bookmarkStart w:id="514" w:name="_Toc152045808"/>
      <w:bookmarkStart w:id="515" w:name="_Toc144974876"/>
      <w:bookmarkStart w:id="516" w:name="_Toc179632828"/>
      <w:bookmarkStart w:id="517" w:name="_Toc152042597"/>
      <w:bookmarkStart w:id="518" w:name="_Toc246997116"/>
      <w:bookmarkStart w:id="519" w:name="_Toc247085891"/>
      <w:bookmarkStart w:id="520" w:name="_Toc246996373"/>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基本情况表</w:t>
      </w:r>
      <w:bookmarkEnd w:id="514"/>
      <w:bookmarkEnd w:id="515"/>
      <w:bookmarkEnd w:id="516"/>
      <w:bookmarkEnd w:id="517"/>
      <w:bookmarkEnd w:id="518"/>
      <w:bookmarkEnd w:id="519"/>
      <w:bookmarkEnd w:id="520"/>
    </w:p>
    <w:tbl>
      <w:tblPr>
        <w:tblStyle w:val="2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70"/>
        <w:gridCol w:w="973"/>
        <w:gridCol w:w="1031"/>
        <w:gridCol w:w="910"/>
        <w:gridCol w:w="455"/>
        <w:gridCol w:w="338"/>
        <w:gridCol w:w="1168"/>
        <w:gridCol w:w="531"/>
        <w:gridCol w:w="933"/>
        <w:gridCol w:w="1078"/>
      </w:tblGrid>
      <w:tr w14:paraId="35E01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007" w:type="pct"/>
            <w:tcBorders>
              <w:top w:val="single" w:color="auto" w:sz="4" w:space="0"/>
              <w:left w:val="single" w:color="auto" w:sz="4" w:space="0"/>
              <w:bottom w:val="single" w:color="auto" w:sz="4" w:space="0"/>
              <w:right w:val="single" w:color="auto" w:sz="4" w:space="0"/>
            </w:tcBorders>
            <w:vAlign w:val="center"/>
          </w:tcPr>
          <w:p w14:paraId="2E176ADF">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tc>
        <w:tc>
          <w:tcPr>
            <w:tcW w:w="3993" w:type="pct"/>
            <w:gridSpan w:val="9"/>
            <w:tcBorders>
              <w:top w:val="single" w:color="auto" w:sz="4" w:space="0"/>
              <w:left w:val="single" w:color="auto" w:sz="4" w:space="0"/>
              <w:bottom w:val="single" w:color="auto" w:sz="4" w:space="0"/>
              <w:right w:val="single" w:color="auto" w:sz="4" w:space="0"/>
            </w:tcBorders>
            <w:vAlign w:val="center"/>
          </w:tcPr>
          <w:p w14:paraId="03AA8B90">
            <w:pPr>
              <w:topLinePunct/>
              <w:spacing w:line="440" w:lineRule="exact"/>
              <w:jc w:val="center"/>
              <w:rPr>
                <w:rFonts w:hint="eastAsia" w:ascii="宋体" w:hAnsi="宋体" w:eastAsia="宋体" w:cs="宋体"/>
                <w:color w:val="auto"/>
                <w:sz w:val="24"/>
                <w:szCs w:val="24"/>
                <w:highlight w:val="none"/>
              </w:rPr>
            </w:pPr>
          </w:p>
        </w:tc>
      </w:tr>
      <w:tr w14:paraId="0FAF1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07" w:type="pct"/>
            <w:tcBorders>
              <w:top w:val="single" w:color="auto" w:sz="4" w:space="0"/>
              <w:left w:val="single" w:color="auto" w:sz="4" w:space="0"/>
              <w:bottom w:val="single" w:color="auto" w:sz="4" w:space="0"/>
              <w:right w:val="single" w:color="auto" w:sz="4" w:space="0"/>
            </w:tcBorders>
            <w:vAlign w:val="center"/>
          </w:tcPr>
          <w:p w14:paraId="539F3ECB">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1996" w:type="pct"/>
            <w:gridSpan w:val="5"/>
            <w:tcBorders>
              <w:top w:val="single" w:color="auto" w:sz="4" w:space="0"/>
              <w:left w:val="single" w:color="auto" w:sz="4" w:space="0"/>
              <w:bottom w:val="single" w:color="auto" w:sz="4" w:space="0"/>
              <w:right w:val="single" w:color="auto" w:sz="4" w:space="0"/>
            </w:tcBorders>
            <w:vAlign w:val="center"/>
          </w:tcPr>
          <w:p w14:paraId="2AFF7106">
            <w:pPr>
              <w:topLinePunct/>
              <w:spacing w:line="440" w:lineRule="exact"/>
              <w:jc w:val="center"/>
              <w:rPr>
                <w:rFonts w:hint="eastAsia" w:ascii="宋体" w:hAnsi="宋体" w:eastAsia="宋体" w:cs="宋体"/>
                <w:color w:val="auto"/>
                <w:sz w:val="24"/>
                <w:szCs w:val="24"/>
                <w:highlight w:val="none"/>
              </w:rPr>
            </w:pPr>
          </w:p>
        </w:tc>
        <w:tc>
          <w:tcPr>
            <w:tcW w:w="629" w:type="pct"/>
            <w:tcBorders>
              <w:top w:val="single" w:color="auto" w:sz="4" w:space="0"/>
              <w:left w:val="single" w:color="auto" w:sz="4" w:space="0"/>
              <w:bottom w:val="single" w:color="auto" w:sz="4" w:space="0"/>
              <w:right w:val="single" w:color="auto" w:sz="4" w:space="0"/>
            </w:tcBorders>
            <w:vAlign w:val="center"/>
          </w:tcPr>
          <w:p w14:paraId="788B8B6A">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367" w:type="pct"/>
            <w:gridSpan w:val="3"/>
            <w:tcBorders>
              <w:top w:val="single" w:color="auto" w:sz="4" w:space="0"/>
              <w:left w:val="single" w:color="auto" w:sz="4" w:space="0"/>
              <w:bottom w:val="single" w:color="auto" w:sz="4" w:space="0"/>
              <w:right w:val="single" w:color="auto" w:sz="4" w:space="0"/>
            </w:tcBorders>
            <w:vAlign w:val="center"/>
          </w:tcPr>
          <w:p w14:paraId="06960EB8">
            <w:pPr>
              <w:topLinePunct/>
              <w:spacing w:line="440" w:lineRule="exact"/>
              <w:jc w:val="center"/>
              <w:rPr>
                <w:rFonts w:hint="eastAsia" w:ascii="宋体" w:hAnsi="宋体" w:eastAsia="宋体" w:cs="宋体"/>
                <w:color w:val="auto"/>
                <w:sz w:val="24"/>
                <w:szCs w:val="24"/>
                <w:highlight w:val="none"/>
              </w:rPr>
            </w:pPr>
          </w:p>
        </w:tc>
      </w:tr>
      <w:tr w14:paraId="4DDB5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007" w:type="pct"/>
            <w:vMerge w:val="restart"/>
            <w:tcBorders>
              <w:top w:val="single" w:color="auto" w:sz="4" w:space="0"/>
              <w:left w:val="single" w:color="auto" w:sz="4" w:space="0"/>
              <w:bottom w:val="single" w:color="auto" w:sz="4" w:space="0"/>
              <w:right w:val="single" w:color="auto" w:sz="4" w:space="0"/>
            </w:tcBorders>
            <w:vAlign w:val="center"/>
          </w:tcPr>
          <w:p w14:paraId="242E91F1">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524" w:type="pct"/>
            <w:tcBorders>
              <w:top w:val="single" w:color="auto" w:sz="4" w:space="0"/>
              <w:left w:val="single" w:color="auto" w:sz="4" w:space="0"/>
              <w:bottom w:val="single" w:color="auto" w:sz="4" w:space="0"/>
              <w:right w:val="single" w:color="auto" w:sz="4" w:space="0"/>
            </w:tcBorders>
            <w:vAlign w:val="center"/>
          </w:tcPr>
          <w:p w14:paraId="70C68CD9">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472" w:type="pct"/>
            <w:gridSpan w:val="4"/>
            <w:tcBorders>
              <w:top w:val="single" w:color="auto" w:sz="4" w:space="0"/>
              <w:left w:val="single" w:color="auto" w:sz="4" w:space="0"/>
              <w:bottom w:val="single" w:color="auto" w:sz="4" w:space="0"/>
              <w:right w:val="single" w:color="auto" w:sz="4" w:space="0"/>
            </w:tcBorders>
            <w:vAlign w:val="center"/>
          </w:tcPr>
          <w:p w14:paraId="61A08028">
            <w:pPr>
              <w:topLinePunct/>
              <w:spacing w:line="440" w:lineRule="exact"/>
              <w:jc w:val="center"/>
              <w:rPr>
                <w:rFonts w:hint="eastAsia" w:ascii="宋体" w:hAnsi="宋体" w:eastAsia="宋体" w:cs="宋体"/>
                <w:color w:val="auto"/>
                <w:sz w:val="24"/>
                <w:szCs w:val="24"/>
                <w:highlight w:val="none"/>
              </w:rPr>
            </w:pPr>
          </w:p>
        </w:tc>
        <w:tc>
          <w:tcPr>
            <w:tcW w:w="629" w:type="pct"/>
            <w:tcBorders>
              <w:top w:val="single" w:color="auto" w:sz="4" w:space="0"/>
              <w:left w:val="single" w:color="auto" w:sz="4" w:space="0"/>
              <w:bottom w:val="single" w:color="auto" w:sz="4" w:space="0"/>
              <w:right w:val="single" w:color="auto" w:sz="4" w:space="0"/>
            </w:tcBorders>
            <w:vAlign w:val="center"/>
          </w:tcPr>
          <w:p w14:paraId="60940B5B">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1367" w:type="pct"/>
            <w:gridSpan w:val="3"/>
            <w:tcBorders>
              <w:top w:val="single" w:color="auto" w:sz="4" w:space="0"/>
              <w:left w:val="single" w:color="auto" w:sz="4" w:space="0"/>
              <w:bottom w:val="single" w:color="auto" w:sz="4" w:space="0"/>
              <w:right w:val="single" w:color="auto" w:sz="4" w:space="0"/>
            </w:tcBorders>
            <w:vAlign w:val="center"/>
          </w:tcPr>
          <w:p w14:paraId="2CF06CB6">
            <w:pPr>
              <w:topLinePunct/>
              <w:spacing w:line="440" w:lineRule="exact"/>
              <w:jc w:val="center"/>
              <w:rPr>
                <w:rFonts w:hint="eastAsia" w:ascii="宋体" w:hAnsi="宋体" w:eastAsia="宋体" w:cs="宋体"/>
                <w:color w:val="auto"/>
                <w:sz w:val="24"/>
                <w:szCs w:val="24"/>
                <w:highlight w:val="none"/>
              </w:rPr>
            </w:pPr>
          </w:p>
        </w:tc>
      </w:tr>
      <w:tr w14:paraId="1EB4F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007" w:type="pct"/>
            <w:vMerge w:val="continue"/>
            <w:tcBorders>
              <w:top w:val="single" w:color="auto" w:sz="4" w:space="0"/>
              <w:left w:val="single" w:color="auto" w:sz="4" w:space="0"/>
              <w:bottom w:val="single" w:color="auto" w:sz="4" w:space="0"/>
              <w:right w:val="single" w:color="auto" w:sz="4" w:space="0"/>
            </w:tcBorders>
            <w:vAlign w:val="center"/>
          </w:tcPr>
          <w:p w14:paraId="6E336166">
            <w:pPr>
              <w:topLinePunct/>
              <w:spacing w:line="440" w:lineRule="exact"/>
              <w:jc w:val="center"/>
              <w:rPr>
                <w:rFonts w:hint="eastAsia" w:ascii="宋体" w:hAnsi="宋体" w:eastAsia="宋体" w:cs="宋体"/>
                <w:color w:val="auto"/>
                <w:sz w:val="24"/>
                <w:szCs w:val="24"/>
                <w:highlight w:val="none"/>
              </w:rPr>
            </w:pPr>
          </w:p>
        </w:tc>
        <w:tc>
          <w:tcPr>
            <w:tcW w:w="524" w:type="pct"/>
            <w:tcBorders>
              <w:top w:val="single" w:color="auto" w:sz="4" w:space="0"/>
              <w:left w:val="single" w:color="auto" w:sz="4" w:space="0"/>
              <w:bottom w:val="single" w:color="auto" w:sz="4" w:space="0"/>
              <w:right w:val="single" w:color="auto" w:sz="4" w:space="0"/>
            </w:tcBorders>
            <w:vAlign w:val="center"/>
          </w:tcPr>
          <w:p w14:paraId="13AFE266">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1472" w:type="pct"/>
            <w:gridSpan w:val="4"/>
            <w:tcBorders>
              <w:top w:val="single" w:color="auto" w:sz="4" w:space="0"/>
              <w:left w:val="single" w:color="auto" w:sz="4" w:space="0"/>
              <w:bottom w:val="single" w:color="auto" w:sz="4" w:space="0"/>
              <w:right w:val="single" w:color="auto" w:sz="4" w:space="0"/>
            </w:tcBorders>
            <w:vAlign w:val="center"/>
          </w:tcPr>
          <w:p w14:paraId="10791C87">
            <w:pPr>
              <w:topLinePunct/>
              <w:spacing w:line="440" w:lineRule="exact"/>
              <w:jc w:val="center"/>
              <w:rPr>
                <w:rFonts w:hint="eastAsia" w:ascii="宋体" w:hAnsi="宋体" w:eastAsia="宋体" w:cs="宋体"/>
                <w:color w:val="auto"/>
                <w:sz w:val="24"/>
                <w:szCs w:val="24"/>
                <w:highlight w:val="none"/>
              </w:rPr>
            </w:pPr>
          </w:p>
        </w:tc>
        <w:tc>
          <w:tcPr>
            <w:tcW w:w="629" w:type="pct"/>
            <w:tcBorders>
              <w:top w:val="single" w:color="auto" w:sz="4" w:space="0"/>
              <w:left w:val="single" w:color="auto" w:sz="4" w:space="0"/>
              <w:bottom w:val="single" w:color="auto" w:sz="4" w:space="0"/>
              <w:right w:val="single" w:color="auto" w:sz="4" w:space="0"/>
            </w:tcBorders>
            <w:vAlign w:val="center"/>
          </w:tcPr>
          <w:p w14:paraId="2899599A">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 址</w:t>
            </w:r>
          </w:p>
        </w:tc>
        <w:tc>
          <w:tcPr>
            <w:tcW w:w="1367" w:type="pct"/>
            <w:gridSpan w:val="3"/>
            <w:tcBorders>
              <w:top w:val="single" w:color="auto" w:sz="4" w:space="0"/>
              <w:left w:val="single" w:color="auto" w:sz="4" w:space="0"/>
              <w:bottom w:val="single" w:color="auto" w:sz="4" w:space="0"/>
              <w:right w:val="single" w:color="auto" w:sz="4" w:space="0"/>
            </w:tcBorders>
            <w:vAlign w:val="center"/>
          </w:tcPr>
          <w:p w14:paraId="2C813A27">
            <w:pPr>
              <w:topLinePunct/>
              <w:spacing w:line="440" w:lineRule="exact"/>
              <w:jc w:val="center"/>
              <w:rPr>
                <w:rFonts w:hint="eastAsia" w:ascii="宋体" w:hAnsi="宋体" w:eastAsia="宋体" w:cs="宋体"/>
                <w:color w:val="auto"/>
                <w:sz w:val="24"/>
                <w:szCs w:val="24"/>
                <w:highlight w:val="none"/>
              </w:rPr>
            </w:pPr>
          </w:p>
        </w:tc>
      </w:tr>
      <w:tr w14:paraId="7B9FC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07" w:type="pct"/>
            <w:tcBorders>
              <w:top w:val="single" w:color="auto" w:sz="4" w:space="0"/>
              <w:left w:val="single" w:color="auto" w:sz="4" w:space="0"/>
              <w:bottom w:val="single" w:color="auto" w:sz="4" w:space="0"/>
              <w:right w:val="single" w:color="auto" w:sz="4" w:space="0"/>
            </w:tcBorders>
            <w:vAlign w:val="center"/>
          </w:tcPr>
          <w:p w14:paraId="0B2206AD">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3993" w:type="pct"/>
            <w:gridSpan w:val="9"/>
            <w:tcBorders>
              <w:top w:val="single" w:color="auto" w:sz="4" w:space="0"/>
              <w:left w:val="single" w:color="auto" w:sz="4" w:space="0"/>
              <w:bottom w:val="single" w:color="auto" w:sz="4" w:space="0"/>
              <w:right w:val="single" w:color="auto" w:sz="4" w:space="0"/>
            </w:tcBorders>
            <w:vAlign w:val="center"/>
          </w:tcPr>
          <w:p w14:paraId="5D471D03">
            <w:pPr>
              <w:topLinePunct/>
              <w:spacing w:line="440" w:lineRule="exact"/>
              <w:jc w:val="center"/>
              <w:rPr>
                <w:rFonts w:hint="eastAsia" w:ascii="宋体" w:hAnsi="宋体" w:eastAsia="宋体" w:cs="宋体"/>
                <w:color w:val="auto"/>
                <w:sz w:val="24"/>
                <w:szCs w:val="24"/>
                <w:highlight w:val="none"/>
              </w:rPr>
            </w:pPr>
          </w:p>
        </w:tc>
      </w:tr>
      <w:tr w14:paraId="1A4A2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007" w:type="pct"/>
            <w:tcBorders>
              <w:top w:val="single" w:color="auto" w:sz="4" w:space="0"/>
              <w:left w:val="single" w:color="auto" w:sz="4" w:space="0"/>
              <w:bottom w:val="single" w:color="auto" w:sz="4" w:space="0"/>
              <w:right w:val="single" w:color="auto" w:sz="4" w:space="0"/>
            </w:tcBorders>
            <w:vAlign w:val="center"/>
          </w:tcPr>
          <w:p w14:paraId="4076C1BA">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524" w:type="pct"/>
            <w:tcBorders>
              <w:top w:val="single" w:color="auto" w:sz="4" w:space="0"/>
              <w:left w:val="single" w:color="auto" w:sz="4" w:space="0"/>
              <w:bottom w:val="single" w:color="auto" w:sz="4" w:space="0"/>
              <w:right w:val="single" w:color="auto" w:sz="4" w:space="0"/>
            </w:tcBorders>
            <w:vAlign w:val="center"/>
          </w:tcPr>
          <w:p w14:paraId="403F0D76">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555" w:type="pct"/>
            <w:tcBorders>
              <w:top w:val="single" w:color="auto" w:sz="4" w:space="0"/>
              <w:left w:val="single" w:color="auto" w:sz="4" w:space="0"/>
              <w:bottom w:val="single" w:color="auto" w:sz="4" w:space="0"/>
              <w:right w:val="single" w:color="auto" w:sz="4" w:space="0"/>
            </w:tcBorders>
            <w:vAlign w:val="center"/>
          </w:tcPr>
          <w:p w14:paraId="77C7761D">
            <w:pPr>
              <w:topLinePunct/>
              <w:spacing w:line="440" w:lineRule="exact"/>
              <w:jc w:val="center"/>
              <w:rPr>
                <w:rFonts w:hint="eastAsia" w:ascii="宋体" w:hAnsi="宋体" w:eastAsia="宋体" w:cs="宋体"/>
                <w:color w:val="auto"/>
                <w:sz w:val="24"/>
                <w:szCs w:val="24"/>
                <w:highlight w:val="none"/>
              </w:rPr>
            </w:pPr>
          </w:p>
        </w:tc>
        <w:tc>
          <w:tcPr>
            <w:tcW w:w="735" w:type="pct"/>
            <w:gridSpan w:val="2"/>
            <w:tcBorders>
              <w:top w:val="single" w:color="auto" w:sz="4" w:space="0"/>
              <w:left w:val="single" w:color="auto" w:sz="4" w:space="0"/>
              <w:bottom w:val="single" w:color="auto" w:sz="4" w:space="0"/>
              <w:right w:val="single" w:color="auto" w:sz="4" w:space="0"/>
            </w:tcBorders>
            <w:vAlign w:val="center"/>
          </w:tcPr>
          <w:p w14:paraId="61A1A829">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097" w:type="pct"/>
            <w:gridSpan w:val="3"/>
            <w:tcBorders>
              <w:top w:val="single" w:color="auto" w:sz="4" w:space="0"/>
              <w:left w:val="single" w:color="auto" w:sz="4" w:space="0"/>
              <w:bottom w:val="single" w:color="auto" w:sz="4" w:space="0"/>
              <w:right w:val="single" w:color="auto" w:sz="4" w:space="0"/>
            </w:tcBorders>
            <w:vAlign w:val="center"/>
          </w:tcPr>
          <w:p w14:paraId="086BD1DF">
            <w:pPr>
              <w:topLinePunct/>
              <w:spacing w:line="440" w:lineRule="exact"/>
              <w:jc w:val="center"/>
              <w:rPr>
                <w:rFonts w:hint="eastAsia" w:ascii="宋体" w:hAnsi="宋体" w:eastAsia="宋体" w:cs="宋体"/>
                <w:color w:val="auto"/>
                <w:sz w:val="24"/>
                <w:szCs w:val="24"/>
                <w:highlight w:val="none"/>
              </w:rPr>
            </w:pPr>
          </w:p>
        </w:tc>
        <w:tc>
          <w:tcPr>
            <w:tcW w:w="502" w:type="pct"/>
            <w:tcBorders>
              <w:top w:val="single" w:color="auto" w:sz="4" w:space="0"/>
              <w:left w:val="single" w:color="auto" w:sz="4" w:space="0"/>
              <w:bottom w:val="single" w:color="auto" w:sz="4" w:space="0"/>
              <w:right w:val="single" w:color="auto" w:sz="4" w:space="0"/>
            </w:tcBorders>
            <w:vAlign w:val="center"/>
          </w:tcPr>
          <w:p w14:paraId="03F18693">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579" w:type="pct"/>
            <w:tcBorders>
              <w:top w:val="single" w:color="auto" w:sz="4" w:space="0"/>
              <w:left w:val="single" w:color="auto" w:sz="4" w:space="0"/>
              <w:bottom w:val="single" w:color="auto" w:sz="4" w:space="0"/>
              <w:right w:val="single" w:color="auto" w:sz="4" w:space="0"/>
            </w:tcBorders>
            <w:vAlign w:val="center"/>
          </w:tcPr>
          <w:p w14:paraId="770E457A">
            <w:pPr>
              <w:topLinePunct/>
              <w:spacing w:line="440" w:lineRule="exact"/>
              <w:jc w:val="center"/>
              <w:rPr>
                <w:rFonts w:hint="eastAsia" w:ascii="宋体" w:hAnsi="宋体" w:eastAsia="宋体" w:cs="宋体"/>
                <w:color w:val="auto"/>
                <w:sz w:val="24"/>
                <w:szCs w:val="24"/>
                <w:highlight w:val="none"/>
              </w:rPr>
            </w:pPr>
          </w:p>
        </w:tc>
      </w:tr>
      <w:tr w14:paraId="66640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007" w:type="pct"/>
            <w:tcBorders>
              <w:top w:val="single" w:color="auto" w:sz="4" w:space="0"/>
              <w:left w:val="single" w:color="auto" w:sz="4" w:space="0"/>
              <w:bottom w:val="single" w:color="auto" w:sz="4" w:space="0"/>
              <w:right w:val="single" w:color="auto" w:sz="4" w:space="0"/>
            </w:tcBorders>
            <w:vAlign w:val="center"/>
          </w:tcPr>
          <w:p w14:paraId="1B034DFD">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524" w:type="pct"/>
            <w:tcBorders>
              <w:top w:val="single" w:color="auto" w:sz="4" w:space="0"/>
              <w:left w:val="single" w:color="auto" w:sz="4" w:space="0"/>
              <w:bottom w:val="single" w:color="auto" w:sz="4" w:space="0"/>
              <w:right w:val="single" w:color="auto" w:sz="4" w:space="0"/>
            </w:tcBorders>
            <w:vAlign w:val="center"/>
          </w:tcPr>
          <w:p w14:paraId="123A3F9F">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555" w:type="pct"/>
            <w:tcBorders>
              <w:top w:val="single" w:color="auto" w:sz="4" w:space="0"/>
              <w:left w:val="single" w:color="auto" w:sz="4" w:space="0"/>
              <w:bottom w:val="single" w:color="auto" w:sz="4" w:space="0"/>
              <w:right w:val="single" w:color="auto" w:sz="4" w:space="0"/>
            </w:tcBorders>
            <w:vAlign w:val="center"/>
          </w:tcPr>
          <w:p w14:paraId="6D055FE3">
            <w:pPr>
              <w:topLinePunct/>
              <w:spacing w:line="440" w:lineRule="exact"/>
              <w:jc w:val="center"/>
              <w:rPr>
                <w:rFonts w:hint="eastAsia" w:ascii="宋体" w:hAnsi="宋体" w:eastAsia="宋体" w:cs="宋体"/>
                <w:color w:val="auto"/>
                <w:sz w:val="24"/>
                <w:szCs w:val="24"/>
                <w:highlight w:val="none"/>
              </w:rPr>
            </w:pPr>
          </w:p>
        </w:tc>
        <w:tc>
          <w:tcPr>
            <w:tcW w:w="735" w:type="pct"/>
            <w:gridSpan w:val="2"/>
            <w:tcBorders>
              <w:top w:val="single" w:color="auto" w:sz="4" w:space="0"/>
              <w:left w:val="single" w:color="auto" w:sz="4" w:space="0"/>
              <w:bottom w:val="single" w:color="auto" w:sz="4" w:space="0"/>
              <w:right w:val="single" w:color="auto" w:sz="4" w:space="0"/>
            </w:tcBorders>
            <w:vAlign w:val="center"/>
          </w:tcPr>
          <w:p w14:paraId="19963A04">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097" w:type="pct"/>
            <w:gridSpan w:val="3"/>
            <w:tcBorders>
              <w:top w:val="single" w:color="auto" w:sz="4" w:space="0"/>
              <w:left w:val="single" w:color="auto" w:sz="4" w:space="0"/>
              <w:bottom w:val="single" w:color="auto" w:sz="4" w:space="0"/>
              <w:right w:val="single" w:color="auto" w:sz="4" w:space="0"/>
            </w:tcBorders>
            <w:vAlign w:val="center"/>
          </w:tcPr>
          <w:p w14:paraId="48F8D20C">
            <w:pPr>
              <w:topLinePunct/>
              <w:spacing w:line="440" w:lineRule="exact"/>
              <w:jc w:val="center"/>
              <w:rPr>
                <w:rFonts w:hint="eastAsia" w:ascii="宋体" w:hAnsi="宋体" w:eastAsia="宋体" w:cs="宋体"/>
                <w:color w:val="auto"/>
                <w:sz w:val="24"/>
                <w:szCs w:val="24"/>
                <w:highlight w:val="none"/>
              </w:rPr>
            </w:pPr>
          </w:p>
        </w:tc>
        <w:tc>
          <w:tcPr>
            <w:tcW w:w="502" w:type="pct"/>
            <w:tcBorders>
              <w:top w:val="single" w:color="auto" w:sz="4" w:space="0"/>
              <w:left w:val="single" w:color="auto" w:sz="4" w:space="0"/>
              <w:bottom w:val="single" w:color="auto" w:sz="4" w:space="0"/>
              <w:right w:val="single" w:color="auto" w:sz="4" w:space="0"/>
            </w:tcBorders>
            <w:vAlign w:val="center"/>
          </w:tcPr>
          <w:p w14:paraId="5B1FB172">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579" w:type="pct"/>
            <w:tcBorders>
              <w:top w:val="single" w:color="auto" w:sz="4" w:space="0"/>
              <w:left w:val="single" w:color="auto" w:sz="4" w:space="0"/>
              <w:bottom w:val="single" w:color="auto" w:sz="4" w:space="0"/>
              <w:right w:val="single" w:color="auto" w:sz="4" w:space="0"/>
            </w:tcBorders>
            <w:vAlign w:val="center"/>
          </w:tcPr>
          <w:p w14:paraId="11D4D982">
            <w:pPr>
              <w:topLinePunct/>
              <w:spacing w:line="440" w:lineRule="exact"/>
              <w:jc w:val="center"/>
              <w:rPr>
                <w:rFonts w:hint="eastAsia" w:ascii="宋体" w:hAnsi="宋体" w:eastAsia="宋体" w:cs="宋体"/>
                <w:color w:val="auto"/>
                <w:sz w:val="24"/>
                <w:szCs w:val="24"/>
                <w:highlight w:val="none"/>
              </w:rPr>
            </w:pPr>
          </w:p>
        </w:tc>
      </w:tr>
      <w:tr w14:paraId="76B97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07" w:type="pct"/>
            <w:tcBorders>
              <w:top w:val="single" w:color="auto" w:sz="4" w:space="0"/>
              <w:left w:val="single" w:color="auto" w:sz="4" w:space="0"/>
              <w:bottom w:val="single" w:color="auto" w:sz="4" w:space="0"/>
              <w:right w:val="single" w:color="auto" w:sz="4" w:space="0"/>
            </w:tcBorders>
            <w:vAlign w:val="center"/>
          </w:tcPr>
          <w:p w14:paraId="12CBCB3D">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1079" w:type="pct"/>
            <w:gridSpan w:val="2"/>
            <w:tcBorders>
              <w:top w:val="single" w:color="auto" w:sz="4" w:space="0"/>
              <w:left w:val="single" w:color="auto" w:sz="4" w:space="0"/>
              <w:bottom w:val="single" w:color="auto" w:sz="4" w:space="0"/>
              <w:right w:val="single" w:color="auto" w:sz="4" w:space="0"/>
            </w:tcBorders>
            <w:vAlign w:val="center"/>
          </w:tcPr>
          <w:p w14:paraId="4EAADB1C">
            <w:pPr>
              <w:topLinePunct/>
              <w:spacing w:line="440" w:lineRule="exact"/>
              <w:jc w:val="center"/>
              <w:rPr>
                <w:rFonts w:hint="eastAsia" w:ascii="宋体" w:hAnsi="宋体" w:eastAsia="宋体" w:cs="宋体"/>
                <w:color w:val="auto"/>
                <w:sz w:val="24"/>
                <w:szCs w:val="24"/>
                <w:highlight w:val="none"/>
              </w:rPr>
            </w:pPr>
          </w:p>
        </w:tc>
        <w:tc>
          <w:tcPr>
            <w:tcW w:w="2914" w:type="pct"/>
            <w:gridSpan w:val="7"/>
            <w:tcBorders>
              <w:top w:val="single" w:color="auto" w:sz="4" w:space="0"/>
              <w:left w:val="single" w:color="auto" w:sz="4" w:space="0"/>
              <w:bottom w:val="single" w:color="auto" w:sz="4" w:space="0"/>
              <w:right w:val="single" w:color="auto" w:sz="4" w:space="0"/>
            </w:tcBorders>
            <w:vAlign w:val="center"/>
          </w:tcPr>
          <w:p w14:paraId="6154B7DF">
            <w:pPr>
              <w:topLinePunct/>
              <w:spacing w:line="440" w:lineRule="exact"/>
              <w:ind w:firstLine="120" w:firstLine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14:paraId="19DA0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007" w:type="pct"/>
            <w:tcBorders>
              <w:top w:val="single" w:color="auto" w:sz="4" w:space="0"/>
              <w:left w:val="single" w:color="auto" w:sz="4" w:space="0"/>
              <w:bottom w:val="single" w:color="auto" w:sz="4" w:space="0"/>
              <w:right w:val="single" w:color="auto" w:sz="4" w:space="0"/>
            </w:tcBorders>
            <w:vAlign w:val="center"/>
          </w:tcPr>
          <w:p w14:paraId="6900497F">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企业资质等级</w:t>
            </w:r>
          </w:p>
        </w:tc>
        <w:tc>
          <w:tcPr>
            <w:tcW w:w="1079" w:type="pct"/>
            <w:gridSpan w:val="2"/>
            <w:tcBorders>
              <w:top w:val="single" w:color="auto" w:sz="4" w:space="0"/>
              <w:left w:val="single" w:color="auto" w:sz="4" w:space="0"/>
              <w:bottom w:val="single" w:color="auto" w:sz="4" w:space="0"/>
              <w:right w:val="single" w:color="auto" w:sz="4" w:space="0"/>
            </w:tcBorders>
            <w:vAlign w:val="center"/>
          </w:tcPr>
          <w:p w14:paraId="4CB35C27">
            <w:pPr>
              <w:topLinePunct/>
              <w:spacing w:line="440" w:lineRule="exact"/>
              <w:jc w:val="center"/>
              <w:rPr>
                <w:rFonts w:hint="eastAsia" w:ascii="宋体" w:hAnsi="宋体" w:eastAsia="宋体" w:cs="宋体"/>
                <w:color w:val="auto"/>
                <w:sz w:val="24"/>
                <w:szCs w:val="24"/>
                <w:highlight w:val="none"/>
              </w:rPr>
            </w:pPr>
          </w:p>
        </w:tc>
        <w:tc>
          <w:tcPr>
            <w:tcW w:w="490" w:type="pct"/>
            <w:vMerge w:val="restart"/>
            <w:tcBorders>
              <w:top w:val="single" w:color="auto" w:sz="4" w:space="0"/>
              <w:left w:val="single" w:color="auto" w:sz="4" w:space="0"/>
              <w:bottom w:val="single" w:color="auto" w:sz="4" w:space="0"/>
              <w:right w:val="single" w:color="auto" w:sz="4" w:space="0"/>
            </w:tcBorders>
            <w:vAlign w:val="center"/>
          </w:tcPr>
          <w:p w14:paraId="0E214A91">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342" w:type="pct"/>
            <w:gridSpan w:val="4"/>
            <w:tcBorders>
              <w:top w:val="single" w:color="auto" w:sz="4" w:space="0"/>
              <w:left w:val="single" w:color="auto" w:sz="4" w:space="0"/>
              <w:bottom w:val="single" w:color="auto" w:sz="4" w:space="0"/>
              <w:right w:val="single" w:color="auto" w:sz="4" w:space="0"/>
            </w:tcBorders>
            <w:vAlign w:val="center"/>
          </w:tcPr>
          <w:p w14:paraId="419E6D4E">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081" w:type="pct"/>
            <w:gridSpan w:val="2"/>
            <w:tcBorders>
              <w:top w:val="single" w:color="auto" w:sz="4" w:space="0"/>
              <w:left w:val="single" w:color="auto" w:sz="4" w:space="0"/>
              <w:bottom w:val="single" w:color="auto" w:sz="4" w:space="0"/>
              <w:right w:val="single" w:color="auto" w:sz="4" w:space="0"/>
            </w:tcBorders>
            <w:vAlign w:val="center"/>
          </w:tcPr>
          <w:p w14:paraId="06AE21CB">
            <w:pPr>
              <w:topLinePunct/>
              <w:spacing w:line="440" w:lineRule="exact"/>
              <w:jc w:val="center"/>
              <w:rPr>
                <w:rFonts w:hint="eastAsia" w:ascii="宋体" w:hAnsi="宋体" w:eastAsia="宋体" w:cs="宋体"/>
                <w:color w:val="auto"/>
                <w:sz w:val="24"/>
                <w:szCs w:val="24"/>
                <w:highlight w:val="none"/>
              </w:rPr>
            </w:pPr>
          </w:p>
        </w:tc>
      </w:tr>
      <w:tr w14:paraId="1C80A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007" w:type="pct"/>
            <w:tcBorders>
              <w:top w:val="single" w:color="auto" w:sz="4" w:space="0"/>
              <w:left w:val="single" w:color="auto" w:sz="4" w:space="0"/>
              <w:bottom w:val="single" w:color="auto" w:sz="4" w:space="0"/>
              <w:right w:val="single" w:color="auto" w:sz="4" w:space="0"/>
            </w:tcBorders>
            <w:vAlign w:val="center"/>
          </w:tcPr>
          <w:p w14:paraId="7AA5A740">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1079" w:type="pct"/>
            <w:gridSpan w:val="2"/>
            <w:tcBorders>
              <w:top w:val="single" w:color="auto" w:sz="4" w:space="0"/>
              <w:left w:val="single" w:color="auto" w:sz="4" w:space="0"/>
              <w:bottom w:val="single" w:color="auto" w:sz="4" w:space="0"/>
              <w:right w:val="single" w:color="auto" w:sz="4" w:space="0"/>
            </w:tcBorders>
            <w:vAlign w:val="center"/>
          </w:tcPr>
          <w:p w14:paraId="7AFAB499">
            <w:pPr>
              <w:topLinePunct/>
              <w:spacing w:line="440" w:lineRule="exact"/>
              <w:jc w:val="center"/>
              <w:rPr>
                <w:rFonts w:hint="eastAsia" w:ascii="宋体" w:hAnsi="宋体" w:eastAsia="宋体" w:cs="宋体"/>
                <w:color w:val="auto"/>
                <w:sz w:val="24"/>
                <w:szCs w:val="24"/>
                <w:highlight w:val="none"/>
              </w:rPr>
            </w:pPr>
          </w:p>
        </w:tc>
        <w:tc>
          <w:tcPr>
            <w:tcW w:w="490" w:type="pct"/>
            <w:vMerge w:val="continue"/>
            <w:tcBorders>
              <w:top w:val="single" w:color="auto" w:sz="4" w:space="0"/>
              <w:left w:val="single" w:color="auto" w:sz="4" w:space="0"/>
              <w:bottom w:val="single" w:color="auto" w:sz="4" w:space="0"/>
              <w:right w:val="single" w:color="auto" w:sz="4" w:space="0"/>
            </w:tcBorders>
            <w:vAlign w:val="center"/>
          </w:tcPr>
          <w:p w14:paraId="0944C4C7">
            <w:pPr>
              <w:topLinePunct/>
              <w:spacing w:line="440" w:lineRule="exact"/>
              <w:jc w:val="center"/>
              <w:rPr>
                <w:rFonts w:hint="eastAsia" w:ascii="宋体" w:hAnsi="宋体" w:eastAsia="宋体" w:cs="宋体"/>
                <w:color w:val="auto"/>
                <w:sz w:val="24"/>
                <w:szCs w:val="24"/>
                <w:highlight w:val="none"/>
              </w:rPr>
            </w:pPr>
          </w:p>
        </w:tc>
        <w:tc>
          <w:tcPr>
            <w:tcW w:w="1342" w:type="pct"/>
            <w:gridSpan w:val="4"/>
            <w:tcBorders>
              <w:top w:val="single" w:color="auto" w:sz="4" w:space="0"/>
              <w:left w:val="single" w:color="auto" w:sz="4" w:space="0"/>
              <w:bottom w:val="single" w:color="auto" w:sz="4" w:space="0"/>
              <w:right w:val="single" w:color="auto" w:sz="4" w:space="0"/>
            </w:tcBorders>
            <w:vAlign w:val="center"/>
          </w:tcPr>
          <w:p w14:paraId="4459C37E">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1081" w:type="pct"/>
            <w:gridSpan w:val="2"/>
            <w:tcBorders>
              <w:top w:val="single" w:color="auto" w:sz="4" w:space="0"/>
              <w:left w:val="single" w:color="auto" w:sz="4" w:space="0"/>
              <w:bottom w:val="single" w:color="auto" w:sz="4" w:space="0"/>
              <w:right w:val="single" w:color="auto" w:sz="4" w:space="0"/>
            </w:tcBorders>
            <w:vAlign w:val="center"/>
          </w:tcPr>
          <w:p w14:paraId="1EE26FFF">
            <w:pPr>
              <w:topLinePunct/>
              <w:spacing w:line="440" w:lineRule="exact"/>
              <w:jc w:val="center"/>
              <w:rPr>
                <w:rFonts w:hint="eastAsia" w:ascii="宋体" w:hAnsi="宋体" w:eastAsia="宋体" w:cs="宋体"/>
                <w:color w:val="auto"/>
                <w:sz w:val="24"/>
                <w:szCs w:val="24"/>
                <w:highlight w:val="none"/>
              </w:rPr>
            </w:pPr>
          </w:p>
        </w:tc>
      </w:tr>
      <w:tr w14:paraId="116FE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007" w:type="pct"/>
            <w:tcBorders>
              <w:top w:val="single" w:color="auto" w:sz="4" w:space="0"/>
              <w:left w:val="single" w:color="auto" w:sz="4" w:space="0"/>
              <w:bottom w:val="single" w:color="auto" w:sz="4" w:space="0"/>
              <w:right w:val="single" w:color="auto" w:sz="4" w:space="0"/>
            </w:tcBorders>
            <w:vAlign w:val="center"/>
          </w:tcPr>
          <w:p w14:paraId="2216D4FB">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1079" w:type="pct"/>
            <w:gridSpan w:val="2"/>
            <w:tcBorders>
              <w:top w:val="single" w:color="auto" w:sz="4" w:space="0"/>
              <w:left w:val="single" w:color="auto" w:sz="4" w:space="0"/>
              <w:bottom w:val="single" w:color="auto" w:sz="4" w:space="0"/>
              <w:right w:val="single" w:color="auto" w:sz="4" w:space="0"/>
            </w:tcBorders>
            <w:vAlign w:val="center"/>
          </w:tcPr>
          <w:p w14:paraId="728C9E3E">
            <w:pPr>
              <w:topLinePunct/>
              <w:spacing w:line="440" w:lineRule="exact"/>
              <w:jc w:val="center"/>
              <w:rPr>
                <w:rFonts w:hint="eastAsia" w:ascii="宋体" w:hAnsi="宋体" w:eastAsia="宋体" w:cs="宋体"/>
                <w:color w:val="auto"/>
                <w:sz w:val="24"/>
                <w:szCs w:val="24"/>
                <w:highlight w:val="none"/>
              </w:rPr>
            </w:pPr>
          </w:p>
        </w:tc>
        <w:tc>
          <w:tcPr>
            <w:tcW w:w="490" w:type="pct"/>
            <w:vMerge w:val="continue"/>
            <w:tcBorders>
              <w:top w:val="single" w:color="auto" w:sz="4" w:space="0"/>
              <w:left w:val="single" w:color="auto" w:sz="4" w:space="0"/>
              <w:bottom w:val="single" w:color="auto" w:sz="4" w:space="0"/>
              <w:right w:val="single" w:color="auto" w:sz="4" w:space="0"/>
            </w:tcBorders>
            <w:vAlign w:val="center"/>
          </w:tcPr>
          <w:p w14:paraId="294F146C">
            <w:pPr>
              <w:topLinePunct/>
              <w:spacing w:line="440" w:lineRule="exact"/>
              <w:jc w:val="center"/>
              <w:rPr>
                <w:rFonts w:hint="eastAsia" w:ascii="宋体" w:hAnsi="宋体" w:eastAsia="宋体" w:cs="宋体"/>
                <w:color w:val="auto"/>
                <w:sz w:val="24"/>
                <w:szCs w:val="24"/>
                <w:highlight w:val="none"/>
              </w:rPr>
            </w:pPr>
          </w:p>
        </w:tc>
        <w:tc>
          <w:tcPr>
            <w:tcW w:w="1342" w:type="pct"/>
            <w:gridSpan w:val="4"/>
            <w:tcBorders>
              <w:top w:val="single" w:color="auto" w:sz="4" w:space="0"/>
              <w:left w:val="single" w:color="auto" w:sz="4" w:space="0"/>
              <w:bottom w:val="single" w:color="auto" w:sz="4" w:space="0"/>
              <w:right w:val="single" w:color="auto" w:sz="4" w:space="0"/>
            </w:tcBorders>
            <w:vAlign w:val="center"/>
          </w:tcPr>
          <w:p w14:paraId="0947AF81">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1081" w:type="pct"/>
            <w:gridSpan w:val="2"/>
            <w:tcBorders>
              <w:top w:val="single" w:color="auto" w:sz="4" w:space="0"/>
              <w:left w:val="single" w:color="auto" w:sz="4" w:space="0"/>
              <w:bottom w:val="single" w:color="auto" w:sz="4" w:space="0"/>
              <w:right w:val="single" w:color="auto" w:sz="4" w:space="0"/>
            </w:tcBorders>
            <w:vAlign w:val="center"/>
          </w:tcPr>
          <w:p w14:paraId="3A6B3B43">
            <w:pPr>
              <w:topLinePunct/>
              <w:spacing w:line="440" w:lineRule="exact"/>
              <w:jc w:val="center"/>
              <w:rPr>
                <w:rFonts w:hint="eastAsia" w:ascii="宋体" w:hAnsi="宋体" w:eastAsia="宋体" w:cs="宋体"/>
                <w:color w:val="auto"/>
                <w:sz w:val="24"/>
                <w:szCs w:val="24"/>
                <w:highlight w:val="none"/>
              </w:rPr>
            </w:pPr>
          </w:p>
        </w:tc>
      </w:tr>
      <w:tr w14:paraId="4A7EB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007" w:type="pct"/>
            <w:tcBorders>
              <w:top w:val="single" w:color="auto" w:sz="4" w:space="0"/>
              <w:left w:val="single" w:color="auto" w:sz="4" w:space="0"/>
              <w:bottom w:val="single" w:color="auto" w:sz="4" w:space="0"/>
              <w:right w:val="single" w:color="auto" w:sz="4" w:space="0"/>
            </w:tcBorders>
            <w:vAlign w:val="center"/>
          </w:tcPr>
          <w:p w14:paraId="6234AC1B">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1079" w:type="pct"/>
            <w:gridSpan w:val="2"/>
            <w:tcBorders>
              <w:top w:val="single" w:color="auto" w:sz="4" w:space="0"/>
              <w:left w:val="single" w:color="auto" w:sz="4" w:space="0"/>
              <w:bottom w:val="single" w:color="auto" w:sz="4" w:space="0"/>
              <w:right w:val="single" w:color="auto" w:sz="4" w:space="0"/>
            </w:tcBorders>
            <w:vAlign w:val="center"/>
          </w:tcPr>
          <w:p w14:paraId="1316D1B5">
            <w:pPr>
              <w:topLinePunct/>
              <w:spacing w:line="440" w:lineRule="exact"/>
              <w:jc w:val="center"/>
              <w:rPr>
                <w:rFonts w:hint="eastAsia" w:ascii="宋体" w:hAnsi="宋体" w:eastAsia="宋体" w:cs="宋体"/>
                <w:color w:val="auto"/>
                <w:sz w:val="24"/>
                <w:szCs w:val="24"/>
                <w:highlight w:val="none"/>
              </w:rPr>
            </w:pPr>
          </w:p>
        </w:tc>
        <w:tc>
          <w:tcPr>
            <w:tcW w:w="490" w:type="pct"/>
            <w:vMerge w:val="continue"/>
            <w:tcBorders>
              <w:top w:val="single" w:color="auto" w:sz="4" w:space="0"/>
              <w:left w:val="single" w:color="auto" w:sz="4" w:space="0"/>
              <w:bottom w:val="single" w:color="auto" w:sz="4" w:space="0"/>
              <w:right w:val="single" w:color="auto" w:sz="4" w:space="0"/>
            </w:tcBorders>
            <w:vAlign w:val="center"/>
          </w:tcPr>
          <w:p w14:paraId="1FC46F40">
            <w:pPr>
              <w:topLinePunct/>
              <w:spacing w:line="440" w:lineRule="exact"/>
              <w:jc w:val="center"/>
              <w:rPr>
                <w:rFonts w:hint="eastAsia" w:ascii="宋体" w:hAnsi="宋体" w:eastAsia="宋体" w:cs="宋体"/>
                <w:color w:val="auto"/>
                <w:sz w:val="24"/>
                <w:szCs w:val="24"/>
                <w:highlight w:val="none"/>
              </w:rPr>
            </w:pPr>
          </w:p>
        </w:tc>
        <w:tc>
          <w:tcPr>
            <w:tcW w:w="1342" w:type="pct"/>
            <w:gridSpan w:val="4"/>
            <w:tcBorders>
              <w:top w:val="single" w:color="auto" w:sz="4" w:space="0"/>
              <w:left w:val="single" w:color="auto" w:sz="4" w:space="0"/>
              <w:bottom w:val="single" w:color="auto" w:sz="4" w:space="0"/>
              <w:right w:val="single" w:color="auto" w:sz="4" w:space="0"/>
            </w:tcBorders>
            <w:vAlign w:val="center"/>
          </w:tcPr>
          <w:p w14:paraId="56B2915F">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初级职称人员</w:t>
            </w:r>
          </w:p>
        </w:tc>
        <w:tc>
          <w:tcPr>
            <w:tcW w:w="1081" w:type="pct"/>
            <w:gridSpan w:val="2"/>
            <w:tcBorders>
              <w:top w:val="single" w:color="auto" w:sz="4" w:space="0"/>
              <w:left w:val="single" w:color="auto" w:sz="4" w:space="0"/>
              <w:bottom w:val="single" w:color="auto" w:sz="4" w:space="0"/>
              <w:right w:val="single" w:color="auto" w:sz="4" w:space="0"/>
            </w:tcBorders>
            <w:vAlign w:val="center"/>
          </w:tcPr>
          <w:p w14:paraId="665475B3">
            <w:pPr>
              <w:topLinePunct/>
              <w:spacing w:line="440" w:lineRule="exact"/>
              <w:jc w:val="center"/>
              <w:rPr>
                <w:rFonts w:hint="eastAsia" w:ascii="宋体" w:hAnsi="宋体" w:eastAsia="宋体" w:cs="宋体"/>
                <w:color w:val="auto"/>
                <w:sz w:val="24"/>
                <w:szCs w:val="24"/>
                <w:highlight w:val="none"/>
              </w:rPr>
            </w:pPr>
          </w:p>
        </w:tc>
      </w:tr>
      <w:tr w14:paraId="4A38D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007" w:type="pct"/>
            <w:tcBorders>
              <w:top w:val="single" w:color="auto" w:sz="4" w:space="0"/>
              <w:left w:val="single" w:color="auto" w:sz="4" w:space="0"/>
              <w:bottom w:val="single" w:color="auto" w:sz="4" w:space="0"/>
              <w:right w:val="single" w:color="auto" w:sz="4" w:space="0"/>
            </w:tcBorders>
            <w:vAlign w:val="center"/>
          </w:tcPr>
          <w:p w14:paraId="6D6AB2E5">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1079" w:type="pct"/>
            <w:gridSpan w:val="2"/>
            <w:tcBorders>
              <w:top w:val="single" w:color="auto" w:sz="4" w:space="0"/>
              <w:left w:val="single" w:color="auto" w:sz="4" w:space="0"/>
              <w:bottom w:val="single" w:color="auto" w:sz="4" w:space="0"/>
              <w:right w:val="single" w:color="auto" w:sz="4" w:space="0"/>
            </w:tcBorders>
            <w:vAlign w:val="center"/>
          </w:tcPr>
          <w:p w14:paraId="477767AC">
            <w:pPr>
              <w:topLinePunct/>
              <w:spacing w:line="440" w:lineRule="exact"/>
              <w:jc w:val="center"/>
              <w:rPr>
                <w:rFonts w:hint="eastAsia" w:ascii="宋体" w:hAnsi="宋体" w:eastAsia="宋体" w:cs="宋体"/>
                <w:color w:val="auto"/>
                <w:sz w:val="24"/>
                <w:szCs w:val="24"/>
                <w:highlight w:val="none"/>
              </w:rPr>
            </w:pPr>
          </w:p>
        </w:tc>
        <w:tc>
          <w:tcPr>
            <w:tcW w:w="490" w:type="pct"/>
            <w:vMerge w:val="continue"/>
            <w:tcBorders>
              <w:top w:val="single" w:color="auto" w:sz="4" w:space="0"/>
              <w:left w:val="single" w:color="auto" w:sz="4" w:space="0"/>
              <w:bottom w:val="single" w:color="auto" w:sz="4" w:space="0"/>
              <w:right w:val="single" w:color="auto" w:sz="4" w:space="0"/>
            </w:tcBorders>
            <w:vAlign w:val="center"/>
          </w:tcPr>
          <w:p w14:paraId="4AA71BC8">
            <w:pPr>
              <w:topLinePunct/>
              <w:spacing w:line="440" w:lineRule="exact"/>
              <w:jc w:val="center"/>
              <w:rPr>
                <w:rFonts w:hint="eastAsia" w:ascii="宋体" w:hAnsi="宋体" w:eastAsia="宋体" w:cs="宋体"/>
                <w:color w:val="auto"/>
                <w:sz w:val="24"/>
                <w:szCs w:val="24"/>
                <w:highlight w:val="none"/>
              </w:rPr>
            </w:pPr>
          </w:p>
        </w:tc>
        <w:tc>
          <w:tcPr>
            <w:tcW w:w="1342" w:type="pct"/>
            <w:gridSpan w:val="4"/>
            <w:tcBorders>
              <w:top w:val="single" w:color="auto" w:sz="4" w:space="0"/>
              <w:left w:val="single" w:color="auto" w:sz="4" w:space="0"/>
              <w:bottom w:val="single" w:color="auto" w:sz="4" w:space="0"/>
              <w:right w:val="single" w:color="auto" w:sz="4" w:space="0"/>
            </w:tcBorders>
            <w:vAlign w:val="center"/>
          </w:tcPr>
          <w:p w14:paraId="25E25DF5">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  工</w:t>
            </w:r>
          </w:p>
        </w:tc>
        <w:tc>
          <w:tcPr>
            <w:tcW w:w="1081" w:type="pct"/>
            <w:gridSpan w:val="2"/>
            <w:tcBorders>
              <w:top w:val="single" w:color="auto" w:sz="4" w:space="0"/>
              <w:left w:val="single" w:color="auto" w:sz="4" w:space="0"/>
              <w:bottom w:val="single" w:color="auto" w:sz="4" w:space="0"/>
              <w:right w:val="single" w:color="auto" w:sz="4" w:space="0"/>
            </w:tcBorders>
            <w:vAlign w:val="center"/>
          </w:tcPr>
          <w:p w14:paraId="5D880115">
            <w:pPr>
              <w:topLinePunct/>
              <w:spacing w:line="440" w:lineRule="exact"/>
              <w:jc w:val="center"/>
              <w:rPr>
                <w:rFonts w:hint="eastAsia" w:ascii="宋体" w:hAnsi="宋体" w:eastAsia="宋体" w:cs="宋体"/>
                <w:color w:val="auto"/>
                <w:sz w:val="24"/>
                <w:szCs w:val="24"/>
                <w:highlight w:val="none"/>
              </w:rPr>
            </w:pPr>
          </w:p>
        </w:tc>
      </w:tr>
      <w:tr w14:paraId="03EF2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007" w:type="pct"/>
            <w:tcBorders>
              <w:top w:val="single" w:color="auto" w:sz="4" w:space="0"/>
              <w:left w:val="single" w:color="auto" w:sz="4" w:space="0"/>
              <w:right w:val="single" w:color="auto" w:sz="4" w:space="0"/>
            </w:tcBorders>
            <w:vAlign w:val="center"/>
          </w:tcPr>
          <w:p w14:paraId="66FC4BCF">
            <w:pPr>
              <w:topLinePunct/>
              <w:spacing w:line="44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3993" w:type="pct"/>
            <w:gridSpan w:val="9"/>
            <w:tcBorders>
              <w:top w:val="single" w:color="auto" w:sz="4" w:space="0"/>
              <w:left w:val="single" w:color="auto" w:sz="4" w:space="0"/>
              <w:right w:val="single" w:color="auto" w:sz="4" w:space="0"/>
            </w:tcBorders>
            <w:vAlign w:val="center"/>
          </w:tcPr>
          <w:p w14:paraId="75AFBCFF">
            <w:pPr>
              <w:topLinePunct/>
              <w:spacing w:line="440" w:lineRule="exact"/>
              <w:jc w:val="center"/>
              <w:rPr>
                <w:rFonts w:hint="eastAsia" w:ascii="宋体" w:hAnsi="宋体" w:eastAsia="宋体" w:cs="宋体"/>
                <w:color w:val="auto"/>
                <w:sz w:val="24"/>
                <w:szCs w:val="24"/>
                <w:highlight w:val="none"/>
              </w:rPr>
            </w:pPr>
          </w:p>
          <w:p w14:paraId="592360A7">
            <w:pPr>
              <w:topLinePunct/>
              <w:spacing w:line="440" w:lineRule="exact"/>
              <w:jc w:val="center"/>
              <w:rPr>
                <w:rFonts w:hint="eastAsia" w:ascii="宋体" w:hAnsi="宋体" w:eastAsia="宋体" w:cs="宋体"/>
                <w:color w:val="auto"/>
                <w:sz w:val="24"/>
                <w:szCs w:val="24"/>
                <w:highlight w:val="none"/>
              </w:rPr>
            </w:pPr>
          </w:p>
          <w:p w14:paraId="0F0491FB">
            <w:pPr>
              <w:topLinePunct/>
              <w:spacing w:line="440" w:lineRule="exact"/>
              <w:jc w:val="center"/>
              <w:rPr>
                <w:rFonts w:hint="eastAsia" w:ascii="宋体" w:hAnsi="宋体" w:eastAsia="宋体" w:cs="宋体"/>
                <w:color w:val="auto"/>
                <w:sz w:val="24"/>
                <w:szCs w:val="24"/>
                <w:highlight w:val="none"/>
              </w:rPr>
            </w:pPr>
          </w:p>
          <w:p w14:paraId="5C7B6D10">
            <w:pPr>
              <w:topLinePunct/>
              <w:spacing w:line="440" w:lineRule="exact"/>
              <w:jc w:val="center"/>
              <w:rPr>
                <w:rFonts w:hint="eastAsia" w:ascii="宋体" w:hAnsi="宋体" w:eastAsia="宋体" w:cs="宋体"/>
                <w:color w:val="auto"/>
                <w:sz w:val="24"/>
                <w:szCs w:val="24"/>
                <w:highlight w:val="none"/>
              </w:rPr>
            </w:pPr>
          </w:p>
          <w:p w14:paraId="3CBAF313">
            <w:pPr>
              <w:topLinePunct/>
              <w:spacing w:line="440" w:lineRule="exact"/>
              <w:rPr>
                <w:rFonts w:hint="eastAsia" w:ascii="宋体" w:hAnsi="宋体" w:eastAsia="宋体" w:cs="宋体"/>
                <w:color w:val="auto"/>
                <w:sz w:val="24"/>
                <w:szCs w:val="24"/>
                <w:highlight w:val="none"/>
              </w:rPr>
            </w:pPr>
          </w:p>
        </w:tc>
      </w:tr>
      <w:tr w14:paraId="36325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7" w:type="pct"/>
            <w:tcBorders>
              <w:top w:val="single" w:color="auto" w:sz="4" w:space="0"/>
              <w:left w:val="single" w:color="auto" w:sz="4" w:space="0"/>
              <w:bottom w:val="single" w:color="auto" w:sz="4" w:space="0"/>
              <w:right w:val="single" w:color="auto" w:sz="4" w:space="0"/>
            </w:tcBorders>
            <w:vAlign w:val="center"/>
          </w:tcPr>
          <w:p w14:paraId="3CBBD906">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3993" w:type="pct"/>
            <w:gridSpan w:val="9"/>
            <w:tcBorders>
              <w:top w:val="single" w:color="auto" w:sz="4" w:space="0"/>
              <w:left w:val="single" w:color="auto" w:sz="4" w:space="0"/>
              <w:bottom w:val="single" w:color="auto" w:sz="4" w:space="0"/>
              <w:right w:val="single" w:color="auto" w:sz="4" w:space="0"/>
            </w:tcBorders>
            <w:vAlign w:val="center"/>
          </w:tcPr>
          <w:p w14:paraId="0F9F5F95">
            <w:pPr>
              <w:topLinePunct/>
              <w:spacing w:line="440" w:lineRule="exact"/>
              <w:jc w:val="center"/>
              <w:rPr>
                <w:rFonts w:hint="eastAsia" w:ascii="宋体" w:hAnsi="宋体" w:eastAsia="宋体" w:cs="宋体"/>
                <w:color w:val="auto"/>
                <w:sz w:val="24"/>
                <w:szCs w:val="24"/>
                <w:highlight w:val="none"/>
              </w:rPr>
            </w:pPr>
          </w:p>
        </w:tc>
      </w:tr>
    </w:tbl>
    <w:p w14:paraId="3572964C">
      <w:pPr>
        <w:topLinePunct/>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附企业营业执照副本、</w:t>
      </w:r>
      <w:r>
        <w:rPr>
          <w:rFonts w:hint="eastAsia" w:ascii="宋体" w:hAnsi="宋体" w:eastAsia="宋体" w:cs="宋体"/>
          <w:color w:val="auto"/>
          <w:sz w:val="24"/>
          <w:szCs w:val="24"/>
          <w:highlight w:val="none"/>
          <w:lang w:val="en-US" w:eastAsia="zh-CN"/>
        </w:rPr>
        <w:t>资质证书、安全生产许可证及</w:t>
      </w:r>
      <w:r>
        <w:rPr>
          <w:rFonts w:hint="eastAsia" w:ascii="宋体" w:hAnsi="宋体" w:eastAsia="宋体" w:cs="宋体"/>
          <w:color w:val="auto"/>
          <w:sz w:val="24"/>
          <w:szCs w:val="24"/>
          <w:highlight w:val="none"/>
        </w:rPr>
        <w:t>开户行证明等相关证件的复印件。</w:t>
      </w:r>
    </w:p>
    <w:p w14:paraId="10953438">
      <w:pPr>
        <w:spacing w:line="440" w:lineRule="exact"/>
        <w:ind w:firstLine="600" w:firstLineChars="250"/>
        <w:jc w:val="center"/>
        <w:rPr>
          <w:rFonts w:hint="eastAsia" w:ascii="宋体" w:hAnsi="宋体" w:eastAsia="宋体" w:cs="宋体"/>
          <w:color w:val="auto"/>
          <w:sz w:val="24"/>
          <w:szCs w:val="24"/>
          <w:highlight w:val="none"/>
        </w:rPr>
      </w:pPr>
      <w:bookmarkStart w:id="521" w:name="_Toc144974881"/>
      <w:bookmarkStart w:id="522" w:name="_Toc152042602"/>
      <w:bookmarkStart w:id="523" w:name="_Toc152045813"/>
      <w:bookmarkStart w:id="524" w:name="_Toc179632833"/>
    </w:p>
    <w:p w14:paraId="14F0D48C">
      <w:pPr>
        <w:jc w:val="center"/>
        <w:rPr>
          <w:rFonts w:hint="eastAsia" w:ascii="宋体" w:hAnsi="宋体" w:eastAsia="宋体" w:cs="宋体"/>
          <w:color w:val="auto"/>
          <w:sz w:val="24"/>
          <w:szCs w:val="24"/>
          <w:highlight w:val="none"/>
        </w:rPr>
      </w:pPr>
      <w:bookmarkStart w:id="525" w:name="_Toc265953295"/>
      <w:bookmarkStart w:id="526" w:name="_Toc152042598"/>
      <w:bookmarkStart w:id="527" w:name="_Toc144974877"/>
      <w:bookmarkStart w:id="528" w:name="_Toc247527849"/>
      <w:bookmarkStart w:id="529" w:name="_Toc247514301"/>
      <w:bookmarkStart w:id="530" w:name="_Toc152045809"/>
    </w:p>
    <w:p w14:paraId="071ECC75">
      <w:pPr>
        <w:numPr>
          <w:ilvl w:val="0"/>
          <w:numId w:val="7"/>
        </w:num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近年财务状况</w:t>
      </w:r>
      <w:bookmarkEnd w:id="525"/>
      <w:bookmarkEnd w:id="526"/>
      <w:bookmarkEnd w:id="527"/>
      <w:bookmarkEnd w:id="528"/>
      <w:bookmarkEnd w:id="529"/>
      <w:bookmarkEnd w:id="530"/>
    </w:p>
    <w:p w14:paraId="305D41E7">
      <w:pPr>
        <w:pStyle w:val="4"/>
        <w:spacing w:line="363" w:lineRule="exact"/>
        <w:ind w:left="217" w:right="175"/>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资格条件承诺函</w:t>
      </w:r>
    </w:p>
    <w:p w14:paraId="43305BC2">
      <w:pPr>
        <w:pStyle w:val="4"/>
        <w:spacing w:line="363" w:lineRule="exact"/>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（采购人、采购代理机构）</w:t>
      </w:r>
      <w:r>
        <w:rPr>
          <w:rFonts w:hint="eastAsia" w:ascii="宋体" w:hAnsi="宋体" w:eastAsia="宋体" w:cs="宋体"/>
          <w:b w:val="0"/>
          <w:bCs w:val="0"/>
          <w:color w:val="auto"/>
          <w:sz w:val="24"/>
          <w:szCs w:val="24"/>
          <w:highlight w:val="none"/>
          <w:u w:val="none"/>
          <w:lang w:eastAsia="zh-CN"/>
        </w:rPr>
        <w:t>：</w:t>
      </w:r>
    </w:p>
    <w:p w14:paraId="61F96C2E">
      <w:pPr>
        <w:pStyle w:val="4"/>
        <w:spacing w:line="363"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我单位（公司）参与</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（采购项目名称 项目编号）</w:t>
      </w:r>
      <w:r>
        <w:rPr>
          <w:rFonts w:hint="eastAsia" w:ascii="宋体" w:hAnsi="宋体" w:eastAsia="宋体" w:cs="宋体"/>
          <w:b w:val="0"/>
          <w:bCs w:val="0"/>
          <w:color w:val="auto"/>
          <w:sz w:val="24"/>
          <w:szCs w:val="24"/>
          <w:highlight w:val="none"/>
        </w:rPr>
        <w:t>采购项目的政府采购活动，现承诺如下：</w:t>
      </w:r>
    </w:p>
    <w:p w14:paraId="1CA41F92">
      <w:pPr>
        <w:pStyle w:val="4"/>
        <w:spacing w:line="363" w:lineRule="exact"/>
        <w:ind w:left="0" w:leftChars="0" w:firstLine="420" w:firstLineChars="175"/>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1.具有良好的商业信誉和健全的财务会计制度；</w:t>
      </w:r>
    </w:p>
    <w:p w14:paraId="07C9B22E">
      <w:pPr>
        <w:pStyle w:val="4"/>
        <w:spacing w:line="363" w:lineRule="exact"/>
        <w:ind w:left="0" w:leftChars="0" w:firstLine="420" w:firstLineChars="175"/>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2.具有依法缴纳税收的良好记录；</w:t>
      </w:r>
    </w:p>
    <w:p w14:paraId="5255811A">
      <w:pPr>
        <w:pStyle w:val="4"/>
        <w:spacing w:line="363" w:lineRule="exact"/>
        <w:ind w:left="0" w:leftChars="0" w:firstLine="420" w:firstLineChars="175"/>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3.具有依法缴纳社会保障金的良好记录。</w:t>
      </w:r>
    </w:p>
    <w:p w14:paraId="616DCEB8">
      <w:pPr>
        <w:pStyle w:val="4"/>
        <w:spacing w:line="363"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我方在采购项目评审</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评标)环节结束后，随时接受采购人、采购代理机构的检查验证，配合提供相关证明材料，证明符合《中华人民共和国政府采购法》规定的供应商基本资格条件。</w:t>
      </w:r>
    </w:p>
    <w:p w14:paraId="6AC58FBA">
      <w:pPr>
        <w:pStyle w:val="4"/>
        <w:spacing w:line="363"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我单位（公司）对上述承诺的真实性负责。如有虚假，将依法承担相应责任。</w:t>
      </w:r>
    </w:p>
    <w:p w14:paraId="559B6BBE">
      <w:pPr>
        <w:pStyle w:val="4"/>
        <w:spacing w:line="363"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特此承诺。</w:t>
      </w:r>
    </w:p>
    <w:p w14:paraId="2FE9805B">
      <w:pPr>
        <w:pStyle w:val="4"/>
        <w:spacing w:line="363" w:lineRule="exact"/>
        <w:ind w:left="0" w:leftChars="0" w:firstLine="5460" w:firstLineChars="2275"/>
        <w:jc w:val="left"/>
        <w:rPr>
          <w:rFonts w:hint="eastAsia" w:ascii="宋体" w:hAnsi="宋体" w:eastAsia="宋体" w:cs="宋体"/>
          <w:b w:val="0"/>
          <w:bCs w:val="0"/>
          <w:color w:val="auto"/>
          <w:sz w:val="24"/>
          <w:szCs w:val="24"/>
          <w:highlight w:val="none"/>
        </w:rPr>
      </w:pPr>
    </w:p>
    <w:p w14:paraId="07F173F1">
      <w:pPr>
        <w:pStyle w:val="4"/>
        <w:spacing w:line="363" w:lineRule="exact"/>
        <w:ind w:left="0" w:leftChars="0" w:firstLine="5460" w:firstLineChars="2275"/>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盖章：</w:t>
      </w:r>
    </w:p>
    <w:p w14:paraId="1F5A540B">
      <w:pPr>
        <w:pStyle w:val="4"/>
        <w:spacing w:line="363" w:lineRule="exact"/>
        <w:ind w:left="0" w:leftChars="0" w:firstLine="5460" w:firstLineChars="2275"/>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w:t>
      </w:r>
    </w:p>
    <w:p w14:paraId="7FB54BAC">
      <w:pPr>
        <w:pStyle w:val="4"/>
        <w:spacing w:line="363" w:lineRule="exact"/>
        <w:ind w:left="0" w:leftChars="0" w:firstLine="5460" w:firstLineChars="2275"/>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14:paraId="2D8189E5">
      <w:pPr>
        <w:pStyle w:val="4"/>
        <w:spacing w:line="363" w:lineRule="exact"/>
        <w:ind w:left="0" w:leftChars="0" w:firstLine="5460" w:firstLineChars="2275"/>
        <w:jc w:val="left"/>
        <w:rPr>
          <w:rFonts w:hint="eastAsia" w:ascii="宋体" w:hAnsi="宋体" w:eastAsia="宋体" w:cs="宋体"/>
          <w:b w:val="0"/>
          <w:bCs w:val="0"/>
          <w:color w:val="auto"/>
          <w:sz w:val="24"/>
          <w:szCs w:val="24"/>
          <w:highlight w:val="none"/>
        </w:rPr>
      </w:pPr>
    </w:p>
    <w:p w14:paraId="48888A8B">
      <w:pPr>
        <w:pStyle w:val="4"/>
        <w:spacing w:line="363" w:lineRule="exact"/>
        <w:ind w:left="217" w:right="175"/>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br w:type="page"/>
      </w:r>
      <w:r>
        <w:rPr>
          <w:rFonts w:hint="eastAsia" w:ascii="宋体" w:hAnsi="宋体" w:eastAsia="宋体" w:cs="宋体"/>
          <w:b/>
          <w:bCs/>
          <w:color w:val="auto"/>
          <w:sz w:val="24"/>
          <w:szCs w:val="24"/>
          <w:highlight w:val="none"/>
          <w:lang w:eastAsia="zh-CN"/>
        </w:rPr>
        <w:t>符合提供资格条件承诺函的信用承诺书</w:t>
      </w:r>
    </w:p>
    <w:p w14:paraId="4E5A9EDE">
      <w:pPr>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rPr>
        <w:t>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（采购人、采购代理机构）</w:t>
      </w:r>
      <w:r>
        <w:rPr>
          <w:rFonts w:hint="eastAsia" w:ascii="宋体" w:hAnsi="宋体" w:eastAsia="宋体" w:cs="宋体"/>
          <w:b w:val="0"/>
          <w:bCs w:val="0"/>
          <w:color w:val="auto"/>
          <w:sz w:val="24"/>
          <w:szCs w:val="24"/>
          <w:highlight w:val="none"/>
          <w:u w:val="none"/>
          <w:lang w:eastAsia="zh-CN"/>
        </w:rPr>
        <w:t>：</w:t>
      </w:r>
    </w:p>
    <w:p w14:paraId="25CB84C0">
      <w:pPr>
        <w:pStyle w:val="23"/>
        <w:ind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rPr>
        <w:t>我单位（公司）参与</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（采购项目名称 项目编号）</w:t>
      </w:r>
      <w:r>
        <w:rPr>
          <w:rFonts w:hint="eastAsia" w:ascii="宋体" w:hAnsi="宋体" w:eastAsia="宋体" w:cs="宋体"/>
          <w:b w:val="0"/>
          <w:bCs w:val="0"/>
          <w:color w:val="auto"/>
          <w:sz w:val="24"/>
          <w:szCs w:val="24"/>
          <w:highlight w:val="none"/>
        </w:rPr>
        <w:t>采购项目的政府采购活动，</w:t>
      </w:r>
      <w:r>
        <w:rPr>
          <w:rFonts w:hint="eastAsia" w:ascii="宋体" w:hAnsi="宋体" w:eastAsia="宋体" w:cs="宋体"/>
          <w:b w:val="0"/>
          <w:bCs w:val="0"/>
          <w:color w:val="auto"/>
          <w:sz w:val="24"/>
          <w:szCs w:val="24"/>
          <w:highlight w:val="none"/>
          <w:lang w:eastAsia="zh-CN"/>
        </w:rPr>
        <w:t>我单位（公司）现承诺不属于下列任何一种情形：</w:t>
      </w:r>
    </w:p>
    <w:p w14:paraId="53135EEC">
      <w:pPr>
        <w:pStyle w:val="4"/>
        <w:spacing w:line="363" w:lineRule="exact"/>
        <w:ind w:left="0" w:leftChars="0" w:firstLine="420" w:firstLineChars="175"/>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1.被列入政府采购不良行为记录名单的，被禁止参加政府采购活动且尚在处罚有效期内的；</w:t>
      </w:r>
    </w:p>
    <w:p w14:paraId="4FBCA7E9">
      <w:pPr>
        <w:pStyle w:val="4"/>
        <w:spacing w:line="363" w:lineRule="exact"/>
        <w:ind w:left="0" w:leftChars="0" w:firstLine="420" w:firstLineChars="175"/>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2.被有关部门列入失信被执行人、联合惩戒对象、严重违法失信行为记录等情形的；</w:t>
      </w:r>
    </w:p>
    <w:p w14:paraId="15D1E3DA">
      <w:pPr>
        <w:pStyle w:val="4"/>
        <w:spacing w:line="363" w:lineRule="exact"/>
        <w:ind w:left="0" w:leftChars="0" w:firstLine="420" w:firstLineChars="175"/>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3.其他法律法规规定的不适用于资格条件信用承诺的情</w:t>
      </w:r>
      <w:r>
        <w:rPr>
          <w:rFonts w:hint="eastAsia" w:ascii="宋体" w:hAnsi="宋体" w:eastAsia="宋体" w:cs="宋体"/>
          <w:b w:val="0"/>
          <w:bCs w:val="0"/>
          <w:color w:val="auto"/>
          <w:sz w:val="24"/>
          <w:szCs w:val="24"/>
          <w:highlight w:val="none"/>
          <w:lang w:eastAsia="zh-CN"/>
        </w:rPr>
        <w:t>形。</w:t>
      </w:r>
    </w:p>
    <w:p w14:paraId="5824106C">
      <w:pPr>
        <w:pStyle w:val="4"/>
        <w:spacing w:line="363" w:lineRule="exact"/>
        <w:ind w:left="0" w:leftChars="0" w:firstLine="420" w:firstLineChars="175"/>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我单位（公司）对上述承诺的真实性负责。如有虚假，将依法承担相应责任。</w:t>
      </w:r>
    </w:p>
    <w:p w14:paraId="06E32FA9">
      <w:pPr>
        <w:pStyle w:val="4"/>
        <w:spacing w:line="363" w:lineRule="exact"/>
        <w:ind w:left="0" w:leftChars="0" w:firstLine="420" w:firstLineChars="175"/>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特此承诺。</w:t>
      </w:r>
    </w:p>
    <w:p w14:paraId="70E3A151">
      <w:pPr>
        <w:pStyle w:val="4"/>
        <w:spacing w:line="363" w:lineRule="exact"/>
        <w:ind w:left="0" w:leftChars="0" w:firstLine="5460" w:firstLineChars="2275"/>
        <w:jc w:val="left"/>
        <w:rPr>
          <w:rFonts w:hint="eastAsia" w:ascii="宋体" w:hAnsi="宋体" w:eastAsia="宋体" w:cs="宋体"/>
          <w:b w:val="0"/>
          <w:bCs w:val="0"/>
          <w:color w:val="auto"/>
          <w:sz w:val="24"/>
          <w:szCs w:val="24"/>
          <w:highlight w:val="none"/>
        </w:rPr>
      </w:pPr>
    </w:p>
    <w:p w14:paraId="37876988">
      <w:pPr>
        <w:pStyle w:val="4"/>
        <w:spacing w:line="363" w:lineRule="exact"/>
        <w:ind w:left="0" w:leftChars="0" w:firstLine="5460" w:firstLineChars="2275"/>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盖章：</w:t>
      </w:r>
    </w:p>
    <w:p w14:paraId="67316B0A">
      <w:pPr>
        <w:pStyle w:val="4"/>
        <w:spacing w:line="363" w:lineRule="exact"/>
        <w:ind w:left="0" w:leftChars="0" w:firstLine="5460" w:firstLineChars="2275"/>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w:t>
      </w:r>
    </w:p>
    <w:p w14:paraId="01D05F98">
      <w:pPr>
        <w:pStyle w:val="4"/>
        <w:spacing w:line="363" w:lineRule="exact"/>
        <w:ind w:left="0" w:leftChars="0" w:firstLine="5460" w:firstLineChars="2275"/>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14:paraId="5B0EC006">
      <w:pPr>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bookmarkStart w:id="531" w:name="_Toc247514302"/>
      <w:bookmarkStart w:id="532" w:name="_Toc265953296"/>
      <w:bookmarkStart w:id="533" w:name="_Toc247527850"/>
      <w:bookmarkStart w:id="534" w:name="_Toc152042599"/>
      <w:bookmarkStart w:id="535" w:name="_Toc152045810"/>
      <w:bookmarkStart w:id="536" w:name="_Toc144974878"/>
      <w:r>
        <w:rPr>
          <w:rFonts w:hint="eastAsia" w:ascii="宋体" w:hAnsi="宋体" w:eastAsia="宋体" w:cs="宋体"/>
          <w:b/>
          <w:color w:val="auto"/>
          <w:sz w:val="24"/>
          <w:szCs w:val="24"/>
          <w:highlight w:val="none"/>
        </w:rPr>
        <w:t>（三）近年完成的类似项目情况表</w:t>
      </w:r>
      <w:bookmarkEnd w:id="531"/>
      <w:bookmarkEnd w:id="532"/>
      <w:bookmarkEnd w:id="533"/>
      <w:bookmarkEnd w:id="534"/>
      <w:bookmarkEnd w:id="535"/>
      <w:bookmarkEnd w:id="536"/>
    </w:p>
    <w:tbl>
      <w:tblPr>
        <w:tblStyle w:val="26"/>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9"/>
        <w:gridCol w:w="6805"/>
      </w:tblGrid>
      <w:tr w14:paraId="532E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31" w:type="pct"/>
            <w:tcBorders>
              <w:top w:val="single" w:color="auto" w:sz="4" w:space="0"/>
              <w:left w:val="single" w:color="auto" w:sz="4" w:space="0"/>
              <w:bottom w:val="single" w:color="auto" w:sz="4" w:space="0"/>
              <w:right w:val="single" w:color="auto" w:sz="4" w:space="0"/>
            </w:tcBorders>
            <w:vAlign w:val="center"/>
          </w:tcPr>
          <w:p w14:paraId="2894B5D6">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669" w:type="pct"/>
            <w:tcBorders>
              <w:top w:val="single" w:color="auto" w:sz="4" w:space="0"/>
              <w:left w:val="single" w:color="auto" w:sz="4" w:space="0"/>
              <w:bottom w:val="single" w:color="auto" w:sz="4" w:space="0"/>
              <w:right w:val="single" w:color="auto" w:sz="4" w:space="0"/>
            </w:tcBorders>
          </w:tcPr>
          <w:p w14:paraId="15D8CAC8">
            <w:pPr>
              <w:topLinePunct/>
              <w:spacing w:line="440" w:lineRule="exact"/>
              <w:rPr>
                <w:rFonts w:hint="eastAsia" w:ascii="宋体" w:hAnsi="宋体" w:eastAsia="宋体" w:cs="宋体"/>
                <w:color w:val="auto"/>
                <w:sz w:val="24"/>
                <w:szCs w:val="24"/>
                <w:highlight w:val="none"/>
              </w:rPr>
            </w:pPr>
          </w:p>
        </w:tc>
      </w:tr>
      <w:tr w14:paraId="017E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31" w:type="pct"/>
            <w:tcBorders>
              <w:top w:val="single" w:color="auto" w:sz="4" w:space="0"/>
              <w:left w:val="single" w:color="auto" w:sz="4" w:space="0"/>
              <w:bottom w:val="single" w:color="auto" w:sz="4" w:space="0"/>
              <w:right w:val="single" w:color="auto" w:sz="4" w:space="0"/>
            </w:tcBorders>
            <w:vAlign w:val="center"/>
          </w:tcPr>
          <w:p w14:paraId="70B6A1C7">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3669" w:type="pct"/>
            <w:tcBorders>
              <w:top w:val="single" w:color="auto" w:sz="4" w:space="0"/>
              <w:left w:val="single" w:color="auto" w:sz="4" w:space="0"/>
              <w:bottom w:val="single" w:color="auto" w:sz="4" w:space="0"/>
              <w:right w:val="single" w:color="auto" w:sz="4" w:space="0"/>
            </w:tcBorders>
          </w:tcPr>
          <w:p w14:paraId="78922DB9">
            <w:pPr>
              <w:topLinePunct/>
              <w:spacing w:line="440" w:lineRule="exact"/>
              <w:rPr>
                <w:rFonts w:hint="eastAsia" w:ascii="宋体" w:hAnsi="宋体" w:eastAsia="宋体" w:cs="宋体"/>
                <w:color w:val="auto"/>
                <w:sz w:val="24"/>
                <w:szCs w:val="24"/>
                <w:highlight w:val="none"/>
              </w:rPr>
            </w:pPr>
          </w:p>
        </w:tc>
      </w:tr>
      <w:tr w14:paraId="66A2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31" w:type="pct"/>
            <w:tcBorders>
              <w:top w:val="single" w:color="auto" w:sz="4" w:space="0"/>
              <w:left w:val="single" w:color="auto" w:sz="4" w:space="0"/>
              <w:bottom w:val="single" w:color="auto" w:sz="4" w:space="0"/>
              <w:right w:val="single" w:color="auto" w:sz="4" w:space="0"/>
            </w:tcBorders>
            <w:vAlign w:val="center"/>
          </w:tcPr>
          <w:p w14:paraId="7B9CC0F9">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3669" w:type="pct"/>
            <w:tcBorders>
              <w:top w:val="single" w:color="auto" w:sz="4" w:space="0"/>
              <w:left w:val="single" w:color="auto" w:sz="4" w:space="0"/>
              <w:bottom w:val="single" w:color="auto" w:sz="4" w:space="0"/>
              <w:right w:val="single" w:color="auto" w:sz="4" w:space="0"/>
            </w:tcBorders>
          </w:tcPr>
          <w:p w14:paraId="128B6F06">
            <w:pPr>
              <w:topLinePunct/>
              <w:spacing w:line="440" w:lineRule="exact"/>
              <w:rPr>
                <w:rFonts w:hint="eastAsia" w:ascii="宋体" w:hAnsi="宋体" w:eastAsia="宋体" w:cs="宋体"/>
                <w:color w:val="auto"/>
                <w:sz w:val="24"/>
                <w:szCs w:val="24"/>
                <w:highlight w:val="none"/>
              </w:rPr>
            </w:pPr>
          </w:p>
        </w:tc>
      </w:tr>
      <w:tr w14:paraId="150D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331" w:type="pct"/>
            <w:tcBorders>
              <w:top w:val="single" w:color="auto" w:sz="4" w:space="0"/>
              <w:left w:val="single" w:color="auto" w:sz="4" w:space="0"/>
              <w:bottom w:val="single" w:color="auto" w:sz="4" w:space="0"/>
              <w:right w:val="single" w:color="auto" w:sz="4" w:space="0"/>
            </w:tcBorders>
            <w:vAlign w:val="center"/>
          </w:tcPr>
          <w:p w14:paraId="3132486A">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3669" w:type="pct"/>
            <w:tcBorders>
              <w:top w:val="single" w:color="auto" w:sz="4" w:space="0"/>
              <w:left w:val="single" w:color="auto" w:sz="4" w:space="0"/>
              <w:bottom w:val="single" w:color="auto" w:sz="4" w:space="0"/>
              <w:right w:val="single" w:color="auto" w:sz="4" w:space="0"/>
            </w:tcBorders>
          </w:tcPr>
          <w:p w14:paraId="31BD2E30">
            <w:pPr>
              <w:topLinePunct/>
              <w:spacing w:line="440" w:lineRule="exact"/>
              <w:rPr>
                <w:rFonts w:hint="eastAsia" w:ascii="宋体" w:hAnsi="宋体" w:eastAsia="宋体" w:cs="宋体"/>
                <w:color w:val="auto"/>
                <w:sz w:val="24"/>
                <w:szCs w:val="24"/>
                <w:highlight w:val="none"/>
              </w:rPr>
            </w:pPr>
          </w:p>
        </w:tc>
      </w:tr>
      <w:tr w14:paraId="256C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31" w:type="pct"/>
            <w:tcBorders>
              <w:top w:val="single" w:color="auto" w:sz="4" w:space="0"/>
              <w:left w:val="single" w:color="auto" w:sz="4" w:space="0"/>
              <w:bottom w:val="single" w:color="auto" w:sz="4" w:space="0"/>
              <w:right w:val="single" w:color="auto" w:sz="4" w:space="0"/>
            </w:tcBorders>
            <w:vAlign w:val="center"/>
          </w:tcPr>
          <w:p w14:paraId="49498500">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发包人电话</w:t>
            </w:r>
          </w:p>
        </w:tc>
        <w:tc>
          <w:tcPr>
            <w:tcW w:w="3669" w:type="pct"/>
            <w:tcBorders>
              <w:top w:val="single" w:color="auto" w:sz="4" w:space="0"/>
              <w:left w:val="single" w:color="auto" w:sz="4" w:space="0"/>
              <w:bottom w:val="single" w:color="auto" w:sz="4" w:space="0"/>
              <w:right w:val="single" w:color="auto" w:sz="4" w:space="0"/>
            </w:tcBorders>
          </w:tcPr>
          <w:p w14:paraId="02227242">
            <w:pPr>
              <w:topLinePunct/>
              <w:spacing w:line="440" w:lineRule="exact"/>
              <w:rPr>
                <w:rFonts w:hint="eastAsia" w:ascii="宋体" w:hAnsi="宋体" w:eastAsia="宋体" w:cs="宋体"/>
                <w:color w:val="auto"/>
                <w:sz w:val="24"/>
                <w:szCs w:val="24"/>
                <w:highlight w:val="none"/>
              </w:rPr>
            </w:pPr>
          </w:p>
        </w:tc>
      </w:tr>
      <w:tr w14:paraId="1B76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31" w:type="pct"/>
            <w:tcBorders>
              <w:top w:val="single" w:color="auto" w:sz="4" w:space="0"/>
              <w:left w:val="single" w:color="auto" w:sz="4" w:space="0"/>
              <w:bottom w:val="single" w:color="auto" w:sz="4" w:space="0"/>
              <w:right w:val="single" w:color="auto" w:sz="4" w:space="0"/>
            </w:tcBorders>
            <w:vAlign w:val="center"/>
          </w:tcPr>
          <w:p w14:paraId="09E0E109">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w:t>
            </w:r>
          </w:p>
        </w:tc>
        <w:tc>
          <w:tcPr>
            <w:tcW w:w="3669" w:type="pct"/>
            <w:tcBorders>
              <w:top w:val="single" w:color="auto" w:sz="4" w:space="0"/>
              <w:left w:val="single" w:color="auto" w:sz="4" w:space="0"/>
              <w:bottom w:val="single" w:color="auto" w:sz="4" w:space="0"/>
              <w:right w:val="single" w:color="auto" w:sz="4" w:space="0"/>
            </w:tcBorders>
          </w:tcPr>
          <w:p w14:paraId="25F08154">
            <w:pPr>
              <w:topLinePunct/>
              <w:spacing w:line="440" w:lineRule="exact"/>
              <w:rPr>
                <w:rFonts w:hint="eastAsia" w:ascii="宋体" w:hAnsi="宋体" w:eastAsia="宋体" w:cs="宋体"/>
                <w:color w:val="auto"/>
                <w:sz w:val="24"/>
                <w:szCs w:val="24"/>
                <w:highlight w:val="none"/>
              </w:rPr>
            </w:pPr>
          </w:p>
        </w:tc>
      </w:tr>
      <w:tr w14:paraId="52D0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31" w:type="pct"/>
            <w:tcBorders>
              <w:top w:val="single" w:color="auto" w:sz="4" w:space="0"/>
              <w:left w:val="single" w:color="auto" w:sz="4" w:space="0"/>
              <w:bottom w:val="single" w:color="auto" w:sz="4" w:space="0"/>
              <w:right w:val="single" w:color="auto" w:sz="4" w:space="0"/>
            </w:tcBorders>
            <w:vAlign w:val="center"/>
          </w:tcPr>
          <w:p w14:paraId="6144C490">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p>
        </w:tc>
        <w:tc>
          <w:tcPr>
            <w:tcW w:w="3669" w:type="pct"/>
            <w:tcBorders>
              <w:top w:val="single" w:color="auto" w:sz="4" w:space="0"/>
              <w:left w:val="single" w:color="auto" w:sz="4" w:space="0"/>
              <w:bottom w:val="single" w:color="auto" w:sz="4" w:space="0"/>
              <w:right w:val="single" w:color="auto" w:sz="4" w:space="0"/>
            </w:tcBorders>
          </w:tcPr>
          <w:p w14:paraId="076D761C">
            <w:pPr>
              <w:topLinePunct/>
              <w:spacing w:line="440" w:lineRule="exact"/>
              <w:rPr>
                <w:rFonts w:hint="eastAsia" w:ascii="宋体" w:hAnsi="宋体" w:eastAsia="宋体" w:cs="宋体"/>
                <w:color w:val="auto"/>
                <w:sz w:val="24"/>
                <w:szCs w:val="24"/>
                <w:highlight w:val="none"/>
              </w:rPr>
            </w:pPr>
          </w:p>
        </w:tc>
      </w:tr>
      <w:tr w14:paraId="6892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331" w:type="pct"/>
            <w:tcBorders>
              <w:top w:val="single" w:color="auto" w:sz="4" w:space="0"/>
              <w:left w:val="single" w:color="auto" w:sz="4" w:space="0"/>
              <w:bottom w:val="single" w:color="auto" w:sz="4" w:space="0"/>
              <w:right w:val="single" w:color="auto" w:sz="4" w:space="0"/>
            </w:tcBorders>
            <w:vAlign w:val="center"/>
          </w:tcPr>
          <w:p w14:paraId="4A998A3B">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竣工日期</w:t>
            </w:r>
          </w:p>
        </w:tc>
        <w:tc>
          <w:tcPr>
            <w:tcW w:w="3669" w:type="pct"/>
            <w:tcBorders>
              <w:top w:val="single" w:color="auto" w:sz="4" w:space="0"/>
              <w:left w:val="single" w:color="auto" w:sz="4" w:space="0"/>
              <w:bottom w:val="single" w:color="auto" w:sz="4" w:space="0"/>
              <w:right w:val="single" w:color="auto" w:sz="4" w:space="0"/>
            </w:tcBorders>
          </w:tcPr>
          <w:p w14:paraId="59C97126">
            <w:pPr>
              <w:topLinePunct/>
              <w:spacing w:line="440" w:lineRule="exact"/>
              <w:rPr>
                <w:rFonts w:hint="eastAsia" w:ascii="宋体" w:hAnsi="宋体" w:eastAsia="宋体" w:cs="宋体"/>
                <w:color w:val="auto"/>
                <w:sz w:val="24"/>
                <w:szCs w:val="24"/>
                <w:highlight w:val="none"/>
              </w:rPr>
            </w:pPr>
          </w:p>
        </w:tc>
      </w:tr>
      <w:tr w14:paraId="0935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31" w:type="pct"/>
            <w:tcBorders>
              <w:top w:val="single" w:color="auto" w:sz="4" w:space="0"/>
              <w:left w:val="single" w:color="auto" w:sz="4" w:space="0"/>
              <w:bottom w:val="single" w:color="auto" w:sz="4" w:space="0"/>
              <w:right w:val="single" w:color="auto" w:sz="4" w:space="0"/>
            </w:tcBorders>
            <w:vAlign w:val="center"/>
          </w:tcPr>
          <w:p w14:paraId="150E39C3">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承担的工作</w:t>
            </w:r>
          </w:p>
        </w:tc>
        <w:tc>
          <w:tcPr>
            <w:tcW w:w="3669" w:type="pct"/>
            <w:tcBorders>
              <w:top w:val="single" w:color="auto" w:sz="4" w:space="0"/>
              <w:left w:val="single" w:color="auto" w:sz="4" w:space="0"/>
              <w:bottom w:val="single" w:color="auto" w:sz="4" w:space="0"/>
              <w:right w:val="single" w:color="auto" w:sz="4" w:space="0"/>
            </w:tcBorders>
          </w:tcPr>
          <w:p w14:paraId="5736AE68">
            <w:pPr>
              <w:topLinePunct/>
              <w:spacing w:line="440" w:lineRule="exact"/>
              <w:rPr>
                <w:rFonts w:hint="eastAsia" w:ascii="宋体" w:hAnsi="宋体" w:eastAsia="宋体" w:cs="宋体"/>
                <w:color w:val="auto"/>
                <w:sz w:val="24"/>
                <w:szCs w:val="24"/>
                <w:highlight w:val="none"/>
              </w:rPr>
            </w:pPr>
          </w:p>
        </w:tc>
      </w:tr>
      <w:tr w14:paraId="7751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331" w:type="pct"/>
            <w:tcBorders>
              <w:top w:val="single" w:color="auto" w:sz="4" w:space="0"/>
              <w:left w:val="single" w:color="auto" w:sz="4" w:space="0"/>
              <w:bottom w:val="single" w:color="auto" w:sz="4" w:space="0"/>
              <w:right w:val="single" w:color="auto" w:sz="4" w:space="0"/>
            </w:tcBorders>
            <w:vAlign w:val="center"/>
          </w:tcPr>
          <w:p w14:paraId="4EE8C17C">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p>
        </w:tc>
        <w:tc>
          <w:tcPr>
            <w:tcW w:w="3669" w:type="pct"/>
            <w:tcBorders>
              <w:top w:val="single" w:color="auto" w:sz="4" w:space="0"/>
              <w:left w:val="single" w:color="auto" w:sz="4" w:space="0"/>
              <w:bottom w:val="single" w:color="auto" w:sz="4" w:space="0"/>
              <w:right w:val="single" w:color="auto" w:sz="4" w:space="0"/>
            </w:tcBorders>
          </w:tcPr>
          <w:p w14:paraId="14E3D7E0">
            <w:pPr>
              <w:topLinePunct/>
              <w:spacing w:line="440" w:lineRule="exact"/>
              <w:rPr>
                <w:rFonts w:hint="eastAsia" w:ascii="宋体" w:hAnsi="宋体" w:eastAsia="宋体" w:cs="宋体"/>
                <w:color w:val="auto"/>
                <w:sz w:val="24"/>
                <w:szCs w:val="24"/>
                <w:highlight w:val="none"/>
              </w:rPr>
            </w:pPr>
          </w:p>
        </w:tc>
      </w:tr>
      <w:tr w14:paraId="37EE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331" w:type="pct"/>
            <w:tcBorders>
              <w:top w:val="single" w:color="auto" w:sz="4" w:space="0"/>
              <w:left w:val="single" w:color="auto" w:sz="4" w:space="0"/>
              <w:bottom w:val="single" w:color="auto" w:sz="4" w:space="0"/>
              <w:right w:val="single" w:color="auto" w:sz="4" w:space="0"/>
            </w:tcBorders>
            <w:vAlign w:val="center"/>
          </w:tcPr>
          <w:p w14:paraId="35313F54">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3669" w:type="pct"/>
            <w:tcBorders>
              <w:top w:val="single" w:color="auto" w:sz="4" w:space="0"/>
              <w:left w:val="single" w:color="auto" w:sz="4" w:space="0"/>
              <w:bottom w:val="single" w:color="auto" w:sz="4" w:space="0"/>
              <w:right w:val="single" w:color="auto" w:sz="4" w:space="0"/>
            </w:tcBorders>
          </w:tcPr>
          <w:p w14:paraId="7E4FCA7A">
            <w:pPr>
              <w:topLinePunct/>
              <w:spacing w:line="440" w:lineRule="exact"/>
              <w:rPr>
                <w:rFonts w:hint="eastAsia" w:ascii="宋体" w:hAnsi="宋体" w:eastAsia="宋体" w:cs="宋体"/>
                <w:color w:val="auto"/>
                <w:sz w:val="24"/>
                <w:szCs w:val="24"/>
                <w:highlight w:val="none"/>
              </w:rPr>
            </w:pPr>
          </w:p>
        </w:tc>
      </w:tr>
      <w:tr w14:paraId="590C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331" w:type="pct"/>
            <w:tcBorders>
              <w:top w:val="single" w:color="auto" w:sz="4" w:space="0"/>
              <w:left w:val="single" w:color="auto" w:sz="4" w:space="0"/>
              <w:bottom w:val="single" w:color="auto" w:sz="4" w:space="0"/>
              <w:right w:val="single" w:color="auto" w:sz="4" w:space="0"/>
            </w:tcBorders>
            <w:vAlign w:val="center"/>
          </w:tcPr>
          <w:p w14:paraId="1129860E">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3669" w:type="pct"/>
            <w:tcBorders>
              <w:top w:val="single" w:color="auto" w:sz="4" w:space="0"/>
              <w:left w:val="single" w:color="auto" w:sz="4" w:space="0"/>
              <w:bottom w:val="single" w:color="auto" w:sz="4" w:space="0"/>
              <w:right w:val="single" w:color="auto" w:sz="4" w:space="0"/>
            </w:tcBorders>
          </w:tcPr>
          <w:p w14:paraId="5F9DE20B">
            <w:pPr>
              <w:topLinePunct/>
              <w:spacing w:line="440" w:lineRule="exact"/>
              <w:rPr>
                <w:rFonts w:hint="eastAsia" w:ascii="宋体" w:hAnsi="宋体" w:eastAsia="宋体" w:cs="宋体"/>
                <w:color w:val="auto"/>
                <w:sz w:val="24"/>
                <w:szCs w:val="24"/>
                <w:highlight w:val="none"/>
              </w:rPr>
            </w:pPr>
          </w:p>
        </w:tc>
      </w:tr>
      <w:tr w14:paraId="7E06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331" w:type="pct"/>
            <w:tcBorders>
              <w:top w:val="single" w:color="auto" w:sz="4" w:space="0"/>
              <w:left w:val="single" w:color="auto" w:sz="4" w:space="0"/>
              <w:bottom w:val="single" w:color="auto" w:sz="4" w:space="0"/>
              <w:right w:val="single" w:color="auto" w:sz="4" w:space="0"/>
            </w:tcBorders>
            <w:vAlign w:val="center"/>
          </w:tcPr>
          <w:p w14:paraId="33469892">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3669" w:type="pct"/>
            <w:tcBorders>
              <w:top w:val="single" w:color="auto" w:sz="4" w:space="0"/>
              <w:left w:val="single" w:color="auto" w:sz="4" w:space="0"/>
              <w:bottom w:val="single" w:color="auto" w:sz="4" w:space="0"/>
              <w:right w:val="single" w:color="auto" w:sz="4" w:space="0"/>
            </w:tcBorders>
          </w:tcPr>
          <w:p w14:paraId="2D9D27F5">
            <w:pPr>
              <w:topLinePunct/>
              <w:spacing w:line="440" w:lineRule="exact"/>
              <w:rPr>
                <w:rFonts w:hint="eastAsia" w:ascii="宋体" w:hAnsi="宋体" w:eastAsia="宋体" w:cs="宋体"/>
                <w:color w:val="auto"/>
                <w:sz w:val="24"/>
                <w:szCs w:val="24"/>
                <w:highlight w:val="none"/>
              </w:rPr>
            </w:pPr>
          </w:p>
          <w:p w14:paraId="74C776AF">
            <w:pPr>
              <w:topLinePunct/>
              <w:spacing w:line="440" w:lineRule="exact"/>
              <w:rPr>
                <w:rFonts w:hint="eastAsia" w:ascii="宋体" w:hAnsi="宋体" w:eastAsia="宋体" w:cs="宋体"/>
                <w:color w:val="auto"/>
                <w:sz w:val="24"/>
                <w:szCs w:val="24"/>
                <w:highlight w:val="none"/>
              </w:rPr>
            </w:pPr>
          </w:p>
          <w:p w14:paraId="121A0E82">
            <w:pPr>
              <w:topLinePunct/>
              <w:spacing w:line="440" w:lineRule="exact"/>
              <w:rPr>
                <w:rFonts w:hint="eastAsia" w:ascii="宋体" w:hAnsi="宋体" w:eastAsia="宋体" w:cs="宋体"/>
                <w:color w:val="auto"/>
                <w:sz w:val="24"/>
                <w:szCs w:val="24"/>
                <w:highlight w:val="none"/>
              </w:rPr>
            </w:pPr>
          </w:p>
          <w:p w14:paraId="003A8113">
            <w:pPr>
              <w:topLinePunct/>
              <w:spacing w:line="440" w:lineRule="exact"/>
              <w:rPr>
                <w:rFonts w:hint="eastAsia" w:ascii="宋体" w:hAnsi="宋体" w:eastAsia="宋体" w:cs="宋体"/>
                <w:color w:val="auto"/>
                <w:sz w:val="24"/>
                <w:szCs w:val="24"/>
                <w:highlight w:val="none"/>
              </w:rPr>
            </w:pPr>
          </w:p>
          <w:p w14:paraId="6652F89C">
            <w:pPr>
              <w:topLinePunct/>
              <w:spacing w:line="440" w:lineRule="exact"/>
              <w:rPr>
                <w:rFonts w:hint="eastAsia" w:ascii="宋体" w:hAnsi="宋体" w:eastAsia="宋体" w:cs="宋体"/>
                <w:color w:val="auto"/>
                <w:sz w:val="24"/>
                <w:szCs w:val="24"/>
                <w:highlight w:val="none"/>
              </w:rPr>
            </w:pPr>
          </w:p>
          <w:p w14:paraId="1C153374">
            <w:pPr>
              <w:topLinePunct/>
              <w:spacing w:line="440" w:lineRule="exact"/>
              <w:rPr>
                <w:rFonts w:hint="eastAsia" w:ascii="宋体" w:hAnsi="宋体" w:eastAsia="宋体" w:cs="宋体"/>
                <w:color w:val="auto"/>
                <w:sz w:val="24"/>
                <w:szCs w:val="24"/>
                <w:highlight w:val="none"/>
              </w:rPr>
            </w:pPr>
          </w:p>
          <w:p w14:paraId="7159409E">
            <w:pPr>
              <w:topLinePunct/>
              <w:spacing w:line="440" w:lineRule="exact"/>
              <w:rPr>
                <w:rFonts w:hint="eastAsia" w:ascii="宋体" w:hAnsi="宋体" w:eastAsia="宋体" w:cs="宋体"/>
                <w:color w:val="auto"/>
                <w:sz w:val="24"/>
                <w:szCs w:val="24"/>
                <w:highlight w:val="none"/>
              </w:rPr>
            </w:pPr>
          </w:p>
        </w:tc>
      </w:tr>
      <w:tr w14:paraId="5BC7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31" w:type="pct"/>
            <w:tcBorders>
              <w:top w:val="single" w:color="auto" w:sz="4" w:space="0"/>
              <w:left w:val="single" w:color="auto" w:sz="4" w:space="0"/>
              <w:bottom w:val="single" w:color="auto" w:sz="4" w:space="0"/>
              <w:right w:val="single" w:color="auto" w:sz="4" w:space="0"/>
            </w:tcBorders>
            <w:vAlign w:val="center"/>
          </w:tcPr>
          <w:p w14:paraId="606DBAA6">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3669" w:type="pct"/>
            <w:tcBorders>
              <w:top w:val="single" w:color="auto" w:sz="4" w:space="0"/>
              <w:left w:val="single" w:color="auto" w:sz="4" w:space="0"/>
              <w:bottom w:val="single" w:color="auto" w:sz="4" w:space="0"/>
              <w:right w:val="single" w:color="auto" w:sz="4" w:space="0"/>
            </w:tcBorders>
          </w:tcPr>
          <w:p w14:paraId="0CD920CA">
            <w:pPr>
              <w:topLinePunct/>
              <w:spacing w:line="440" w:lineRule="exact"/>
              <w:rPr>
                <w:rFonts w:hint="eastAsia" w:ascii="宋体" w:hAnsi="宋体" w:eastAsia="宋体" w:cs="宋体"/>
                <w:color w:val="auto"/>
                <w:sz w:val="24"/>
                <w:szCs w:val="24"/>
                <w:highlight w:val="none"/>
              </w:rPr>
            </w:pPr>
          </w:p>
        </w:tc>
      </w:tr>
    </w:tbl>
    <w:p w14:paraId="6BD9295A">
      <w:pPr>
        <w:pStyle w:val="11"/>
        <w:spacing w:line="360" w:lineRule="auto"/>
        <w:ind w:firstLine="480" w:firstLineChars="200"/>
        <w:rPr>
          <w:rFonts w:hint="eastAsia" w:ascii="宋体" w:hAnsi="宋体" w:eastAsia="宋体" w:cs="宋体"/>
          <w:bCs/>
          <w:color w:val="auto"/>
          <w:sz w:val="24"/>
          <w:szCs w:val="24"/>
          <w:highlight w:val="none"/>
          <w:lang w:val="zh-CN"/>
        </w:rPr>
      </w:pPr>
      <w:bookmarkStart w:id="537" w:name="_Toc265953297"/>
      <w:bookmarkStart w:id="538" w:name="_Toc247514303"/>
      <w:bookmarkStart w:id="539" w:name="_Toc152045811"/>
      <w:bookmarkStart w:id="540" w:name="_Toc144974879"/>
      <w:bookmarkStart w:id="541" w:name="_Toc152042600"/>
      <w:bookmarkStart w:id="542" w:name="_Toc247527851"/>
      <w:r>
        <w:rPr>
          <w:rFonts w:hint="eastAsia" w:ascii="宋体" w:hAnsi="宋体" w:eastAsia="宋体" w:cs="宋体"/>
          <w:bCs/>
          <w:color w:val="auto"/>
          <w:sz w:val="24"/>
          <w:szCs w:val="24"/>
          <w:highlight w:val="none"/>
        </w:rPr>
        <w:t>注：附中标通知书</w:t>
      </w:r>
      <w:r>
        <w:rPr>
          <w:rFonts w:hint="eastAsia" w:ascii="宋体" w:hAnsi="宋体" w:eastAsia="宋体" w:cs="宋体"/>
          <w:bCs/>
          <w:color w:val="auto"/>
          <w:sz w:val="24"/>
          <w:szCs w:val="24"/>
          <w:highlight w:val="none"/>
          <w:lang w:val="en-US" w:eastAsia="zh-CN"/>
        </w:rPr>
        <w:t>或合同协议书或</w:t>
      </w:r>
      <w:r>
        <w:rPr>
          <w:rFonts w:hint="eastAsia" w:ascii="宋体" w:hAnsi="宋体" w:eastAsia="宋体" w:cs="宋体"/>
          <w:bCs/>
          <w:color w:val="auto"/>
          <w:sz w:val="24"/>
          <w:szCs w:val="24"/>
          <w:highlight w:val="none"/>
        </w:rPr>
        <w:t>竣工验收报告</w:t>
      </w:r>
      <w:r>
        <w:rPr>
          <w:rFonts w:hint="eastAsia" w:ascii="宋体" w:hAnsi="宋体" w:eastAsia="宋体" w:cs="宋体"/>
          <w:bCs/>
          <w:color w:val="auto"/>
          <w:sz w:val="24"/>
          <w:szCs w:val="24"/>
          <w:highlight w:val="none"/>
          <w:lang w:val="en-US" w:eastAsia="zh-CN"/>
        </w:rPr>
        <w:t>证明</w:t>
      </w:r>
      <w:r>
        <w:rPr>
          <w:rFonts w:hint="eastAsia" w:ascii="宋体" w:hAnsi="宋体" w:eastAsia="宋体" w:cs="宋体"/>
          <w:bCs/>
          <w:color w:val="auto"/>
          <w:sz w:val="24"/>
          <w:szCs w:val="24"/>
          <w:highlight w:val="none"/>
        </w:rPr>
        <w:t>等复印件，复印件须加盖企业公章后装订在响应文件中 。所有复印件必须要清晰、字迹清楚。</w:t>
      </w:r>
    </w:p>
    <w:p w14:paraId="118C9A50">
      <w:pPr>
        <w:rPr>
          <w:rFonts w:hint="eastAsia" w:ascii="宋体" w:hAnsi="宋体" w:eastAsia="宋体" w:cs="宋体"/>
          <w:color w:val="auto"/>
          <w:sz w:val="24"/>
          <w:szCs w:val="24"/>
          <w:highlight w:val="none"/>
        </w:rPr>
      </w:pPr>
    </w:p>
    <w:p w14:paraId="082050D2">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（四）正在实施的和新承接的项目情况表</w:t>
      </w:r>
      <w:bookmarkEnd w:id="537"/>
      <w:bookmarkEnd w:id="538"/>
      <w:bookmarkEnd w:id="539"/>
      <w:bookmarkEnd w:id="540"/>
      <w:bookmarkEnd w:id="541"/>
      <w:bookmarkEnd w:id="542"/>
    </w:p>
    <w:p w14:paraId="5521FC0D">
      <w:pPr>
        <w:spacing w:line="440" w:lineRule="exact"/>
        <w:rPr>
          <w:rFonts w:hint="eastAsia" w:ascii="宋体" w:hAnsi="宋体" w:eastAsia="宋体" w:cs="宋体"/>
          <w:color w:val="auto"/>
          <w:sz w:val="24"/>
          <w:szCs w:val="24"/>
          <w:highlight w:val="none"/>
        </w:rPr>
      </w:pP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6978"/>
      </w:tblGrid>
      <w:tr w14:paraId="70DF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43" w:type="pct"/>
            <w:tcBorders>
              <w:top w:val="single" w:color="auto" w:sz="4" w:space="0"/>
              <w:left w:val="single" w:color="auto" w:sz="4" w:space="0"/>
              <w:bottom w:val="single" w:color="auto" w:sz="4" w:space="0"/>
              <w:right w:val="single" w:color="auto" w:sz="4" w:space="0"/>
            </w:tcBorders>
            <w:vAlign w:val="center"/>
          </w:tcPr>
          <w:p w14:paraId="5CA634FF">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757" w:type="pct"/>
            <w:tcBorders>
              <w:top w:val="single" w:color="auto" w:sz="4" w:space="0"/>
              <w:left w:val="single" w:color="auto" w:sz="4" w:space="0"/>
              <w:bottom w:val="single" w:color="auto" w:sz="4" w:space="0"/>
              <w:right w:val="single" w:color="auto" w:sz="4" w:space="0"/>
            </w:tcBorders>
          </w:tcPr>
          <w:p w14:paraId="11EEFB26">
            <w:pPr>
              <w:topLinePunct/>
              <w:spacing w:line="440" w:lineRule="exact"/>
              <w:rPr>
                <w:rFonts w:hint="eastAsia" w:ascii="宋体" w:hAnsi="宋体" w:eastAsia="宋体" w:cs="宋体"/>
                <w:color w:val="auto"/>
                <w:sz w:val="24"/>
                <w:szCs w:val="24"/>
                <w:highlight w:val="none"/>
              </w:rPr>
            </w:pPr>
          </w:p>
        </w:tc>
      </w:tr>
      <w:tr w14:paraId="7518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43" w:type="pct"/>
            <w:tcBorders>
              <w:top w:val="single" w:color="auto" w:sz="4" w:space="0"/>
              <w:left w:val="single" w:color="auto" w:sz="4" w:space="0"/>
              <w:bottom w:val="single" w:color="auto" w:sz="4" w:space="0"/>
              <w:right w:val="single" w:color="auto" w:sz="4" w:space="0"/>
            </w:tcBorders>
            <w:vAlign w:val="center"/>
          </w:tcPr>
          <w:p w14:paraId="6955F4E3">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3757" w:type="pct"/>
            <w:tcBorders>
              <w:top w:val="single" w:color="auto" w:sz="4" w:space="0"/>
              <w:left w:val="single" w:color="auto" w:sz="4" w:space="0"/>
              <w:bottom w:val="single" w:color="auto" w:sz="4" w:space="0"/>
              <w:right w:val="single" w:color="auto" w:sz="4" w:space="0"/>
            </w:tcBorders>
          </w:tcPr>
          <w:p w14:paraId="57E6DD7E">
            <w:pPr>
              <w:topLinePunct/>
              <w:spacing w:line="440" w:lineRule="exact"/>
              <w:rPr>
                <w:rFonts w:hint="eastAsia" w:ascii="宋体" w:hAnsi="宋体" w:eastAsia="宋体" w:cs="宋体"/>
                <w:color w:val="auto"/>
                <w:sz w:val="24"/>
                <w:szCs w:val="24"/>
                <w:highlight w:val="none"/>
              </w:rPr>
            </w:pPr>
          </w:p>
        </w:tc>
      </w:tr>
      <w:tr w14:paraId="0363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243" w:type="pct"/>
            <w:tcBorders>
              <w:top w:val="single" w:color="auto" w:sz="4" w:space="0"/>
              <w:left w:val="single" w:color="auto" w:sz="4" w:space="0"/>
              <w:bottom w:val="single" w:color="auto" w:sz="4" w:space="0"/>
              <w:right w:val="single" w:color="auto" w:sz="4" w:space="0"/>
            </w:tcBorders>
            <w:vAlign w:val="center"/>
          </w:tcPr>
          <w:p w14:paraId="01CAEB83">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3757" w:type="pct"/>
            <w:tcBorders>
              <w:top w:val="single" w:color="auto" w:sz="4" w:space="0"/>
              <w:left w:val="single" w:color="auto" w:sz="4" w:space="0"/>
              <w:bottom w:val="single" w:color="auto" w:sz="4" w:space="0"/>
              <w:right w:val="single" w:color="auto" w:sz="4" w:space="0"/>
            </w:tcBorders>
          </w:tcPr>
          <w:p w14:paraId="3BB04232">
            <w:pPr>
              <w:topLinePunct/>
              <w:spacing w:line="440" w:lineRule="exact"/>
              <w:rPr>
                <w:rFonts w:hint="eastAsia" w:ascii="宋体" w:hAnsi="宋体" w:eastAsia="宋体" w:cs="宋体"/>
                <w:color w:val="auto"/>
                <w:sz w:val="24"/>
                <w:szCs w:val="24"/>
                <w:highlight w:val="none"/>
              </w:rPr>
            </w:pPr>
          </w:p>
        </w:tc>
      </w:tr>
      <w:tr w14:paraId="4800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43" w:type="pct"/>
            <w:tcBorders>
              <w:top w:val="single" w:color="auto" w:sz="4" w:space="0"/>
              <w:left w:val="single" w:color="auto" w:sz="4" w:space="0"/>
              <w:bottom w:val="single" w:color="auto" w:sz="4" w:space="0"/>
              <w:right w:val="single" w:color="auto" w:sz="4" w:space="0"/>
            </w:tcBorders>
            <w:vAlign w:val="center"/>
          </w:tcPr>
          <w:p w14:paraId="46DC5E5C">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3757" w:type="pct"/>
            <w:tcBorders>
              <w:top w:val="single" w:color="auto" w:sz="4" w:space="0"/>
              <w:left w:val="single" w:color="auto" w:sz="4" w:space="0"/>
              <w:bottom w:val="single" w:color="auto" w:sz="4" w:space="0"/>
              <w:right w:val="single" w:color="auto" w:sz="4" w:space="0"/>
            </w:tcBorders>
          </w:tcPr>
          <w:p w14:paraId="57782A4A">
            <w:pPr>
              <w:topLinePunct/>
              <w:spacing w:line="440" w:lineRule="exact"/>
              <w:rPr>
                <w:rFonts w:hint="eastAsia" w:ascii="宋体" w:hAnsi="宋体" w:eastAsia="宋体" w:cs="宋体"/>
                <w:color w:val="auto"/>
                <w:sz w:val="24"/>
                <w:szCs w:val="24"/>
                <w:highlight w:val="none"/>
              </w:rPr>
            </w:pPr>
          </w:p>
        </w:tc>
      </w:tr>
      <w:tr w14:paraId="21B7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3" w:type="pct"/>
            <w:tcBorders>
              <w:top w:val="single" w:color="auto" w:sz="4" w:space="0"/>
              <w:left w:val="single" w:color="auto" w:sz="4" w:space="0"/>
              <w:bottom w:val="single" w:color="auto" w:sz="4" w:space="0"/>
              <w:right w:val="single" w:color="auto" w:sz="4" w:space="0"/>
            </w:tcBorders>
            <w:vAlign w:val="center"/>
          </w:tcPr>
          <w:p w14:paraId="214FB055">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发包人电话</w:t>
            </w:r>
          </w:p>
        </w:tc>
        <w:tc>
          <w:tcPr>
            <w:tcW w:w="3757" w:type="pct"/>
            <w:tcBorders>
              <w:top w:val="single" w:color="auto" w:sz="4" w:space="0"/>
              <w:left w:val="single" w:color="auto" w:sz="4" w:space="0"/>
              <w:bottom w:val="single" w:color="auto" w:sz="4" w:space="0"/>
              <w:right w:val="single" w:color="auto" w:sz="4" w:space="0"/>
            </w:tcBorders>
          </w:tcPr>
          <w:p w14:paraId="4A485BA1">
            <w:pPr>
              <w:topLinePunct/>
              <w:spacing w:line="440" w:lineRule="exact"/>
              <w:rPr>
                <w:rFonts w:hint="eastAsia" w:ascii="宋体" w:hAnsi="宋体" w:eastAsia="宋体" w:cs="宋体"/>
                <w:color w:val="auto"/>
                <w:sz w:val="24"/>
                <w:szCs w:val="24"/>
                <w:highlight w:val="none"/>
              </w:rPr>
            </w:pPr>
          </w:p>
        </w:tc>
      </w:tr>
      <w:tr w14:paraId="48DE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243" w:type="pct"/>
            <w:tcBorders>
              <w:top w:val="single" w:color="auto" w:sz="4" w:space="0"/>
              <w:left w:val="single" w:color="auto" w:sz="4" w:space="0"/>
              <w:bottom w:val="single" w:color="auto" w:sz="4" w:space="0"/>
              <w:right w:val="single" w:color="auto" w:sz="4" w:space="0"/>
            </w:tcBorders>
            <w:vAlign w:val="center"/>
          </w:tcPr>
          <w:p w14:paraId="5268579B">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签约合同价</w:t>
            </w:r>
          </w:p>
        </w:tc>
        <w:tc>
          <w:tcPr>
            <w:tcW w:w="3757" w:type="pct"/>
            <w:tcBorders>
              <w:top w:val="single" w:color="auto" w:sz="4" w:space="0"/>
              <w:left w:val="single" w:color="auto" w:sz="4" w:space="0"/>
              <w:bottom w:val="single" w:color="auto" w:sz="4" w:space="0"/>
              <w:right w:val="single" w:color="auto" w:sz="4" w:space="0"/>
            </w:tcBorders>
          </w:tcPr>
          <w:p w14:paraId="2463798B">
            <w:pPr>
              <w:topLinePunct/>
              <w:spacing w:line="440" w:lineRule="exact"/>
              <w:rPr>
                <w:rFonts w:hint="eastAsia" w:ascii="宋体" w:hAnsi="宋体" w:eastAsia="宋体" w:cs="宋体"/>
                <w:color w:val="auto"/>
                <w:sz w:val="24"/>
                <w:szCs w:val="24"/>
                <w:highlight w:val="none"/>
              </w:rPr>
            </w:pPr>
          </w:p>
        </w:tc>
      </w:tr>
      <w:tr w14:paraId="3688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43" w:type="pct"/>
            <w:tcBorders>
              <w:top w:val="single" w:color="auto" w:sz="4" w:space="0"/>
              <w:left w:val="single" w:color="auto" w:sz="4" w:space="0"/>
              <w:bottom w:val="single" w:color="auto" w:sz="4" w:space="0"/>
              <w:right w:val="single" w:color="auto" w:sz="4" w:space="0"/>
            </w:tcBorders>
            <w:vAlign w:val="center"/>
          </w:tcPr>
          <w:p w14:paraId="7454CBFC">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p>
        </w:tc>
        <w:tc>
          <w:tcPr>
            <w:tcW w:w="3757" w:type="pct"/>
            <w:tcBorders>
              <w:top w:val="single" w:color="auto" w:sz="4" w:space="0"/>
              <w:left w:val="single" w:color="auto" w:sz="4" w:space="0"/>
              <w:bottom w:val="single" w:color="auto" w:sz="4" w:space="0"/>
              <w:right w:val="single" w:color="auto" w:sz="4" w:space="0"/>
            </w:tcBorders>
          </w:tcPr>
          <w:p w14:paraId="79EA5A8F">
            <w:pPr>
              <w:topLinePunct/>
              <w:spacing w:line="440" w:lineRule="exact"/>
              <w:rPr>
                <w:rFonts w:hint="eastAsia" w:ascii="宋体" w:hAnsi="宋体" w:eastAsia="宋体" w:cs="宋体"/>
                <w:color w:val="auto"/>
                <w:sz w:val="24"/>
                <w:szCs w:val="24"/>
                <w:highlight w:val="none"/>
              </w:rPr>
            </w:pPr>
          </w:p>
        </w:tc>
      </w:tr>
      <w:tr w14:paraId="6BD6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243" w:type="pct"/>
            <w:tcBorders>
              <w:top w:val="single" w:color="auto" w:sz="4" w:space="0"/>
              <w:left w:val="single" w:color="auto" w:sz="4" w:space="0"/>
              <w:bottom w:val="single" w:color="auto" w:sz="4" w:space="0"/>
              <w:right w:val="single" w:color="auto" w:sz="4" w:space="0"/>
            </w:tcBorders>
            <w:vAlign w:val="center"/>
          </w:tcPr>
          <w:p w14:paraId="5DB9DFB1">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p>
        </w:tc>
        <w:tc>
          <w:tcPr>
            <w:tcW w:w="3757" w:type="pct"/>
            <w:tcBorders>
              <w:top w:val="single" w:color="auto" w:sz="4" w:space="0"/>
              <w:left w:val="single" w:color="auto" w:sz="4" w:space="0"/>
              <w:bottom w:val="single" w:color="auto" w:sz="4" w:space="0"/>
              <w:right w:val="single" w:color="auto" w:sz="4" w:space="0"/>
            </w:tcBorders>
          </w:tcPr>
          <w:p w14:paraId="31F144B0">
            <w:pPr>
              <w:topLinePunct/>
              <w:spacing w:line="440" w:lineRule="exact"/>
              <w:rPr>
                <w:rFonts w:hint="eastAsia" w:ascii="宋体" w:hAnsi="宋体" w:eastAsia="宋体" w:cs="宋体"/>
                <w:color w:val="auto"/>
                <w:sz w:val="24"/>
                <w:szCs w:val="24"/>
                <w:highlight w:val="none"/>
              </w:rPr>
            </w:pPr>
          </w:p>
        </w:tc>
      </w:tr>
      <w:tr w14:paraId="61ED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43" w:type="pct"/>
            <w:tcBorders>
              <w:top w:val="single" w:color="auto" w:sz="4" w:space="0"/>
              <w:left w:val="single" w:color="auto" w:sz="4" w:space="0"/>
              <w:bottom w:val="single" w:color="auto" w:sz="4" w:space="0"/>
              <w:right w:val="single" w:color="auto" w:sz="4" w:space="0"/>
            </w:tcBorders>
            <w:vAlign w:val="center"/>
          </w:tcPr>
          <w:p w14:paraId="34AEDFD2">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承担的工作</w:t>
            </w:r>
          </w:p>
        </w:tc>
        <w:tc>
          <w:tcPr>
            <w:tcW w:w="3757" w:type="pct"/>
            <w:tcBorders>
              <w:top w:val="single" w:color="auto" w:sz="4" w:space="0"/>
              <w:left w:val="single" w:color="auto" w:sz="4" w:space="0"/>
              <w:bottom w:val="single" w:color="auto" w:sz="4" w:space="0"/>
              <w:right w:val="single" w:color="auto" w:sz="4" w:space="0"/>
            </w:tcBorders>
          </w:tcPr>
          <w:p w14:paraId="63AABF33">
            <w:pPr>
              <w:topLinePunct/>
              <w:spacing w:line="440" w:lineRule="exact"/>
              <w:rPr>
                <w:rFonts w:hint="eastAsia" w:ascii="宋体" w:hAnsi="宋体" w:eastAsia="宋体" w:cs="宋体"/>
                <w:color w:val="auto"/>
                <w:sz w:val="24"/>
                <w:szCs w:val="24"/>
                <w:highlight w:val="none"/>
              </w:rPr>
            </w:pPr>
          </w:p>
        </w:tc>
      </w:tr>
      <w:tr w14:paraId="59CD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43" w:type="pct"/>
            <w:tcBorders>
              <w:top w:val="single" w:color="auto" w:sz="4" w:space="0"/>
              <w:left w:val="single" w:color="auto" w:sz="4" w:space="0"/>
              <w:bottom w:val="single" w:color="auto" w:sz="4" w:space="0"/>
              <w:right w:val="single" w:color="auto" w:sz="4" w:space="0"/>
            </w:tcBorders>
            <w:vAlign w:val="center"/>
          </w:tcPr>
          <w:p w14:paraId="5A1D6835">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p>
        </w:tc>
        <w:tc>
          <w:tcPr>
            <w:tcW w:w="3757" w:type="pct"/>
            <w:tcBorders>
              <w:top w:val="single" w:color="auto" w:sz="4" w:space="0"/>
              <w:left w:val="single" w:color="auto" w:sz="4" w:space="0"/>
              <w:bottom w:val="single" w:color="auto" w:sz="4" w:space="0"/>
              <w:right w:val="single" w:color="auto" w:sz="4" w:space="0"/>
            </w:tcBorders>
          </w:tcPr>
          <w:p w14:paraId="6434C38A">
            <w:pPr>
              <w:topLinePunct/>
              <w:spacing w:line="440" w:lineRule="exact"/>
              <w:rPr>
                <w:rFonts w:hint="eastAsia" w:ascii="宋体" w:hAnsi="宋体" w:eastAsia="宋体" w:cs="宋体"/>
                <w:color w:val="auto"/>
                <w:sz w:val="24"/>
                <w:szCs w:val="24"/>
                <w:highlight w:val="none"/>
              </w:rPr>
            </w:pPr>
          </w:p>
        </w:tc>
      </w:tr>
      <w:tr w14:paraId="4E3D2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43" w:type="pct"/>
            <w:tcBorders>
              <w:top w:val="single" w:color="auto" w:sz="4" w:space="0"/>
              <w:left w:val="single" w:color="auto" w:sz="4" w:space="0"/>
              <w:bottom w:val="single" w:color="auto" w:sz="4" w:space="0"/>
              <w:right w:val="single" w:color="auto" w:sz="4" w:space="0"/>
            </w:tcBorders>
            <w:vAlign w:val="center"/>
          </w:tcPr>
          <w:p w14:paraId="15785478">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3757" w:type="pct"/>
            <w:tcBorders>
              <w:top w:val="single" w:color="auto" w:sz="4" w:space="0"/>
              <w:left w:val="single" w:color="auto" w:sz="4" w:space="0"/>
              <w:bottom w:val="single" w:color="auto" w:sz="4" w:space="0"/>
              <w:right w:val="single" w:color="auto" w:sz="4" w:space="0"/>
            </w:tcBorders>
          </w:tcPr>
          <w:p w14:paraId="6AAA1C48">
            <w:pPr>
              <w:topLinePunct/>
              <w:spacing w:line="440" w:lineRule="exact"/>
              <w:rPr>
                <w:rFonts w:hint="eastAsia" w:ascii="宋体" w:hAnsi="宋体" w:eastAsia="宋体" w:cs="宋体"/>
                <w:color w:val="auto"/>
                <w:sz w:val="24"/>
                <w:szCs w:val="24"/>
                <w:highlight w:val="none"/>
              </w:rPr>
            </w:pPr>
          </w:p>
        </w:tc>
      </w:tr>
      <w:tr w14:paraId="28D23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43" w:type="pct"/>
            <w:tcBorders>
              <w:top w:val="single" w:color="auto" w:sz="4" w:space="0"/>
              <w:left w:val="single" w:color="auto" w:sz="4" w:space="0"/>
              <w:bottom w:val="single" w:color="auto" w:sz="4" w:space="0"/>
              <w:right w:val="single" w:color="auto" w:sz="4" w:space="0"/>
            </w:tcBorders>
            <w:vAlign w:val="center"/>
          </w:tcPr>
          <w:p w14:paraId="7294E3FA">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3757" w:type="pct"/>
            <w:tcBorders>
              <w:top w:val="single" w:color="auto" w:sz="4" w:space="0"/>
              <w:left w:val="single" w:color="auto" w:sz="4" w:space="0"/>
              <w:bottom w:val="single" w:color="auto" w:sz="4" w:space="0"/>
              <w:right w:val="single" w:color="auto" w:sz="4" w:space="0"/>
            </w:tcBorders>
          </w:tcPr>
          <w:p w14:paraId="55B0DBD4">
            <w:pPr>
              <w:topLinePunct/>
              <w:spacing w:line="440" w:lineRule="exact"/>
              <w:rPr>
                <w:rFonts w:hint="eastAsia" w:ascii="宋体" w:hAnsi="宋体" w:eastAsia="宋体" w:cs="宋体"/>
                <w:color w:val="auto"/>
                <w:sz w:val="24"/>
                <w:szCs w:val="24"/>
                <w:highlight w:val="none"/>
              </w:rPr>
            </w:pPr>
          </w:p>
        </w:tc>
      </w:tr>
      <w:tr w14:paraId="04F7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43" w:type="pct"/>
            <w:tcBorders>
              <w:top w:val="single" w:color="auto" w:sz="4" w:space="0"/>
              <w:left w:val="single" w:color="auto" w:sz="4" w:space="0"/>
              <w:bottom w:val="single" w:color="auto" w:sz="4" w:space="0"/>
              <w:right w:val="single" w:color="auto" w:sz="4" w:space="0"/>
            </w:tcBorders>
            <w:vAlign w:val="center"/>
          </w:tcPr>
          <w:p w14:paraId="267F74CA">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3757" w:type="pct"/>
            <w:tcBorders>
              <w:top w:val="single" w:color="auto" w:sz="4" w:space="0"/>
              <w:left w:val="single" w:color="auto" w:sz="4" w:space="0"/>
              <w:bottom w:val="single" w:color="auto" w:sz="4" w:space="0"/>
              <w:right w:val="single" w:color="auto" w:sz="4" w:space="0"/>
            </w:tcBorders>
          </w:tcPr>
          <w:p w14:paraId="625797C3">
            <w:pPr>
              <w:topLinePunct/>
              <w:spacing w:line="440" w:lineRule="exact"/>
              <w:rPr>
                <w:rFonts w:hint="eastAsia" w:ascii="宋体" w:hAnsi="宋体" w:eastAsia="宋体" w:cs="宋体"/>
                <w:color w:val="auto"/>
                <w:sz w:val="24"/>
                <w:szCs w:val="24"/>
                <w:highlight w:val="none"/>
              </w:rPr>
            </w:pPr>
          </w:p>
          <w:p w14:paraId="20FC6F86">
            <w:pPr>
              <w:topLinePunct/>
              <w:spacing w:line="440" w:lineRule="exact"/>
              <w:rPr>
                <w:rFonts w:hint="eastAsia" w:ascii="宋体" w:hAnsi="宋体" w:eastAsia="宋体" w:cs="宋体"/>
                <w:color w:val="auto"/>
                <w:sz w:val="24"/>
                <w:szCs w:val="24"/>
                <w:highlight w:val="none"/>
              </w:rPr>
            </w:pPr>
          </w:p>
          <w:p w14:paraId="1E749937">
            <w:pPr>
              <w:topLinePunct/>
              <w:spacing w:line="440" w:lineRule="exact"/>
              <w:rPr>
                <w:rFonts w:hint="eastAsia" w:ascii="宋体" w:hAnsi="宋体" w:eastAsia="宋体" w:cs="宋体"/>
                <w:color w:val="auto"/>
                <w:sz w:val="24"/>
                <w:szCs w:val="24"/>
                <w:highlight w:val="none"/>
              </w:rPr>
            </w:pPr>
          </w:p>
          <w:p w14:paraId="7CF94EE6">
            <w:pPr>
              <w:topLinePunct/>
              <w:spacing w:line="440" w:lineRule="exact"/>
              <w:rPr>
                <w:rFonts w:hint="eastAsia" w:ascii="宋体" w:hAnsi="宋体" w:eastAsia="宋体" w:cs="宋体"/>
                <w:color w:val="auto"/>
                <w:sz w:val="24"/>
                <w:szCs w:val="24"/>
                <w:highlight w:val="none"/>
              </w:rPr>
            </w:pPr>
          </w:p>
          <w:p w14:paraId="34AF6A3B">
            <w:pPr>
              <w:topLinePunct/>
              <w:spacing w:line="440" w:lineRule="exact"/>
              <w:rPr>
                <w:rFonts w:hint="eastAsia" w:ascii="宋体" w:hAnsi="宋体" w:eastAsia="宋体" w:cs="宋体"/>
                <w:color w:val="auto"/>
                <w:sz w:val="24"/>
                <w:szCs w:val="24"/>
                <w:highlight w:val="none"/>
              </w:rPr>
            </w:pPr>
          </w:p>
          <w:p w14:paraId="1EEC68FA">
            <w:pPr>
              <w:topLinePunct/>
              <w:spacing w:line="440" w:lineRule="exact"/>
              <w:rPr>
                <w:rFonts w:hint="eastAsia" w:ascii="宋体" w:hAnsi="宋体" w:eastAsia="宋体" w:cs="宋体"/>
                <w:color w:val="auto"/>
                <w:sz w:val="24"/>
                <w:szCs w:val="24"/>
                <w:highlight w:val="none"/>
              </w:rPr>
            </w:pPr>
          </w:p>
          <w:p w14:paraId="0B8CCDBD">
            <w:pPr>
              <w:topLinePunct/>
              <w:spacing w:line="440" w:lineRule="exact"/>
              <w:rPr>
                <w:rFonts w:hint="eastAsia" w:ascii="宋体" w:hAnsi="宋体" w:eastAsia="宋体" w:cs="宋体"/>
                <w:color w:val="auto"/>
                <w:sz w:val="24"/>
                <w:szCs w:val="24"/>
                <w:highlight w:val="none"/>
              </w:rPr>
            </w:pPr>
          </w:p>
        </w:tc>
      </w:tr>
      <w:tr w14:paraId="036B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43" w:type="pct"/>
            <w:tcBorders>
              <w:top w:val="single" w:color="auto" w:sz="4" w:space="0"/>
              <w:left w:val="single" w:color="auto" w:sz="4" w:space="0"/>
              <w:bottom w:val="single" w:color="auto" w:sz="4" w:space="0"/>
              <w:right w:val="single" w:color="auto" w:sz="4" w:space="0"/>
            </w:tcBorders>
            <w:vAlign w:val="center"/>
          </w:tcPr>
          <w:p w14:paraId="16E9B9A3">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3757" w:type="pct"/>
            <w:tcBorders>
              <w:top w:val="single" w:color="auto" w:sz="4" w:space="0"/>
              <w:left w:val="single" w:color="auto" w:sz="4" w:space="0"/>
              <w:bottom w:val="single" w:color="auto" w:sz="4" w:space="0"/>
              <w:right w:val="single" w:color="auto" w:sz="4" w:space="0"/>
            </w:tcBorders>
          </w:tcPr>
          <w:p w14:paraId="2E9EDF7A">
            <w:pPr>
              <w:topLinePunct/>
              <w:spacing w:line="440" w:lineRule="exact"/>
              <w:rPr>
                <w:rFonts w:hint="eastAsia" w:ascii="宋体" w:hAnsi="宋体" w:eastAsia="宋体" w:cs="宋体"/>
                <w:color w:val="auto"/>
                <w:sz w:val="24"/>
                <w:szCs w:val="24"/>
                <w:highlight w:val="none"/>
              </w:rPr>
            </w:pPr>
          </w:p>
        </w:tc>
      </w:tr>
    </w:tbl>
    <w:p w14:paraId="2719973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后须附中标通知书或合同协议书等相关材料的复印件。</w:t>
      </w:r>
    </w:p>
    <w:p w14:paraId="768A0C40">
      <w:pPr>
        <w:rPr>
          <w:rFonts w:hint="eastAsia" w:ascii="宋体" w:hAnsi="宋体" w:eastAsia="宋体" w:cs="宋体"/>
          <w:color w:val="auto"/>
          <w:sz w:val="24"/>
          <w:szCs w:val="24"/>
          <w:highlight w:val="none"/>
        </w:rPr>
      </w:pPr>
    </w:p>
    <w:p w14:paraId="6EDB8898">
      <w:pPr>
        <w:pStyle w:val="41"/>
        <w:spacing w:before="156" w:beforeLines="50" w:after="156" w:afterLines="50"/>
        <w:rPr>
          <w:rFonts w:hint="eastAsia" w:ascii="宋体" w:hAnsi="宋体" w:eastAsia="宋体" w:cs="宋体"/>
          <w:b w:val="0"/>
          <w:bCs/>
          <w:color w:val="auto"/>
          <w:sz w:val="24"/>
          <w:szCs w:val="24"/>
          <w:highlight w:val="none"/>
          <w:lang w:val="zh-CN"/>
        </w:rPr>
      </w:pPr>
      <w:bookmarkStart w:id="543" w:name="_Toc222232457"/>
      <w:bookmarkStart w:id="544" w:name="_Toc246997117"/>
      <w:bookmarkStart w:id="545" w:name="_Toc247085892"/>
      <w:bookmarkStart w:id="546" w:name="_Toc246996374"/>
      <w:r>
        <w:rPr>
          <w:rFonts w:hint="eastAsia" w:ascii="宋体" w:hAnsi="宋体" w:eastAsia="宋体" w:cs="宋体"/>
          <w:color w:val="auto"/>
          <w:sz w:val="24"/>
          <w:szCs w:val="24"/>
          <w:highlight w:val="none"/>
          <w:lang w:val="zh-CN"/>
        </w:rPr>
        <w:br w:type="page"/>
      </w:r>
      <w:r>
        <w:rPr>
          <w:rFonts w:hint="eastAsia" w:ascii="宋体" w:hAnsi="宋体" w:eastAsia="宋体" w:cs="宋体"/>
          <w:color w:val="auto"/>
          <w:sz w:val="24"/>
          <w:szCs w:val="24"/>
          <w:highlight w:val="none"/>
          <w:lang w:val="zh-CN"/>
        </w:rPr>
        <w:t>（五)近年发生的诉讼及仲裁情况</w:t>
      </w:r>
      <w:bookmarkEnd w:id="543"/>
    </w:p>
    <w:p w14:paraId="61D68785">
      <w:pPr>
        <w:autoSpaceDE w:val="0"/>
        <w:autoSpaceDN w:val="0"/>
        <w:adjustRightInd w:val="0"/>
        <w:spacing w:line="400" w:lineRule="exact"/>
        <w:rPr>
          <w:rFonts w:hint="eastAsia" w:ascii="宋体" w:hAnsi="宋体" w:eastAsia="宋体" w:cs="宋体"/>
          <w:bCs/>
          <w:color w:val="auto"/>
          <w:sz w:val="24"/>
          <w:szCs w:val="24"/>
          <w:highlight w:val="none"/>
          <w:lang w:val="zh-CN"/>
        </w:rPr>
      </w:pPr>
    </w:p>
    <w:p w14:paraId="7F5D3100">
      <w:pPr>
        <w:autoSpaceDE w:val="0"/>
        <w:autoSpaceDN w:val="0"/>
        <w:adjustRightInd w:val="0"/>
        <w:spacing w:line="400" w:lineRule="exact"/>
        <w:ind w:firstLine="480"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说明：近年发生的诉讼和仲裁情况仅限于供应商败诉的，且与履行施工承包合同有关的案件，不包括调解结案以及未裁决的仲裁或未终审判决的诉讼。</w:t>
      </w:r>
    </w:p>
    <w:p w14:paraId="7CB1C619">
      <w:pPr>
        <w:spacing w:line="360" w:lineRule="auto"/>
        <w:ind w:left="0" w:leftChars="0"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zh-CN"/>
        </w:rPr>
        <w:br w:type="page"/>
      </w:r>
    </w:p>
    <w:p w14:paraId="275EB187">
      <w:pPr>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zh-CN" w:eastAsia="zh-CN" w:bidi="ar-SA"/>
        </w:rPr>
        <w:t>（</w:t>
      </w:r>
      <w:r>
        <w:rPr>
          <w:rFonts w:hint="eastAsia" w:hAnsi="宋体" w:cs="宋体"/>
          <w:b/>
          <w:color w:val="auto"/>
          <w:kern w:val="2"/>
          <w:sz w:val="24"/>
          <w:szCs w:val="24"/>
          <w:highlight w:val="none"/>
          <w:lang w:val="en-US" w:eastAsia="zh-CN" w:bidi="ar-SA"/>
        </w:rPr>
        <w:t>六</w:t>
      </w:r>
      <w:r>
        <w:rPr>
          <w:rFonts w:hint="eastAsia" w:ascii="宋体" w:hAnsi="宋体" w:eastAsia="宋体" w:cs="宋体"/>
          <w:b/>
          <w:color w:val="auto"/>
          <w:kern w:val="2"/>
          <w:sz w:val="24"/>
          <w:szCs w:val="24"/>
          <w:highlight w:val="none"/>
          <w:lang w:val="zh-CN" w:eastAsia="zh-CN" w:bidi="ar-SA"/>
        </w:rPr>
        <w:t>)</w:t>
      </w:r>
      <w:bookmarkEnd w:id="521"/>
      <w:bookmarkEnd w:id="522"/>
      <w:bookmarkEnd w:id="523"/>
      <w:bookmarkEnd w:id="524"/>
      <w:bookmarkEnd w:id="544"/>
      <w:bookmarkEnd w:id="545"/>
      <w:bookmarkEnd w:id="546"/>
      <w:r>
        <w:rPr>
          <w:rFonts w:hint="eastAsia" w:ascii="宋体" w:hAnsi="宋体" w:eastAsia="宋体" w:cs="宋体"/>
          <w:b/>
          <w:color w:val="auto"/>
          <w:kern w:val="2"/>
          <w:sz w:val="24"/>
          <w:szCs w:val="24"/>
          <w:highlight w:val="none"/>
          <w:lang w:val="en-US" w:eastAsia="zh-CN" w:bidi="ar-SA"/>
        </w:rPr>
        <w:t>信誉要求</w:t>
      </w:r>
    </w:p>
    <w:p w14:paraId="5025A725">
      <w:pPr>
        <w:numPr>
          <w:ilvl w:val="0"/>
          <w:numId w:val="0"/>
        </w:numPr>
        <w:jc w:val="center"/>
        <w:rPr>
          <w:rFonts w:hint="eastAsia" w:ascii="宋体" w:hAnsi="宋体" w:eastAsia="宋体" w:cs="宋体"/>
          <w:b w:val="0"/>
          <w:bCs/>
          <w:color w:val="auto"/>
          <w:kern w:val="2"/>
          <w:sz w:val="24"/>
          <w:szCs w:val="24"/>
          <w:highlight w:val="none"/>
          <w:lang w:val="zh-CN" w:eastAsia="zh-CN" w:bidi="ar-SA"/>
        </w:rPr>
      </w:pPr>
    </w:p>
    <w:p w14:paraId="61257E3A">
      <w:pPr>
        <w:numPr>
          <w:ilvl w:val="0"/>
          <w:numId w:val="0"/>
        </w:numPr>
        <w:jc w:val="center"/>
        <w:rPr>
          <w:rFonts w:hint="eastAsia" w:ascii="宋体" w:hAnsi="宋体" w:eastAsia="宋体" w:cs="宋体"/>
          <w:highlight w:val="none"/>
        </w:rPr>
      </w:pPr>
      <w:r>
        <w:rPr>
          <w:rFonts w:hint="eastAsia" w:ascii="宋体" w:hAnsi="宋体" w:eastAsia="宋体" w:cs="宋体"/>
          <w:b w:val="0"/>
          <w:bCs/>
          <w:color w:val="auto"/>
          <w:kern w:val="2"/>
          <w:sz w:val="24"/>
          <w:szCs w:val="24"/>
          <w:highlight w:val="none"/>
          <w:lang w:val="zh-CN" w:eastAsia="zh-CN" w:bidi="ar-SA"/>
        </w:rPr>
        <w:br w:type="page"/>
      </w:r>
      <w:r>
        <w:rPr>
          <w:rFonts w:hint="eastAsia" w:hAnsi="宋体" w:cs="宋体"/>
          <w:b/>
          <w:color w:val="auto"/>
          <w:sz w:val="24"/>
          <w:szCs w:val="24"/>
          <w:highlight w:val="none"/>
          <w:lang w:val="en-US" w:eastAsia="zh-CN"/>
        </w:rPr>
        <w:t>九</w:t>
      </w:r>
      <w:r>
        <w:rPr>
          <w:rFonts w:hint="eastAsia" w:hAnsi="宋体" w:cs="宋体"/>
          <w:b/>
          <w:color w:val="auto"/>
          <w:sz w:val="24"/>
          <w:szCs w:val="24"/>
          <w:highlight w:val="none"/>
          <w:lang w:eastAsia="zh-CN"/>
        </w:rPr>
        <w:t>、商务条款偏离表</w:t>
      </w:r>
    </w:p>
    <w:tbl>
      <w:tblPr>
        <w:tblStyle w:val="26"/>
        <w:tblW w:w="9534"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2232"/>
        <w:gridCol w:w="2387"/>
        <w:gridCol w:w="2293"/>
        <w:gridCol w:w="1374"/>
      </w:tblGrid>
      <w:tr w14:paraId="7805C32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48" w:type="dxa"/>
            <w:tcBorders>
              <w:left w:val="single" w:color="auto" w:sz="4" w:space="0"/>
            </w:tcBorders>
            <w:vAlign w:val="center"/>
          </w:tcPr>
          <w:p w14:paraId="164699A0">
            <w:pPr>
              <w:spacing w:line="360" w:lineRule="auto"/>
              <w:jc w:val="center"/>
              <w:rPr>
                <w:rFonts w:hint="eastAsia" w:ascii="宋体" w:hAnsi="宋体" w:eastAsia="宋体" w:cs="宋体"/>
                <w:b/>
                <w:bCs/>
                <w:sz w:val="22"/>
                <w:szCs w:val="13"/>
                <w:highlight w:val="none"/>
              </w:rPr>
            </w:pPr>
            <w:r>
              <w:rPr>
                <w:rFonts w:hint="eastAsia" w:ascii="宋体" w:hAnsi="宋体" w:eastAsia="宋体" w:cs="宋体"/>
                <w:b/>
                <w:bCs/>
                <w:sz w:val="22"/>
                <w:szCs w:val="13"/>
                <w:highlight w:val="none"/>
              </w:rPr>
              <w:t>序号</w:t>
            </w:r>
          </w:p>
        </w:tc>
        <w:tc>
          <w:tcPr>
            <w:tcW w:w="2232" w:type="dxa"/>
            <w:vAlign w:val="center"/>
          </w:tcPr>
          <w:p w14:paraId="27E70025">
            <w:pPr>
              <w:wordWrap w:val="0"/>
              <w:spacing w:line="360" w:lineRule="auto"/>
              <w:jc w:val="center"/>
              <w:rPr>
                <w:rFonts w:hint="eastAsia" w:ascii="宋体" w:hAnsi="宋体" w:eastAsia="宋体" w:cs="宋体"/>
                <w:b/>
                <w:bCs/>
                <w:sz w:val="22"/>
                <w:szCs w:val="13"/>
                <w:highlight w:val="none"/>
              </w:rPr>
            </w:pPr>
            <w:r>
              <w:rPr>
                <w:rFonts w:hint="eastAsia" w:ascii="宋体" w:hAnsi="宋体" w:cs="宋体"/>
                <w:b/>
                <w:bCs w:val="0"/>
                <w:sz w:val="21"/>
                <w:szCs w:val="21"/>
                <w:highlight w:val="none"/>
                <w:lang w:val="zh-CN"/>
              </w:rPr>
              <w:t>商务条款</w:t>
            </w:r>
          </w:p>
        </w:tc>
        <w:tc>
          <w:tcPr>
            <w:tcW w:w="2387" w:type="dxa"/>
            <w:vAlign w:val="center"/>
          </w:tcPr>
          <w:p w14:paraId="11906829">
            <w:pPr>
              <w:wordWrap w:val="0"/>
              <w:spacing w:line="360" w:lineRule="auto"/>
              <w:jc w:val="center"/>
              <w:rPr>
                <w:rFonts w:hint="eastAsia" w:ascii="宋体" w:hAnsi="宋体" w:eastAsia="宋体" w:cs="宋体"/>
                <w:b/>
                <w:bCs/>
                <w:sz w:val="22"/>
                <w:szCs w:val="13"/>
                <w:highlight w:val="none"/>
                <w:lang w:eastAsia="zh-CN"/>
              </w:rPr>
            </w:pPr>
            <w:r>
              <w:rPr>
                <w:rFonts w:hint="eastAsia" w:ascii="宋体" w:hAnsi="宋体" w:cs="宋体"/>
                <w:b/>
                <w:bCs/>
                <w:sz w:val="22"/>
                <w:szCs w:val="13"/>
                <w:highlight w:val="none"/>
                <w:lang w:eastAsia="zh-CN"/>
              </w:rPr>
              <w:t>采购</w:t>
            </w:r>
            <w:r>
              <w:rPr>
                <w:rFonts w:hint="eastAsia" w:ascii="宋体" w:hAnsi="宋体" w:eastAsia="宋体" w:cs="宋体"/>
                <w:b/>
                <w:bCs/>
                <w:sz w:val="22"/>
                <w:szCs w:val="13"/>
                <w:highlight w:val="none"/>
              </w:rPr>
              <w:t>文件的</w:t>
            </w:r>
            <w:r>
              <w:rPr>
                <w:rFonts w:hint="eastAsia" w:hAnsi="宋体" w:cs="宋体"/>
                <w:b/>
                <w:bCs/>
                <w:sz w:val="22"/>
                <w:szCs w:val="13"/>
                <w:highlight w:val="none"/>
                <w:lang w:eastAsia="zh-CN"/>
              </w:rPr>
              <w:t>内容</w:t>
            </w:r>
          </w:p>
        </w:tc>
        <w:tc>
          <w:tcPr>
            <w:tcW w:w="2293" w:type="dxa"/>
            <w:vAlign w:val="center"/>
          </w:tcPr>
          <w:p w14:paraId="21E4496D">
            <w:pPr>
              <w:wordWrap w:val="0"/>
              <w:spacing w:line="360" w:lineRule="auto"/>
              <w:jc w:val="center"/>
              <w:rPr>
                <w:rFonts w:hint="eastAsia" w:ascii="宋体" w:hAnsi="宋体" w:eastAsia="宋体" w:cs="宋体"/>
                <w:b/>
                <w:bCs/>
                <w:sz w:val="22"/>
                <w:szCs w:val="13"/>
                <w:highlight w:val="none"/>
                <w:lang w:eastAsia="zh-CN"/>
              </w:rPr>
            </w:pPr>
            <w:r>
              <w:rPr>
                <w:rFonts w:hint="eastAsia" w:ascii="宋体" w:hAnsi="宋体" w:eastAsia="宋体" w:cs="宋体"/>
                <w:b/>
                <w:bCs/>
                <w:sz w:val="22"/>
                <w:szCs w:val="13"/>
                <w:highlight w:val="none"/>
              </w:rPr>
              <w:t>投标文件的</w:t>
            </w:r>
            <w:r>
              <w:rPr>
                <w:rFonts w:hint="eastAsia" w:hAnsi="宋体" w:cs="宋体"/>
                <w:b/>
                <w:bCs/>
                <w:sz w:val="22"/>
                <w:szCs w:val="13"/>
                <w:highlight w:val="none"/>
                <w:lang w:eastAsia="zh-CN"/>
              </w:rPr>
              <w:t>内容</w:t>
            </w:r>
          </w:p>
        </w:tc>
        <w:tc>
          <w:tcPr>
            <w:tcW w:w="1374" w:type="dxa"/>
            <w:vAlign w:val="center"/>
          </w:tcPr>
          <w:p w14:paraId="7D59FA82">
            <w:pPr>
              <w:wordWrap w:val="0"/>
              <w:spacing w:line="360" w:lineRule="auto"/>
              <w:jc w:val="center"/>
              <w:rPr>
                <w:rFonts w:hint="eastAsia" w:ascii="宋体" w:hAnsi="宋体" w:eastAsia="宋体" w:cs="宋体"/>
                <w:b/>
                <w:bCs/>
                <w:sz w:val="22"/>
                <w:szCs w:val="13"/>
                <w:highlight w:val="none"/>
              </w:rPr>
            </w:pPr>
            <w:r>
              <w:rPr>
                <w:rFonts w:hint="eastAsia" w:ascii="宋体" w:hAnsi="宋体" w:eastAsia="宋体" w:cs="宋体"/>
                <w:b/>
                <w:bCs/>
                <w:sz w:val="22"/>
                <w:szCs w:val="13"/>
                <w:highlight w:val="none"/>
              </w:rPr>
              <w:t>说明</w:t>
            </w:r>
          </w:p>
        </w:tc>
      </w:tr>
      <w:tr w14:paraId="5D11194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48" w:type="dxa"/>
            <w:tcBorders>
              <w:left w:val="single" w:color="auto" w:sz="4" w:space="0"/>
            </w:tcBorders>
            <w:vAlign w:val="center"/>
          </w:tcPr>
          <w:p w14:paraId="5B3093BE">
            <w:pPr>
              <w:wordWrap w:val="0"/>
              <w:spacing w:line="360" w:lineRule="auto"/>
              <w:jc w:val="center"/>
              <w:rPr>
                <w:rFonts w:hint="eastAsia" w:ascii="宋体" w:hAnsi="宋体" w:eastAsia="宋体" w:cs="宋体"/>
                <w:sz w:val="21"/>
                <w:szCs w:val="11"/>
                <w:highlight w:val="none"/>
                <w:lang w:val="en-US" w:eastAsia="zh-CN"/>
              </w:rPr>
            </w:pPr>
            <w:r>
              <w:rPr>
                <w:rFonts w:hint="eastAsia" w:hAnsi="宋体" w:cs="宋体"/>
                <w:sz w:val="21"/>
                <w:szCs w:val="11"/>
                <w:highlight w:val="none"/>
                <w:lang w:val="en-US" w:eastAsia="zh-CN"/>
              </w:rPr>
              <w:t>1</w:t>
            </w:r>
          </w:p>
        </w:tc>
        <w:tc>
          <w:tcPr>
            <w:tcW w:w="2232" w:type="dxa"/>
            <w:vAlign w:val="center"/>
          </w:tcPr>
          <w:p w14:paraId="0823EAF0">
            <w:pPr>
              <w:snapToGrid w:val="0"/>
              <w:spacing w:line="300" w:lineRule="exact"/>
              <w:jc w:val="center"/>
              <w:rPr>
                <w:rFonts w:hint="eastAsia" w:ascii="宋体" w:hAnsi="宋体" w:eastAsia="宋体" w:cs="宋体"/>
                <w:highlight w:val="none"/>
              </w:rPr>
            </w:pPr>
            <w:r>
              <w:rPr>
                <w:rFonts w:hint="eastAsia" w:ascii="宋体" w:hAnsi="宋体" w:cs="宋体"/>
                <w:bCs/>
                <w:sz w:val="21"/>
                <w:szCs w:val="21"/>
                <w:highlight w:val="none"/>
                <w:lang w:val="zh-CN"/>
              </w:rPr>
              <w:t>服务标准、期限、效率等要求</w:t>
            </w:r>
          </w:p>
        </w:tc>
        <w:tc>
          <w:tcPr>
            <w:tcW w:w="2387" w:type="dxa"/>
            <w:vAlign w:val="center"/>
          </w:tcPr>
          <w:p w14:paraId="74E138CA">
            <w:pPr>
              <w:widowControl w:val="0"/>
              <w:snapToGrid w:val="0"/>
              <w:spacing w:line="30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①本项目质保期限为：自竣工验收之日起24个月.</w:t>
            </w:r>
            <w:r>
              <w:rPr>
                <w:rFonts w:hint="eastAsia" w:ascii="宋体" w:hAnsi="宋体" w:cs="宋体"/>
                <w:sz w:val="21"/>
                <w:szCs w:val="21"/>
                <w:highlight w:val="none"/>
                <w:lang w:eastAsia="zh-CN"/>
              </w:rPr>
              <w:t>供应方</w:t>
            </w:r>
            <w:r>
              <w:rPr>
                <w:rFonts w:hint="eastAsia" w:ascii="宋体" w:hAnsi="宋体" w:cs="宋体"/>
                <w:sz w:val="21"/>
                <w:szCs w:val="21"/>
                <w:highlight w:val="none"/>
              </w:rPr>
              <w:t>在《投标文件》中承诺的售后服务方案及延长</w:t>
            </w:r>
            <w:r>
              <w:rPr>
                <w:rFonts w:hint="eastAsia" w:ascii="宋体" w:hAnsi="宋体" w:cs="宋体"/>
                <w:sz w:val="21"/>
                <w:szCs w:val="21"/>
                <w:highlight w:val="none"/>
                <w:lang w:val="en-US" w:eastAsia="zh-CN"/>
              </w:rPr>
              <w:t>质保期______个月</w:t>
            </w:r>
            <w:r>
              <w:rPr>
                <w:rFonts w:hint="eastAsia" w:ascii="宋体" w:hAnsi="宋体" w:cs="宋体"/>
                <w:sz w:val="21"/>
                <w:szCs w:val="21"/>
                <w:highlight w:val="none"/>
              </w:rPr>
              <w:t>。</w:t>
            </w:r>
            <w:r>
              <w:rPr>
                <w:rFonts w:hint="eastAsia" w:ascii="宋体" w:hAnsi="宋体" w:cs="宋体"/>
                <w:sz w:val="21"/>
                <w:szCs w:val="21"/>
                <w:highlight w:val="none"/>
                <w:lang w:val="en-US" w:eastAsia="zh-CN"/>
              </w:rPr>
              <w:t>质保期内,</w:t>
            </w:r>
            <w:r>
              <w:rPr>
                <w:rFonts w:hint="eastAsia" w:ascii="宋体" w:hAnsi="宋体" w:cs="宋体"/>
                <w:sz w:val="21"/>
                <w:szCs w:val="21"/>
                <w:highlight w:val="none"/>
              </w:rPr>
              <w:t>出现质量问题由</w:t>
            </w:r>
            <w:r>
              <w:rPr>
                <w:rFonts w:hint="eastAsia" w:ascii="宋体" w:hAnsi="宋体" w:cs="宋体"/>
                <w:sz w:val="21"/>
                <w:szCs w:val="21"/>
                <w:highlight w:val="none"/>
                <w:lang w:eastAsia="zh-CN"/>
              </w:rPr>
              <w:t>供应方</w:t>
            </w:r>
            <w:r>
              <w:rPr>
                <w:rFonts w:hint="eastAsia" w:ascii="宋体" w:hAnsi="宋体" w:cs="宋体"/>
                <w:sz w:val="21"/>
                <w:szCs w:val="21"/>
                <w:highlight w:val="none"/>
              </w:rPr>
              <w:t>负责无偿</w:t>
            </w:r>
            <w:r>
              <w:rPr>
                <w:rFonts w:hint="eastAsia" w:ascii="宋体" w:hAnsi="宋体" w:cs="宋体"/>
                <w:sz w:val="21"/>
                <w:szCs w:val="21"/>
                <w:highlight w:val="none"/>
                <w:lang w:val="en-US" w:eastAsia="zh-CN"/>
              </w:rPr>
              <w:t>整改、涉及石材问题，所需组件只换不修</w:t>
            </w:r>
            <w:r>
              <w:rPr>
                <w:rFonts w:hint="eastAsia" w:ascii="宋体" w:hAnsi="宋体" w:cs="宋体"/>
                <w:sz w:val="21"/>
                <w:szCs w:val="21"/>
                <w:highlight w:val="none"/>
              </w:rPr>
              <w:t>。</w:t>
            </w:r>
          </w:p>
          <w:p w14:paraId="4CCA62E0">
            <w:pPr>
              <w:widowControl w:val="0"/>
              <w:snapToGrid w:val="0"/>
              <w:spacing w:line="300" w:lineRule="exact"/>
              <w:ind w:firstLine="420" w:firstLineChars="200"/>
              <w:rPr>
                <w:rFonts w:hint="eastAsia" w:ascii="宋体" w:hAnsi="宋体" w:eastAsia="宋体" w:cs="宋体"/>
                <w:highlight w:val="none"/>
              </w:rPr>
            </w:pPr>
            <w:r>
              <w:rPr>
                <w:rFonts w:hint="eastAsia" w:ascii="宋体" w:hAnsi="宋体" w:cs="宋体"/>
                <w:sz w:val="21"/>
                <w:szCs w:val="21"/>
                <w:highlight w:val="none"/>
                <w:lang w:val="en-US" w:eastAsia="zh-CN"/>
              </w:rPr>
              <w:t>②</w:t>
            </w:r>
            <w:r>
              <w:rPr>
                <w:rFonts w:hint="eastAsia" w:ascii="宋体" w:hAnsi="宋体" w:cs="宋体"/>
                <w:sz w:val="21"/>
                <w:szCs w:val="21"/>
                <w:highlight w:val="none"/>
                <w:lang w:eastAsia="zh-CN"/>
              </w:rPr>
              <w:t>供应方</w:t>
            </w:r>
            <w:r>
              <w:rPr>
                <w:rFonts w:hint="eastAsia" w:ascii="宋体" w:hAnsi="宋体" w:cs="宋体"/>
                <w:sz w:val="21"/>
                <w:szCs w:val="21"/>
                <w:highlight w:val="none"/>
              </w:rPr>
              <w:t>需提供完善的售后服务，接到</w:t>
            </w:r>
            <w:r>
              <w:rPr>
                <w:rFonts w:hint="eastAsia" w:ascii="宋体" w:hAnsi="宋体" w:cs="宋体"/>
                <w:sz w:val="21"/>
                <w:szCs w:val="21"/>
                <w:highlight w:val="none"/>
                <w:lang w:eastAsia="zh-CN"/>
              </w:rPr>
              <w:t>采购方</w:t>
            </w:r>
            <w:r>
              <w:rPr>
                <w:rFonts w:hint="eastAsia" w:ascii="宋体" w:hAnsi="宋体" w:cs="宋体"/>
                <w:sz w:val="21"/>
                <w:szCs w:val="21"/>
                <w:highlight w:val="none"/>
              </w:rPr>
              <w:t>通知后，</w:t>
            </w:r>
            <w:r>
              <w:rPr>
                <w:rFonts w:hint="eastAsia" w:ascii="宋体" w:hAnsi="宋体" w:cs="宋体"/>
                <w:sz w:val="21"/>
                <w:szCs w:val="21"/>
                <w:highlight w:val="none"/>
                <w:lang w:val="en-US" w:eastAsia="zh-CN"/>
              </w:rPr>
              <w:t>按规定时限完成整改，如24小时未响应，按违约处理，违约金参照逾期处理。</w:t>
            </w:r>
          </w:p>
        </w:tc>
        <w:tc>
          <w:tcPr>
            <w:tcW w:w="2293" w:type="dxa"/>
            <w:vAlign w:val="center"/>
          </w:tcPr>
          <w:p w14:paraId="3149B2EB">
            <w:pPr>
              <w:wordWrap w:val="0"/>
              <w:spacing w:line="360" w:lineRule="auto"/>
              <w:rPr>
                <w:rFonts w:hint="eastAsia" w:ascii="宋体" w:hAnsi="宋体" w:eastAsia="宋体" w:cs="宋体"/>
                <w:highlight w:val="none"/>
              </w:rPr>
            </w:pPr>
          </w:p>
        </w:tc>
        <w:tc>
          <w:tcPr>
            <w:tcW w:w="1374" w:type="dxa"/>
            <w:vAlign w:val="center"/>
          </w:tcPr>
          <w:p w14:paraId="633476E6">
            <w:pPr>
              <w:wordWrap w:val="0"/>
              <w:spacing w:line="360" w:lineRule="auto"/>
              <w:rPr>
                <w:rFonts w:hint="eastAsia" w:ascii="宋体" w:hAnsi="宋体" w:eastAsia="宋体" w:cs="宋体"/>
                <w:highlight w:val="none"/>
              </w:rPr>
            </w:pPr>
          </w:p>
        </w:tc>
      </w:tr>
      <w:tr w14:paraId="6956935A">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48" w:type="dxa"/>
            <w:tcBorders>
              <w:left w:val="single" w:color="auto" w:sz="4" w:space="0"/>
            </w:tcBorders>
            <w:vAlign w:val="center"/>
          </w:tcPr>
          <w:p w14:paraId="0C4536EF">
            <w:pPr>
              <w:wordWrap w:val="0"/>
              <w:spacing w:line="360" w:lineRule="auto"/>
              <w:jc w:val="center"/>
              <w:rPr>
                <w:rFonts w:hint="eastAsia" w:ascii="宋体" w:hAnsi="宋体" w:eastAsia="宋体" w:cs="宋体"/>
                <w:sz w:val="21"/>
                <w:szCs w:val="11"/>
                <w:highlight w:val="none"/>
                <w:lang w:val="en-US" w:eastAsia="zh-CN"/>
              </w:rPr>
            </w:pPr>
            <w:r>
              <w:rPr>
                <w:rFonts w:hint="eastAsia" w:hAnsi="宋体" w:cs="宋体"/>
                <w:sz w:val="21"/>
                <w:szCs w:val="11"/>
                <w:highlight w:val="none"/>
                <w:lang w:val="en-US" w:eastAsia="zh-CN"/>
              </w:rPr>
              <w:t>2</w:t>
            </w:r>
          </w:p>
        </w:tc>
        <w:tc>
          <w:tcPr>
            <w:tcW w:w="2232" w:type="dxa"/>
            <w:vAlign w:val="center"/>
          </w:tcPr>
          <w:p w14:paraId="7AFE2FBE">
            <w:pPr>
              <w:pStyle w:val="16"/>
              <w:tabs>
                <w:tab w:val="left" w:pos="3570"/>
              </w:tabs>
              <w:adjustRightInd w:val="0"/>
              <w:snapToGrid w:val="0"/>
              <w:spacing w:line="300" w:lineRule="exact"/>
              <w:jc w:val="center"/>
              <w:rPr>
                <w:rFonts w:hint="eastAsia" w:ascii="宋体" w:hAnsi="宋体" w:eastAsia="宋体" w:cs="宋体"/>
                <w:highlight w:val="none"/>
              </w:rPr>
            </w:pPr>
            <w:r>
              <w:rPr>
                <w:rFonts w:hint="eastAsia" w:hAnsi="宋体" w:cs="宋体"/>
                <w:sz w:val="21"/>
                <w:szCs w:val="21"/>
                <w:highlight w:val="none"/>
              </w:rPr>
              <w:t>项目交付或者实施的时间（合同履行期限）</w:t>
            </w:r>
          </w:p>
        </w:tc>
        <w:tc>
          <w:tcPr>
            <w:tcW w:w="2387" w:type="dxa"/>
            <w:vAlign w:val="center"/>
          </w:tcPr>
          <w:p w14:paraId="117163E8">
            <w:pPr>
              <w:snapToGrid w:val="0"/>
              <w:spacing w:line="300" w:lineRule="exact"/>
              <w:rPr>
                <w:rFonts w:hint="eastAsia" w:ascii="宋体" w:hAnsi="宋体" w:eastAsia="宋体" w:cs="宋体"/>
                <w:highlight w:val="none"/>
              </w:rPr>
            </w:pPr>
            <w:r>
              <w:rPr>
                <w:rFonts w:hint="eastAsia" w:ascii="宋体" w:hAnsi="宋体" w:cs="宋体"/>
                <w:bCs/>
                <w:sz w:val="21"/>
                <w:szCs w:val="21"/>
                <w:highlight w:val="none"/>
              </w:rPr>
              <w:t>有效工期90天；</w:t>
            </w:r>
          </w:p>
        </w:tc>
        <w:tc>
          <w:tcPr>
            <w:tcW w:w="2293" w:type="dxa"/>
            <w:vAlign w:val="center"/>
          </w:tcPr>
          <w:p w14:paraId="2BF21A32">
            <w:pPr>
              <w:wordWrap w:val="0"/>
              <w:spacing w:line="360" w:lineRule="auto"/>
              <w:rPr>
                <w:rFonts w:hint="eastAsia" w:ascii="宋体" w:hAnsi="宋体" w:eastAsia="宋体" w:cs="宋体"/>
                <w:highlight w:val="none"/>
              </w:rPr>
            </w:pPr>
          </w:p>
        </w:tc>
        <w:tc>
          <w:tcPr>
            <w:tcW w:w="1374" w:type="dxa"/>
            <w:vAlign w:val="center"/>
          </w:tcPr>
          <w:p w14:paraId="08F825AF">
            <w:pPr>
              <w:wordWrap w:val="0"/>
              <w:spacing w:line="360" w:lineRule="auto"/>
              <w:rPr>
                <w:rFonts w:hint="eastAsia" w:ascii="宋体" w:hAnsi="宋体" w:eastAsia="宋体" w:cs="宋体"/>
                <w:highlight w:val="none"/>
              </w:rPr>
            </w:pPr>
          </w:p>
        </w:tc>
      </w:tr>
      <w:tr w14:paraId="2108A665">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48" w:type="dxa"/>
            <w:tcBorders>
              <w:left w:val="single" w:color="auto" w:sz="4" w:space="0"/>
            </w:tcBorders>
            <w:vAlign w:val="center"/>
          </w:tcPr>
          <w:p w14:paraId="5B01C8C0">
            <w:pPr>
              <w:wordWrap w:val="0"/>
              <w:spacing w:line="360" w:lineRule="auto"/>
              <w:jc w:val="center"/>
              <w:rPr>
                <w:rFonts w:hint="eastAsia" w:ascii="宋体" w:hAnsi="宋体" w:eastAsia="宋体" w:cs="宋体"/>
                <w:sz w:val="21"/>
                <w:szCs w:val="11"/>
                <w:highlight w:val="none"/>
                <w:lang w:val="en-US" w:eastAsia="zh-CN"/>
              </w:rPr>
            </w:pPr>
            <w:r>
              <w:rPr>
                <w:rFonts w:hint="eastAsia" w:hAnsi="宋体" w:cs="宋体"/>
                <w:sz w:val="21"/>
                <w:szCs w:val="11"/>
                <w:highlight w:val="none"/>
                <w:lang w:val="en-US" w:eastAsia="zh-CN"/>
              </w:rPr>
              <w:t>3</w:t>
            </w:r>
          </w:p>
        </w:tc>
        <w:tc>
          <w:tcPr>
            <w:tcW w:w="2232" w:type="dxa"/>
            <w:vAlign w:val="center"/>
          </w:tcPr>
          <w:p w14:paraId="63AEEA7E">
            <w:pPr>
              <w:snapToGrid w:val="0"/>
              <w:spacing w:line="300" w:lineRule="exact"/>
              <w:jc w:val="center"/>
              <w:rPr>
                <w:rFonts w:hint="eastAsia" w:ascii="宋体" w:hAnsi="宋体" w:eastAsia="宋体" w:cs="宋体"/>
                <w:highlight w:val="none"/>
              </w:rPr>
            </w:pPr>
            <w:r>
              <w:rPr>
                <w:rFonts w:hint="eastAsia" w:ascii="宋体" w:hAnsi="宋体" w:cs="宋体"/>
                <w:bCs/>
                <w:sz w:val="21"/>
                <w:szCs w:val="21"/>
                <w:highlight w:val="none"/>
              </w:rPr>
              <w:t>项目交付或实施的地点及方式</w:t>
            </w:r>
          </w:p>
        </w:tc>
        <w:tc>
          <w:tcPr>
            <w:tcW w:w="2387" w:type="dxa"/>
            <w:vAlign w:val="center"/>
          </w:tcPr>
          <w:p w14:paraId="40B7F822">
            <w:pPr>
              <w:snapToGrid w:val="0"/>
              <w:spacing w:line="300" w:lineRule="exact"/>
              <w:rPr>
                <w:rFonts w:hint="eastAsia" w:ascii="宋体" w:hAnsi="宋体" w:eastAsia="宋体" w:cs="宋体"/>
                <w:highlight w:val="none"/>
              </w:rPr>
            </w:pPr>
            <w:r>
              <w:rPr>
                <w:rFonts w:hint="eastAsia" w:ascii="宋体" w:hAnsi="宋体" w:cs="宋体"/>
                <w:bCs/>
                <w:sz w:val="21"/>
                <w:szCs w:val="21"/>
                <w:highlight w:val="none"/>
                <w:lang w:val="zh-CN"/>
              </w:rPr>
              <w:t>长春市二道区四通路155号长春息园内指定场地</w:t>
            </w:r>
          </w:p>
        </w:tc>
        <w:tc>
          <w:tcPr>
            <w:tcW w:w="2293" w:type="dxa"/>
            <w:vAlign w:val="center"/>
          </w:tcPr>
          <w:p w14:paraId="32AD9AFB">
            <w:pPr>
              <w:wordWrap w:val="0"/>
              <w:spacing w:line="360" w:lineRule="auto"/>
              <w:rPr>
                <w:rFonts w:hint="eastAsia" w:ascii="宋体" w:hAnsi="宋体" w:eastAsia="宋体" w:cs="宋体"/>
                <w:highlight w:val="none"/>
              </w:rPr>
            </w:pPr>
          </w:p>
        </w:tc>
        <w:tc>
          <w:tcPr>
            <w:tcW w:w="1374" w:type="dxa"/>
            <w:vAlign w:val="center"/>
          </w:tcPr>
          <w:p w14:paraId="08E45784">
            <w:pPr>
              <w:wordWrap w:val="0"/>
              <w:spacing w:line="360" w:lineRule="auto"/>
              <w:rPr>
                <w:rFonts w:hint="eastAsia" w:ascii="宋体" w:hAnsi="宋体" w:eastAsia="宋体" w:cs="宋体"/>
                <w:highlight w:val="none"/>
              </w:rPr>
            </w:pPr>
          </w:p>
        </w:tc>
      </w:tr>
      <w:tr w14:paraId="0C3B1E60">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48" w:type="dxa"/>
            <w:tcBorders>
              <w:left w:val="single" w:color="auto" w:sz="4" w:space="0"/>
            </w:tcBorders>
            <w:vAlign w:val="center"/>
          </w:tcPr>
          <w:p w14:paraId="2ABE66FD">
            <w:pPr>
              <w:wordWrap w:val="0"/>
              <w:spacing w:line="360" w:lineRule="auto"/>
              <w:jc w:val="center"/>
              <w:rPr>
                <w:rFonts w:hint="eastAsia" w:ascii="宋体" w:hAnsi="宋体" w:eastAsia="宋体" w:cs="宋体"/>
                <w:sz w:val="21"/>
                <w:szCs w:val="11"/>
                <w:highlight w:val="none"/>
                <w:lang w:val="en-US" w:eastAsia="zh-CN"/>
              </w:rPr>
            </w:pPr>
            <w:r>
              <w:rPr>
                <w:rFonts w:hint="eastAsia" w:hAnsi="宋体" w:cs="宋体"/>
                <w:sz w:val="21"/>
                <w:szCs w:val="11"/>
                <w:highlight w:val="none"/>
                <w:lang w:val="en-US" w:eastAsia="zh-CN"/>
              </w:rPr>
              <w:t>4</w:t>
            </w:r>
          </w:p>
        </w:tc>
        <w:tc>
          <w:tcPr>
            <w:tcW w:w="2232" w:type="dxa"/>
            <w:vAlign w:val="center"/>
          </w:tcPr>
          <w:p w14:paraId="73F37B02">
            <w:pPr>
              <w:snapToGrid w:val="0"/>
              <w:spacing w:line="300" w:lineRule="exact"/>
              <w:jc w:val="center"/>
              <w:rPr>
                <w:rFonts w:hint="eastAsia" w:ascii="宋体" w:hAnsi="宋体" w:eastAsia="宋体" w:cs="宋体"/>
                <w:highlight w:val="none"/>
              </w:rPr>
            </w:pPr>
            <w:r>
              <w:rPr>
                <w:rFonts w:hint="eastAsia" w:ascii="宋体" w:hAnsi="宋体" w:cs="宋体"/>
                <w:bCs/>
                <w:sz w:val="21"/>
                <w:szCs w:val="21"/>
                <w:highlight w:val="none"/>
              </w:rPr>
              <w:t>采购标的的验收标准和要求</w:t>
            </w:r>
          </w:p>
        </w:tc>
        <w:tc>
          <w:tcPr>
            <w:tcW w:w="2387" w:type="dxa"/>
            <w:vAlign w:val="center"/>
          </w:tcPr>
          <w:p w14:paraId="6C416DFE">
            <w:pPr>
              <w:widowControl w:val="0"/>
              <w:snapToGrid w:val="0"/>
              <w:spacing w:line="30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①工程整体及分部项目（包含隐蔽工程）须符合国家建筑结构等政策文件相关标准。</w:t>
            </w:r>
          </w:p>
          <w:p w14:paraId="4966E4F3">
            <w:pPr>
              <w:widowControl w:val="0"/>
              <w:snapToGrid w:val="0"/>
              <w:spacing w:line="30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②</w:t>
            </w:r>
            <w:r>
              <w:rPr>
                <w:rFonts w:hint="eastAsia" w:ascii="宋体" w:hAnsi="宋体" w:cs="宋体"/>
                <w:sz w:val="21"/>
                <w:szCs w:val="21"/>
                <w:highlight w:val="none"/>
              </w:rPr>
              <w:t>石材均采用天然石材，等级为A级，无染色、裂痕、金属晶体颗粒、异常斑点或条纹，颜色均匀一致。造型流畅，雕刻要求图案精美，润华逼真,</w:t>
            </w:r>
            <w:r>
              <w:rPr>
                <w:rFonts w:hint="eastAsia" w:ascii="宋体" w:hAnsi="宋体" w:cs="宋体"/>
                <w:sz w:val="21"/>
                <w:szCs w:val="21"/>
                <w:highlight w:val="none"/>
                <w:lang w:val="en-US" w:eastAsia="zh-CN"/>
              </w:rPr>
              <w:t>组件尺寸</w:t>
            </w:r>
            <w:r>
              <w:rPr>
                <w:rFonts w:hint="eastAsia" w:ascii="宋体" w:hAnsi="宋体" w:cs="宋体"/>
                <w:sz w:val="21"/>
                <w:szCs w:val="21"/>
                <w:highlight w:val="none"/>
              </w:rPr>
              <w:t>规格误差不超过正负3mm</w:t>
            </w:r>
            <w:r>
              <w:rPr>
                <w:rFonts w:hint="eastAsia" w:ascii="宋体" w:hAnsi="宋体" w:cs="宋体"/>
                <w:sz w:val="21"/>
                <w:szCs w:val="21"/>
                <w:highlight w:val="none"/>
                <w:lang w:val="en-US" w:eastAsia="zh-CN"/>
              </w:rPr>
              <w:t>。</w:t>
            </w:r>
          </w:p>
          <w:p w14:paraId="0C924F46">
            <w:pPr>
              <w:widowControl w:val="0"/>
              <w:snapToGrid w:val="0"/>
              <w:spacing w:line="3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③</w:t>
            </w:r>
            <w:r>
              <w:rPr>
                <w:rFonts w:hint="eastAsia" w:ascii="宋体" w:hAnsi="宋体" w:cs="宋体"/>
                <w:sz w:val="21"/>
                <w:szCs w:val="21"/>
                <w:highlight w:val="none"/>
              </w:rPr>
              <w:t>技术验收：采购方</w:t>
            </w:r>
            <w:r>
              <w:rPr>
                <w:rFonts w:hint="eastAsia" w:ascii="宋体" w:hAnsi="宋体" w:cs="宋体"/>
                <w:sz w:val="21"/>
                <w:szCs w:val="21"/>
                <w:highlight w:val="none"/>
                <w:lang w:val="en-US" w:eastAsia="zh-CN"/>
              </w:rPr>
              <w:t>有权</w:t>
            </w:r>
            <w:r>
              <w:rPr>
                <w:rFonts w:hint="eastAsia" w:ascii="宋体" w:hAnsi="宋体" w:cs="宋体"/>
                <w:sz w:val="21"/>
                <w:szCs w:val="21"/>
                <w:highlight w:val="none"/>
              </w:rPr>
              <w:t>委托第三方对</w:t>
            </w:r>
            <w:r>
              <w:rPr>
                <w:rFonts w:hint="eastAsia" w:ascii="宋体" w:hAnsi="宋体" w:cs="宋体"/>
                <w:sz w:val="21"/>
                <w:szCs w:val="21"/>
                <w:highlight w:val="none"/>
                <w:lang w:val="en-US" w:eastAsia="zh-CN"/>
              </w:rPr>
              <w:t>混凝土强度、建材主材质量、已建</w:t>
            </w:r>
            <w:r>
              <w:rPr>
                <w:rFonts w:hint="eastAsia" w:ascii="宋体" w:hAnsi="宋体" w:cs="宋体"/>
                <w:sz w:val="21"/>
                <w:szCs w:val="21"/>
                <w:highlight w:val="none"/>
              </w:rPr>
              <w:t>墓碑</w:t>
            </w:r>
            <w:r>
              <w:rPr>
                <w:rFonts w:hint="eastAsia" w:ascii="宋体" w:hAnsi="宋体" w:cs="宋体"/>
                <w:sz w:val="21"/>
                <w:szCs w:val="21"/>
                <w:highlight w:val="none"/>
                <w:lang w:val="en-US" w:eastAsia="zh-CN"/>
              </w:rPr>
              <w:t>整体</w:t>
            </w:r>
            <w:r>
              <w:rPr>
                <w:rFonts w:hint="eastAsia" w:ascii="宋体" w:hAnsi="宋体" w:cs="宋体"/>
                <w:sz w:val="21"/>
                <w:szCs w:val="21"/>
                <w:highlight w:val="none"/>
              </w:rPr>
              <w:t>进行检测，</w:t>
            </w:r>
            <w:r>
              <w:rPr>
                <w:rFonts w:hint="eastAsia" w:ascii="宋体" w:hAnsi="宋体" w:cs="宋体"/>
                <w:sz w:val="21"/>
                <w:szCs w:val="21"/>
                <w:highlight w:val="none"/>
                <w:lang w:val="en-US" w:eastAsia="zh-CN"/>
              </w:rPr>
              <w:t>如石材硬度、</w:t>
            </w:r>
            <w:r>
              <w:rPr>
                <w:rFonts w:hint="eastAsia" w:ascii="宋体" w:hAnsi="宋体" w:cs="宋体"/>
                <w:sz w:val="21"/>
                <w:szCs w:val="21"/>
                <w:highlight w:val="none"/>
              </w:rPr>
              <w:t>基础垫层厚度规格、材质、石材组件间水泥</w:t>
            </w:r>
            <w:r>
              <w:rPr>
                <w:rFonts w:hint="eastAsia" w:ascii="宋体" w:hAnsi="宋体" w:cs="宋体"/>
                <w:sz w:val="21"/>
                <w:szCs w:val="21"/>
                <w:highlight w:val="none"/>
                <w:lang w:val="en-US" w:eastAsia="zh-CN"/>
              </w:rPr>
              <w:t>标号</w:t>
            </w:r>
            <w:r>
              <w:rPr>
                <w:rFonts w:hint="eastAsia" w:ascii="宋体" w:hAnsi="宋体" w:cs="宋体"/>
                <w:sz w:val="21"/>
                <w:szCs w:val="21"/>
                <w:highlight w:val="none"/>
              </w:rPr>
              <w:t>强度</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饱满度</w:t>
            </w:r>
            <w:r>
              <w:rPr>
                <w:rFonts w:hint="eastAsia" w:ascii="宋体" w:hAnsi="宋体" w:cs="宋体"/>
                <w:sz w:val="21"/>
                <w:szCs w:val="21"/>
                <w:highlight w:val="none"/>
              </w:rPr>
              <w:t>等，进行破坏性抽样检测，检测机构服务费由</w:t>
            </w:r>
            <w:r>
              <w:rPr>
                <w:rFonts w:hint="eastAsia" w:ascii="宋体" w:hAnsi="宋体" w:cs="宋体"/>
                <w:sz w:val="21"/>
                <w:szCs w:val="21"/>
                <w:highlight w:val="none"/>
                <w:lang w:eastAsia="zh-CN"/>
              </w:rPr>
              <w:t>供应方</w:t>
            </w:r>
            <w:r>
              <w:rPr>
                <w:rFonts w:hint="eastAsia" w:ascii="宋体" w:hAnsi="宋体" w:cs="宋体"/>
                <w:sz w:val="21"/>
                <w:szCs w:val="21"/>
                <w:highlight w:val="none"/>
              </w:rPr>
              <w:t>支付。</w:t>
            </w:r>
          </w:p>
          <w:p w14:paraId="2A519F48">
            <w:pPr>
              <w:widowControl w:val="0"/>
              <w:snapToGrid w:val="0"/>
              <w:spacing w:line="3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④景观</w:t>
            </w:r>
            <w:r>
              <w:rPr>
                <w:rFonts w:hint="eastAsia" w:ascii="宋体" w:hAnsi="宋体" w:cs="宋体"/>
                <w:sz w:val="21"/>
                <w:szCs w:val="21"/>
                <w:highlight w:val="none"/>
              </w:rPr>
              <w:t>安装</w:t>
            </w:r>
            <w:r>
              <w:rPr>
                <w:rFonts w:hint="eastAsia" w:ascii="宋体" w:hAnsi="宋体" w:cs="宋体"/>
                <w:sz w:val="21"/>
                <w:szCs w:val="21"/>
                <w:highlight w:val="none"/>
                <w:lang w:val="en-US" w:eastAsia="zh-CN"/>
              </w:rPr>
              <w:t>及其他施工</w:t>
            </w:r>
            <w:r>
              <w:rPr>
                <w:rFonts w:hint="eastAsia" w:ascii="宋体" w:hAnsi="宋体" w:cs="宋体"/>
                <w:sz w:val="21"/>
                <w:szCs w:val="21"/>
                <w:highlight w:val="none"/>
              </w:rPr>
              <w:t>验收：</w:t>
            </w:r>
            <w:r>
              <w:rPr>
                <w:rFonts w:hint="eastAsia" w:ascii="宋体" w:hAnsi="宋体" w:cs="宋体"/>
                <w:sz w:val="21"/>
                <w:szCs w:val="21"/>
                <w:highlight w:val="none"/>
                <w:lang w:val="en-US" w:eastAsia="zh-CN"/>
              </w:rPr>
              <w:t>景观小品</w:t>
            </w:r>
            <w:r>
              <w:rPr>
                <w:rFonts w:hint="eastAsia" w:ascii="宋体" w:hAnsi="宋体" w:cs="宋体"/>
                <w:sz w:val="21"/>
                <w:szCs w:val="21"/>
                <w:highlight w:val="none"/>
              </w:rPr>
              <w:t>安装</w:t>
            </w:r>
            <w:r>
              <w:rPr>
                <w:rFonts w:hint="eastAsia" w:ascii="宋体" w:hAnsi="宋体" w:cs="宋体"/>
                <w:sz w:val="21"/>
                <w:szCs w:val="21"/>
                <w:highlight w:val="none"/>
                <w:lang w:val="en-US" w:eastAsia="zh-CN"/>
              </w:rPr>
              <w:t>及石材安装</w:t>
            </w:r>
            <w:r>
              <w:rPr>
                <w:rFonts w:hint="eastAsia" w:ascii="宋体" w:hAnsi="宋体" w:cs="宋体"/>
                <w:sz w:val="21"/>
                <w:szCs w:val="21"/>
                <w:highlight w:val="none"/>
              </w:rPr>
              <w:t>应</w:t>
            </w:r>
            <w:r>
              <w:rPr>
                <w:rFonts w:hint="eastAsia" w:ascii="宋体" w:hAnsi="宋体" w:cs="宋体"/>
                <w:sz w:val="21"/>
                <w:szCs w:val="21"/>
                <w:highlight w:val="none"/>
                <w:lang w:val="en-US" w:eastAsia="zh-CN"/>
              </w:rPr>
              <w:t>严格按照施工图纸执行，材质规格符合图纸及采购方要求</w:t>
            </w:r>
            <w:r>
              <w:rPr>
                <w:rFonts w:hint="eastAsia" w:ascii="宋体" w:hAnsi="宋体" w:cs="宋体"/>
                <w:sz w:val="21"/>
                <w:szCs w:val="21"/>
                <w:highlight w:val="none"/>
              </w:rPr>
              <w:t>。</w:t>
            </w:r>
            <w:r>
              <w:rPr>
                <w:rFonts w:hint="eastAsia" w:ascii="宋体" w:hAnsi="宋体" w:cs="宋体"/>
                <w:sz w:val="21"/>
                <w:szCs w:val="21"/>
                <w:highlight w:val="none"/>
                <w:lang w:val="en-US" w:eastAsia="zh-CN"/>
              </w:rPr>
              <w:t>基础部分</w:t>
            </w:r>
            <w:r>
              <w:rPr>
                <w:rFonts w:hint="eastAsia" w:ascii="宋体" w:hAnsi="宋体" w:cs="宋体"/>
                <w:sz w:val="21"/>
                <w:szCs w:val="21"/>
                <w:highlight w:val="none"/>
              </w:rPr>
              <w:t>符合建筑工程施工质量验收统一标准。</w:t>
            </w:r>
          </w:p>
          <w:p w14:paraId="25832A2C">
            <w:pPr>
              <w:widowControl w:val="0"/>
              <w:snapToGrid w:val="0"/>
              <w:spacing w:line="3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⑤</w:t>
            </w:r>
            <w:r>
              <w:rPr>
                <w:rFonts w:hint="eastAsia" w:ascii="宋体" w:hAnsi="宋体" w:cs="宋体"/>
                <w:sz w:val="21"/>
                <w:szCs w:val="21"/>
                <w:highlight w:val="none"/>
              </w:rPr>
              <w:t>施工现场需设置全封闭施工围挡，所有工程经</w:t>
            </w:r>
            <w:r>
              <w:rPr>
                <w:rFonts w:hint="eastAsia" w:ascii="宋体" w:hAnsi="宋体" w:cs="宋体"/>
                <w:sz w:val="21"/>
                <w:szCs w:val="21"/>
                <w:highlight w:val="none"/>
                <w:lang w:eastAsia="zh-CN"/>
              </w:rPr>
              <w:t>采购方</w:t>
            </w:r>
            <w:r>
              <w:rPr>
                <w:rFonts w:hint="eastAsia" w:ascii="宋体" w:hAnsi="宋体" w:cs="宋体"/>
                <w:sz w:val="21"/>
                <w:szCs w:val="21"/>
                <w:highlight w:val="none"/>
              </w:rPr>
              <w:t>验收后方可拆除，期间</w:t>
            </w:r>
            <w:r>
              <w:rPr>
                <w:rFonts w:hint="eastAsia" w:ascii="宋体" w:hAnsi="宋体" w:cs="宋体"/>
                <w:sz w:val="21"/>
                <w:szCs w:val="21"/>
                <w:highlight w:val="none"/>
                <w:lang w:eastAsia="zh-CN"/>
              </w:rPr>
              <w:t>供应方</w:t>
            </w:r>
            <w:r>
              <w:rPr>
                <w:rFonts w:hint="eastAsia" w:ascii="宋体" w:hAnsi="宋体" w:cs="宋体"/>
                <w:sz w:val="21"/>
                <w:szCs w:val="21"/>
                <w:highlight w:val="none"/>
              </w:rPr>
              <w:t>负责围挡的维护和安全保障责任。</w:t>
            </w:r>
          </w:p>
          <w:p w14:paraId="0126CA36">
            <w:pPr>
              <w:widowControl w:val="0"/>
              <w:snapToGrid w:val="0"/>
              <w:spacing w:line="3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⑥铺装石材，成品砖、景观小品样式及样板等，采购方确定无问题后方可备入安装现场。施工</w:t>
            </w:r>
            <w:r>
              <w:rPr>
                <w:rFonts w:hint="eastAsia" w:ascii="宋体" w:hAnsi="宋体" w:cs="宋体"/>
                <w:sz w:val="21"/>
                <w:szCs w:val="21"/>
                <w:highlight w:val="none"/>
              </w:rPr>
              <w:t>部分</w:t>
            </w:r>
            <w:r>
              <w:rPr>
                <w:rFonts w:hint="eastAsia" w:ascii="宋体" w:hAnsi="宋体" w:cs="宋体"/>
                <w:sz w:val="21"/>
                <w:szCs w:val="21"/>
                <w:highlight w:val="none"/>
                <w:lang w:val="en-US" w:eastAsia="zh-CN"/>
              </w:rPr>
              <w:t>需与</w:t>
            </w:r>
            <w:r>
              <w:rPr>
                <w:rFonts w:hint="eastAsia" w:ascii="宋体" w:hAnsi="宋体" w:cs="宋体"/>
                <w:sz w:val="21"/>
                <w:szCs w:val="21"/>
                <w:highlight w:val="none"/>
              </w:rPr>
              <w:t>现有基础设施的合理衔接。</w:t>
            </w:r>
          </w:p>
          <w:p w14:paraId="4BF2468E">
            <w:pPr>
              <w:widowControl w:val="0"/>
              <w:snapToGrid w:val="0"/>
              <w:spacing w:line="30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⑦</w:t>
            </w:r>
            <w:r>
              <w:rPr>
                <w:rFonts w:hint="eastAsia" w:ascii="宋体" w:hAnsi="宋体" w:cs="宋体"/>
                <w:sz w:val="21"/>
                <w:szCs w:val="21"/>
                <w:highlight w:val="none"/>
              </w:rPr>
              <w:t>场地要求：</w:t>
            </w:r>
            <w:r>
              <w:rPr>
                <w:rFonts w:hint="eastAsia" w:ascii="宋体" w:hAnsi="宋体" w:cs="宋体"/>
                <w:sz w:val="21"/>
                <w:szCs w:val="21"/>
                <w:highlight w:val="none"/>
                <w:lang w:val="en-US" w:eastAsia="zh-CN"/>
              </w:rPr>
              <w:t>入场施工前需签订</w:t>
            </w:r>
            <w:r>
              <w:rPr>
                <w:rFonts w:hint="eastAsia" w:ascii="宋体" w:hAnsi="宋体" w:cs="宋体"/>
                <w:sz w:val="21"/>
                <w:szCs w:val="21"/>
                <w:highlight w:val="none"/>
              </w:rPr>
              <w:t>《入场协议》</w:t>
            </w:r>
            <w:r>
              <w:rPr>
                <w:rFonts w:hint="eastAsia" w:ascii="宋体" w:hAnsi="宋体" w:cs="宋体"/>
                <w:sz w:val="21"/>
                <w:szCs w:val="21"/>
                <w:highlight w:val="none"/>
                <w:lang w:val="en-US" w:eastAsia="zh-CN"/>
              </w:rPr>
              <w:t>和《安全生产及文明施工责任书》，</w:t>
            </w:r>
            <w:r>
              <w:rPr>
                <w:rFonts w:hint="eastAsia" w:ascii="宋体" w:hAnsi="宋体" w:cs="宋体"/>
                <w:sz w:val="21"/>
                <w:szCs w:val="21"/>
                <w:highlight w:val="none"/>
              </w:rPr>
              <w:t>现场用水用电、场地管理、工人、物料管理按规定执行</w:t>
            </w:r>
            <w:r>
              <w:rPr>
                <w:rFonts w:hint="eastAsia" w:ascii="宋体" w:hAnsi="宋体" w:cs="宋体"/>
                <w:sz w:val="21"/>
                <w:szCs w:val="21"/>
                <w:highlight w:val="none"/>
                <w:lang w:eastAsia="zh-CN"/>
              </w:rPr>
              <w:t>，如</w:t>
            </w:r>
            <w:r>
              <w:rPr>
                <w:rFonts w:hint="eastAsia" w:ascii="宋体" w:hAnsi="宋体" w:cs="宋体"/>
                <w:sz w:val="21"/>
                <w:szCs w:val="21"/>
                <w:highlight w:val="none"/>
                <w:lang w:val="en-US" w:eastAsia="zh-CN"/>
              </w:rPr>
              <w:t>违反相应规定，采购方将按相关条款进行处罚。</w:t>
            </w:r>
          </w:p>
          <w:p w14:paraId="63E5DADB">
            <w:pPr>
              <w:widowControl w:val="0"/>
              <w:snapToGrid w:val="0"/>
              <w:spacing w:line="3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⑧</w:t>
            </w:r>
            <w:r>
              <w:rPr>
                <w:rFonts w:hint="eastAsia" w:ascii="宋体" w:hAnsi="宋体" w:cs="宋体"/>
                <w:sz w:val="21"/>
                <w:szCs w:val="21"/>
                <w:highlight w:val="none"/>
              </w:rPr>
              <w:t>验收交付前的保管及安全等责任由</w:t>
            </w:r>
            <w:r>
              <w:rPr>
                <w:rFonts w:hint="eastAsia" w:ascii="宋体" w:hAnsi="宋体" w:cs="宋体"/>
                <w:sz w:val="21"/>
                <w:szCs w:val="21"/>
                <w:highlight w:val="none"/>
                <w:lang w:eastAsia="zh-CN"/>
              </w:rPr>
              <w:t>供应方</w:t>
            </w:r>
            <w:r>
              <w:rPr>
                <w:rFonts w:hint="eastAsia" w:ascii="宋体" w:hAnsi="宋体" w:cs="宋体"/>
                <w:sz w:val="21"/>
                <w:szCs w:val="21"/>
                <w:highlight w:val="none"/>
              </w:rPr>
              <w:t>承担。</w:t>
            </w:r>
          </w:p>
          <w:p w14:paraId="5667EAE4">
            <w:pPr>
              <w:widowControl w:val="0"/>
              <w:snapToGrid w:val="0"/>
              <w:spacing w:line="3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⑨</w:t>
            </w:r>
            <w:r>
              <w:rPr>
                <w:rFonts w:hint="eastAsia" w:ascii="宋体" w:hAnsi="宋体" w:cs="宋体"/>
                <w:sz w:val="21"/>
                <w:szCs w:val="21"/>
                <w:highlight w:val="none"/>
              </w:rPr>
              <w:t>包装运输要求</w:t>
            </w:r>
          </w:p>
          <w:p w14:paraId="4AB904BC">
            <w:pPr>
              <w:widowControl w:val="0"/>
              <w:snapToGrid w:val="0"/>
              <w:spacing w:line="3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每批到货材料按照采购方指定位置摆放、</w:t>
            </w:r>
            <w:r>
              <w:rPr>
                <w:rFonts w:hint="eastAsia" w:ascii="宋体" w:hAnsi="宋体" w:cs="宋体"/>
                <w:sz w:val="21"/>
                <w:szCs w:val="21"/>
                <w:highlight w:val="none"/>
              </w:rPr>
              <w:t>施工区域禁止5吨以上车辆驶入。</w:t>
            </w:r>
          </w:p>
          <w:p w14:paraId="071F24E7">
            <w:pPr>
              <w:widowControl w:val="0"/>
              <w:snapToGrid w:val="0"/>
              <w:spacing w:line="300" w:lineRule="exact"/>
              <w:ind w:firstLine="420" w:firstLineChars="200"/>
              <w:rPr>
                <w:rFonts w:hint="eastAsia" w:ascii="宋体" w:hAnsi="宋体" w:eastAsia="宋体" w:cs="宋体"/>
                <w:highlight w:val="none"/>
              </w:rPr>
            </w:pPr>
            <w:r>
              <w:rPr>
                <w:rFonts w:hint="eastAsia" w:ascii="宋体" w:hAnsi="宋体" w:cs="宋体"/>
                <w:sz w:val="21"/>
                <w:szCs w:val="21"/>
                <w:highlight w:val="none"/>
              </w:rPr>
              <w:t>木材六面防护，箱内石材单一组件必须全部用专用塑料珍珠棉包装。箱体清楚标明产品墓区及组件名称、数量。采购方规定施工区域禁止5吨以上车辆驶入。</w:t>
            </w:r>
          </w:p>
        </w:tc>
        <w:tc>
          <w:tcPr>
            <w:tcW w:w="2293" w:type="dxa"/>
            <w:vAlign w:val="center"/>
          </w:tcPr>
          <w:p w14:paraId="5074BA70">
            <w:pPr>
              <w:wordWrap w:val="0"/>
              <w:spacing w:line="360" w:lineRule="auto"/>
              <w:rPr>
                <w:rFonts w:hint="eastAsia" w:ascii="宋体" w:hAnsi="宋体" w:eastAsia="宋体" w:cs="宋体"/>
                <w:highlight w:val="none"/>
              </w:rPr>
            </w:pPr>
          </w:p>
        </w:tc>
        <w:tc>
          <w:tcPr>
            <w:tcW w:w="1374" w:type="dxa"/>
            <w:vAlign w:val="center"/>
          </w:tcPr>
          <w:p w14:paraId="492C27ED">
            <w:pPr>
              <w:wordWrap w:val="0"/>
              <w:spacing w:line="360" w:lineRule="auto"/>
              <w:rPr>
                <w:rFonts w:hint="eastAsia" w:ascii="宋体" w:hAnsi="宋体" w:eastAsia="宋体" w:cs="宋体"/>
                <w:highlight w:val="none"/>
              </w:rPr>
            </w:pPr>
          </w:p>
        </w:tc>
      </w:tr>
      <w:tr w14:paraId="0D5F214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48" w:type="dxa"/>
            <w:tcBorders>
              <w:left w:val="single" w:color="auto" w:sz="4" w:space="0"/>
            </w:tcBorders>
            <w:vAlign w:val="center"/>
          </w:tcPr>
          <w:p w14:paraId="7AE8155C">
            <w:pPr>
              <w:wordWrap w:val="0"/>
              <w:spacing w:line="360" w:lineRule="auto"/>
              <w:jc w:val="center"/>
              <w:rPr>
                <w:rFonts w:hint="eastAsia" w:ascii="宋体" w:hAnsi="宋体" w:eastAsia="宋体" w:cs="宋体"/>
                <w:sz w:val="21"/>
                <w:szCs w:val="11"/>
                <w:highlight w:val="none"/>
                <w:lang w:val="en-US" w:eastAsia="zh-CN"/>
              </w:rPr>
            </w:pPr>
            <w:r>
              <w:rPr>
                <w:rFonts w:hint="eastAsia" w:hAnsi="宋体" w:cs="宋体"/>
                <w:sz w:val="21"/>
                <w:szCs w:val="11"/>
                <w:highlight w:val="none"/>
                <w:lang w:val="en-US" w:eastAsia="zh-CN"/>
              </w:rPr>
              <w:t>5</w:t>
            </w:r>
          </w:p>
        </w:tc>
        <w:tc>
          <w:tcPr>
            <w:tcW w:w="2232" w:type="dxa"/>
            <w:vAlign w:val="center"/>
          </w:tcPr>
          <w:p w14:paraId="783AEB79">
            <w:pPr>
              <w:snapToGrid w:val="0"/>
              <w:spacing w:line="300" w:lineRule="exact"/>
              <w:jc w:val="center"/>
              <w:rPr>
                <w:rFonts w:hint="eastAsia" w:ascii="宋体" w:hAnsi="宋体" w:eastAsia="宋体" w:cs="宋体"/>
                <w:highlight w:val="none"/>
              </w:rPr>
            </w:pPr>
            <w:r>
              <w:rPr>
                <w:rFonts w:hint="eastAsia" w:ascii="宋体" w:hAnsi="宋体" w:cs="宋体"/>
                <w:bCs/>
                <w:sz w:val="21"/>
                <w:szCs w:val="21"/>
                <w:highlight w:val="none"/>
                <w:lang w:val="zh-CN"/>
              </w:rPr>
              <w:t>采购标的检验或者验收期限</w:t>
            </w:r>
          </w:p>
        </w:tc>
        <w:tc>
          <w:tcPr>
            <w:tcW w:w="2387" w:type="dxa"/>
            <w:vAlign w:val="center"/>
          </w:tcPr>
          <w:p w14:paraId="44599103">
            <w:pPr>
              <w:snapToGrid w:val="0"/>
              <w:spacing w:line="300" w:lineRule="exact"/>
              <w:rPr>
                <w:rFonts w:hint="eastAsia" w:ascii="宋体" w:hAnsi="宋体" w:eastAsia="宋体" w:cs="宋体"/>
                <w:highlight w:val="none"/>
              </w:rPr>
            </w:pPr>
            <w:r>
              <w:rPr>
                <w:rFonts w:hint="eastAsia" w:ascii="宋体" w:hAnsi="宋体" w:cs="宋体"/>
                <w:bCs/>
                <w:sz w:val="21"/>
                <w:szCs w:val="21"/>
                <w:highlight w:val="none"/>
                <w:lang w:val="zh-CN"/>
              </w:rPr>
              <w:t>项目交付后</w:t>
            </w:r>
            <w:r>
              <w:rPr>
                <w:rFonts w:hint="eastAsia" w:ascii="宋体" w:hAnsi="宋体" w:cs="宋体"/>
                <w:bCs/>
                <w:sz w:val="21"/>
                <w:szCs w:val="21"/>
                <w:highlight w:val="none"/>
              </w:rPr>
              <w:t>30 天</w:t>
            </w:r>
            <w:r>
              <w:rPr>
                <w:rFonts w:hint="eastAsia" w:ascii="宋体" w:hAnsi="宋体" w:cs="宋体"/>
                <w:bCs/>
                <w:sz w:val="21"/>
                <w:szCs w:val="21"/>
                <w:highlight w:val="none"/>
                <w:lang w:val="zh-CN"/>
              </w:rPr>
              <w:t>。</w:t>
            </w:r>
          </w:p>
        </w:tc>
        <w:tc>
          <w:tcPr>
            <w:tcW w:w="2293" w:type="dxa"/>
            <w:vAlign w:val="center"/>
          </w:tcPr>
          <w:p w14:paraId="56A46F7F">
            <w:pPr>
              <w:wordWrap w:val="0"/>
              <w:spacing w:line="360" w:lineRule="auto"/>
              <w:rPr>
                <w:rFonts w:hint="eastAsia" w:ascii="宋体" w:hAnsi="宋体" w:eastAsia="宋体" w:cs="宋体"/>
                <w:highlight w:val="none"/>
              </w:rPr>
            </w:pPr>
          </w:p>
        </w:tc>
        <w:tc>
          <w:tcPr>
            <w:tcW w:w="1374" w:type="dxa"/>
            <w:vAlign w:val="center"/>
          </w:tcPr>
          <w:p w14:paraId="55DDD90E">
            <w:pPr>
              <w:wordWrap w:val="0"/>
              <w:spacing w:line="360" w:lineRule="auto"/>
              <w:rPr>
                <w:rFonts w:hint="eastAsia" w:ascii="宋体" w:hAnsi="宋体" w:eastAsia="宋体" w:cs="宋体"/>
                <w:highlight w:val="none"/>
              </w:rPr>
            </w:pPr>
          </w:p>
        </w:tc>
      </w:tr>
      <w:tr w14:paraId="389EE8D9">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48" w:type="dxa"/>
            <w:tcBorders>
              <w:left w:val="single" w:color="auto" w:sz="4" w:space="0"/>
            </w:tcBorders>
            <w:vAlign w:val="center"/>
          </w:tcPr>
          <w:p w14:paraId="50336458">
            <w:pPr>
              <w:wordWrap w:val="0"/>
              <w:spacing w:line="360" w:lineRule="auto"/>
              <w:jc w:val="center"/>
              <w:rPr>
                <w:rFonts w:hint="eastAsia" w:ascii="宋体" w:hAnsi="宋体" w:eastAsia="宋体" w:cs="宋体"/>
                <w:sz w:val="21"/>
                <w:szCs w:val="11"/>
                <w:highlight w:val="none"/>
                <w:lang w:val="en-US" w:eastAsia="zh-CN"/>
              </w:rPr>
            </w:pPr>
            <w:r>
              <w:rPr>
                <w:rFonts w:hint="eastAsia" w:hAnsi="宋体" w:cs="宋体"/>
                <w:sz w:val="21"/>
                <w:szCs w:val="11"/>
                <w:highlight w:val="none"/>
                <w:lang w:val="en-US" w:eastAsia="zh-CN"/>
              </w:rPr>
              <w:t>6</w:t>
            </w:r>
          </w:p>
        </w:tc>
        <w:tc>
          <w:tcPr>
            <w:tcW w:w="2232" w:type="dxa"/>
            <w:vAlign w:val="center"/>
          </w:tcPr>
          <w:p w14:paraId="75C0A63F">
            <w:pPr>
              <w:snapToGrid w:val="0"/>
              <w:spacing w:line="300" w:lineRule="exact"/>
              <w:jc w:val="center"/>
              <w:rPr>
                <w:rFonts w:hint="eastAsia" w:ascii="宋体" w:hAnsi="宋体" w:eastAsia="宋体" w:cs="宋体"/>
                <w:highlight w:val="none"/>
              </w:rPr>
            </w:pPr>
            <w:r>
              <w:rPr>
                <w:rFonts w:hint="eastAsia" w:ascii="宋体" w:hAnsi="宋体" w:cs="宋体"/>
                <w:bCs/>
                <w:sz w:val="21"/>
                <w:szCs w:val="21"/>
                <w:highlight w:val="none"/>
              </w:rPr>
              <w:t>资金的支付方式、时间、条件</w:t>
            </w:r>
          </w:p>
        </w:tc>
        <w:tc>
          <w:tcPr>
            <w:tcW w:w="2387" w:type="dxa"/>
            <w:vAlign w:val="center"/>
          </w:tcPr>
          <w:p w14:paraId="39784235">
            <w:pPr>
              <w:pStyle w:val="43"/>
              <w:snapToGrid w:val="0"/>
              <w:spacing w:line="300" w:lineRule="exact"/>
              <w:ind w:firstLine="420" w:firstLineChars="200"/>
              <w:rPr>
                <w:rFonts w:hint="eastAsia" w:ascii="宋体" w:hAnsi="宋体" w:eastAsia="宋体" w:cs="宋体"/>
                <w:highlight w:val="none"/>
              </w:rPr>
            </w:pPr>
            <w:r>
              <w:rPr>
                <w:rFonts w:hint="eastAsia" w:ascii="宋体" w:hAnsi="宋体" w:cs="宋体"/>
                <w:bCs/>
                <w:szCs w:val="21"/>
                <w:highlight w:val="none"/>
              </w:rPr>
              <w:t>中小企业（需执行《保障中小企业款项支付条例》【国务院第728令】的相关规定）：</w:t>
            </w:r>
            <w:r>
              <w:rPr>
                <w:rFonts w:hint="eastAsia" w:ascii="宋体" w:hAnsi="宋体" w:cs="宋体"/>
                <w:kern w:val="0"/>
                <w:szCs w:val="21"/>
                <w:highlight w:val="none"/>
                <w:lang w:val="en-US" w:eastAsia="zh-CN"/>
              </w:rPr>
              <w:t>供应方进场并具备施工条件，出具本项目银行保函或担保公司保函后，支付工程预付款（预付款金额为合同总价的10%），承包人完成全部工程量且工程竣工验收合格后支付至工程总价的80%（此次工程款支付金额需扣除所支付的全部预付款）；工程结算评审后且发包人收到承包人开具的符合要求的全额增值税专用发票后，支付至评审结算总价的97%，评审结算总价的3%做为质保金，质保期满无质量问题无息一次性付清</w:t>
            </w:r>
            <w:r>
              <w:rPr>
                <w:rFonts w:hint="eastAsia" w:ascii="宋体" w:hAnsi="宋体" w:cs="宋体"/>
                <w:kern w:val="0"/>
                <w:szCs w:val="21"/>
                <w:highlight w:val="none"/>
              </w:rPr>
              <w:t>。</w:t>
            </w:r>
          </w:p>
        </w:tc>
        <w:tc>
          <w:tcPr>
            <w:tcW w:w="2293" w:type="dxa"/>
            <w:vAlign w:val="center"/>
          </w:tcPr>
          <w:p w14:paraId="02637C71">
            <w:pPr>
              <w:wordWrap w:val="0"/>
              <w:spacing w:line="360" w:lineRule="auto"/>
              <w:rPr>
                <w:rFonts w:hint="eastAsia" w:ascii="宋体" w:hAnsi="宋体" w:eastAsia="宋体" w:cs="宋体"/>
                <w:highlight w:val="none"/>
              </w:rPr>
            </w:pPr>
          </w:p>
        </w:tc>
        <w:tc>
          <w:tcPr>
            <w:tcW w:w="1374" w:type="dxa"/>
            <w:vAlign w:val="center"/>
          </w:tcPr>
          <w:p w14:paraId="5FA2A358">
            <w:pPr>
              <w:wordWrap w:val="0"/>
              <w:spacing w:line="360" w:lineRule="auto"/>
              <w:rPr>
                <w:rFonts w:hint="eastAsia" w:ascii="宋体" w:hAnsi="宋体" w:eastAsia="宋体" w:cs="宋体"/>
                <w:highlight w:val="none"/>
              </w:rPr>
            </w:pPr>
          </w:p>
        </w:tc>
      </w:tr>
      <w:tr w14:paraId="557E433C">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48" w:type="dxa"/>
            <w:tcBorders>
              <w:left w:val="single" w:color="auto" w:sz="4" w:space="0"/>
            </w:tcBorders>
            <w:vAlign w:val="center"/>
          </w:tcPr>
          <w:p w14:paraId="636A8B90">
            <w:pPr>
              <w:wordWrap w:val="0"/>
              <w:spacing w:line="360" w:lineRule="auto"/>
              <w:jc w:val="center"/>
              <w:rPr>
                <w:rFonts w:hint="eastAsia" w:ascii="宋体" w:hAnsi="宋体" w:eastAsia="宋体" w:cs="宋体"/>
                <w:sz w:val="21"/>
                <w:szCs w:val="11"/>
                <w:highlight w:val="none"/>
                <w:lang w:val="en-US" w:eastAsia="zh-CN"/>
              </w:rPr>
            </w:pPr>
            <w:r>
              <w:rPr>
                <w:rFonts w:hint="eastAsia" w:hAnsi="宋体" w:cs="宋体"/>
                <w:sz w:val="21"/>
                <w:szCs w:val="11"/>
                <w:highlight w:val="none"/>
                <w:lang w:val="en-US" w:eastAsia="zh-CN"/>
              </w:rPr>
              <w:t>7</w:t>
            </w:r>
          </w:p>
        </w:tc>
        <w:tc>
          <w:tcPr>
            <w:tcW w:w="2232" w:type="dxa"/>
            <w:vAlign w:val="center"/>
          </w:tcPr>
          <w:p w14:paraId="3898E62C">
            <w:pPr>
              <w:snapToGrid w:val="0"/>
              <w:spacing w:line="300" w:lineRule="exact"/>
              <w:jc w:val="center"/>
              <w:rPr>
                <w:rFonts w:hint="eastAsia" w:ascii="宋体" w:hAnsi="宋体" w:eastAsia="宋体" w:cs="宋体"/>
                <w:highlight w:val="none"/>
              </w:rPr>
            </w:pPr>
            <w:r>
              <w:rPr>
                <w:rFonts w:hint="eastAsia" w:ascii="宋体" w:hAnsi="宋体" w:cs="宋体"/>
                <w:sz w:val="21"/>
                <w:szCs w:val="21"/>
                <w:highlight w:val="none"/>
              </w:rPr>
              <w:t>报价要求</w:t>
            </w:r>
          </w:p>
        </w:tc>
        <w:tc>
          <w:tcPr>
            <w:tcW w:w="2387" w:type="dxa"/>
            <w:vAlign w:val="center"/>
          </w:tcPr>
          <w:p w14:paraId="06D1834F">
            <w:pPr>
              <w:widowControl w:val="0"/>
              <w:snapToGrid w:val="0"/>
              <w:spacing w:line="300" w:lineRule="exact"/>
              <w:rPr>
                <w:rFonts w:hint="eastAsia" w:ascii="宋体" w:hAnsi="宋体" w:eastAsia="宋体" w:cs="宋体"/>
                <w:highlight w:val="none"/>
              </w:rPr>
            </w:pPr>
            <w:r>
              <w:rPr>
                <w:rFonts w:hint="eastAsia" w:ascii="宋体" w:hAnsi="宋体" w:cs="宋体"/>
                <w:sz w:val="21"/>
                <w:szCs w:val="21"/>
                <w:highlight w:val="none"/>
              </w:rPr>
              <w:t>该报价包含为完成本项目全部工作所需的一切费用，包含税费、基础建设、材料价格、人工价格、运输、包装、倒运、组装、现场卫生、垃圾清运及辅材结构胶、部件间水泥、胶、瓷砖胶等。</w:t>
            </w:r>
          </w:p>
        </w:tc>
        <w:tc>
          <w:tcPr>
            <w:tcW w:w="2293" w:type="dxa"/>
            <w:vAlign w:val="center"/>
          </w:tcPr>
          <w:p w14:paraId="5E8FDCC9">
            <w:pPr>
              <w:wordWrap w:val="0"/>
              <w:spacing w:line="360" w:lineRule="auto"/>
              <w:rPr>
                <w:rFonts w:hint="eastAsia" w:ascii="宋体" w:hAnsi="宋体" w:eastAsia="宋体" w:cs="宋体"/>
                <w:highlight w:val="none"/>
              </w:rPr>
            </w:pPr>
          </w:p>
        </w:tc>
        <w:tc>
          <w:tcPr>
            <w:tcW w:w="1374" w:type="dxa"/>
            <w:vAlign w:val="center"/>
          </w:tcPr>
          <w:p w14:paraId="7CA9D3CB">
            <w:pPr>
              <w:wordWrap w:val="0"/>
              <w:spacing w:line="360" w:lineRule="auto"/>
              <w:rPr>
                <w:rFonts w:hint="eastAsia" w:ascii="宋体" w:hAnsi="宋体" w:eastAsia="宋体" w:cs="宋体"/>
                <w:highlight w:val="none"/>
              </w:rPr>
            </w:pPr>
          </w:p>
        </w:tc>
      </w:tr>
      <w:tr w14:paraId="44FC03A0">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48" w:type="dxa"/>
            <w:tcBorders>
              <w:left w:val="single" w:color="auto" w:sz="4" w:space="0"/>
            </w:tcBorders>
            <w:vAlign w:val="center"/>
          </w:tcPr>
          <w:p w14:paraId="72765FF0">
            <w:pPr>
              <w:wordWrap w:val="0"/>
              <w:spacing w:line="360" w:lineRule="auto"/>
              <w:jc w:val="center"/>
              <w:rPr>
                <w:rFonts w:hint="eastAsia" w:ascii="宋体" w:hAnsi="宋体" w:eastAsia="宋体" w:cs="宋体"/>
                <w:sz w:val="21"/>
                <w:szCs w:val="11"/>
                <w:highlight w:val="none"/>
                <w:lang w:val="en-US" w:eastAsia="zh-CN"/>
              </w:rPr>
            </w:pPr>
            <w:r>
              <w:rPr>
                <w:rFonts w:hint="eastAsia" w:hAnsi="宋体" w:cs="宋体"/>
                <w:sz w:val="21"/>
                <w:szCs w:val="11"/>
                <w:highlight w:val="none"/>
                <w:lang w:val="en-US" w:eastAsia="zh-CN"/>
              </w:rPr>
              <w:t>8</w:t>
            </w:r>
          </w:p>
        </w:tc>
        <w:tc>
          <w:tcPr>
            <w:tcW w:w="2232" w:type="dxa"/>
            <w:vAlign w:val="center"/>
          </w:tcPr>
          <w:p w14:paraId="4503421C">
            <w:pPr>
              <w:snapToGrid w:val="0"/>
              <w:spacing w:line="300" w:lineRule="exact"/>
              <w:jc w:val="center"/>
              <w:rPr>
                <w:rFonts w:hint="eastAsia" w:ascii="宋体" w:hAnsi="宋体" w:eastAsia="宋体" w:cs="宋体"/>
                <w:highlight w:val="none"/>
              </w:rPr>
            </w:pPr>
            <w:r>
              <w:rPr>
                <w:rFonts w:hint="eastAsia" w:ascii="宋体" w:hAnsi="宋体" w:cs="宋体"/>
                <w:sz w:val="21"/>
                <w:szCs w:val="21"/>
                <w:highlight w:val="none"/>
              </w:rPr>
              <w:t>履约管理与违约责任</w:t>
            </w:r>
          </w:p>
        </w:tc>
        <w:tc>
          <w:tcPr>
            <w:tcW w:w="2387" w:type="dxa"/>
            <w:vAlign w:val="center"/>
          </w:tcPr>
          <w:p w14:paraId="07E02962">
            <w:pPr>
              <w:pStyle w:val="43"/>
              <w:snapToGrid w:val="0"/>
              <w:spacing w:line="300" w:lineRule="exact"/>
              <w:ind w:firstLine="480"/>
              <w:rPr>
                <w:rFonts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kern w:val="0"/>
                <w:szCs w:val="21"/>
                <w:highlight w:val="none"/>
                <w:lang w:eastAsia="zh-CN"/>
              </w:rPr>
              <w:t>供应方</w:t>
            </w:r>
            <w:r>
              <w:rPr>
                <w:rFonts w:hint="eastAsia" w:ascii="宋体" w:hAnsi="宋体" w:cs="宋体"/>
                <w:kern w:val="0"/>
                <w:szCs w:val="21"/>
                <w:highlight w:val="none"/>
              </w:rPr>
              <w:t>开具的增值税专用发票不规范、不合法和虚开增值税专用发票，</w:t>
            </w:r>
            <w:r>
              <w:rPr>
                <w:rFonts w:hint="eastAsia" w:ascii="宋体" w:hAnsi="宋体" w:cs="宋体"/>
                <w:szCs w:val="21"/>
                <w:highlight w:val="none"/>
              </w:rPr>
              <w:t>除按本条约定承担赔偿责任和支付违约金外，</w:t>
            </w:r>
            <w:r>
              <w:rPr>
                <w:rFonts w:hint="eastAsia" w:ascii="宋体" w:hAnsi="宋体" w:cs="宋体"/>
                <w:szCs w:val="21"/>
                <w:highlight w:val="none"/>
                <w:lang w:eastAsia="zh-CN"/>
              </w:rPr>
              <w:t>供应方</w:t>
            </w:r>
            <w:r>
              <w:rPr>
                <w:rFonts w:hint="eastAsia" w:ascii="宋体" w:hAnsi="宋体" w:cs="宋体"/>
                <w:szCs w:val="21"/>
                <w:highlight w:val="none"/>
              </w:rPr>
              <w:t>须继续承担向</w:t>
            </w:r>
            <w:r>
              <w:rPr>
                <w:rFonts w:hint="eastAsia" w:ascii="宋体" w:hAnsi="宋体" w:cs="宋体"/>
                <w:szCs w:val="21"/>
                <w:highlight w:val="none"/>
                <w:lang w:eastAsia="zh-CN"/>
              </w:rPr>
              <w:t>采购方</w:t>
            </w:r>
            <w:r>
              <w:rPr>
                <w:rFonts w:hint="eastAsia" w:ascii="宋体" w:hAnsi="宋体" w:cs="宋体"/>
                <w:szCs w:val="21"/>
                <w:highlight w:val="none"/>
              </w:rPr>
              <w:t>开具规范、合法</w:t>
            </w:r>
            <w:r>
              <w:rPr>
                <w:rFonts w:hint="eastAsia" w:ascii="宋体" w:hAnsi="宋体" w:cs="宋体"/>
                <w:kern w:val="0"/>
                <w:szCs w:val="21"/>
                <w:highlight w:val="none"/>
              </w:rPr>
              <w:t>增值税专用发票</w:t>
            </w:r>
            <w:r>
              <w:rPr>
                <w:rFonts w:hint="eastAsia" w:ascii="宋体" w:hAnsi="宋体" w:cs="宋体"/>
                <w:szCs w:val="21"/>
                <w:highlight w:val="none"/>
              </w:rPr>
              <w:t>的义务</w:t>
            </w:r>
            <w:r>
              <w:rPr>
                <w:rFonts w:hint="eastAsia" w:ascii="宋体" w:hAnsi="宋体" w:cs="宋体"/>
                <w:kern w:val="0"/>
                <w:szCs w:val="21"/>
                <w:highlight w:val="none"/>
              </w:rPr>
              <w:t>。</w:t>
            </w:r>
          </w:p>
          <w:p w14:paraId="263D3B3F">
            <w:pPr>
              <w:pStyle w:val="43"/>
              <w:snapToGrid w:val="0"/>
              <w:spacing w:line="300" w:lineRule="exact"/>
              <w:ind w:firstLine="420" w:firstLineChars="200"/>
              <w:rPr>
                <w:rFonts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kern w:val="0"/>
                <w:szCs w:val="21"/>
                <w:highlight w:val="none"/>
                <w:lang w:eastAsia="zh-CN"/>
              </w:rPr>
              <w:t>供应方</w:t>
            </w:r>
            <w:r>
              <w:rPr>
                <w:rFonts w:hint="eastAsia" w:ascii="宋体" w:hAnsi="宋体" w:cs="宋体"/>
                <w:kern w:val="0"/>
                <w:szCs w:val="21"/>
                <w:highlight w:val="none"/>
                <w:lang w:val="en-US" w:eastAsia="zh-CN"/>
              </w:rPr>
              <w:t>入场后签订工期进度承诺书，工期</w:t>
            </w:r>
            <w:r>
              <w:rPr>
                <w:rFonts w:hint="eastAsia" w:ascii="宋体" w:hAnsi="宋体" w:cs="宋体"/>
                <w:kern w:val="0"/>
                <w:szCs w:val="21"/>
                <w:highlight w:val="none"/>
              </w:rPr>
              <w:t>迟延</w:t>
            </w:r>
            <w:r>
              <w:rPr>
                <w:rFonts w:hint="eastAsia" w:ascii="宋体" w:hAnsi="宋体" w:cs="宋体"/>
                <w:szCs w:val="21"/>
                <w:highlight w:val="none"/>
              </w:rPr>
              <w:t>视为违约，</w:t>
            </w:r>
            <w:r>
              <w:rPr>
                <w:rFonts w:hint="eastAsia" w:ascii="宋体" w:hAnsi="宋体" w:cs="宋体"/>
                <w:szCs w:val="21"/>
                <w:highlight w:val="none"/>
                <w:lang w:val="en-US" w:eastAsia="zh-CN"/>
              </w:rPr>
              <w:t>如供应方因不可抗力造成工期延迟，需提前向采购方出具正式书面说明，采购方同意后，可顺延工期，如供应方无故拖延工期，给采购方造成经济损失，供应方需赔偿采购方相关联工程量合同金额</w:t>
            </w:r>
            <w:r>
              <w:rPr>
                <w:rFonts w:hint="eastAsia" w:ascii="宋体" w:hAnsi="宋体" w:cs="宋体"/>
                <w:kern w:val="0"/>
                <w:szCs w:val="21"/>
                <w:highlight w:val="none"/>
                <w:lang w:val="en-US" w:eastAsia="zh-CN"/>
              </w:rPr>
              <w:t>两倍的经济损失</w:t>
            </w:r>
            <w:r>
              <w:rPr>
                <w:rFonts w:hint="eastAsia" w:ascii="宋体" w:hAnsi="宋体" w:cs="宋体"/>
                <w:kern w:val="0"/>
                <w:szCs w:val="21"/>
                <w:highlight w:val="none"/>
              </w:rPr>
              <w:t>。</w:t>
            </w:r>
          </w:p>
          <w:p w14:paraId="0EC8024E">
            <w:pPr>
              <w:snapToGrid w:val="0"/>
              <w:spacing w:line="300" w:lineRule="exact"/>
              <w:rPr>
                <w:rFonts w:ascii="宋体" w:hAnsi="宋体" w:cs="宋体"/>
                <w:sz w:val="21"/>
                <w:szCs w:val="21"/>
                <w:highlight w:val="none"/>
              </w:rPr>
            </w:pPr>
            <w:r>
              <w:rPr>
                <w:rFonts w:hint="eastAsia" w:ascii="宋体" w:hAnsi="宋体" w:cs="宋体"/>
                <w:sz w:val="21"/>
                <w:szCs w:val="21"/>
                <w:highlight w:val="none"/>
              </w:rPr>
              <w:t xml:space="preserve">    3、采购人对于</w:t>
            </w:r>
            <w:r>
              <w:rPr>
                <w:rFonts w:hint="eastAsia" w:ascii="宋体" w:hAnsi="宋体" w:cs="宋体"/>
                <w:sz w:val="21"/>
                <w:szCs w:val="21"/>
                <w:highlight w:val="none"/>
                <w:lang w:val="en-US" w:eastAsia="zh-CN"/>
              </w:rPr>
              <w:t>不符合招标需求的材料或景观小品</w:t>
            </w:r>
            <w:r>
              <w:rPr>
                <w:rFonts w:hint="eastAsia" w:ascii="宋体" w:hAnsi="宋体" w:cs="宋体"/>
                <w:sz w:val="21"/>
                <w:szCs w:val="21"/>
                <w:highlight w:val="none"/>
              </w:rPr>
              <w:t>，下达</w:t>
            </w:r>
            <w:r>
              <w:rPr>
                <w:rFonts w:hint="eastAsia" w:ascii="宋体" w:hAnsi="宋体" w:cs="宋体"/>
                <w:sz w:val="21"/>
                <w:szCs w:val="21"/>
                <w:highlight w:val="none"/>
                <w:lang w:val="en-US" w:eastAsia="zh-CN"/>
              </w:rPr>
              <w:t>整改</w:t>
            </w:r>
            <w:r>
              <w:rPr>
                <w:rFonts w:hint="eastAsia" w:ascii="宋体" w:hAnsi="宋体" w:cs="宋体"/>
                <w:sz w:val="21"/>
                <w:szCs w:val="21"/>
                <w:highlight w:val="none"/>
              </w:rPr>
              <w:t>通知书。交货期内或整改期限内未完成的</w:t>
            </w:r>
            <w:r>
              <w:rPr>
                <w:rFonts w:hint="eastAsia" w:ascii="宋体" w:hAnsi="宋体" w:cs="宋体"/>
                <w:sz w:val="21"/>
                <w:szCs w:val="21"/>
                <w:highlight w:val="none"/>
                <w:lang w:val="en-US" w:eastAsia="zh-CN"/>
              </w:rPr>
              <w:t>工程量</w:t>
            </w:r>
            <w:r>
              <w:rPr>
                <w:rFonts w:hint="eastAsia" w:ascii="宋体" w:hAnsi="宋体" w:cs="宋体"/>
                <w:sz w:val="21"/>
                <w:szCs w:val="21"/>
                <w:highlight w:val="none"/>
              </w:rPr>
              <w:t>，自供货期或整改期限届满开始计算逾期。</w:t>
            </w:r>
          </w:p>
          <w:p w14:paraId="2D3D2735">
            <w:pPr>
              <w:snapToGrid w:val="0"/>
              <w:spacing w:line="300" w:lineRule="exact"/>
              <w:ind w:firstLine="420" w:firstLineChars="200"/>
              <w:rPr>
                <w:rFonts w:ascii="宋体" w:hAnsi="宋体" w:cs="宋体"/>
                <w:sz w:val="21"/>
                <w:szCs w:val="21"/>
                <w:highlight w:val="none"/>
              </w:rPr>
            </w:pPr>
            <w:r>
              <w:rPr>
                <w:rFonts w:hint="eastAsia" w:ascii="宋体" w:hAnsi="宋体" w:cs="宋体"/>
                <w:sz w:val="21"/>
                <w:szCs w:val="21"/>
                <w:highlight w:val="none"/>
              </w:rPr>
              <w:t>4、对逾期的</w:t>
            </w:r>
            <w:r>
              <w:rPr>
                <w:rFonts w:hint="eastAsia" w:ascii="宋体" w:hAnsi="宋体" w:cs="宋体"/>
                <w:sz w:val="21"/>
                <w:szCs w:val="21"/>
                <w:highlight w:val="none"/>
                <w:lang w:val="en-US" w:eastAsia="zh-CN"/>
              </w:rPr>
              <w:t>工程量</w:t>
            </w:r>
            <w:r>
              <w:rPr>
                <w:rFonts w:hint="eastAsia" w:ascii="宋体" w:hAnsi="宋体" w:cs="宋体"/>
                <w:sz w:val="21"/>
                <w:szCs w:val="21"/>
                <w:highlight w:val="none"/>
              </w:rPr>
              <w:t>，在付款时按逾期时间每周扣除逾期</w:t>
            </w:r>
            <w:r>
              <w:rPr>
                <w:rFonts w:hint="eastAsia" w:ascii="宋体" w:hAnsi="宋体" w:cs="宋体"/>
                <w:sz w:val="21"/>
                <w:szCs w:val="21"/>
                <w:highlight w:val="none"/>
                <w:lang w:val="en-US" w:eastAsia="zh-CN"/>
              </w:rPr>
              <w:t>工程量</w:t>
            </w:r>
            <w:r>
              <w:rPr>
                <w:rFonts w:hint="eastAsia" w:ascii="宋体" w:hAnsi="宋体" w:cs="宋体"/>
                <w:sz w:val="21"/>
                <w:szCs w:val="21"/>
                <w:highlight w:val="none"/>
              </w:rPr>
              <w:t>中标价格的0.5%作为违约金，违约金达到逾期中标价格的</w:t>
            </w:r>
            <w:r>
              <w:rPr>
                <w:rFonts w:hint="eastAsia" w:ascii="宋体" w:hAnsi="宋体" w:cs="宋体"/>
                <w:sz w:val="21"/>
                <w:szCs w:val="21"/>
                <w:highlight w:val="none"/>
                <w:lang w:val="en-US" w:eastAsia="zh-CN"/>
              </w:rPr>
              <w:t>1</w:t>
            </w:r>
            <w:r>
              <w:rPr>
                <w:rFonts w:hint="eastAsia" w:ascii="宋体" w:hAnsi="宋体" w:cs="宋体"/>
                <w:sz w:val="21"/>
                <w:szCs w:val="21"/>
                <w:highlight w:val="none"/>
              </w:rPr>
              <w:t>5%，采购人有权中止合同，</w:t>
            </w:r>
            <w:r>
              <w:rPr>
                <w:rFonts w:hint="eastAsia" w:ascii="宋体" w:hAnsi="宋体" w:cs="宋体"/>
                <w:sz w:val="21"/>
                <w:szCs w:val="21"/>
                <w:highlight w:val="none"/>
                <w:lang w:eastAsia="zh-CN"/>
              </w:rPr>
              <w:t>供应方</w:t>
            </w:r>
            <w:r>
              <w:rPr>
                <w:rFonts w:hint="eastAsia" w:ascii="宋体" w:hAnsi="宋体" w:cs="宋体"/>
                <w:sz w:val="21"/>
                <w:szCs w:val="21"/>
                <w:highlight w:val="none"/>
              </w:rPr>
              <w:t>并须支付采购人逾期</w:t>
            </w:r>
            <w:r>
              <w:rPr>
                <w:rFonts w:hint="eastAsia" w:ascii="宋体" w:hAnsi="宋体" w:cs="宋体"/>
                <w:sz w:val="21"/>
                <w:szCs w:val="21"/>
                <w:highlight w:val="none"/>
                <w:lang w:val="en-US" w:eastAsia="zh-CN"/>
              </w:rPr>
              <w:t>工程量</w:t>
            </w:r>
            <w:r>
              <w:rPr>
                <w:rFonts w:hint="eastAsia" w:ascii="宋体" w:hAnsi="宋体" w:cs="宋体"/>
                <w:sz w:val="21"/>
                <w:szCs w:val="21"/>
                <w:highlight w:val="none"/>
              </w:rPr>
              <w:t>中标价格两倍的经济赔偿。</w:t>
            </w:r>
          </w:p>
          <w:p w14:paraId="51EB63A5">
            <w:pPr>
              <w:snapToGrid w:val="0"/>
              <w:spacing w:line="300" w:lineRule="exact"/>
              <w:ind w:firstLine="420" w:firstLineChars="200"/>
              <w:rPr>
                <w:rFonts w:ascii="宋体" w:hAnsi="宋体" w:cs="宋体"/>
                <w:sz w:val="21"/>
                <w:szCs w:val="21"/>
                <w:highlight w:val="none"/>
              </w:rPr>
            </w:pPr>
            <w:r>
              <w:rPr>
                <w:rFonts w:hint="eastAsia" w:ascii="宋体" w:hAnsi="宋体" w:cs="宋体"/>
                <w:sz w:val="21"/>
                <w:szCs w:val="21"/>
                <w:highlight w:val="none"/>
              </w:rPr>
              <w:t>5、</w:t>
            </w:r>
            <w:r>
              <w:rPr>
                <w:rFonts w:hint="eastAsia" w:ascii="宋体" w:hAnsi="宋体" w:cs="宋体"/>
                <w:sz w:val="21"/>
                <w:szCs w:val="21"/>
                <w:highlight w:val="none"/>
                <w:lang w:eastAsia="zh-CN"/>
              </w:rPr>
              <w:t>供应方</w:t>
            </w:r>
            <w:r>
              <w:rPr>
                <w:rFonts w:hint="eastAsia" w:ascii="宋体" w:hAnsi="宋体" w:cs="宋体"/>
                <w:sz w:val="21"/>
                <w:szCs w:val="21"/>
                <w:highlight w:val="none"/>
              </w:rPr>
              <w:t>如不能按国家标准和采购人所要求的产品性能规格、质量供货等，所产生的一切经济损失及赔偿责任均由承担。合同期内出现产品质量问题由</w:t>
            </w:r>
            <w:r>
              <w:rPr>
                <w:rFonts w:hint="eastAsia" w:ascii="宋体" w:hAnsi="宋体" w:cs="宋体"/>
                <w:sz w:val="21"/>
                <w:szCs w:val="21"/>
                <w:highlight w:val="none"/>
                <w:lang w:eastAsia="zh-CN"/>
              </w:rPr>
              <w:t>供应方</w:t>
            </w:r>
            <w:r>
              <w:rPr>
                <w:rFonts w:hint="eastAsia" w:ascii="宋体" w:hAnsi="宋体" w:cs="宋体"/>
                <w:sz w:val="21"/>
                <w:szCs w:val="21"/>
                <w:highlight w:val="none"/>
              </w:rPr>
              <w:t>免费负责更换或退货，并由</w:t>
            </w:r>
            <w:r>
              <w:rPr>
                <w:rFonts w:hint="eastAsia" w:ascii="宋体" w:hAnsi="宋体" w:cs="宋体"/>
                <w:sz w:val="21"/>
                <w:szCs w:val="21"/>
                <w:highlight w:val="none"/>
                <w:lang w:eastAsia="zh-CN"/>
              </w:rPr>
              <w:t>供应方</w:t>
            </w:r>
            <w:r>
              <w:rPr>
                <w:rFonts w:hint="eastAsia" w:ascii="宋体" w:hAnsi="宋体" w:cs="宋体"/>
                <w:sz w:val="21"/>
                <w:szCs w:val="21"/>
                <w:highlight w:val="none"/>
              </w:rPr>
              <w:t>承担因此产生的一切费用，如给采购人造成了经济损失包括直接和间接损失及赔偿责任均由</w:t>
            </w:r>
            <w:r>
              <w:rPr>
                <w:rFonts w:hint="eastAsia" w:ascii="宋体" w:hAnsi="宋体" w:cs="宋体"/>
                <w:sz w:val="21"/>
                <w:szCs w:val="21"/>
                <w:highlight w:val="none"/>
                <w:lang w:eastAsia="zh-CN"/>
              </w:rPr>
              <w:t>供应方</w:t>
            </w:r>
            <w:r>
              <w:rPr>
                <w:rFonts w:hint="eastAsia" w:ascii="宋体" w:hAnsi="宋体" w:cs="宋体"/>
                <w:sz w:val="21"/>
                <w:szCs w:val="21"/>
                <w:highlight w:val="none"/>
              </w:rPr>
              <w:t>无条件全部承担。因</w:t>
            </w:r>
            <w:r>
              <w:rPr>
                <w:rFonts w:hint="eastAsia" w:ascii="宋体" w:hAnsi="宋体" w:cs="宋体"/>
                <w:sz w:val="21"/>
                <w:szCs w:val="21"/>
                <w:highlight w:val="none"/>
                <w:lang w:eastAsia="zh-CN"/>
              </w:rPr>
              <w:t>供应方</w:t>
            </w:r>
            <w:r>
              <w:rPr>
                <w:rFonts w:hint="eastAsia" w:ascii="宋体" w:hAnsi="宋体" w:cs="宋体"/>
                <w:sz w:val="21"/>
                <w:szCs w:val="21"/>
                <w:highlight w:val="none"/>
              </w:rPr>
              <w:t>原因导致的工期延误，工期不予顺延，并给予赔偿采购人造成的损失。</w:t>
            </w:r>
          </w:p>
          <w:p w14:paraId="00E71E4D">
            <w:pPr>
              <w:snapToGrid w:val="0"/>
              <w:spacing w:line="300" w:lineRule="exact"/>
              <w:ind w:firstLine="420" w:firstLineChars="200"/>
              <w:rPr>
                <w:rFonts w:ascii="宋体" w:hAnsi="宋体" w:cs="宋体"/>
                <w:sz w:val="21"/>
                <w:szCs w:val="21"/>
                <w:highlight w:val="none"/>
              </w:rPr>
            </w:pPr>
            <w:r>
              <w:rPr>
                <w:rFonts w:hint="eastAsia" w:ascii="宋体" w:hAnsi="宋体" w:cs="宋体"/>
                <w:sz w:val="21"/>
                <w:szCs w:val="21"/>
                <w:highlight w:val="none"/>
              </w:rPr>
              <w:t>6、如</w:t>
            </w:r>
            <w:r>
              <w:rPr>
                <w:rFonts w:hint="eastAsia" w:ascii="宋体" w:hAnsi="宋体" w:cs="宋体"/>
                <w:sz w:val="21"/>
                <w:szCs w:val="21"/>
                <w:highlight w:val="none"/>
                <w:lang w:eastAsia="zh-CN"/>
              </w:rPr>
              <w:t>供应方</w:t>
            </w:r>
            <w:r>
              <w:rPr>
                <w:rFonts w:hint="eastAsia" w:ascii="宋体" w:hAnsi="宋体" w:cs="宋体"/>
                <w:sz w:val="21"/>
                <w:szCs w:val="21"/>
                <w:highlight w:val="none"/>
              </w:rPr>
              <w:t>合同内出现质量问题造成重大事故或经济损失时，不因</w:t>
            </w:r>
            <w:r>
              <w:rPr>
                <w:rFonts w:hint="eastAsia" w:ascii="宋体" w:hAnsi="宋体" w:cs="宋体"/>
                <w:sz w:val="21"/>
                <w:szCs w:val="21"/>
                <w:highlight w:val="none"/>
                <w:lang w:eastAsia="zh-CN"/>
              </w:rPr>
              <w:t>采购方</w:t>
            </w:r>
            <w:r>
              <w:rPr>
                <w:rFonts w:hint="eastAsia" w:ascii="宋体" w:hAnsi="宋体" w:cs="宋体"/>
                <w:sz w:val="21"/>
                <w:szCs w:val="21"/>
                <w:highlight w:val="none"/>
              </w:rPr>
              <w:t>已进行质量验收而免除</w:t>
            </w:r>
            <w:r>
              <w:rPr>
                <w:rFonts w:hint="eastAsia" w:ascii="宋体" w:hAnsi="宋体" w:cs="宋体"/>
                <w:sz w:val="21"/>
                <w:szCs w:val="21"/>
                <w:highlight w:val="none"/>
                <w:lang w:eastAsia="zh-CN"/>
              </w:rPr>
              <w:t>供应方</w:t>
            </w:r>
            <w:r>
              <w:rPr>
                <w:rFonts w:hint="eastAsia" w:ascii="宋体" w:hAnsi="宋体" w:cs="宋体"/>
                <w:sz w:val="21"/>
                <w:szCs w:val="21"/>
                <w:highlight w:val="none"/>
              </w:rPr>
              <w:t>更换或赔偿经济损失的责任。</w:t>
            </w:r>
          </w:p>
          <w:p w14:paraId="4CB8BE4A">
            <w:pPr>
              <w:pStyle w:val="43"/>
              <w:snapToGrid w:val="0"/>
              <w:spacing w:line="300" w:lineRule="exact"/>
              <w:ind w:firstLine="420" w:firstLineChars="200"/>
              <w:rPr>
                <w:rFonts w:hint="eastAsia" w:ascii="宋体" w:hAnsi="宋体" w:eastAsia="宋体" w:cs="宋体"/>
                <w:highlight w:val="none"/>
              </w:rPr>
            </w:pPr>
            <w:r>
              <w:rPr>
                <w:rFonts w:hint="eastAsia" w:ascii="宋体" w:hAnsi="宋体" w:cs="宋体"/>
                <w:szCs w:val="21"/>
                <w:highlight w:val="none"/>
              </w:rPr>
              <w:t>7、如</w:t>
            </w:r>
            <w:r>
              <w:rPr>
                <w:rFonts w:hint="eastAsia" w:ascii="宋体" w:hAnsi="宋体" w:cs="宋体"/>
                <w:szCs w:val="21"/>
                <w:highlight w:val="none"/>
                <w:lang w:eastAsia="zh-CN"/>
              </w:rPr>
              <w:t>供应方</w:t>
            </w:r>
            <w:r>
              <w:rPr>
                <w:rFonts w:hint="eastAsia" w:ascii="宋体" w:hAnsi="宋体" w:cs="宋体"/>
                <w:szCs w:val="21"/>
                <w:highlight w:val="none"/>
              </w:rPr>
              <w:t>向</w:t>
            </w:r>
            <w:r>
              <w:rPr>
                <w:rFonts w:hint="eastAsia" w:ascii="宋体" w:hAnsi="宋体" w:cs="宋体"/>
                <w:szCs w:val="21"/>
                <w:highlight w:val="none"/>
                <w:lang w:eastAsia="zh-CN"/>
              </w:rPr>
              <w:t>采购方</w:t>
            </w:r>
            <w:r>
              <w:rPr>
                <w:rFonts w:hint="eastAsia" w:ascii="宋体" w:hAnsi="宋体" w:cs="宋体"/>
                <w:szCs w:val="21"/>
                <w:highlight w:val="none"/>
              </w:rPr>
              <w:t>提供的所有产品证明及检测报告等有虚假情况视为违约，违约金为合同总金额</w:t>
            </w:r>
            <w:r>
              <w:rPr>
                <w:rFonts w:hint="eastAsia" w:ascii="宋体" w:hAnsi="宋体" w:cs="宋体"/>
                <w:kern w:val="0"/>
                <w:szCs w:val="21"/>
                <w:highlight w:val="none"/>
              </w:rPr>
              <w:t>的2%。</w:t>
            </w:r>
          </w:p>
        </w:tc>
        <w:tc>
          <w:tcPr>
            <w:tcW w:w="2293" w:type="dxa"/>
            <w:vAlign w:val="center"/>
          </w:tcPr>
          <w:p w14:paraId="31FEF695">
            <w:pPr>
              <w:wordWrap w:val="0"/>
              <w:spacing w:line="360" w:lineRule="auto"/>
              <w:rPr>
                <w:rFonts w:hint="eastAsia" w:ascii="宋体" w:hAnsi="宋体" w:eastAsia="宋体" w:cs="宋体"/>
                <w:highlight w:val="none"/>
              </w:rPr>
            </w:pPr>
          </w:p>
        </w:tc>
        <w:tc>
          <w:tcPr>
            <w:tcW w:w="1374" w:type="dxa"/>
            <w:vAlign w:val="center"/>
          </w:tcPr>
          <w:p w14:paraId="7AC9362E">
            <w:pPr>
              <w:wordWrap w:val="0"/>
              <w:spacing w:line="360" w:lineRule="auto"/>
              <w:rPr>
                <w:rFonts w:hint="eastAsia" w:ascii="宋体" w:hAnsi="宋体" w:eastAsia="宋体" w:cs="宋体"/>
                <w:highlight w:val="none"/>
              </w:rPr>
            </w:pPr>
          </w:p>
        </w:tc>
      </w:tr>
      <w:tr w14:paraId="4708654B">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48" w:type="dxa"/>
            <w:tcBorders>
              <w:left w:val="single" w:color="auto" w:sz="4" w:space="0"/>
            </w:tcBorders>
            <w:vAlign w:val="center"/>
          </w:tcPr>
          <w:p w14:paraId="3446DA23">
            <w:pPr>
              <w:wordWrap w:val="0"/>
              <w:spacing w:line="360" w:lineRule="auto"/>
              <w:rPr>
                <w:rFonts w:hint="eastAsia" w:ascii="宋体" w:hAnsi="宋体" w:eastAsia="宋体" w:cs="宋体"/>
                <w:highlight w:val="none"/>
                <w:lang w:val="en-US" w:eastAsia="zh-CN"/>
              </w:rPr>
            </w:pPr>
            <w:r>
              <w:rPr>
                <w:rFonts w:hint="eastAsia" w:hAnsi="宋体" w:cs="宋体"/>
                <w:highlight w:val="none"/>
                <w:lang w:val="en-US" w:eastAsia="zh-CN"/>
              </w:rPr>
              <w:t>9</w:t>
            </w:r>
          </w:p>
        </w:tc>
        <w:tc>
          <w:tcPr>
            <w:tcW w:w="2232" w:type="dxa"/>
            <w:vAlign w:val="center"/>
          </w:tcPr>
          <w:p w14:paraId="0B184FD9">
            <w:pPr>
              <w:snapToGrid w:val="0"/>
              <w:spacing w:line="300" w:lineRule="exact"/>
              <w:jc w:val="center"/>
              <w:rPr>
                <w:rFonts w:hint="eastAsia" w:ascii="宋体" w:hAnsi="宋体" w:eastAsia="宋体" w:cs="宋体"/>
                <w:highlight w:val="none"/>
              </w:rPr>
            </w:pPr>
            <w:r>
              <w:rPr>
                <w:rFonts w:hint="eastAsia" w:ascii="宋体" w:hAnsi="宋体" w:cs="宋体"/>
                <w:sz w:val="21"/>
                <w:szCs w:val="21"/>
                <w:highlight w:val="none"/>
              </w:rPr>
              <w:t>样品</w:t>
            </w:r>
            <w:r>
              <w:rPr>
                <w:rFonts w:hint="eastAsia" w:ascii="宋体" w:hAnsi="宋体" w:cs="宋体"/>
                <w:sz w:val="21"/>
                <w:szCs w:val="21"/>
                <w:highlight w:val="none"/>
                <w:lang w:val="en-US" w:eastAsia="zh-CN"/>
              </w:rPr>
              <w:t>及检测</w:t>
            </w:r>
            <w:r>
              <w:rPr>
                <w:rFonts w:hint="eastAsia" w:ascii="宋体" w:hAnsi="宋体" w:cs="宋体"/>
                <w:sz w:val="21"/>
                <w:szCs w:val="21"/>
                <w:highlight w:val="none"/>
              </w:rPr>
              <w:t>要求</w:t>
            </w:r>
          </w:p>
        </w:tc>
        <w:tc>
          <w:tcPr>
            <w:tcW w:w="2387" w:type="dxa"/>
            <w:vAlign w:val="center"/>
          </w:tcPr>
          <w:p w14:paraId="7312D342">
            <w:pPr>
              <w:snapToGrid w:val="0"/>
              <w:spacing w:line="300" w:lineRule="exact"/>
              <w:ind w:firstLine="420" w:firstLineChars="200"/>
              <w:rPr>
                <w:rFonts w:hint="eastAsia" w:ascii="宋体" w:hAnsi="宋体" w:cs="宋体"/>
                <w:sz w:val="21"/>
                <w:szCs w:val="21"/>
                <w:highlight w:val="none"/>
                <w:lang w:val="en-US" w:eastAsia="zh-CN"/>
              </w:rPr>
            </w:pPr>
            <w:r>
              <w:rPr>
                <w:rFonts w:hint="eastAsia" w:hAnsi="宋体" w:cs="宋体"/>
                <w:sz w:val="21"/>
                <w:szCs w:val="21"/>
                <w:highlight w:val="none"/>
                <w:lang w:val="en-US" w:eastAsia="zh-CN"/>
              </w:rPr>
              <w:t>1.</w:t>
            </w:r>
            <w:r>
              <w:rPr>
                <w:rFonts w:hint="eastAsia" w:ascii="宋体" w:hAnsi="宋体" w:cs="宋体"/>
                <w:sz w:val="21"/>
                <w:szCs w:val="21"/>
                <w:highlight w:val="none"/>
                <w:lang w:val="en-US" w:eastAsia="zh-CN"/>
              </w:rPr>
              <w:t>相关材料包括但不限于石材、小品等，供应方需向采购方提供样品，甲方同意后方可进行使用，如供应方一直未提供合格样品，按照采购方要求整改期限届满计算逾期，如供应方拒不提供合格样品，视为无履约能力，采购方有权解除合同；</w:t>
            </w:r>
          </w:p>
          <w:p w14:paraId="4E803A27">
            <w:pPr>
              <w:snapToGrid w:val="0"/>
              <w:spacing w:line="300" w:lineRule="exact"/>
              <w:ind w:firstLine="420" w:firstLineChars="200"/>
              <w:rPr>
                <w:rFonts w:hint="eastAsia" w:ascii="宋体" w:hAnsi="宋体" w:eastAsia="宋体" w:cs="宋体"/>
                <w:highlight w:val="none"/>
              </w:rPr>
            </w:pPr>
            <w:r>
              <w:rPr>
                <w:rFonts w:hint="eastAsia" w:ascii="宋体" w:hAnsi="宋体" w:cs="宋体"/>
                <w:sz w:val="21"/>
                <w:szCs w:val="21"/>
                <w:highlight w:val="none"/>
                <w:lang w:val="en-US" w:eastAsia="zh-CN"/>
              </w:rPr>
              <w:t>2.采购方有权要求供应方对混凝土强度，基础垫层等进行破坏性检测，供应方需对抽检部分进行无偿恢复，如抽检不合格采购方有权要求，按照图纸及合同进行拆除返工，本周期不作为供应</w:t>
            </w:r>
            <w:r>
              <w:rPr>
                <w:rFonts w:hint="eastAsia" w:ascii="宋体" w:hAnsi="宋体" w:cs="宋体"/>
                <w:b w:val="0"/>
                <w:bCs w:val="0"/>
                <w:sz w:val="21"/>
                <w:szCs w:val="21"/>
                <w:highlight w:val="none"/>
                <w:lang w:val="en-US" w:eastAsia="zh-CN"/>
              </w:rPr>
              <w:t>方工期顺延的条件。</w:t>
            </w:r>
          </w:p>
        </w:tc>
        <w:tc>
          <w:tcPr>
            <w:tcW w:w="2293" w:type="dxa"/>
            <w:vAlign w:val="center"/>
          </w:tcPr>
          <w:p w14:paraId="5D358CB8">
            <w:pPr>
              <w:wordWrap w:val="0"/>
              <w:spacing w:line="360" w:lineRule="auto"/>
              <w:rPr>
                <w:rFonts w:hint="eastAsia" w:ascii="宋体" w:hAnsi="宋体" w:eastAsia="宋体" w:cs="宋体"/>
                <w:highlight w:val="none"/>
              </w:rPr>
            </w:pPr>
          </w:p>
        </w:tc>
        <w:tc>
          <w:tcPr>
            <w:tcW w:w="1374" w:type="dxa"/>
            <w:vAlign w:val="center"/>
          </w:tcPr>
          <w:p w14:paraId="5D709C42">
            <w:pPr>
              <w:wordWrap w:val="0"/>
              <w:spacing w:line="360" w:lineRule="auto"/>
              <w:rPr>
                <w:rFonts w:hint="eastAsia" w:ascii="宋体" w:hAnsi="宋体" w:eastAsia="宋体" w:cs="宋体"/>
                <w:highlight w:val="none"/>
              </w:rPr>
            </w:pPr>
          </w:p>
        </w:tc>
      </w:tr>
    </w:tbl>
    <w:p w14:paraId="149F3CDB">
      <w:pPr>
        <w:spacing w:line="360" w:lineRule="auto"/>
        <w:ind w:firstLine="480" w:firstLineChars="200"/>
        <w:rPr>
          <w:rFonts w:hint="eastAsia" w:ascii="宋体" w:hAnsi="宋体" w:eastAsia="宋体" w:cs="宋体"/>
          <w:sz w:val="24"/>
          <w:szCs w:val="15"/>
          <w:highlight w:val="none"/>
        </w:rPr>
      </w:pPr>
      <w:r>
        <w:rPr>
          <w:rFonts w:hint="eastAsia" w:ascii="宋体" w:hAnsi="宋体" w:eastAsia="宋体" w:cs="宋体"/>
          <w:sz w:val="24"/>
          <w:szCs w:val="15"/>
          <w:highlight w:val="none"/>
        </w:rPr>
        <w:t>注：</w:t>
      </w:r>
      <w:r>
        <w:rPr>
          <w:rFonts w:hint="eastAsia" w:ascii="宋体" w:hAnsi="宋体" w:cs="宋体"/>
          <w:sz w:val="24"/>
          <w:szCs w:val="15"/>
          <w:highlight w:val="none"/>
          <w:lang w:eastAsia="zh-CN"/>
        </w:rPr>
        <w:t>供应商</w:t>
      </w:r>
      <w:r>
        <w:rPr>
          <w:rFonts w:hint="eastAsia" w:ascii="宋体" w:hAnsi="宋体" w:eastAsia="宋体" w:cs="宋体"/>
          <w:sz w:val="24"/>
          <w:szCs w:val="15"/>
          <w:highlight w:val="none"/>
        </w:rPr>
        <w:t>递交的投标文件中与</w:t>
      </w:r>
      <w:r>
        <w:rPr>
          <w:rFonts w:hint="eastAsia" w:ascii="宋体" w:hAnsi="宋体" w:cs="宋体"/>
          <w:sz w:val="24"/>
          <w:szCs w:val="15"/>
          <w:highlight w:val="none"/>
          <w:lang w:eastAsia="zh-CN"/>
        </w:rPr>
        <w:t>采购</w:t>
      </w:r>
      <w:r>
        <w:rPr>
          <w:rFonts w:hint="eastAsia" w:ascii="宋体" w:hAnsi="宋体" w:eastAsia="宋体" w:cs="宋体"/>
          <w:sz w:val="24"/>
          <w:szCs w:val="15"/>
          <w:highlight w:val="none"/>
        </w:rPr>
        <w:t>文件的商务部分的要求有不同时，应逐条列在商务偏离表中，否则将认为</w:t>
      </w:r>
      <w:r>
        <w:rPr>
          <w:rFonts w:hint="eastAsia" w:ascii="宋体" w:hAnsi="宋体" w:cs="宋体"/>
          <w:sz w:val="24"/>
          <w:szCs w:val="15"/>
          <w:highlight w:val="none"/>
          <w:lang w:eastAsia="zh-CN"/>
        </w:rPr>
        <w:t>供应商</w:t>
      </w:r>
      <w:r>
        <w:rPr>
          <w:rFonts w:hint="eastAsia" w:ascii="宋体" w:hAnsi="宋体" w:eastAsia="宋体" w:cs="宋体"/>
          <w:sz w:val="24"/>
          <w:szCs w:val="15"/>
          <w:highlight w:val="none"/>
        </w:rPr>
        <w:t>接受</w:t>
      </w:r>
      <w:r>
        <w:rPr>
          <w:rFonts w:hint="eastAsia" w:ascii="宋体" w:hAnsi="宋体" w:cs="宋体"/>
          <w:sz w:val="24"/>
          <w:szCs w:val="15"/>
          <w:highlight w:val="none"/>
          <w:lang w:eastAsia="zh-CN"/>
        </w:rPr>
        <w:t>采购</w:t>
      </w:r>
      <w:r>
        <w:rPr>
          <w:rFonts w:hint="eastAsia" w:ascii="宋体" w:hAnsi="宋体" w:eastAsia="宋体" w:cs="宋体"/>
          <w:sz w:val="24"/>
          <w:szCs w:val="15"/>
          <w:highlight w:val="none"/>
        </w:rPr>
        <w:t>文件的要求。</w:t>
      </w:r>
    </w:p>
    <w:p w14:paraId="4CC9A672">
      <w:pPr>
        <w:spacing w:line="400" w:lineRule="exact"/>
        <w:ind w:firstLine="837" w:firstLineChars="349"/>
        <w:rPr>
          <w:rFonts w:hint="eastAsia" w:ascii="宋体" w:hAnsi="宋体" w:cs="宋体"/>
          <w:bCs/>
          <w:sz w:val="24"/>
          <w:highlight w:val="none"/>
        </w:rPr>
      </w:pPr>
      <w:r>
        <w:rPr>
          <w:rFonts w:hint="eastAsia" w:ascii="宋体" w:hAnsi="宋体" w:cs="宋体"/>
          <w:bCs/>
          <w:sz w:val="24"/>
          <w:highlight w:val="none"/>
          <w:lang w:eastAsia="zh-CN"/>
        </w:rPr>
        <w:t>供应商</w:t>
      </w:r>
      <w:r>
        <w:rPr>
          <w:rFonts w:hint="eastAsia" w:ascii="宋体" w:hAnsi="宋体" w:cs="宋体"/>
          <w:bCs/>
          <w:sz w:val="24"/>
          <w:highlight w:val="none"/>
        </w:rPr>
        <w:t>名称：        (盖章)：</w:t>
      </w:r>
    </w:p>
    <w:p w14:paraId="29C72A75">
      <w:pPr>
        <w:spacing w:line="400" w:lineRule="exact"/>
        <w:ind w:firstLine="849" w:firstLineChars="354"/>
        <w:rPr>
          <w:rFonts w:hint="eastAsia" w:ascii="宋体" w:hAnsi="宋体" w:cs="宋体"/>
          <w:bCs/>
          <w:sz w:val="24"/>
          <w:highlight w:val="none"/>
        </w:rPr>
      </w:pPr>
      <w:r>
        <w:rPr>
          <w:rFonts w:hint="eastAsia" w:ascii="宋体" w:hAnsi="宋体" w:cs="宋体"/>
          <w:sz w:val="24"/>
          <w:highlight w:val="none"/>
        </w:rPr>
        <w:t>法定代表人          (签字)</w:t>
      </w:r>
      <w:r>
        <w:rPr>
          <w:rFonts w:hint="eastAsia" w:ascii="宋体" w:hAnsi="宋体" w:cs="宋体"/>
          <w:bCs/>
          <w:sz w:val="24"/>
          <w:highlight w:val="none"/>
        </w:rPr>
        <w:t>：</w:t>
      </w:r>
    </w:p>
    <w:p w14:paraId="1FB9C284">
      <w:pPr>
        <w:spacing w:line="360" w:lineRule="auto"/>
        <w:ind w:firstLine="840" w:firstLineChars="350"/>
        <w:rPr>
          <w:rFonts w:hint="eastAsia" w:ascii="宋体" w:hAnsi="宋体" w:cs="宋体"/>
          <w:bCs/>
          <w:sz w:val="24"/>
          <w:highlight w:val="none"/>
        </w:rPr>
      </w:pPr>
      <w:r>
        <w:rPr>
          <w:rFonts w:hint="eastAsia" w:ascii="宋体" w:hAnsi="宋体" w:cs="宋体"/>
          <w:bCs/>
          <w:sz w:val="24"/>
          <w:highlight w:val="none"/>
        </w:rPr>
        <w:t>投标日期：</w:t>
      </w:r>
    </w:p>
    <w:p w14:paraId="7FA6501F">
      <w:pPr>
        <w:numPr>
          <w:ilvl w:val="0"/>
          <w:numId w:val="0"/>
        </w:numPr>
        <w:jc w:val="center"/>
        <w:rPr>
          <w:rFonts w:hint="eastAsia" w:ascii="宋体" w:hAnsi="宋体" w:eastAsia="宋体" w:cs="宋体"/>
          <w:b/>
          <w:color w:val="auto"/>
          <w:sz w:val="24"/>
          <w:szCs w:val="24"/>
          <w:highlight w:val="none"/>
        </w:rPr>
      </w:pPr>
    </w:p>
    <w:p w14:paraId="7727DE74">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394AEE9F">
      <w:pPr>
        <w:numPr>
          <w:ilvl w:val="0"/>
          <w:numId w:val="0"/>
        </w:numPr>
        <w:jc w:val="center"/>
        <w:rPr>
          <w:rFonts w:hint="eastAsia" w:ascii="宋体" w:hAnsi="宋体" w:eastAsia="宋体" w:cs="宋体"/>
          <w:color w:val="auto"/>
          <w:sz w:val="24"/>
          <w:szCs w:val="24"/>
          <w:highlight w:val="none"/>
        </w:rPr>
      </w:pPr>
      <w:r>
        <w:rPr>
          <w:rFonts w:hint="eastAsia" w:hAnsi="宋体" w:cs="宋体"/>
          <w:b/>
          <w:color w:val="auto"/>
          <w:sz w:val="24"/>
          <w:szCs w:val="24"/>
          <w:highlight w:val="none"/>
          <w:lang w:eastAsia="zh-CN"/>
        </w:rPr>
        <w:t>十、</w:t>
      </w:r>
      <w:r>
        <w:rPr>
          <w:rFonts w:hint="eastAsia" w:ascii="宋体" w:hAnsi="宋体" w:eastAsia="宋体" w:cs="宋体"/>
          <w:b/>
          <w:color w:val="auto"/>
          <w:sz w:val="24"/>
          <w:szCs w:val="24"/>
          <w:highlight w:val="none"/>
        </w:rPr>
        <w:t>其他材料</w:t>
      </w:r>
    </w:p>
    <w:p w14:paraId="57649C78">
      <w:pPr>
        <w:jc w:val="center"/>
        <w:rPr>
          <w:rFonts w:hint="eastAsia" w:ascii="宋体" w:hAnsi="宋体" w:eastAsia="宋体" w:cs="宋体"/>
          <w:bCs/>
          <w:color w:val="auto"/>
          <w:sz w:val="24"/>
          <w:szCs w:val="24"/>
          <w:highlight w:val="none"/>
        </w:rPr>
      </w:pPr>
    </w:p>
    <w:p w14:paraId="0A40AF68">
      <w:pPr>
        <w:spacing w:before="156" w:beforeLines="50" w:after="156" w:afterLines="50" w:line="420" w:lineRule="exact"/>
        <w:jc w:val="both"/>
        <w:rPr>
          <w:rFonts w:hint="eastAsia" w:ascii="宋体" w:hAnsi="宋体" w:eastAsia="宋体" w:cs="宋体"/>
          <w:b/>
          <w:color w:val="auto"/>
          <w:sz w:val="24"/>
          <w:szCs w:val="24"/>
          <w:highlight w:val="none"/>
        </w:rPr>
      </w:pPr>
    </w:p>
    <w:p w14:paraId="441F3980">
      <w:pPr>
        <w:spacing w:line="360" w:lineRule="auto"/>
        <w:ind w:firstLine="2409" w:firstLineChars="1000"/>
        <w:jc w:val="left"/>
        <w:rPr>
          <w:rFonts w:hint="eastAsia" w:ascii="宋体" w:hAnsi="宋体" w:eastAsia="宋体" w:cs="宋体"/>
          <w:b/>
          <w:color w:val="auto"/>
          <w:sz w:val="24"/>
          <w:szCs w:val="24"/>
          <w:highlight w:val="none"/>
        </w:rPr>
        <w:sectPr>
          <w:footerReference r:id="rId14" w:type="default"/>
          <w:pgSz w:w="11906" w:h="16838"/>
          <w:pgMar w:top="1361" w:right="1361" w:bottom="1361" w:left="1361" w:header="624" w:footer="1020" w:gutter="113"/>
          <w:pgNumType w:fmt="decimal"/>
          <w:cols w:space="720" w:num="1"/>
          <w:titlePg/>
          <w:rtlGutter w:val="0"/>
          <w:docGrid w:type="lines" w:linePitch="316" w:charSpace="0"/>
        </w:sectPr>
      </w:pPr>
    </w:p>
    <w:p w14:paraId="57E31F95">
      <w:pPr>
        <w:spacing w:line="520" w:lineRule="exact"/>
        <w:jc w:val="center"/>
        <w:rPr>
          <w:rFonts w:hint="eastAsia" w:ascii="宋体" w:hAnsi="宋体" w:eastAsia="宋体" w:cs="宋体"/>
          <w:b/>
          <w:bCs w:val="0"/>
          <w:color w:val="auto"/>
          <w:sz w:val="24"/>
          <w:szCs w:val="24"/>
          <w:highlight w:val="none"/>
        </w:rPr>
      </w:pPr>
      <w:r>
        <w:rPr>
          <w:rFonts w:hint="eastAsia" w:hAnsi="宋体" w:cs="宋体"/>
          <w:b/>
          <w:bCs w:val="0"/>
          <w:color w:val="auto"/>
          <w:sz w:val="24"/>
          <w:szCs w:val="24"/>
          <w:highlight w:val="none"/>
          <w:lang w:val="en-US" w:eastAsia="zh-CN"/>
        </w:rPr>
        <w:t>十</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不拖欠农民工工资承诺函</w:t>
      </w:r>
    </w:p>
    <w:p w14:paraId="5163A9D8">
      <w:pPr>
        <w:widowControl w:val="0"/>
        <w:spacing w:line="520" w:lineRule="exact"/>
        <w:ind w:firstLine="480" w:firstLineChars="200"/>
        <w:jc w:val="center"/>
        <w:rPr>
          <w:rFonts w:hint="eastAsia" w:ascii="宋体" w:hAnsi="宋体" w:eastAsia="宋体" w:cs="宋体"/>
          <w:b w:val="0"/>
          <w:bCs/>
          <w:color w:val="auto"/>
          <w:sz w:val="24"/>
          <w:szCs w:val="24"/>
          <w:highlight w:val="none"/>
        </w:rPr>
      </w:pPr>
    </w:p>
    <w:p w14:paraId="326927AD">
      <w:pPr>
        <w:widowControl w:val="0"/>
        <w:spacing w:line="520" w:lineRule="exact"/>
        <w:ind w:firstLine="480" w:firstLineChars="200"/>
        <w:jc w:val="center"/>
        <w:rPr>
          <w:rFonts w:hint="eastAsia" w:ascii="宋体" w:hAnsi="宋体" w:eastAsia="宋体" w:cs="宋体"/>
          <w:b w:val="0"/>
          <w:bCs/>
          <w:color w:val="auto"/>
          <w:sz w:val="24"/>
          <w:szCs w:val="24"/>
          <w:highlight w:val="none"/>
        </w:rPr>
      </w:pPr>
    </w:p>
    <w:p w14:paraId="20FA9029">
      <w:pPr>
        <w:widowControl w:val="0"/>
        <w:spacing w:line="520" w:lineRule="exact"/>
        <w:ind w:firstLine="480" w:firstLineChars="200"/>
        <w:jc w:val="center"/>
        <w:rPr>
          <w:rFonts w:hint="eastAsia" w:ascii="宋体" w:hAnsi="宋体" w:eastAsia="宋体" w:cs="宋体"/>
          <w:b w:val="0"/>
          <w:bCs/>
          <w:color w:val="auto"/>
          <w:sz w:val="24"/>
          <w:szCs w:val="24"/>
          <w:highlight w:val="none"/>
        </w:rPr>
      </w:pPr>
    </w:p>
    <w:p w14:paraId="63FBC441">
      <w:pPr>
        <w:widowControl w:val="0"/>
        <w:spacing w:line="520" w:lineRule="exact"/>
        <w:ind w:firstLine="480" w:firstLineChars="200"/>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格式自拟。</w:t>
      </w:r>
    </w:p>
    <w:p w14:paraId="4C0786DC">
      <w:pPr>
        <w:widowControl w:val="0"/>
        <w:spacing w:line="520" w:lineRule="exact"/>
        <w:ind w:firstLine="7200" w:firstLineChars="3000"/>
        <w:jc w:val="both"/>
        <w:rPr>
          <w:rFonts w:hint="eastAsia" w:ascii="宋体" w:hAnsi="宋体" w:eastAsia="宋体" w:cs="宋体"/>
          <w:b w:val="0"/>
          <w:bCs/>
          <w:color w:val="auto"/>
          <w:sz w:val="24"/>
          <w:szCs w:val="24"/>
          <w:highlight w:val="none"/>
        </w:rPr>
      </w:pPr>
    </w:p>
    <w:p w14:paraId="6BBCAB0B">
      <w:pPr>
        <w:widowControl w:val="0"/>
        <w:spacing w:line="520" w:lineRule="exact"/>
        <w:ind w:firstLine="7200" w:firstLineChars="3000"/>
        <w:jc w:val="both"/>
        <w:rPr>
          <w:rFonts w:hint="eastAsia" w:ascii="宋体" w:hAnsi="宋体" w:eastAsia="宋体" w:cs="宋体"/>
          <w:b w:val="0"/>
          <w:bCs/>
          <w:color w:val="auto"/>
          <w:sz w:val="24"/>
          <w:szCs w:val="24"/>
          <w:highlight w:val="none"/>
        </w:rPr>
      </w:pPr>
    </w:p>
    <w:p w14:paraId="648C1FEA">
      <w:pPr>
        <w:widowControl w:val="0"/>
        <w:spacing w:line="520" w:lineRule="exact"/>
        <w:ind w:firstLine="7200" w:firstLineChars="3000"/>
        <w:jc w:val="both"/>
        <w:rPr>
          <w:rFonts w:hint="eastAsia" w:ascii="宋体" w:hAnsi="宋体" w:eastAsia="宋体" w:cs="宋体"/>
          <w:b w:val="0"/>
          <w:bCs/>
          <w:color w:val="auto"/>
          <w:sz w:val="24"/>
          <w:szCs w:val="24"/>
          <w:highlight w:val="none"/>
        </w:rPr>
      </w:pPr>
    </w:p>
    <w:p w14:paraId="57593EE5">
      <w:pPr>
        <w:widowControl w:val="0"/>
        <w:spacing w:line="520" w:lineRule="exact"/>
        <w:ind w:firstLine="7200" w:firstLineChars="3000"/>
        <w:jc w:val="both"/>
        <w:rPr>
          <w:rFonts w:hint="eastAsia" w:ascii="宋体" w:hAnsi="宋体" w:eastAsia="宋体" w:cs="宋体"/>
          <w:b w:val="0"/>
          <w:bCs/>
          <w:color w:val="auto"/>
          <w:sz w:val="24"/>
          <w:szCs w:val="24"/>
          <w:highlight w:val="none"/>
        </w:rPr>
      </w:pPr>
    </w:p>
    <w:p w14:paraId="675CB138">
      <w:pPr>
        <w:widowControl w:val="0"/>
        <w:spacing w:line="520" w:lineRule="exact"/>
        <w:ind w:firstLine="7200" w:firstLineChars="3000"/>
        <w:jc w:val="both"/>
        <w:rPr>
          <w:rFonts w:hint="eastAsia" w:ascii="宋体" w:hAnsi="宋体" w:eastAsia="宋体" w:cs="宋体"/>
          <w:b w:val="0"/>
          <w:bCs/>
          <w:color w:val="auto"/>
          <w:sz w:val="24"/>
          <w:szCs w:val="24"/>
          <w:highlight w:val="none"/>
        </w:rPr>
      </w:pPr>
    </w:p>
    <w:p w14:paraId="07380E60">
      <w:pPr>
        <w:widowControl w:val="0"/>
        <w:spacing w:line="520" w:lineRule="exact"/>
        <w:ind w:firstLine="7200" w:firstLineChars="3000"/>
        <w:jc w:val="both"/>
        <w:rPr>
          <w:rFonts w:hint="eastAsia" w:ascii="宋体" w:hAnsi="宋体" w:eastAsia="宋体" w:cs="宋体"/>
          <w:b w:val="0"/>
          <w:bCs/>
          <w:color w:val="auto"/>
          <w:sz w:val="24"/>
          <w:szCs w:val="24"/>
          <w:highlight w:val="none"/>
        </w:rPr>
      </w:pPr>
    </w:p>
    <w:p w14:paraId="284499BE">
      <w:pPr>
        <w:widowControl w:val="0"/>
        <w:spacing w:line="520" w:lineRule="exact"/>
        <w:ind w:firstLine="7200" w:firstLineChars="3000"/>
        <w:jc w:val="both"/>
        <w:rPr>
          <w:rFonts w:hint="eastAsia" w:ascii="宋体" w:hAnsi="宋体" w:eastAsia="宋体" w:cs="宋体"/>
          <w:b w:val="0"/>
          <w:bCs/>
          <w:color w:val="auto"/>
          <w:sz w:val="24"/>
          <w:szCs w:val="24"/>
          <w:highlight w:val="none"/>
        </w:rPr>
      </w:pPr>
    </w:p>
    <w:p w14:paraId="04EE8B89">
      <w:pPr>
        <w:widowControl w:val="0"/>
        <w:spacing w:line="520" w:lineRule="exact"/>
        <w:ind w:firstLine="7200" w:firstLineChars="3000"/>
        <w:jc w:val="both"/>
        <w:rPr>
          <w:rFonts w:hint="eastAsia" w:ascii="宋体" w:hAnsi="宋体" w:eastAsia="宋体" w:cs="宋体"/>
          <w:b w:val="0"/>
          <w:bCs/>
          <w:color w:val="auto"/>
          <w:sz w:val="24"/>
          <w:szCs w:val="24"/>
          <w:highlight w:val="none"/>
        </w:rPr>
      </w:pPr>
    </w:p>
    <w:p w14:paraId="154A5FA9">
      <w:pPr>
        <w:widowControl w:val="0"/>
        <w:spacing w:line="520" w:lineRule="exact"/>
        <w:ind w:firstLine="7200" w:firstLineChars="3000"/>
        <w:jc w:val="both"/>
        <w:rPr>
          <w:rFonts w:hint="eastAsia" w:ascii="宋体" w:hAnsi="宋体" w:eastAsia="宋体" w:cs="宋体"/>
          <w:b w:val="0"/>
          <w:bCs/>
          <w:color w:val="auto"/>
          <w:sz w:val="24"/>
          <w:szCs w:val="24"/>
          <w:highlight w:val="none"/>
        </w:rPr>
      </w:pPr>
    </w:p>
    <w:p w14:paraId="77B0CBDE">
      <w:pPr>
        <w:widowControl w:val="0"/>
        <w:spacing w:line="520" w:lineRule="exact"/>
        <w:jc w:val="righ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（盖单位章）</w:t>
      </w:r>
    </w:p>
    <w:p w14:paraId="24BEFAB8">
      <w:pPr>
        <w:widowControl w:val="0"/>
        <w:spacing w:line="52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p>
    <w:p w14:paraId="3BA1A6DF">
      <w:pPr>
        <w:autoSpaceDE w:val="0"/>
        <w:autoSpaceDN w:val="0"/>
        <w:adjustRightInd w:val="0"/>
        <w:spacing w:line="400" w:lineRule="exact"/>
        <w:jc w:val="right"/>
        <w:rPr>
          <w:rFonts w:hint="eastAsia" w:ascii="宋体" w:hAnsi="宋体" w:eastAsia="宋体" w:cs="宋体"/>
          <w:b w:val="0"/>
          <w:bCs/>
          <w:color w:val="auto"/>
          <w:sz w:val="24"/>
          <w:szCs w:val="24"/>
          <w:highlight w:val="none"/>
        </w:rPr>
        <w:sectPr>
          <w:pgSz w:w="11906" w:h="16838"/>
          <w:pgMar w:top="1361" w:right="1361" w:bottom="1361" w:left="1361" w:header="624" w:footer="1020" w:gutter="113"/>
          <w:pgNumType w:fmt="decimal"/>
          <w:cols w:space="720" w:num="1"/>
          <w:titlePg/>
          <w:rtlGutter w:val="0"/>
          <w:docGrid w:type="lines" w:linePitch="316" w:charSpace="0"/>
        </w:sectPr>
      </w:pPr>
      <w:r>
        <w:rPr>
          <w:rFonts w:hint="eastAsia" w:ascii="宋体" w:hAnsi="宋体" w:eastAsia="宋体" w:cs="宋体"/>
          <w:b w:val="0"/>
          <w:bCs/>
          <w:color w:val="auto"/>
          <w:sz w:val="24"/>
          <w:szCs w:val="24"/>
          <w:highlight w:val="none"/>
        </w:rPr>
        <w:t xml:space="preserve">         年 月 日</w:t>
      </w:r>
    </w:p>
    <w:p w14:paraId="463CDDDE">
      <w:pPr>
        <w:autoSpaceDE w:val="0"/>
        <w:autoSpaceDN w:val="0"/>
        <w:adjustRightInd w:val="0"/>
        <w:spacing w:line="360" w:lineRule="auto"/>
        <w:jc w:val="center"/>
        <w:rPr>
          <w:rFonts w:hint="eastAsia" w:ascii="宋体" w:hAnsi="宋体" w:eastAsia="宋体" w:cs="宋体"/>
          <w:b w:val="0"/>
          <w:bCs/>
          <w:color w:val="auto"/>
          <w:sz w:val="24"/>
          <w:szCs w:val="24"/>
          <w:highlight w:val="none"/>
          <w:lang w:val="zh-CN"/>
        </w:rPr>
      </w:pPr>
      <w:r>
        <w:rPr>
          <w:rFonts w:hint="eastAsia" w:hAnsi="宋体" w:cs="宋体"/>
          <w:b/>
          <w:bCs/>
          <w:color w:val="auto"/>
          <w:spacing w:val="-15"/>
          <w:sz w:val="24"/>
          <w:szCs w:val="24"/>
          <w:highlight w:val="none"/>
          <w:lang w:val="en-US" w:eastAsia="zh-CN"/>
        </w:rPr>
        <w:t>十一</w:t>
      </w:r>
      <w:r>
        <w:rPr>
          <w:rFonts w:hint="eastAsia" w:ascii="宋体" w:hAnsi="宋体" w:eastAsia="宋体" w:cs="宋体"/>
          <w:b/>
          <w:bCs/>
          <w:color w:val="auto"/>
          <w:spacing w:val="-15"/>
          <w:sz w:val="24"/>
          <w:szCs w:val="24"/>
          <w:highlight w:val="none"/>
          <w:lang w:val="en-US" w:eastAsia="zh-CN"/>
        </w:rPr>
        <w:t>、</w:t>
      </w:r>
      <w:r>
        <w:rPr>
          <w:rFonts w:hint="eastAsia" w:ascii="宋体" w:hAnsi="宋体" w:eastAsia="宋体" w:cs="宋体"/>
          <w:b/>
          <w:color w:val="auto"/>
          <w:kern w:val="2"/>
          <w:sz w:val="24"/>
          <w:szCs w:val="24"/>
          <w:highlight w:val="none"/>
          <w:lang w:val="zh-CN"/>
        </w:rPr>
        <w:t>中小企业声明函（</w:t>
      </w:r>
      <w:r>
        <w:rPr>
          <w:rFonts w:hint="eastAsia" w:ascii="宋体" w:hAnsi="宋体" w:eastAsia="宋体" w:cs="宋体"/>
          <w:b/>
          <w:color w:val="auto"/>
          <w:kern w:val="2"/>
          <w:sz w:val="24"/>
          <w:szCs w:val="24"/>
          <w:highlight w:val="none"/>
        </w:rPr>
        <w:t>工程</w:t>
      </w:r>
      <w:r>
        <w:rPr>
          <w:rFonts w:hint="eastAsia" w:ascii="宋体" w:hAnsi="宋体" w:eastAsia="宋体" w:cs="宋体"/>
          <w:b/>
          <w:color w:val="auto"/>
          <w:kern w:val="2"/>
          <w:sz w:val="24"/>
          <w:szCs w:val="24"/>
          <w:highlight w:val="none"/>
          <w:lang w:val="zh-CN"/>
        </w:rPr>
        <w:t>）</w:t>
      </w:r>
    </w:p>
    <w:p w14:paraId="5EAD1DF1">
      <w:pPr>
        <w:autoSpaceDE w:val="0"/>
        <w:autoSpaceDN w:val="0"/>
        <w:adjustRightInd w:val="0"/>
        <w:spacing w:line="360" w:lineRule="auto"/>
        <w:ind w:firstLine="480" w:firstLineChars="200"/>
        <w:jc w:val="left"/>
        <w:rPr>
          <w:rFonts w:hint="eastAsia" w:ascii="宋体" w:hAnsi="宋体" w:eastAsia="宋体" w:cs="宋体"/>
          <w:b w:val="0"/>
          <w:bCs/>
          <w:color w:val="auto"/>
          <w:sz w:val="24"/>
          <w:szCs w:val="24"/>
          <w:highlight w:val="none"/>
        </w:rPr>
      </w:pPr>
    </w:p>
    <w:p w14:paraId="0EF7F542">
      <w:pPr>
        <w:autoSpaceDE w:val="0"/>
        <w:autoSpaceDN w:val="0"/>
        <w:adjustRightInd w:val="0"/>
        <w:spacing w:line="360" w:lineRule="auto"/>
        <w:ind w:firstLine="480" w:firstLineChars="200"/>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A382A88">
      <w:pPr>
        <w:autoSpaceDE w:val="0"/>
        <w:autoSpaceDN w:val="0"/>
        <w:adjustRightInd w:val="0"/>
        <w:spacing w:line="360" w:lineRule="auto"/>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u w:val="single"/>
        </w:rPr>
        <w:t xml:space="preserve"> （标的名称） </w:t>
      </w:r>
      <w:r>
        <w:rPr>
          <w:rFonts w:hint="eastAsia" w:ascii="宋体" w:hAnsi="宋体" w:eastAsia="宋体" w:cs="宋体"/>
          <w:b w:val="0"/>
          <w:bCs/>
          <w:color w:val="auto"/>
          <w:sz w:val="24"/>
          <w:szCs w:val="24"/>
          <w:highlight w:val="none"/>
        </w:rPr>
        <w:t>，属于</w:t>
      </w:r>
      <w:r>
        <w:rPr>
          <w:rFonts w:hint="eastAsia" w:ascii="宋体" w:hAnsi="宋体" w:eastAsia="宋体" w:cs="宋体"/>
          <w:b w:val="0"/>
          <w:bCs/>
          <w:color w:val="auto"/>
          <w:sz w:val="24"/>
          <w:szCs w:val="24"/>
          <w:highlight w:val="none"/>
          <w:u w:val="single"/>
        </w:rPr>
        <w:t>（采购文件中明确的所属行业）</w:t>
      </w:r>
      <w:r>
        <w:rPr>
          <w:rFonts w:hint="eastAsia" w:ascii="宋体" w:hAnsi="宋体" w:eastAsia="宋体" w:cs="宋体"/>
          <w:b w:val="0"/>
          <w:bCs/>
          <w:color w:val="auto"/>
          <w:sz w:val="24"/>
          <w:szCs w:val="24"/>
          <w:highlight w:val="none"/>
        </w:rPr>
        <w:t>；承建（承接）企业为</w:t>
      </w:r>
      <w:r>
        <w:rPr>
          <w:rFonts w:hint="eastAsia" w:ascii="宋体" w:hAnsi="宋体" w:eastAsia="宋体" w:cs="宋体"/>
          <w:b w:val="0"/>
          <w:bCs/>
          <w:color w:val="auto"/>
          <w:sz w:val="24"/>
          <w:szCs w:val="24"/>
          <w:highlight w:val="none"/>
          <w:u w:val="single"/>
        </w:rPr>
        <w:t>（企业名称）</w:t>
      </w:r>
      <w:r>
        <w:rPr>
          <w:rFonts w:hint="eastAsia" w:ascii="宋体" w:hAnsi="宋体" w:eastAsia="宋体" w:cs="宋体"/>
          <w:b w:val="0"/>
          <w:bCs/>
          <w:color w:val="auto"/>
          <w:sz w:val="24"/>
          <w:szCs w:val="24"/>
          <w:highlight w:val="none"/>
        </w:rPr>
        <w:t>，从业人员</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人，营业收入为</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万元，资产总额为</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万元，属于</w:t>
      </w:r>
      <w:r>
        <w:rPr>
          <w:rFonts w:hint="eastAsia" w:ascii="宋体" w:hAnsi="宋体" w:eastAsia="宋体" w:cs="宋体"/>
          <w:b w:val="0"/>
          <w:bCs/>
          <w:color w:val="auto"/>
          <w:sz w:val="24"/>
          <w:szCs w:val="24"/>
          <w:highlight w:val="none"/>
          <w:u w:val="single"/>
        </w:rPr>
        <w:t>（中型企业、小型企业、微型企业）</w:t>
      </w:r>
      <w:r>
        <w:rPr>
          <w:rFonts w:hint="eastAsia" w:ascii="宋体" w:hAnsi="宋体" w:eastAsia="宋体" w:cs="宋体"/>
          <w:b w:val="0"/>
          <w:bCs/>
          <w:color w:val="auto"/>
          <w:sz w:val="24"/>
          <w:szCs w:val="24"/>
          <w:highlight w:val="none"/>
        </w:rPr>
        <w:t xml:space="preserve">； </w:t>
      </w:r>
    </w:p>
    <w:p w14:paraId="41EB9E81">
      <w:pPr>
        <w:autoSpaceDE w:val="0"/>
        <w:autoSpaceDN w:val="0"/>
        <w:adjustRightInd w:val="0"/>
        <w:spacing w:line="360" w:lineRule="auto"/>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u w:val="single"/>
        </w:rPr>
        <w:t xml:space="preserve"> （标的名称） </w:t>
      </w:r>
      <w:r>
        <w:rPr>
          <w:rFonts w:hint="eastAsia" w:ascii="宋体" w:hAnsi="宋体" w:eastAsia="宋体" w:cs="宋体"/>
          <w:b w:val="0"/>
          <w:bCs/>
          <w:color w:val="auto"/>
          <w:sz w:val="24"/>
          <w:szCs w:val="24"/>
          <w:highlight w:val="none"/>
        </w:rPr>
        <w:t>，属于</w:t>
      </w:r>
      <w:r>
        <w:rPr>
          <w:rFonts w:hint="eastAsia" w:ascii="宋体" w:hAnsi="宋体" w:eastAsia="宋体" w:cs="宋体"/>
          <w:b w:val="0"/>
          <w:bCs/>
          <w:color w:val="auto"/>
          <w:sz w:val="24"/>
          <w:szCs w:val="24"/>
          <w:highlight w:val="none"/>
          <w:u w:val="single"/>
        </w:rPr>
        <w:t>（采购文件中明确的所属行业）</w:t>
      </w:r>
      <w:r>
        <w:rPr>
          <w:rFonts w:hint="eastAsia" w:ascii="宋体" w:hAnsi="宋体" w:eastAsia="宋体" w:cs="宋体"/>
          <w:b w:val="0"/>
          <w:bCs/>
          <w:color w:val="auto"/>
          <w:sz w:val="24"/>
          <w:szCs w:val="24"/>
          <w:highlight w:val="none"/>
        </w:rPr>
        <w:t>；承建（承接）企业为</w:t>
      </w:r>
      <w:r>
        <w:rPr>
          <w:rFonts w:hint="eastAsia" w:ascii="宋体" w:hAnsi="宋体" w:eastAsia="宋体" w:cs="宋体"/>
          <w:b w:val="0"/>
          <w:bCs/>
          <w:color w:val="auto"/>
          <w:sz w:val="24"/>
          <w:szCs w:val="24"/>
          <w:highlight w:val="none"/>
          <w:u w:val="single"/>
        </w:rPr>
        <w:t>（企业名称）</w:t>
      </w:r>
      <w:r>
        <w:rPr>
          <w:rFonts w:hint="eastAsia" w:ascii="宋体" w:hAnsi="宋体" w:eastAsia="宋体" w:cs="宋体"/>
          <w:b w:val="0"/>
          <w:bCs/>
          <w:color w:val="auto"/>
          <w:sz w:val="24"/>
          <w:szCs w:val="24"/>
          <w:highlight w:val="none"/>
        </w:rPr>
        <w:t>，从业人员</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人，营业收入为</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万元，资产总额为</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万元，属于</w:t>
      </w:r>
      <w:r>
        <w:rPr>
          <w:rFonts w:hint="eastAsia" w:ascii="宋体" w:hAnsi="宋体" w:eastAsia="宋体" w:cs="宋体"/>
          <w:b w:val="0"/>
          <w:bCs/>
          <w:color w:val="auto"/>
          <w:sz w:val="24"/>
          <w:szCs w:val="24"/>
          <w:highlight w:val="none"/>
          <w:u w:val="single"/>
        </w:rPr>
        <w:t>（中型企业、 小型企业、微型企业）</w:t>
      </w:r>
      <w:r>
        <w:rPr>
          <w:rFonts w:hint="eastAsia" w:ascii="宋体" w:hAnsi="宋体" w:eastAsia="宋体" w:cs="宋体"/>
          <w:b w:val="0"/>
          <w:bCs/>
          <w:color w:val="auto"/>
          <w:sz w:val="24"/>
          <w:szCs w:val="24"/>
          <w:highlight w:val="none"/>
        </w:rPr>
        <w:t xml:space="preserve">； </w:t>
      </w:r>
    </w:p>
    <w:p w14:paraId="039D9263">
      <w:pPr>
        <w:autoSpaceDE w:val="0"/>
        <w:autoSpaceDN w:val="0"/>
        <w:adjustRightInd w:val="0"/>
        <w:spacing w:line="360" w:lineRule="auto"/>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rPr>
        <w:t>……</w:t>
      </w:r>
    </w:p>
    <w:p w14:paraId="6C0C38D7">
      <w:pPr>
        <w:autoSpaceDE w:val="0"/>
        <w:autoSpaceDN w:val="0"/>
        <w:adjustRightInd w:val="0"/>
        <w:spacing w:line="360" w:lineRule="auto"/>
        <w:ind w:firstLine="480" w:firstLineChars="200"/>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rPr>
        <w:t>以上企业，不属于大企业的分支机构，不存在控股股东为大企业的情形，也不存在与大企业的负责人为同一人的情形。</w:t>
      </w:r>
    </w:p>
    <w:p w14:paraId="1E87AC8F">
      <w:pPr>
        <w:autoSpaceDE w:val="0"/>
        <w:autoSpaceDN w:val="0"/>
        <w:adjustRightInd w:val="0"/>
        <w:spacing w:line="360" w:lineRule="auto"/>
        <w:ind w:firstLine="240" w:firstLineChars="100"/>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rPr>
        <w:t xml:space="preserve">本企业对上述声明内容的真实性负责。如有虚假，将依法承担相应责任。 </w:t>
      </w:r>
    </w:p>
    <w:p w14:paraId="13D1A707">
      <w:pPr>
        <w:autoSpaceDE w:val="0"/>
        <w:autoSpaceDN w:val="0"/>
        <w:adjustRightInd w:val="0"/>
        <w:spacing w:line="360" w:lineRule="auto"/>
        <w:ind w:firstLine="4560" w:firstLineChars="1900"/>
        <w:jc w:val="left"/>
        <w:rPr>
          <w:rFonts w:hint="eastAsia" w:ascii="宋体" w:hAnsi="宋体" w:eastAsia="宋体" w:cs="宋体"/>
          <w:b w:val="0"/>
          <w:bCs/>
          <w:color w:val="auto"/>
          <w:sz w:val="24"/>
          <w:szCs w:val="24"/>
          <w:highlight w:val="none"/>
        </w:rPr>
      </w:pPr>
    </w:p>
    <w:p w14:paraId="1FB91EC7">
      <w:pPr>
        <w:autoSpaceDE w:val="0"/>
        <w:autoSpaceDN w:val="0"/>
        <w:adjustRightInd w:val="0"/>
        <w:spacing w:line="360" w:lineRule="auto"/>
        <w:ind w:firstLine="4560" w:firstLineChars="1900"/>
        <w:jc w:val="left"/>
        <w:rPr>
          <w:rFonts w:hint="eastAsia" w:ascii="宋体" w:hAnsi="宋体" w:eastAsia="宋体" w:cs="宋体"/>
          <w:b w:val="0"/>
          <w:bCs/>
          <w:color w:val="auto"/>
          <w:sz w:val="24"/>
          <w:szCs w:val="24"/>
          <w:highlight w:val="none"/>
        </w:rPr>
      </w:pPr>
    </w:p>
    <w:p w14:paraId="4140C6E1">
      <w:pPr>
        <w:autoSpaceDE w:val="0"/>
        <w:autoSpaceDN w:val="0"/>
        <w:adjustRightInd w:val="0"/>
        <w:spacing w:line="360" w:lineRule="auto"/>
        <w:ind w:firstLine="4560" w:firstLineChars="1900"/>
        <w:jc w:val="left"/>
        <w:rPr>
          <w:rFonts w:hint="eastAsia" w:ascii="宋体" w:hAnsi="宋体" w:eastAsia="宋体" w:cs="宋体"/>
          <w:b w:val="0"/>
          <w:bCs/>
          <w:color w:val="auto"/>
          <w:sz w:val="24"/>
          <w:szCs w:val="24"/>
          <w:highlight w:val="none"/>
        </w:rPr>
      </w:pPr>
    </w:p>
    <w:p w14:paraId="5F62DE1D">
      <w:pPr>
        <w:autoSpaceDE w:val="0"/>
        <w:autoSpaceDN w:val="0"/>
        <w:adjustRightInd w:val="0"/>
        <w:spacing w:line="360" w:lineRule="auto"/>
        <w:ind w:firstLine="4560" w:firstLineChars="1900"/>
        <w:jc w:val="left"/>
        <w:rPr>
          <w:rFonts w:hint="eastAsia" w:ascii="宋体" w:hAnsi="宋体" w:eastAsia="宋体" w:cs="宋体"/>
          <w:b w:val="0"/>
          <w:bCs/>
          <w:color w:val="auto"/>
          <w:sz w:val="24"/>
          <w:szCs w:val="24"/>
          <w:highlight w:val="none"/>
        </w:rPr>
      </w:pPr>
    </w:p>
    <w:p w14:paraId="76736995">
      <w:pPr>
        <w:autoSpaceDE w:val="0"/>
        <w:autoSpaceDN w:val="0"/>
        <w:adjustRightInd w:val="0"/>
        <w:spacing w:line="360" w:lineRule="auto"/>
        <w:ind w:firstLine="4560" w:firstLineChars="1900"/>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lang w:val="zh-CN"/>
        </w:rPr>
        <w:t xml:space="preserve">名称（签章）：   </w:t>
      </w:r>
    </w:p>
    <w:p w14:paraId="031A753D">
      <w:pPr>
        <w:autoSpaceDE w:val="0"/>
        <w:autoSpaceDN w:val="0"/>
        <w:adjustRightInd w:val="0"/>
        <w:spacing w:line="360" w:lineRule="auto"/>
        <w:ind w:firstLine="6000" w:firstLineChars="2500"/>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日</w:t>
      </w: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zh-CN"/>
        </w:rPr>
        <w:t xml:space="preserve"> 期：  </w:t>
      </w:r>
      <w:r>
        <w:rPr>
          <w:rFonts w:hint="eastAsia" w:ascii="宋体" w:hAnsi="宋体" w:eastAsia="宋体" w:cs="宋体"/>
          <w:b w:val="0"/>
          <w:bCs/>
          <w:color w:val="auto"/>
          <w:sz w:val="24"/>
          <w:szCs w:val="24"/>
          <w:highlight w:val="none"/>
        </w:rPr>
        <w:t xml:space="preserve"> </w:t>
      </w:r>
    </w:p>
    <w:p w14:paraId="7767E4CB">
      <w:pPr>
        <w:autoSpaceDE w:val="0"/>
        <w:autoSpaceDN w:val="0"/>
        <w:adjustRightInd w:val="0"/>
        <w:spacing w:line="360" w:lineRule="auto"/>
        <w:jc w:val="left"/>
        <w:rPr>
          <w:rFonts w:hint="eastAsia" w:ascii="宋体" w:hAnsi="宋体" w:eastAsia="宋体" w:cs="宋体"/>
          <w:b w:val="0"/>
          <w:bCs/>
          <w:color w:val="auto"/>
          <w:sz w:val="24"/>
          <w:szCs w:val="24"/>
          <w:highlight w:val="none"/>
        </w:rPr>
      </w:pPr>
    </w:p>
    <w:p w14:paraId="3AC573A5">
      <w:pPr>
        <w:autoSpaceDE w:val="0"/>
        <w:autoSpaceDN w:val="0"/>
        <w:adjustRightInd w:val="0"/>
        <w:spacing w:line="360" w:lineRule="auto"/>
        <w:jc w:val="left"/>
        <w:rPr>
          <w:rFonts w:hint="eastAsia" w:ascii="宋体" w:hAnsi="宋体" w:eastAsia="宋体" w:cs="宋体"/>
          <w:b w:val="0"/>
          <w:bCs/>
          <w:color w:val="auto"/>
          <w:sz w:val="24"/>
          <w:szCs w:val="24"/>
          <w:highlight w:val="none"/>
        </w:rPr>
      </w:pPr>
    </w:p>
    <w:p w14:paraId="7AC91BA9">
      <w:pPr>
        <w:autoSpaceDE w:val="0"/>
        <w:autoSpaceDN w:val="0"/>
        <w:adjustRightInd w:val="0"/>
        <w:spacing w:line="360" w:lineRule="auto"/>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rPr>
        <w:t>注：</w:t>
      </w:r>
      <w:r>
        <w:rPr>
          <w:rFonts w:hint="eastAsia" w:ascii="宋体" w:hAnsi="宋体" w:eastAsia="宋体" w:cs="宋体"/>
          <w:b w:val="0"/>
          <w:bCs/>
          <w:color w:val="auto"/>
          <w:sz w:val="24"/>
          <w:szCs w:val="24"/>
          <w:highlight w:val="none"/>
          <w:lang w:val="zh-CN"/>
        </w:rPr>
        <w:t>1</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zh-CN"/>
        </w:rPr>
        <w:t>从业人员、营业收入、资产总额填报上一年度数据，无上一年度数据的新成立企业可不填报。</w:t>
      </w:r>
    </w:p>
    <w:p w14:paraId="6EA4D1D0">
      <w:pPr>
        <w:spacing w:before="0" w:after="0" w:line="240" w:lineRule="auto"/>
        <w:ind w:left="0" w:right="-12" w:firstLine="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br w:type="page"/>
      </w:r>
      <w:r>
        <w:rPr>
          <w:rFonts w:hint="eastAsia" w:ascii="宋体" w:hAnsi="宋体" w:eastAsia="宋体" w:cs="宋体"/>
          <w:color w:val="auto"/>
          <w:kern w:val="2"/>
          <w:sz w:val="24"/>
          <w:szCs w:val="24"/>
          <w:highlight w:val="none"/>
          <w:lang w:val="zh-CN" w:eastAsia="zh-CN" w:bidi="ar-SA"/>
        </w:rPr>
        <w:t>残疾人福利性单位声明函</w:t>
      </w:r>
    </w:p>
    <w:p w14:paraId="5416F196">
      <w:pPr>
        <w:autoSpaceDE w:val="0"/>
        <w:autoSpaceDN w:val="0"/>
        <w:adjustRightInd w:val="0"/>
        <w:spacing w:beforeLines="50" w:afterLines="50"/>
        <w:ind w:firstLine="480" w:firstLineChars="200"/>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u w:val="single"/>
        </w:rPr>
        <w:t>【不属于</w:t>
      </w:r>
      <w:r>
        <w:rPr>
          <w:rFonts w:hint="eastAsia" w:ascii="宋体" w:hAnsi="宋体" w:eastAsia="宋体" w:cs="宋体"/>
          <w:color w:val="auto"/>
          <w:sz w:val="24"/>
          <w:szCs w:val="24"/>
          <w:highlight w:val="none"/>
          <w:u w:val="single"/>
          <w:lang w:val="zh-CN" w:eastAsia="zh-CN"/>
        </w:rPr>
        <w:t>残疾人福利性单位</w:t>
      </w:r>
      <w:r>
        <w:rPr>
          <w:rFonts w:hint="eastAsia" w:ascii="宋体" w:hAnsi="宋体" w:eastAsia="宋体" w:cs="宋体"/>
          <w:color w:val="auto"/>
          <w:sz w:val="24"/>
          <w:szCs w:val="24"/>
          <w:highlight w:val="none"/>
          <w:u w:val="single"/>
        </w:rPr>
        <w:t>的无需填写】</w:t>
      </w:r>
    </w:p>
    <w:p w14:paraId="5FAEADD8">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14:paraId="09FE8480">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77F27F9F">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80" w:firstLineChars="200"/>
        <w:textAlignment w:val="auto"/>
        <w:rPr>
          <w:rFonts w:hint="eastAsia" w:ascii="宋体" w:hAnsi="宋体" w:eastAsia="宋体" w:cs="宋体"/>
          <w:color w:val="auto"/>
          <w:sz w:val="24"/>
          <w:szCs w:val="24"/>
          <w:highlight w:val="none"/>
        </w:rPr>
      </w:pPr>
    </w:p>
    <w:p w14:paraId="13E6E7C4">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80" w:firstLineChars="200"/>
        <w:textAlignment w:val="auto"/>
        <w:rPr>
          <w:rFonts w:hint="eastAsia" w:ascii="宋体" w:hAnsi="宋体" w:eastAsia="宋体" w:cs="宋体"/>
          <w:color w:val="auto"/>
          <w:sz w:val="24"/>
          <w:szCs w:val="24"/>
          <w:highlight w:val="none"/>
        </w:rPr>
      </w:pPr>
    </w:p>
    <w:p w14:paraId="710C3373">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EF75293">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0770F80">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盖</w:t>
      </w:r>
      <w:r>
        <w:rPr>
          <w:rFonts w:hint="eastAsia" w:ascii="宋体" w:hAnsi="宋体" w:eastAsia="宋体" w:cs="宋体"/>
          <w:color w:val="auto"/>
          <w:sz w:val="24"/>
          <w:szCs w:val="24"/>
          <w:highlight w:val="none"/>
        </w:rPr>
        <w:t xml:space="preserve">章）：                                    </w:t>
      </w:r>
    </w:p>
    <w:p w14:paraId="47457304">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w:t>
      </w:r>
    </w:p>
    <w:p w14:paraId="496A1579">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或授权代表（签</w:t>
      </w:r>
      <w:r>
        <w:rPr>
          <w:rFonts w:hint="eastAsia" w:ascii="宋体" w:hAnsi="宋体" w:eastAsia="宋体" w:cs="宋体"/>
          <w:color w:val="auto"/>
          <w:sz w:val="24"/>
          <w:szCs w:val="24"/>
          <w:highlight w:val="none"/>
          <w:lang w:eastAsia="zh-CN"/>
        </w:rPr>
        <w:t>字</w:t>
      </w:r>
      <w:r>
        <w:rPr>
          <w:rFonts w:hint="eastAsia" w:ascii="宋体" w:hAnsi="宋体" w:eastAsia="宋体" w:cs="宋体"/>
          <w:color w:val="auto"/>
          <w:sz w:val="24"/>
          <w:szCs w:val="24"/>
          <w:highlight w:val="none"/>
        </w:rPr>
        <w:t xml:space="preserve">）：                                </w:t>
      </w:r>
    </w:p>
    <w:p w14:paraId="2AB31D83">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80" w:firstLineChars="200"/>
        <w:textAlignment w:val="auto"/>
        <w:rPr>
          <w:rFonts w:hint="eastAsia" w:ascii="宋体" w:hAnsi="宋体" w:eastAsia="宋体" w:cs="宋体"/>
          <w:color w:val="auto"/>
          <w:sz w:val="24"/>
          <w:szCs w:val="24"/>
          <w:highlight w:val="none"/>
        </w:rPr>
      </w:pPr>
    </w:p>
    <w:p w14:paraId="004FCF25">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0D1CBF0">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年   月   日</w:t>
      </w:r>
    </w:p>
    <w:p w14:paraId="0104F44C">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80" w:firstLineChars="20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column"/>
      </w:r>
    </w:p>
    <w:p w14:paraId="28D87158">
      <w:pPr>
        <w:spacing w:before="0" w:after="0" w:line="240" w:lineRule="auto"/>
        <w:ind w:left="0" w:leftChars="0" w:right="-12" w:firstLine="360" w:firstLineChars="15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监狱企业和戒毒企业参加政府采购活动时，须提供由省级以上监狱管理局、戒毒管理局（含新疆生产建设兵团）出具的属于监狱企业的证明文件</w:t>
      </w:r>
    </w:p>
    <w:p w14:paraId="6563263A">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80" w:firstLineChars="200"/>
        <w:jc w:val="center"/>
        <w:textAlignment w:val="auto"/>
        <w:rPr>
          <w:rFonts w:hint="eastAsia" w:ascii="宋体" w:hAnsi="宋体" w:eastAsia="宋体" w:cs="宋体"/>
          <w:color w:val="auto"/>
          <w:sz w:val="24"/>
          <w:szCs w:val="24"/>
          <w:highlight w:val="none"/>
          <w:lang w:val="zh-CN"/>
        </w:rPr>
      </w:pPr>
    </w:p>
    <w:p w14:paraId="1C6A2571">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80" w:firstLineChars="20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rPr>
        <w:t>【不属于监狱企业的无需</w:t>
      </w:r>
      <w:r>
        <w:rPr>
          <w:rFonts w:hint="eastAsia" w:ascii="宋体" w:hAnsi="宋体" w:eastAsia="宋体" w:cs="宋体"/>
          <w:color w:val="auto"/>
          <w:sz w:val="24"/>
          <w:szCs w:val="24"/>
          <w:highlight w:val="none"/>
          <w:u w:val="single"/>
          <w:lang w:eastAsia="zh-CN"/>
        </w:rPr>
        <w:t>提供</w:t>
      </w:r>
      <w:r>
        <w:rPr>
          <w:rFonts w:hint="eastAsia" w:ascii="宋体" w:hAnsi="宋体" w:eastAsia="宋体" w:cs="宋体"/>
          <w:color w:val="auto"/>
          <w:sz w:val="24"/>
          <w:szCs w:val="24"/>
          <w:highlight w:val="none"/>
          <w:u w:val="single"/>
        </w:rPr>
        <w:t>】</w:t>
      </w:r>
    </w:p>
    <w:p w14:paraId="55B5F52D">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p>
    <w:p w14:paraId="7DADC1F2">
      <w:pPr>
        <w:rPr>
          <w:rFonts w:hint="eastAsia" w:ascii="宋体" w:hAnsi="宋体" w:eastAsia="宋体" w:cs="宋体"/>
          <w:color w:val="auto"/>
          <w:sz w:val="24"/>
          <w:szCs w:val="24"/>
          <w:highlight w:val="none"/>
        </w:rPr>
      </w:pPr>
    </w:p>
    <w:p w14:paraId="55A7D183">
      <w:pPr>
        <w:spacing w:line="315"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二次报价</w:t>
      </w:r>
    </w:p>
    <w:p w14:paraId="591C13E2">
      <w:pPr>
        <w:snapToGrid w:val="0"/>
        <w:spacing w:line="360" w:lineRule="auto"/>
        <w:rPr>
          <w:rFonts w:hint="eastAsia" w:ascii="宋体" w:hAnsi="宋体" w:eastAsia="宋体" w:cs="宋体"/>
          <w:color w:val="auto"/>
          <w:sz w:val="24"/>
          <w:szCs w:val="24"/>
          <w:highlight w:val="none"/>
        </w:rPr>
      </w:pPr>
    </w:p>
    <w:p w14:paraId="31EC122B">
      <w:pPr>
        <w:autoSpaceDE w:val="0"/>
        <w:autoSpaceDN w:val="0"/>
        <w:adjustRightInd w:val="0"/>
        <w:snapToGrid w:val="0"/>
        <w:spacing w:line="240" w:lineRule="auto"/>
        <w:jc w:val="center"/>
        <w:rPr>
          <w:rFonts w:hint="eastAsia" w:ascii="宋体" w:hAnsi="宋体" w:eastAsia="宋体" w:cs="宋体"/>
          <w:b/>
          <w:color w:val="auto"/>
          <w:sz w:val="24"/>
          <w:szCs w:val="24"/>
          <w:highlight w:val="none"/>
          <w:lang w:val="en-US" w:eastAsia="zh-CN"/>
        </w:rPr>
      </w:pPr>
    </w:p>
    <w:p w14:paraId="75A3DB9C">
      <w:pPr>
        <w:autoSpaceDE w:val="0"/>
        <w:autoSpaceDN w:val="0"/>
        <w:adjustRightInd w:val="0"/>
        <w:snapToGrid w:val="0"/>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二次报价具体以“政采云”系统填报为准。</w:t>
      </w:r>
    </w:p>
    <w:p w14:paraId="6EFDB0C0">
      <w:pPr>
        <w:rPr>
          <w:highlight w:val="none"/>
        </w:rPr>
      </w:pPr>
    </w:p>
    <w:sectPr>
      <w:headerReference r:id="rId15" w:type="default"/>
      <w:footerReference r:id="rId16" w:type="default"/>
      <w:pgSz w:w="11907" w:h="16839"/>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0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795B7">
    <w:pPr>
      <w:pStyle w:val="17"/>
      <w:framePr w:wrap="around" w:vAnchor="text" w:hAnchor="margin" w:xAlign="center" w:y="1"/>
      <w:rPr>
        <w:rStyle w:val="30"/>
        <w:rFonts w:hint="eastAsia"/>
      </w:rPr>
    </w:pPr>
  </w:p>
  <w:p w14:paraId="46A6275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B95D5">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C6272">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B3AC4">
    <w:pPr>
      <w:pStyle w:val="17"/>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87C24BD">
                          <w:pPr>
                            <w:pStyle w:val="17"/>
                          </w:pPr>
                          <w:r>
                            <w:fldChar w:fldCharType="begin"/>
                          </w:r>
                          <w:r>
                            <w:instrText xml:space="preserve"> PAGE  \* MERGEFORMAT </w:instrText>
                          </w:r>
                          <w:r>
                            <w:fldChar w:fldCharType="separate"/>
                          </w:r>
                          <w:r>
                            <w:t>19</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087C24BD">
                    <w:pPr>
                      <w:pStyle w:val="17"/>
                    </w:pPr>
                    <w:r>
                      <w:fldChar w:fldCharType="begin"/>
                    </w:r>
                    <w:r>
                      <w:instrText xml:space="preserve"> PAGE  \* MERGEFORMAT </w:instrText>
                    </w:r>
                    <w:r>
                      <w:fldChar w:fldCharType="separate"/>
                    </w:r>
                    <w:r>
                      <w:t>19</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A218D">
    <w:pPr>
      <w:pStyle w:val="17"/>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EFD0FA9">
                          <w:pPr>
                            <w:pStyle w:val="17"/>
                          </w:pPr>
                          <w:r>
                            <w:t xml:space="preserve">第 </w:t>
                          </w:r>
                          <w:r>
                            <w:fldChar w:fldCharType="begin"/>
                          </w:r>
                          <w:r>
                            <w:instrText xml:space="preserve"> PAGE  \* MERGEFORMAT </w:instrText>
                          </w:r>
                          <w:r>
                            <w:fldChar w:fldCharType="separate"/>
                          </w:r>
                          <w:r>
                            <w:t>II</w:t>
                          </w:r>
                          <w:r>
                            <w:fldChar w:fldCharType="end"/>
                          </w:r>
                          <w:r>
                            <w:t xml:space="preserve"> 页 共 </w:t>
                          </w:r>
                          <w:r>
                            <w:fldChar w:fldCharType="begin"/>
                          </w:r>
                          <w:r>
                            <w:instrText xml:space="preserve"> NUMPAGES  \* MERGEFORMAT </w:instrText>
                          </w:r>
                          <w:r>
                            <w:fldChar w:fldCharType="separate"/>
                          </w:r>
                          <w:r>
                            <w:t>159</w:t>
                          </w:r>
                          <w:r>
                            <w:fldChar w:fldCharType="end"/>
                          </w:r>
                          <w:r>
                            <w:t xml:space="preserve"> 页</w:t>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smeUn0QEAAJ4DAAAOAAAAAAAAAAEAIAAAAB8BAABk&#10;cnMvZTJvRG9jLnhtbFBLBQYAAAAABgAGAFkBAABiBQAAAAA=&#10;">
              <v:fill on="f" focussize="0,0"/>
              <v:stroke on="f"/>
              <v:imagedata o:title=""/>
              <o:lock v:ext="edit" aspectratio="f"/>
              <v:textbox inset="0mm,0mm,0mm,0mm" style="mso-fit-shape-to-text:t;">
                <w:txbxContent>
                  <w:p w14:paraId="1EFD0FA9">
                    <w:pPr>
                      <w:pStyle w:val="17"/>
                    </w:pPr>
                    <w:r>
                      <w:t xml:space="preserve">第 </w:t>
                    </w:r>
                    <w:r>
                      <w:fldChar w:fldCharType="begin"/>
                    </w:r>
                    <w:r>
                      <w:instrText xml:space="preserve"> PAGE  \* MERGEFORMAT </w:instrText>
                    </w:r>
                    <w:r>
                      <w:fldChar w:fldCharType="separate"/>
                    </w:r>
                    <w:r>
                      <w:t>II</w:t>
                    </w:r>
                    <w:r>
                      <w:fldChar w:fldCharType="end"/>
                    </w:r>
                    <w:r>
                      <w:t xml:space="preserve"> 页 共 </w:t>
                    </w:r>
                    <w:r>
                      <w:fldChar w:fldCharType="begin"/>
                    </w:r>
                    <w:r>
                      <w:instrText xml:space="preserve"> NUMPAGES  \* MERGEFORMAT </w:instrText>
                    </w:r>
                    <w:r>
                      <w:fldChar w:fldCharType="separate"/>
                    </w:r>
                    <w:r>
                      <w:t>159</w:t>
                    </w:r>
                    <w:r>
                      <w:fldChar w:fldCharType="end"/>
                    </w:r>
                    <w:r>
                      <w:t xml:space="preserve"> 页</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8A456">
    <w:pPr>
      <w:pStyle w:val="17"/>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6935028">
                          <w:pPr>
                            <w:pStyle w:val="17"/>
                          </w:pPr>
                          <w:r>
                            <w:t xml:space="preserve">第 </w:t>
                          </w:r>
                          <w:r>
                            <w:fldChar w:fldCharType="begin"/>
                          </w:r>
                          <w:r>
                            <w:instrText xml:space="preserve"> PAGE  \* MERGEFORMAT </w:instrText>
                          </w:r>
                          <w:r>
                            <w:fldChar w:fldCharType="separate"/>
                          </w:r>
                          <w:r>
                            <w:t>CVI</w:t>
                          </w:r>
                          <w:r>
                            <w:fldChar w:fldCharType="end"/>
                          </w:r>
                          <w:r>
                            <w:t xml:space="preserve"> 页 共 </w:t>
                          </w:r>
                          <w:r>
                            <w:fldChar w:fldCharType="begin"/>
                          </w:r>
                          <w:r>
                            <w:instrText xml:space="preserve"> NUMPAGES  \* MERGEFORMAT </w:instrText>
                          </w:r>
                          <w:r>
                            <w:fldChar w:fldCharType="separate"/>
                          </w:r>
                          <w:r>
                            <w:t>159</w:t>
                          </w:r>
                          <w:r>
                            <w:fldChar w:fldCharType="end"/>
                          </w:r>
                          <w:r>
                            <w:t xml:space="preserve"> 页</w:t>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QK6kNNIBAACeAwAADgAAAAAAAAABACAAAAAfAQAA&#10;ZHJzL2Uyb0RvYy54bWxQSwUGAAAAAAYABgBZAQAAYwUAAAAA&#10;">
              <v:fill on="f" focussize="0,0"/>
              <v:stroke on="f"/>
              <v:imagedata o:title=""/>
              <o:lock v:ext="edit" aspectratio="f"/>
              <v:textbox inset="0mm,0mm,0mm,0mm" style="mso-fit-shape-to-text:t;">
                <w:txbxContent>
                  <w:p w14:paraId="66935028">
                    <w:pPr>
                      <w:pStyle w:val="17"/>
                    </w:pPr>
                    <w:r>
                      <w:t xml:space="preserve">第 </w:t>
                    </w:r>
                    <w:r>
                      <w:fldChar w:fldCharType="begin"/>
                    </w:r>
                    <w:r>
                      <w:instrText xml:space="preserve"> PAGE  \* MERGEFORMAT </w:instrText>
                    </w:r>
                    <w:r>
                      <w:fldChar w:fldCharType="separate"/>
                    </w:r>
                    <w:r>
                      <w:t>CVI</w:t>
                    </w:r>
                    <w:r>
                      <w:fldChar w:fldCharType="end"/>
                    </w:r>
                    <w:r>
                      <w:t xml:space="preserve"> 页 共 </w:t>
                    </w:r>
                    <w:r>
                      <w:fldChar w:fldCharType="begin"/>
                    </w:r>
                    <w:r>
                      <w:instrText xml:space="preserve"> NUMPAGES  \* MERGEFORMAT </w:instrText>
                    </w:r>
                    <w:r>
                      <w:fldChar w:fldCharType="separate"/>
                    </w:r>
                    <w:r>
                      <w:t>159</w:t>
                    </w:r>
                    <w:r>
                      <w:fldChar w:fldCharType="end"/>
                    </w:r>
                    <w:r>
                      <w:t xml:space="preserve"> 页</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8A1C9">
    <w:pPr>
      <w:spacing w:line="196" w:lineRule="auto"/>
      <w:ind w:left="4157"/>
      <w:rPr>
        <w:rFonts w:ascii="Times New Roman" w:hAnsi="Times New Roman" w:eastAsia="Times New Roman" w:cs="Times New Roman"/>
        <w:sz w:val="17"/>
        <w:szCs w:val="17"/>
      </w:rPr>
    </w:pPr>
    <w:r>
      <w:rPr>
        <w:sz w:val="17"/>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EEE9654">
                          <w:pPr>
                            <w:pStyle w:val="17"/>
                          </w:pPr>
                          <w:r>
                            <w:t xml:space="preserve">第 </w:t>
                          </w:r>
                          <w:r>
                            <w:fldChar w:fldCharType="begin"/>
                          </w:r>
                          <w:r>
                            <w:instrText xml:space="preserve"> PAGE  \* MERGEFORMAT </w:instrText>
                          </w:r>
                          <w:r>
                            <w:fldChar w:fldCharType="separate"/>
                          </w:r>
                          <w:r>
                            <w:t>CXXII</w:t>
                          </w:r>
                          <w:r>
                            <w:fldChar w:fldCharType="end"/>
                          </w:r>
                          <w:r>
                            <w:t xml:space="preserve"> 页 共 </w:t>
                          </w:r>
                          <w:r>
                            <w:fldChar w:fldCharType="begin"/>
                          </w:r>
                          <w:r>
                            <w:instrText xml:space="preserve"> NUMPAGES  \* MERGEFORMAT </w:instrText>
                          </w:r>
                          <w:r>
                            <w:fldChar w:fldCharType="separate"/>
                          </w:r>
                          <w:r>
                            <w:t>159</w:t>
                          </w:r>
                          <w:r>
                            <w:fldChar w:fldCharType="end"/>
                          </w:r>
                          <w:r>
                            <w:t xml:space="preserve"> 页</w:t>
                          </w:r>
                        </w:p>
                      </w:txbxContent>
                    </wps:txbx>
                    <wps:bodyPr vert="horz" wrap="none" lIns="0" tIns="0" rIns="0" bIns="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JQKXDXQAQAAngMAAA4AAAAAAAAAAQAgAAAAHwEAAGRy&#10;cy9lMm9Eb2MueG1sUEsFBgAAAAAGAAYAWQEAAGEFAAAAAA==&#10;">
              <v:fill on="f" focussize="0,0"/>
              <v:stroke on="f"/>
              <v:imagedata o:title=""/>
              <o:lock v:ext="edit" aspectratio="f"/>
              <v:textbox inset="0mm,0mm,0mm,0mm" style="mso-fit-shape-to-text:t;">
                <w:txbxContent>
                  <w:p w14:paraId="0EEE9654">
                    <w:pPr>
                      <w:pStyle w:val="17"/>
                    </w:pPr>
                    <w:r>
                      <w:t xml:space="preserve">第 </w:t>
                    </w:r>
                    <w:r>
                      <w:fldChar w:fldCharType="begin"/>
                    </w:r>
                    <w:r>
                      <w:instrText xml:space="preserve"> PAGE  \* MERGEFORMAT </w:instrText>
                    </w:r>
                    <w:r>
                      <w:fldChar w:fldCharType="separate"/>
                    </w:r>
                    <w:r>
                      <w:t>CXXII</w:t>
                    </w:r>
                    <w:r>
                      <w:fldChar w:fldCharType="end"/>
                    </w:r>
                    <w:r>
                      <w:t xml:space="preserve"> 页 共 </w:t>
                    </w:r>
                    <w:r>
                      <w:fldChar w:fldCharType="begin"/>
                    </w:r>
                    <w:r>
                      <w:instrText xml:space="preserve"> NUMPAGES  \* MERGEFORMAT </w:instrText>
                    </w:r>
                    <w:r>
                      <w:fldChar w:fldCharType="separate"/>
                    </w:r>
                    <w:r>
                      <w:t>159</w:t>
                    </w:r>
                    <w:r>
                      <w:fldChar w:fldCharType="end"/>
                    </w:r>
                    <w:r>
                      <w:t xml:space="preserve"> 页</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DE7FA">
    <w:pPr>
      <w:spacing w:line="196" w:lineRule="auto"/>
      <w:ind w:left="4080"/>
      <w:rPr>
        <w:rFonts w:ascii="Times New Roman" w:hAnsi="Times New Roman" w:eastAsia="Times New Roman" w:cs="Times New Roman"/>
        <w:sz w:val="17"/>
        <w:szCs w:val="17"/>
      </w:rPr>
    </w:pPr>
    <w:r>
      <w:rPr>
        <w:sz w:val="17"/>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3D4FD6C">
                          <w:pPr>
                            <w:pStyle w:val="17"/>
                          </w:pPr>
                          <w:r>
                            <w:t xml:space="preserve">第 </w:t>
                          </w:r>
                          <w:r>
                            <w:fldChar w:fldCharType="begin"/>
                          </w:r>
                          <w:r>
                            <w:instrText xml:space="preserve"> PAGE  \* MERGEFORMAT </w:instrText>
                          </w:r>
                          <w:r>
                            <w:fldChar w:fldCharType="separate"/>
                          </w:r>
                          <w:r>
                            <w:t>CXLV</w:t>
                          </w:r>
                          <w:r>
                            <w:fldChar w:fldCharType="end"/>
                          </w:r>
                          <w:r>
                            <w:t xml:space="preserve"> 页 共 </w:t>
                          </w:r>
                          <w:r>
                            <w:fldChar w:fldCharType="begin"/>
                          </w:r>
                          <w:r>
                            <w:instrText xml:space="preserve"> NUMPAGES  \* MERGEFORMAT </w:instrText>
                          </w:r>
                          <w:r>
                            <w:fldChar w:fldCharType="separate"/>
                          </w:r>
                          <w:r>
                            <w:t>159</w:t>
                          </w:r>
                          <w:r>
                            <w:fldChar w:fldCharType="end"/>
                          </w:r>
                          <w:r>
                            <w:t xml:space="preserve"> 页</w:t>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CivQhe0QEAAJ8DAAAOAAAAAAAAAAEAIAAAAB8BAABk&#10;cnMvZTJvRG9jLnhtbFBLBQYAAAAABgAGAFkBAABiBQAAAAA=&#10;">
              <v:fill on="f" focussize="0,0"/>
              <v:stroke on="f"/>
              <v:imagedata o:title=""/>
              <o:lock v:ext="edit" aspectratio="f"/>
              <v:textbox inset="0mm,0mm,0mm,0mm" style="mso-fit-shape-to-text:t;">
                <w:txbxContent>
                  <w:p w14:paraId="53D4FD6C">
                    <w:pPr>
                      <w:pStyle w:val="17"/>
                    </w:pPr>
                    <w:r>
                      <w:t xml:space="preserve">第 </w:t>
                    </w:r>
                    <w:r>
                      <w:fldChar w:fldCharType="begin"/>
                    </w:r>
                    <w:r>
                      <w:instrText xml:space="preserve"> PAGE  \* MERGEFORMAT </w:instrText>
                    </w:r>
                    <w:r>
                      <w:fldChar w:fldCharType="separate"/>
                    </w:r>
                    <w:r>
                      <w:t>CXLV</w:t>
                    </w:r>
                    <w:r>
                      <w:fldChar w:fldCharType="end"/>
                    </w:r>
                    <w:r>
                      <w:t xml:space="preserve"> 页 共 </w:t>
                    </w:r>
                    <w:r>
                      <w:fldChar w:fldCharType="begin"/>
                    </w:r>
                    <w:r>
                      <w:instrText xml:space="preserve"> NUMPAGES  \* MERGEFORMAT </w:instrText>
                    </w:r>
                    <w:r>
                      <w:fldChar w:fldCharType="separate"/>
                    </w:r>
                    <w:r>
                      <w:t>159</w:t>
                    </w:r>
                    <w:r>
                      <w:fldChar w:fldCharType="end"/>
                    </w:r>
                    <w:r>
                      <w:t xml:space="preserve"> 页</w:t>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04673">
    <w:pPr>
      <w:pStyle w:val="17"/>
      <w:rPr>
        <w:rFonts w:ascii="宋体" w:hAnsi="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B7B3EB7">
                          <w:pPr>
                            <w:pStyle w:val="17"/>
                          </w:pPr>
                          <w:r>
                            <w:t xml:space="preserve">第 </w:t>
                          </w:r>
                          <w:r>
                            <w:fldChar w:fldCharType="begin"/>
                          </w:r>
                          <w:r>
                            <w:instrText xml:space="preserve"> PAGE  \* MERGEFORMAT </w:instrText>
                          </w:r>
                          <w:r>
                            <w:fldChar w:fldCharType="separate"/>
                          </w:r>
                          <w:r>
                            <w:t>CLIV</w:t>
                          </w:r>
                          <w:r>
                            <w:fldChar w:fldCharType="end"/>
                          </w:r>
                          <w:r>
                            <w:t xml:space="preserve"> 页 共 </w:t>
                          </w:r>
                          <w:r>
                            <w:fldChar w:fldCharType="begin"/>
                          </w:r>
                          <w:r>
                            <w:instrText xml:space="preserve"> NUMPAGES  \* MERGEFORMAT </w:instrText>
                          </w:r>
                          <w:r>
                            <w:fldChar w:fldCharType="separate"/>
                          </w:r>
                          <w:r>
                            <w:t>159</w:t>
                          </w:r>
                          <w:r>
                            <w:fldChar w:fldCharType="end"/>
                          </w:r>
                          <w:r>
                            <w:t xml:space="preserve"> 页</w:t>
                          </w:r>
                        </w:p>
                      </w:txbxContent>
                    </wps:txbx>
                    <wps:bodyPr vert="horz" wrap="none" lIns="0" tIns="0" rIns="0" bIns="0" anchor="t" upright="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s/2MbNIBAACfAwAADgAAAAAAAAABACAAAAAfAQAA&#10;ZHJzL2Uyb0RvYy54bWxQSwUGAAAAAAYABgBZAQAAYwUAAAAA&#10;">
              <v:fill on="f" focussize="0,0"/>
              <v:stroke on="f"/>
              <v:imagedata o:title=""/>
              <o:lock v:ext="edit" aspectratio="f"/>
              <v:textbox inset="0mm,0mm,0mm,0mm" style="mso-fit-shape-to-text:t;">
                <w:txbxContent>
                  <w:p w14:paraId="7B7B3EB7">
                    <w:pPr>
                      <w:pStyle w:val="17"/>
                    </w:pPr>
                    <w:r>
                      <w:t xml:space="preserve">第 </w:t>
                    </w:r>
                    <w:r>
                      <w:fldChar w:fldCharType="begin"/>
                    </w:r>
                    <w:r>
                      <w:instrText xml:space="preserve"> PAGE  \* MERGEFORMAT </w:instrText>
                    </w:r>
                    <w:r>
                      <w:fldChar w:fldCharType="separate"/>
                    </w:r>
                    <w:r>
                      <w:t>CLIV</w:t>
                    </w:r>
                    <w:r>
                      <w:fldChar w:fldCharType="end"/>
                    </w:r>
                    <w:r>
                      <w:t xml:space="preserve"> 页 共 </w:t>
                    </w:r>
                    <w:r>
                      <w:fldChar w:fldCharType="begin"/>
                    </w:r>
                    <w:r>
                      <w:instrText xml:space="preserve"> NUMPAGES  \* MERGEFORMAT </w:instrText>
                    </w:r>
                    <w:r>
                      <w:fldChar w:fldCharType="separate"/>
                    </w:r>
                    <w:r>
                      <w:t>159</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E46FF">
    <w:pPr>
      <w:pBdr>
        <w:bottom w:val="none" w:color="auto" w:sz="0" w:space="1"/>
      </w:pBdr>
      <w:tabs>
        <w:tab w:val="center" w:pos="4153"/>
        <w:tab w:val="right" w:pos="8306"/>
      </w:tabs>
      <w:snapToGrid w:val="0"/>
      <w:rPr>
        <w:rFonts w:hint="eastAsia" w:ascii="Times New Roman" w:hAnsi="Times New Roman"/>
        <w:sz w:val="18"/>
        <w:szCs w:val="18"/>
      </w:rPr>
    </w:pPr>
    <w:bookmarkStart w:id="547" w:name="_Hlk81315227"/>
    <w:bookmarkStart w:id="548" w:name="_Hlk81315226"/>
    <w:bookmarkStart w:id="549" w:name="_Hlk81315209"/>
    <w:bookmarkStart w:id="550" w:name="_Hlk81315208"/>
    <w:bookmarkStart w:id="551" w:name="_Hlk81315228"/>
    <w:bookmarkStart w:id="552" w:name="_Hlk81315229"/>
    <w:bookmarkStart w:id="553" w:name="_Hlk81315207"/>
    <w:bookmarkStart w:id="554" w:name="_Hlk81315210"/>
    <w:r>
      <w:rPr>
        <w:rFonts w:ascii="黑体" w:hAnsi="黑体" w:eastAsia="黑体"/>
        <w:b/>
        <w:bCs/>
        <w:sz w:val="18"/>
        <w:szCs w:val="18"/>
      </w:rPr>
      <w:t xml:space="preserve">   </w:t>
    </w:r>
    <w:r>
      <w:rPr>
        <w:rFonts w:ascii="黑体" w:hAnsi="黑体" w:eastAsia="黑体"/>
        <w:sz w:val="18"/>
        <w:szCs w:val="18"/>
      </w:rPr>
      <w:t xml:space="preserve">                                                 </w:t>
    </w:r>
    <w:bookmarkEnd w:id="547"/>
    <w:bookmarkEnd w:id="548"/>
    <w:bookmarkEnd w:id="549"/>
    <w:bookmarkEnd w:id="550"/>
    <w:bookmarkEnd w:id="551"/>
    <w:bookmarkEnd w:id="552"/>
    <w:bookmarkEnd w:id="553"/>
    <w:bookmarkEnd w:id="554"/>
  </w:p>
  <w:p w14:paraId="3FF2C06A">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B1CE2">
    <w:pPr>
      <w:wordWrap w:val="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B7BDB">
    <w:pPr>
      <w:pStyle w:val="1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0275D">
    <w:pPr>
      <w:pStyle w:val="18"/>
      <w:pBdr>
        <w:bottom w:val="none" w:color="auto" w:sz="0" w:space="3"/>
      </w:pBdr>
      <w:jc w:val="both"/>
    </w:pPr>
    <w:r>
      <w:rPr>
        <w:rFonts w:hint="eastAsia"/>
      </w:rPr>
      <w:t xml:space="preserve">    　　                            </w:t>
    </w:r>
    <w:r>
      <w:t xml:space="preserve">  </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10F9B">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7"/>
      <w:numFmt w:val="chineseCounting"/>
      <w:suff w:val="nothing"/>
      <w:lvlText w:val="%1、"/>
      <w:lvlJc w:val="left"/>
      <w:rPr>
        <w:rFonts w:hint="eastAsia"/>
      </w:rPr>
    </w:lvl>
  </w:abstractNum>
  <w:abstractNum w:abstractNumId="1">
    <w:nsid w:val="00000001"/>
    <w:multiLevelType w:val="singleLevel"/>
    <w:tmpl w:val="00000001"/>
    <w:lvl w:ilvl="0" w:tentative="0">
      <w:start w:val="5"/>
      <w:numFmt w:val="chineseCounting"/>
      <w:suff w:val="space"/>
      <w:lvlText w:val="第%1章"/>
      <w:lvlJc w:val="left"/>
      <w:rPr>
        <w:rFonts w:hint="eastAsia"/>
        <w:sz w:val="44"/>
        <w:szCs w:val="44"/>
      </w:rPr>
    </w:lvl>
  </w:abstractNum>
  <w:abstractNum w:abstractNumId="2">
    <w:nsid w:val="00000002"/>
    <w:multiLevelType w:val="singleLevel"/>
    <w:tmpl w:val="00000002"/>
    <w:lvl w:ilvl="0" w:tentative="0">
      <w:start w:val="2"/>
      <w:numFmt w:val="decimal"/>
      <w:lvlText w:val="%1."/>
      <w:lvlJc w:val="left"/>
      <w:pPr>
        <w:tabs>
          <w:tab w:val="left" w:pos="312"/>
        </w:tabs>
      </w:pPr>
    </w:lvl>
  </w:abstractNum>
  <w:abstractNum w:abstractNumId="3">
    <w:nsid w:val="00000003"/>
    <w:multiLevelType w:val="singleLevel"/>
    <w:tmpl w:val="00000003"/>
    <w:lvl w:ilvl="0" w:tentative="0">
      <w:start w:val="2"/>
      <w:numFmt w:val="chineseCounting"/>
      <w:suff w:val="nothing"/>
      <w:lvlText w:val="%1、"/>
      <w:lvlJc w:val="left"/>
      <w:rPr>
        <w:rFonts w:hint="eastAsia"/>
      </w:rPr>
    </w:lvl>
  </w:abstractNum>
  <w:abstractNum w:abstractNumId="4">
    <w:nsid w:val="00000004"/>
    <w:multiLevelType w:val="multilevel"/>
    <w:tmpl w:val="00000004"/>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5"/>
    <w:multiLevelType w:val="singleLevel"/>
    <w:tmpl w:val="00000005"/>
    <w:lvl w:ilvl="0" w:tentative="0">
      <w:start w:val="7"/>
      <w:numFmt w:val="chineseCounting"/>
      <w:suff w:val="nothing"/>
      <w:lvlText w:val="%1、"/>
      <w:lvlJc w:val="left"/>
      <w:rPr>
        <w:rFonts w:hint="eastAsia"/>
      </w:rPr>
    </w:lvl>
  </w:abstractNum>
  <w:abstractNum w:abstractNumId="6">
    <w:nsid w:val="00000006"/>
    <w:multiLevelType w:val="singleLevel"/>
    <w:tmpl w:val="00000006"/>
    <w:lvl w:ilvl="0" w:tentative="0">
      <w:start w:val="2"/>
      <w:numFmt w:val="chineseCounting"/>
      <w:suff w:val="nothing"/>
      <w:lvlText w:val="（%1）"/>
      <w:lvlJc w:val="left"/>
      <w:rPr>
        <w:rFonts w:hint="eastAsia"/>
      </w:rPr>
    </w:lvl>
  </w:abstractNum>
  <w:num w:numId="1">
    <w:abstractNumId w:val="5"/>
  </w:num>
  <w:num w:numId="2">
    <w:abstractNumId w:val="4"/>
  </w:num>
  <w:num w:numId="3">
    <w:abstractNumId w:val="0"/>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942B0"/>
    <w:rsid w:val="211F4451"/>
    <w:rsid w:val="2F3D33E3"/>
    <w:rsid w:val="47EB674E"/>
    <w:rsid w:val="5952598E"/>
    <w:rsid w:val="5B5A6C00"/>
    <w:rsid w:val="6E4239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qFormat="1" w:unhideWhenUsed="0" w:uiPriority="39"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character" w:default="1" w:styleId="28">
    <w:name w:val="Default Paragraph Font"/>
    <w:qFormat/>
    <w:uiPriority w:val="0"/>
  </w:style>
  <w:style w:type="table" w:default="1" w:styleId="26">
    <w:name w:val="Normal Table"/>
    <w:qFormat/>
    <w:uiPriority w:val="0"/>
    <w:tblPr>
      <w:tblCellMar>
        <w:top w:w="0" w:type="dxa"/>
        <w:left w:w="108" w:type="dxa"/>
        <w:bottom w:w="0" w:type="dxa"/>
        <w:right w:w="108" w:type="dxa"/>
      </w:tblCellMar>
    </w:tblPr>
  </w:style>
  <w:style w:type="paragraph" w:styleId="7">
    <w:name w:val="table of authorities"/>
    <w:basedOn w:val="1"/>
    <w:next w:val="1"/>
    <w:qFormat/>
    <w:uiPriority w:val="0"/>
    <w:pPr>
      <w:keepNext w:val="0"/>
      <w:keepLines w:val="0"/>
      <w:widowControl w:val="0"/>
      <w:suppressLineNumbers w:val="0"/>
      <w:spacing w:before="0" w:beforeAutospacing="0" w:after="0" w:afterAutospacing="0" w:line="360" w:lineRule="auto"/>
      <w:ind w:left="420" w:leftChars="200" w:right="0"/>
      <w:jc w:val="both"/>
    </w:pPr>
    <w:rPr>
      <w:rFonts w:hint="default" w:ascii="Times New Roman" w:hAnsi="Times New Roman" w:eastAsia="宋体" w:cs="Times New Roman"/>
      <w:b/>
      <w:kern w:val="2"/>
      <w:sz w:val="28"/>
      <w:szCs w:val="24"/>
      <w:lang w:val="en-US" w:eastAsia="zh-CN" w:bidi="ar-SA"/>
    </w:rPr>
  </w:style>
  <w:style w:type="paragraph" w:styleId="8">
    <w:name w:val="Normal Indent"/>
    <w:basedOn w:val="1"/>
    <w:qFormat/>
    <w:uiPriority w:val="0"/>
    <w:pPr>
      <w:ind w:firstLine="420" w:firstLineChars="200"/>
    </w:pPr>
  </w:style>
  <w:style w:type="paragraph" w:styleId="9">
    <w:name w:val="annotation text"/>
    <w:basedOn w:val="1"/>
    <w:qFormat/>
    <w:uiPriority w:val="0"/>
    <w:pPr>
      <w:jc w:val="left"/>
    </w:pPr>
  </w:style>
  <w:style w:type="paragraph" w:styleId="10">
    <w:name w:val="Body Text 3"/>
    <w:basedOn w:val="1"/>
    <w:qFormat/>
    <w:uiPriority w:val="0"/>
    <w:rPr>
      <w:rFonts w:ascii="宋体"/>
      <w:sz w:val="24"/>
      <w:szCs w:val="20"/>
    </w:rPr>
  </w:style>
  <w:style w:type="paragraph" w:styleId="11">
    <w:name w:val="Body Text"/>
    <w:basedOn w:val="1"/>
    <w:qFormat/>
    <w:uiPriority w:val="0"/>
    <w:pPr>
      <w:spacing w:after="120"/>
    </w:pPr>
    <w:rPr>
      <w:szCs w:val="20"/>
    </w:rPr>
  </w:style>
  <w:style w:type="paragraph" w:styleId="12">
    <w:name w:val="Body Text Indent"/>
    <w:basedOn w:val="1"/>
    <w:next w:val="1"/>
    <w:qFormat/>
    <w:uiPriority w:val="0"/>
    <w:pPr>
      <w:ind w:firstLine="630"/>
    </w:pPr>
    <w:rPr>
      <w:sz w:val="32"/>
      <w:szCs w:val="20"/>
    </w:rPr>
  </w:style>
  <w:style w:type="paragraph" w:styleId="13">
    <w:name w:val="toc 5"/>
    <w:basedOn w:val="1"/>
    <w:next w:val="1"/>
    <w:qFormat/>
    <w:uiPriority w:val="0"/>
    <w:pPr>
      <w:tabs>
        <w:tab w:val="right" w:leader="dot" w:pos="8296"/>
      </w:tabs>
      <w:ind w:left="1050" w:leftChars="500"/>
    </w:pPr>
  </w:style>
  <w:style w:type="paragraph" w:styleId="14">
    <w:name w:val="toc 3"/>
    <w:basedOn w:val="1"/>
    <w:next w:val="1"/>
    <w:qFormat/>
    <w:uiPriority w:val="0"/>
    <w:pPr>
      <w:ind w:left="840" w:leftChars="400"/>
    </w:pPr>
  </w:style>
  <w:style w:type="paragraph" w:styleId="15">
    <w:name w:val="Plain Text"/>
    <w:basedOn w:val="1"/>
    <w:qFormat/>
    <w:uiPriority w:val="0"/>
    <w:pPr>
      <w:autoSpaceDE w:val="0"/>
      <w:autoSpaceDN w:val="0"/>
      <w:adjustRightInd w:val="0"/>
    </w:pPr>
    <w:rPr>
      <w:rFonts w:ascii="宋体" w:hAnsi="Tms Rmn"/>
      <w:kern w:val="0"/>
      <w:szCs w:val="20"/>
    </w:rPr>
  </w:style>
  <w:style w:type="paragraph" w:styleId="16">
    <w:name w:val="Date"/>
    <w:basedOn w:val="1"/>
    <w:next w:val="1"/>
    <w:qFormat/>
    <w:uiPriority w:val="0"/>
    <w:rPr>
      <w:sz w:val="24"/>
      <w:szCs w:val="20"/>
    </w:rPr>
  </w:style>
  <w:style w:type="paragraph" w:styleId="17">
    <w:name w:val="footer"/>
    <w:basedOn w:val="1"/>
    <w:qFormat/>
    <w:uiPriority w:val="99"/>
    <w:pPr>
      <w:tabs>
        <w:tab w:val="center" w:pos="4153"/>
        <w:tab w:val="right" w:pos="8306"/>
      </w:tabs>
      <w:snapToGrid w:val="0"/>
      <w:jc w:val="left"/>
    </w:pPr>
    <w:rPr>
      <w:sz w:val="18"/>
      <w:szCs w:val="20"/>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9">
    <w:name w:val="toc 1"/>
    <w:basedOn w:val="1"/>
    <w:next w:val="1"/>
    <w:qFormat/>
    <w:uiPriority w:val="39"/>
    <w:pPr>
      <w:spacing w:before="120" w:after="120"/>
      <w:jc w:val="left"/>
    </w:pPr>
    <w:rPr>
      <w:b/>
      <w:bCs/>
      <w:caps/>
      <w:sz w:val="20"/>
      <w:szCs w:val="20"/>
    </w:rPr>
  </w:style>
  <w:style w:type="paragraph" w:styleId="20">
    <w:name w:val="toc 4"/>
    <w:basedOn w:val="1"/>
    <w:next w:val="1"/>
    <w:qFormat/>
    <w:uiPriority w:val="39"/>
    <w:pPr>
      <w:ind w:left="630"/>
      <w:jc w:val="left"/>
    </w:pPr>
    <w:rPr>
      <w:sz w:val="18"/>
      <w:szCs w:val="18"/>
    </w:rPr>
  </w:style>
  <w:style w:type="paragraph" w:styleId="21">
    <w:name w:val="Body Text 2"/>
    <w:basedOn w:val="1"/>
    <w:qFormat/>
    <w:uiPriority w:val="0"/>
    <w:pPr>
      <w:spacing w:after="120" w:line="480" w:lineRule="auto"/>
    </w:pPr>
  </w:style>
  <w:style w:type="paragraph" w:styleId="22">
    <w:name w:val="Normal (Web)"/>
    <w:basedOn w:val="1"/>
    <w:next w:val="1"/>
    <w:qFormat/>
    <w:uiPriority w:val="0"/>
    <w:pPr>
      <w:widowControl/>
      <w:spacing w:before="100" w:beforeAutospacing="1" w:after="100" w:afterAutospacing="1"/>
      <w:jc w:val="left"/>
    </w:pPr>
    <w:rPr>
      <w:rFonts w:ascii="宋体" w:hAnsi="宋体"/>
      <w:kern w:val="0"/>
      <w:sz w:val="18"/>
      <w:szCs w:val="18"/>
    </w:rPr>
  </w:style>
  <w:style w:type="paragraph" w:styleId="23">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24">
    <w:name w:val="Body Text First Indent"/>
    <w:basedOn w:val="11"/>
    <w:next w:val="1"/>
    <w:qFormat/>
    <w:uiPriority w:val="0"/>
    <w:pPr>
      <w:spacing w:line="312" w:lineRule="auto"/>
      <w:ind w:firstLine="420"/>
    </w:pPr>
    <w:rPr>
      <w:sz w:val="24"/>
    </w:rPr>
  </w:style>
  <w:style w:type="paragraph" w:styleId="25">
    <w:name w:val="Body Text First Indent 2"/>
    <w:basedOn w:val="12"/>
    <w:next w:val="1"/>
    <w:qFormat/>
    <w:uiPriority w:val="0"/>
    <w:pPr>
      <w:spacing w:after="120"/>
      <w:ind w:left="420" w:leftChars="200" w:firstLine="420" w:firstLineChars="200"/>
    </w:pPr>
    <w:rPr>
      <w:rFonts w:ascii="Calibri" w:hAnsi="Calibri" w:eastAsia="仿宋_GB2312" w:cs="Calibri"/>
      <w:sz w:val="21"/>
      <w:szCs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Hyperlink"/>
    <w:qFormat/>
    <w:uiPriority w:val="0"/>
    <w:rPr>
      <w:rFonts w:cs="Times New Roman"/>
      <w:color w:val="0000FF"/>
      <w:u w:val="single"/>
    </w:rPr>
  </w:style>
  <w:style w:type="paragraph" w:customStyle="1" w:styleId="32">
    <w:name w:val="Default"/>
    <w:next w:val="16"/>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5">
    <w:name w:val="Normal_0405b71c-ed12-44c9-ad0b-823cd9a567c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6">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7">
    <w:name w:val="List Paragraph_0a92ab32-4144-4d65-b2c3-8a915faaaa3b"/>
    <w:basedOn w:val="1"/>
    <w:qFormat/>
    <w:uiPriority w:val="0"/>
    <w:pPr>
      <w:ind w:firstLine="420" w:firstLineChars="200"/>
    </w:pPr>
    <w:rPr>
      <w:szCs w:val="22"/>
    </w:rPr>
  </w:style>
  <w:style w:type="paragraph" w:customStyle="1" w:styleId="38">
    <w:name w:val="正文（缩进）"/>
    <w:basedOn w:val="1"/>
    <w:qFormat/>
    <w:uiPriority w:val="0"/>
  </w:style>
  <w:style w:type="paragraph" w:customStyle="1" w:styleId="39">
    <w:name w:val="Table Paragraph"/>
    <w:basedOn w:val="1"/>
    <w:qFormat/>
    <w:uiPriority w:val="1"/>
    <w:rPr>
      <w:rFonts w:ascii="宋体" w:hAnsi="宋体" w:eastAsia="宋体" w:cs="宋体"/>
      <w:lang w:val="zh-CN" w:bidi="zh-CN"/>
    </w:rPr>
  </w:style>
  <w:style w:type="character" w:customStyle="1" w:styleId="40">
    <w:name w:val="标题 1 字符"/>
    <w:link w:val="2"/>
    <w:qFormat/>
    <w:uiPriority w:val="0"/>
    <w:rPr>
      <w:b/>
      <w:bCs/>
      <w:kern w:val="44"/>
      <w:sz w:val="44"/>
      <w:szCs w:val="44"/>
    </w:rPr>
  </w:style>
  <w:style w:type="paragraph" w:customStyle="1" w:styleId="41">
    <w:name w:val="目录"/>
    <w:basedOn w:val="1"/>
    <w:qFormat/>
    <w:uiPriority w:val="0"/>
    <w:pPr>
      <w:jc w:val="center"/>
    </w:pPr>
    <w:rPr>
      <w:rFonts w:ascii="宋体"/>
      <w:b/>
      <w:sz w:val="36"/>
    </w:rPr>
  </w:style>
  <w:style w:type="paragraph" w:customStyle="1" w:styleId="42">
    <w:name w:val="_Style 7"/>
    <w:basedOn w:val="2"/>
    <w:next w:val="1"/>
    <w:qFormat/>
    <w:uiPriority w:val="0"/>
    <w:pPr>
      <w:outlineLvl w:val="9"/>
    </w:pPr>
  </w:style>
  <w:style w:type="paragraph" w:styleId="43">
    <w:name w:val="No Spacing"/>
    <w:basedOn w:val="1"/>
    <w:qFormat/>
    <w:uiPriority w:val="1"/>
    <w:pPr>
      <w:widowControl w:val="0"/>
      <w:jc w:val="both"/>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2047</Words>
  <Characters>2484</Characters>
  <Paragraphs>3499</Paragraphs>
  <TotalTime>35</TotalTime>
  <ScaleCrop>false</ScaleCrop>
  <LinksUpToDate>false</LinksUpToDate>
  <CharactersWithSpaces>2519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dcterms:modified xsi:type="dcterms:W3CDTF">2025-07-18T02:32:54Z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eyJoZGlkIjoiYTJkNjk1ZTVjZDE5N2RhZmQ5YzNkMGQ5MDRjNjEwMGEiLCJ1c2VySWQiOiIyNjEyODcwMzEifQ==</vt:lpwstr>
  </property>
  <property fmtid="{D5CDD505-2E9C-101B-9397-08002B2CF9AE}" pid="4" name="ICV">
    <vt:lpwstr>2D689FB6E4E346CCB6ADF10B1F2109A6_13</vt:lpwstr>
  </property>
</Properties>
</file>